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6C72C" w14:textId="77777777" w:rsidR="00F46C7B" w:rsidRPr="00C73365" w:rsidRDefault="00F46C7B" w:rsidP="00A5021C">
      <w:pPr>
        <w:pStyle w:val="Titre4"/>
        <w:rPr>
          <w:rFonts w:asciiTheme="minorHAnsi" w:hAnsiTheme="minorHAnsi" w:cstheme="minorHAnsi"/>
          <w:lang w:val="fr-FR" w:eastAsia="fr-FR"/>
        </w:rPr>
      </w:pPr>
      <w:bookmarkStart w:id="0" w:name="_GoBack"/>
      <w:bookmarkEnd w:id="0"/>
      <w:r w:rsidRPr="00C73365">
        <w:rPr>
          <w:rFonts w:asciiTheme="minorHAnsi" w:hAnsiTheme="minorHAnsi" w:cstheme="minorHAnsi"/>
          <w:noProof/>
          <w:lang w:val="fr-FR" w:eastAsia="fr-FR"/>
        </w:rPr>
        <w:drawing>
          <wp:anchor distT="0" distB="0" distL="114300" distR="114300" simplePos="0" relativeHeight="251657216" behindDoc="1" locked="0" layoutInCell="1" allowOverlap="1" wp14:anchorId="2CC38AB8" wp14:editId="72B916A9">
            <wp:simplePos x="0" y="0"/>
            <wp:positionH relativeFrom="column">
              <wp:posOffset>-729615</wp:posOffset>
            </wp:positionH>
            <wp:positionV relativeFrom="paragraph">
              <wp:posOffset>-701040</wp:posOffset>
            </wp:positionV>
            <wp:extent cx="7572375" cy="6334125"/>
            <wp:effectExtent l="0" t="0" r="9525" b="9525"/>
            <wp:wrapNone/>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72375" cy="6334125"/>
                    </a:xfrm>
                    <a:prstGeom prst="rect">
                      <a:avLst/>
                    </a:prstGeom>
                    <a:noFill/>
                    <a:ln w="9525">
                      <a:noFill/>
                      <a:miter lim="800000"/>
                      <a:headEnd/>
                      <a:tailEnd/>
                    </a:ln>
                  </pic:spPr>
                </pic:pic>
              </a:graphicData>
            </a:graphic>
            <wp14:sizeRelV relativeFrom="margin">
              <wp14:pctHeight>0</wp14:pctHeight>
            </wp14:sizeRelV>
          </wp:anchor>
        </w:drawing>
      </w:r>
    </w:p>
    <w:p w14:paraId="2163CC09" w14:textId="77777777" w:rsidR="00F46C7B" w:rsidRPr="00C73365" w:rsidRDefault="00F46C7B" w:rsidP="00A96CCA">
      <w:pPr>
        <w:jc w:val="center"/>
        <w:rPr>
          <w:rFonts w:asciiTheme="minorHAnsi" w:eastAsia="MS Mincho" w:hAnsiTheme="minorHAnsi" w:cstheme="minorHAnsi"/>
          <w:sz w:val="96"/>
          <w:szCs w:val="20"/>
          <w:lang w:val="fr-FR" w:eastAsia="fr-FR"/>
        </w:rPr>
      </w:pPr>
    </w:p>
    <w:p w14:paraId="0C974213" w14:textId="77777777" w:rsidR="00F46C7B" w:rsidRPr="00C73365" w:rsidRDefault="00F46C7B" w:rsidP="00A96CCA">
      <w:pPr>
        <w:jc w:val="center"/>
        <w:rPr>
          <w:rFonts w:asciiTheme="minorHAnsi" w:eastAsia="MS Mincho" w:hAnsiTheme="minorHAnsi" w:cstheme="minorHAnsi"/>
          <w:sz w:val="96"/>
          <w:szCs w:val="20"/>
          <w:lang w:val="fr-FR" w:eastAsia="fr-FR"/>
        </w:rPr>
      </w:pPr>
    </w:p>
    <w:p w14:paraId="21CE8D59" w14:textId="2BC0D185" w:rsidR="00F46C7B" w:rsidRPr="00C73365" w:rsidRDefault="00F46C7B" w:rsidP="00A96CCA">
      <w:pPr>
        <w:jc w:val="center"/>
        <w:rPr>
          <w:rFonts w:asciiTheme="minorHAnsi" w:eastAsia="MS Mincho" w:hAnsiTheme="minorHAnsi" w:cstheme="minorHAnsi"/>
          <w:color w:val="632280"/>
          <w:sz w:val="56"/>
          <w:szCs w:val="20"/>
          <w:lang w:val="fr-FR" w:eastAsia="fr-FR"/>
        </w:rPr>
      </w:pPr>
    </w:p>
    <w:p w14:paraId="0C115CE3" w14:textId="6F9EF05D" w:rsidR="00F46C7B" w:rsidRPr="00C73365" w:rsidRDefault="00F46C7B" w:rsidP="00A96CCA">
      <w:pPr>
        <w:jc w:val="center"/>
        <w:rPr>
          <w:rFonts w:asciiTheme="minorHAnsi" w:eastAsia="MS Mincho" w:hAnsiTheme="minorHAnsi" w:cstheme="minorHAnsi"/>
          <w:b/>
          <w:color w:val="632280"/>
          <w:sz w:val="22"/>
          <w:szCs w:val="62"/>
          <w:lang w:val="fr-FR" w:eastAsia="fr-FR"/>
        </w:rPr>
      </w:pPr>
    </w:p>
    <w:p w14:paraId="112523DE" w14:textId="21AEB9A5" w:rsidR="00F46C7B" w:rsidRPr="00C73365" w:rsidRDefault="00F46C7B" w:rsidP="00A96CCA">
      <w:pPr>
        <w:tabs>
          <w:tab w:val="left" w:pos="3631"/>
        </w:tabs>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ab/>
      </w:r>
    </w:p>
    <w:p w14:paraId="58DDC65A" w14:textId="41250AD0" w:rsidR="00F46C7B" w:rsidRPr="00C73365" w:rsidRDefault="00F46C7B" w:rsidP="00A96CCA">
      <w:pPr>
        <w:tabs>
          <w:tab w:val="left" w:pos="1256"/>
        </w:tabs>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ab/>
      </w:r>
    </w:p>
    <w:p w14:paraId="4F0F4835" w14:textId="787F84DA" w:rsidR="00F46C7B" w:rsidRPr="00C73365" w:rsidRDefault="00F46C7B" w:rsidP="00A96CCA">
      <w:pPr>
        <w:rPr>
          <w:rFonts w:asciiTheme="minorHAnsi" w:hAnsiTheme="minorHAnsi" w:cstheme="minorHAnsi"/>
          <w:b/>
          <w:i/>
          <w:smallCaps/>
          <w:color w:val="7030A0"/>
          <w:sz w:val="32"/>
          <w:szCs w:val="32"/>
          <w:lang w:val="fr-FR"/>
        </w:rPr>
      </w:pPr>
      <w:r w:rsidRPr="00C73365">
        <w:rPr>
          <w:rFonts w:asciiTheme="minorHAnsi" w:eastAsia="MS Mincho" w:hAnsiTheme="minorHAnsi" w:cstheme="minorHAnsi"/>
          <w:szCs w:val="20"/>
          <w:lang w:val="fr-FR" w:eastAsia="fr-FR"/>
        </w:rPr>
        <w:t xml:space="preserve"> </w:t>
      </w:r>
    </w:p>
    <w:p w14:paraId="1851E71B" w14:textId="0A5BE964" w:rsidR="00F46C7B" w:rsidRPr="00C73365" w:rsidRDefault="00713CB6" w:rsidP="00A96CCA">
      <w:pPr>
        <w:pStyle w:val="Corpsdetexte3"/>
        <w:spacing w:after="120"/>
        <w:jc w:val="left"/>
        <w:rPr>
          <w:rFonts w:asciiTheme="minorHAnsi" w:hAnsiTheme="minorHAnsi" w:cstheme="minorHAnsi"/>
          <w:b/>
          <w:i w:val="0"/>
          <w:smallCaps/>
          <w:color w:val="7030A0"/>
          <w:sz w:val="32"/>
          <w:szCs w:val="32"/>
          <w:lang w:val="fr-FR"/>
        </w:rPr>
      </w:pPr>
      <w:r w:rsidRPr="00C73365">
        <w:rPr>
          <w:rFonts w:asciiTheme="minorHAnsi" w:eastAsia="MS Mincho" w:hAnsiTheme="minorHAnsi" w:cstheme="minorHAnsi"/>
          <w:noProof/>
          <w:color w:val="632280"/>
          <w:sz w:val="56"/>
          <w:lang w:val="fr-FR" w:eastAsia="fr-FR"/>
        </w:rPr>
        <mc:AlternateContent>
          <mc:Choice Requires="wps">
            <w:drawing>
              <wp:anchor distT="0" distB="0" distL="114300" distR="114300" simplePos="0" relativeHeight="251659264" behindDoc="0" locked="0" layoutInCell="1" allowOverlap="1" wp14:anchorId="71338226" wp14:editId="03981D95">
                <wp:simplePos x="0" y="0"/>
                <wp:positionH relativeFrom="column">
                  <wp:posOffset>594055</wp:posOffset>
                </wp:positionH>
                <wp:positionV relativeFrom="paragraph">
                  <wp:posOffset>21362</wp:posOffset>
                </wp:positionV>
                <wp:extent cx="4824919" cy="1595336"/>
                <wp:effectExtent l="0" t="0" r="0" b="5080"/>
                <wp:wrapNone/>
                <wp:docPr id="84" name="Zone de texte 84"/>
                <wp:cNvGraphicFramePr/>
                <a:graphic xmlns:a="http://schemas.openxmlformats.org/drawingml/2006/main">
                  <a:graphicData uri="http://schemas.microsoft.com/office/word/2010/wordprocessingShape">
                    <wps:wsp>
                      <wps:cNvSpPr txBox="1"/>
                      <wps:spPr>
                        <a:xfrm>
                          <a:off x="0" y="0"/>
                          <a:ext cx="4824919" cy="1595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7BEAB" w14:textId="77777777" w:rsidR="00F55A34" w:rsidRDefault="00F55A34" w:rsidP="00F46C7B">
                            <w:pPr>
                              <w:spacing w:after="160" w:line="259" w:lineRule="auto"/>
                              <w:jc w:val="center"/>
                              <w:rPr>
                                <w:rFonts w:eastAsia="MS Mincho"/>
                                <w:b/>
                                <w:color w:val="632280"/>
                                <w:sz w:val="56"/>
                                <w:szCs w:val="62"/>
                                <w:lang w:val="fr-FR" w:eastAsia="fr-FR"/>
                              </w:rPr>
                            </w:pPr>
                          </w:p>
                          <w:p w14:paraId="7DDA5E04" w14:textId="77777777" w:rsidR="00F55A34" w:rsidRPr="00040D1A" w:rsidRDefault="00F55A34" w:rsidP="00F46C7B">
                            <w:pPr>
                              <w:spacing w:after="160" w:line="259" w:lineRule="auto"/>
                              <w:jc w:val="center"/>
                              <w:rPr>
                                <w:rFonts w:eastAsia="MS Mincho"/>
                                <w:b/>
                                <w:color w:val="632280"/>
                                <w:sz w:val="56"/>
                                <w:szCs w:val="62"/>
                                <w:lang w:val="fr-FR" w:eastAsia="fr-FR"/>
                              </w:rPr>
                            </w:pPr>
                            <w:r w:rsidRPr="00040D1A">
                              <w:rPr>
                                <w:rFonts w:eastAsia="MS Mincho"/>
                                <w:b/>
                                <w:color w:val="632280"/>
                                <w:sz w:val="56"/>
                                <w:szCs w:val="62"/>
                                <w:lang w:val="fr-FR" w:eastAsia="fr-FR"/>
                              </w:rPr>
                              <w:t>DOCUMENT DE REFERENCE</w:t>
                            </w:r>
                          </w:p>
                          <w:p w14:paraId="3D55ACA0" w14:textId="77777777" w:rsidR="00F55A34" w:rsidRPr="00167946" w:rsidRDefault="00F55A34" w:rsidP="00F46C7B">
                            <w:pPr>
                              <w:spacing w:after="160" w:line="259" w:lineRule="auto"/>
                              <w:jc w:val="center"/>
                              <w:rPr>
                                <w:rFonts w:eastAsia="MS Mincho"/>
                                <w:b/>
                                <w:color w:val="632280"/>
                                <w:sz w:val="56"/>
                                <w:szCs w:val="56"/>
                                <w:lang w:val="fr-FR" w:eastAsia="fr-FR"/>
                              </w:rPr>
                            </w:pPr>
                            <w:r w:rsidRPr="00040D1A">
                              <w:rPr>
                                <w:rFonts w:eastAsia="MS Mincho"/>
                                <w:b/>
                                <w:color w:val="632280"/>
                                <w:sz w:val="56"/>
                                <w:szCs w:val="56"/>
                                <w:lang w:val="fr-FR" w:eastAsia="fr-FR"/>
                              </w:rPr>
                              <w:t>201</w:t>
                            </w:r>
                            <w:r>
                              <w:rPr>
                                <w:rFonts w:eastAsia="MS Mincho"/>
                                <w:b/>
                                <w:color w:val="632280"/>
                                <w:sz w:val="56"/>
                                <w:szCs w:val="56"/>
                                <w:lang w:val="fr-FR" w:eastAsia="fr-FR"/>
                              </w:rPr>
                              <w:t>8</w:t>
                            </w:r>
                          </w:p>
                          <w:p w14:paraId="1ACC42A1" w14:textId="77777777" w:rsidR="00F55A34" w:rsidRDefault="00F55A34" w:rsidP="00F46C7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71338226" id="_x0000_t202" coordsize="21600,21600" o:spt="202" path="m,l,21600r21600,l21600,xe">
                <v:stroke joinstyle="miter"/>
                <v:path gradientshapeok="t" o:connecttype="rect"/>
              </v:shapetype>
              <v:shape id="Zone de texte 84" o:spid="_x0000_s1026" type="#_x0000_t202" style="position:absolute;margin-left:46.8pt;margin-top:1.7pt;width:379.9pt;height:125.6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" filled="f" stroked="f" strokeweight=".5pt">
                <v:textbox>
                  <w:txbxContent>
                    <w:p w14:paraId="2577BEAB" w14:textId="77777777" w:rsidR="00F55A34" w:rsidRDefault="00F55A34" w:rsidP="00F46C7B">
                      <w:pPr>
                        <w:spacing w:after="160" w:line="259" w:lineRule="auto"/>
                        <w:jc w:val="center"/>
                        <w:rPr>
                          <w:rFonts w:eastAsia="MS Mincho"/>
                          <w:b/>
                          <w:color w:val="632280"/>
                          <w:sz w:val="56"/>
                          <w:szCs w:val="62"/>
                          <w:lang w:val="fr-FR" w:eastAsia="fr-FR"/>
                        </w:rPr>
                      </w:pPr>
                    </w:p>
                    <w:p w14:paraId="7DDA5E04" w14:textId="77777777" w:rsidR="00F55A34" w:rsidRPr="00040D1A" w:rsidRDefault="00F55A34" w:rsidP="00F46C7B">
                      <w:pPr>
                        <w:spacing w:after="160" w:line="259" w:lineRule="auto"/>
                        <w:jc w:val="center"/>
                        <w:rPr>
                          <w:rFonts w:eastAsia="MS Mincho"/>
                          <w:b/>
                          <w:color w:val="632280"/>
                          <w:sz w:val="56"/>
                          <w:szCs w:val="62"/>
                          <w:lang w:val="fr-FR" w:eastAsia="fr-FR"/>
                        </w:rPr>
                      </w:pPr>
                      <w:r w:rsidRPr="00040D1A">
                        <w:rPr>
                          <w:rFonts w:eastAsia="MS Mincho"/>
                          <w:b/>
                          <w:color w:val="632280"/>
                          <w:sz w:val="56"/>
                          <w:szCs w:val="62"/>
                          <w:lang w:val="fr-FR" w:eastAsia="fr-FR"/>
                        </w:rPr>
                        <w:t>DOCUMENT DE REFERENCE</w:t>
                      </w:r>
                    </w:p>
                    <w:p w14:paraId="3D55ACA0" w14:textId="77777777" w:rsidR="00F55A34" w:rsidRPr="00167946" w:rsidRDefault="00F55A34" w:rsidP="00F46C7B">
                      <w:pPr>
                        <w:spacing w:after="160" w:line="259" w:lineRule="auto"/>
                        <w:jc w:val="center"/>
                        <w:rPr>
                          <w:rFonts w:eastAsia="MS Mincho"/>
                          <w:b/>
                          <w:color w:val="632280"/>
                          <w:sz w:val="56"/>
                          <w:szCs w:val="56"/>
                          <w:lang w:val="fr-FR" w:eastAsia="fr-FR"/>
                        </w:rPr>
                      </w:pPr>
                      <w:r w:rsidRPr="00040D1A">
                        <w:rPr>
                          <w:rFonts w:eastAsia="MS Mincho"/>
                          <w:b/>
                          <w:color w:val="632280"/>
                          <w:sz w:val="56"/>
                          <w:szCs w:val="56"/>
                          <w:lang w:val="fr-FR" w:eastAsia="fr-FR"/>
                        </w:rPr>
                        <w:t>201</w:t>
                      </w:r>
                      <w:r>
                        <w:rPr>
                          <w:rFonts w:eastAsia="MS Mincho"/>
                          <w:b/>
                          <w:color w:val="632280"/>
                          <w:sz w:val="56"/>
                          <w:szCs w:val="56"/>
                          <w:lang w:val="fr-FR" w:eastAsia="fr-FR"/>
                        </w:rPr>
                        <w:t>8</w:t>
                      </w:r>
                    </w:p>
                    <w:p w14:paraId="1ACC42A1" w14:textId="77777777" w:rsidR="00F55A34" w:rsidRDefault="00F55A34" w:rsidP="00F46C7B"/>
                  </w:txbxContent>
                </v:textbox>
              </v:shape>
            </w:pict>
          </mc:Fallback>
        </mc:AlternateContent>
      </w:r>
    </w:p>
    <w:p w14:paraId="191BC616" w14:textId="306E1658" w:rsidR="00F46C7B" w:rsidRPr="00C73365" w:rsidRDefault="00F46C7B" w:rsidP="00A96CCA">
      <w:pPr>
        <w:pStyle w:val="Corpsdetexte3"/>
        <w:spacing w:after="120"/>
        <w:jc w:val="left"/>
        <w:rPr>
          <w:rFonts w:asciiTheme="minorHAnsi" w:hAnsiTheme="minorHAnsi" w:cstheme="minorHAnsi"/>
          <w:b/>
          <w:i w:val="0"/>
          <w:smallCaps/>
          <w:color w:val="7030A0"/>
          <w:sz w:val="32"/>
          <w:szCs w:val="32"/>
          <w:lang w:val="fr-FR"/>
        </w:rPr>
      </w:pPr>
    </w:p>
    <w:p w14:paraId="598AF436" w14:textId="77777777" w:rsidR="00F46C7B" w:rsidRPr="00C73365" w:rsidRDefault="00F46C7B" w:rsidP="00A96CCA">
      <w:pPr>
        <w:pStyle w:val="Corpsdetexte3"/>
        <w:spacing w:after="120"/>
        <w:jc w:val="left"/>
        <w:rPr>
          <w:rFonts w:asciiTheme="minorHAnsi" w:hAnsiTheme="minorHAnsi" w:cstheme="minorHAnsi"/>
          <w:b/>
          <w:i w:val="0"/>
          <w:smallCaps/>
          <w:color w:val="7030A0"/>
          <w:sz w:val="32"/>
          <w:szCs w:val="32"/>
          <w:lang w:val="fr-FR"/>
        </w:rPr>
      </w:pPr>
    </w:p>
    <w:p w14:paraId="42C79AA0" w14:textId="77777777" w:rsidR="00F46C7B" w:rsidRPr="00C73365" w:rsidRDefault="00F46C7B" w:rsidP="00A96CCA">
      <w:pPr>
        <w:pStyle w:val="Corpsdetexte3"/>
        <w:spacing w:after="120"/>
        <w:jc w:val="left"/>
        <w:rPr>
          <w:rFonts w:asciiTheme="minorHAnsi" w:hAnsiTheme="minorHAnsi" w:cstheme="minorHAnsi"/>
          <w:b/>
          <w:i w:val="0"/>
          <w:smallCaps/>
          <w:color w:val="7030A0"/>
          <w:sz w:val="32"/>
          <w:szCs w:val="32"/>
          <w:lang w:val="fr-FR"/>
        </w:rPr>
      </w:pPr>
    </w:p>
    <w:p w14:paraId="7E83D240" w14:textId="77777777" w:rsidR="00F46C7B" w:rsidRPr="00C73365" w:rsidRDefault="00F46C7B" w:rsidP="00A96CCA">
      <w:pPr>
        <w:pStyle w:val="Corpsdetexte3"/>
        <w:spacing w:after="120"/>
        <w:jc w:val="left"/>
        <w:rPr>
          <w:rFonts w:asciiTheme="minorHAnsi" w:hAnsiTheme="minorHAnsi" w:cstheme="minorHAnsi"/>
          <w:b/>
          <w:i w:val="0"/>
          <w:smallCaps/>
          <w:color w:val="7030A0"/>
          <w:sz w:val="32"/>
          <w:szCs w:val="32"/>
          <w:lang w:val="fr-FR"/>
        </w:rPr>
      </w:pPr>
    </w:p>
    <w:p w14:paraId="2225D132" w14:textId="4430C26F" w:rsidR="00F46C7B" w:rsidRPr="00C73365" w:rsidRDefault="00F46C7B" w:rsidP="00713CB6">
      <w:pPr>
        <w:pStyle w:val="Normalcentr"/>
        <w:pBdr>
          <w:top w:val="none" w:sz="0" w:space="0" w:color="auto"/>
          <w:left w:val="none" w:sz="0" w:space="0" w:color="auto"/>
          <w:bottom w:val="none" w:sz="0" w:space="0" w:color="auto"/>
          <w:right w:val="none" w:sz="0" w:space="0" w:color="auto"/>
        </w:pBdr>
        <w:spacing w:after="120"/>
        <w:jc w:val="center"/>
        <w:rPr>
          <w:rFonts w:asciiTheme="minorHAnsi" w:hAnsiTheme="minorHAnsi" w:cstheme="minorHAnsi"/>
          <w:lang w:val="fr-FR"/>
        </w:rPr>
      </w:pPr>
    </w:p>
    <w:p w14:paraId="5F312F7A" w14:textId="00AC0419" w:rsidR="00713CB6" w:rsidRDefault="00713CB6" w:rsidP="00713CB6">
      <w:pPr>
        <w:pStyle w:val="Normalcentr"/>
        <w:pBdr>
          <w:top w:val="none" w:sz="0" w:space="0" w:color="auto"/>
          <w:left w:val="none" w:sz="0" w:space="0" w:color="auto"/>
          <w:bottom w:val="none" w:sz="0" w:space="0" w:color="auto"/>
          <w:right w:val="none" w:sz="0" w:space="0" w:color="auto"/>
        </w:pBdr>
        <w:spacing w:after="120"/>
        <w:rPr>
          <w:rFonts w:asciiTheme="minorHAnsi" w:hAnsiTheme="minorHAnsi" w:cstheme="minorHAnsi"/>
          <w:lang w:val="fr-FR"/>
        </w:rPr>
      </w:pPr>
    </w:p>
    <w:p w14:paraId="760A29EE" w14:textId="77777777" w:rsidR="00713CB6" w:rsidRDefault="00713CB6" w:rsidP="00713CB6">
      <w:pPr>
        <w:pStyle w:val="Normalcentr"/>
        <w:pBdr>
          <w:top w:val="none" w:sz="0" w:space="0" w:color="auto"/>
          <w:left w:val="none" w:sz="0" w:space="0" w:color="auto"/>
          <w:bottom w:val="none" w:sz="0" w:space="0" w:color="auto"/>
          <w:right w:val="none" w:sz="0" w:space="0" w:color="auto"/>
        </w:pBdr>
        <w:spacing w:after="120"/>
        <w:jc w:val="center"/>
        <w:rPr>
          <w:rFonts w:asciiTheme="minorHAnsi" w:hAnsiTheme="minorHAnsi" w:cstheme="minorHAnsi"/>
          <w:noProof/>
          <w:lang w:val="fr-FR" w:eastAsia="fr-FR"/>
        </w:rPr>
      </w:pPr>
    </w:p>
    <w:p w14:paraId="36D8685D" w14:textId="7EF7908F" w:rsidR="00713CB6" w:rsidRDefault="00713CB6" w:rsidP="00713CB6">
      <w:pPr>
        <w:pStyle w:val="Normalcentr"/>
        <w:pBdr>
          <w:top w:val="single" w:sz="4" w:space="1" w:color="auto"/>
          <w:left w:val="single" w:sz="4" w:space="4" w:color="auto"/>
          <w:bottom w:val="single" w:sz="4" w:space="1" w:color="auto"/>
          <w:right w:val="single" w:sz="4" w:space="4" w:color="auto"/>
        </w:pBdr>
        <w:spacing w:after="120"/>
        <w:jc w:val="cente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B985839" wp14:editId="0E7D3FED">
            <wp:extent cx="2777490" cy="477520"/>
            <wp:effectExtent l="19050" t="0" r="381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a:srcRect/>
                    <a:stretch>
                      <a:fillRect/>
                    </a:stretch>
                  </pic:blipFill>
                  <pic:spPr bwMode="auto">
                    <a:xfrm>
                      <a:off x="0" y="0"/>
                      <a:ext cx="2777490" cy="477520"/>
                    </a:xfrm>
                    <a:prstGeom prst="rect">
                      <a:avLst/>
                    </a:prstGeom>
                    <a:noFill/>
                    <a:ln w="9525">
                      <a:noFill/>
                      <a:miter lim="800000"/>
                      <a:headEnd/>
                      <a:tailEnd/>
                    </a:ln>
                  </pic:spPr>
                </pic:pic>
              </a:graphicData>
            </a:graphic>
          </wp:inline>
        </w:drawing>
      </w:r>
    </w:p>
    <w:p w14:paraId="1FD72D07" w14:textId="2BC9F717" w:rsidR="00F46C7B" w:rsidRPr="00C73365" w:rsidRDefault="00F46C7B" w:rsidP="00713CB6">
      <w:pPr>
        <w:pStyle w:val="Normalcentr"/>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En application de son règlement général, notamment de l’article 212-</w:t>
      </w:r>
      <w:r w:rsidR="009E2026" w:rsidRPr="00C73365">
        <w:rPr>
          <w:rFonts w:asciiTheme="minorHAnsi" w:hAnsiTheme="minorHAnsi" w:cstheme="minorHAnsi"/>
          <w:lang w:val="fr-FR"/>
        </w:rPr>
        <w:t>13</w:t>
      </w:r>
      <w:r w:rsidRPr="00C73365">
        <w:rPr>
          <w:rFonts w:asciiTheme="minorHAnsi" w:hAnsiTheme="minorHAnsi" w:cstheme="minorHAnsi"/>
          <w:lang w:val="fr-FR"/>
        </w:rPr>
        <w:t>, l’Autorité des marchés financiers (</w:t>
      </w:r>
      <w:bookmarkStart w:id="1" w:name="OLE_LINK1"/>
      <w:bookmarkStart w:id="2" w:name="OLE_LINK2"/>
      <w:r w:rsidRPr="00C73365">
        <w:rPr>
          <w:rFonts w:asciiTheme="minorHAnsi" w:hAnsiTheme="minorHAnsi" w:cstheme="minorHAnsi"/>
          <w:lang w:val="fr-FR"/>
        </w:rPr>
        <w:t>l’« </w:t>
      </w:r>
      <w:bookmarkEnd w:id="1"/>
      <w:bookmarkEnd w:id="2"/>
      <w:r w:rsidRPr="00C73365">
        <w:rPr>
          <w:rFonts w:asciiTheme="minorHAnsi" w:hAnsiTheme="minorHAnsi" w:cstheme="minorHAnsi"/>
          <w:u w:val="single"/>
          <w:lang w:val="fr-FR"/>
        </w:rPr>
        <w:t>AMF</w:t>
      </w:r>
      <w:r w:rsidRPr="00C73365">
        <w:rPr>
          <w:rFonts w:asciiTheme="minorHAnsi" w:hAnsiTheme="minorHAnsi" w:cstheme="minorHAnsi"/>
          <w:lang w:val="fr-FR"/>
        </w:rPr>
        <w:t xml:space="preserve"> ») a enregistré le présent document de </w:t>
      </w:r>
      <w:r w:rsidRPr="00E92A57">
        <w:rPr>
          <w:rFonts w:asciiTheme="minorHAnsi" w:hAnsiTheme="minorHAnsi" w:cstheme="minorHAnsi"/>
          <w:lang w:val="fr-FR"/>
        </w:rPr>
        <w:t xml:space="preserve">référence le </w:t>
      </w:r>
      <w:r w:rsidR="00E92A57">
        <w:rPr>
          <w:rFonts w:asciiTheme="minorHAnsi" w:hAnsiTheme="minorHAnsi" w:cstheme="minorHAnsi"/>
          <w:lang w:val="fr-FR"/>
        </w:rPr>
        <w:t>[</w:t>
      </w:r>
      <w:r w:rsidR="00E92A57" w:rsidRPr="00E92A57">
        <w:rPr>
          <w:rFonts w:asciiTheme="minorHAnsi" w:hAnsiTheme="minorHAnsi" w:cstheme="minorHAnsi"/>
          <w:highlight w:val="yellow"/>
          <w:lang w:val="fr-FR"/>
        </w:rPr>
        <w:t>●</w:t>
      </w:r>
      <w:r w:rsidR="00E92A57">
        <w:rPr>
          <w:rFonts w:asciiTheme="minorHAnsi" w:hAnsiTheme="minorHAnsi" w:cstheme="minorHAnsi"/>
          <w:lang w:val="fr-FR"/>
        </w:rPr>
        <w:t>] 2018</w:t>
      </w:r>
      <w:r w:rsidR="003C29E7" w:rsidRPr="00C73365">
        <w:rPr>
          <w:rFonts w:asciiTheme="minorHAnsi" w:hAnsiTheme="minorHAnsi" w:cstheme="minorHAnsi"/>
          <w:lang w:val="fr-FR"/>
        </w:rPr>
        <w:t xml:space="preserve"> </w:t>
      </w:r>
      <w:r w:rsidR="00582D8A" w:rsidRPr="00E92A57">
        <w:rPr>
          <w:rFonts w:asciiTheme="minorHAnsi" w:hAnsiTheme="minorHAnsi" w:cstheme="minorHAnsi"/>
          <w:lang w:val="fr-FR"/>
        </w:rPr>
        <w:t xml:space="preserve">sous le numéro </w:t>
      </w:r>
      <w:r w:rsidR="00E92A57" w:rsidRPr="00E92A57">
        <w:rPr>
          <w:rFonts w:asciiTheme="minorHAnsi" w:hAnsiTheme="minorHAnsi" w:cstheme="minorHAnsi"/>
          <w:lang w:val="fr-FR"/>
        </w:rPr>
        <w:t>R.18</w:t>
      </w:r>
      <w:r w:rsidR="00F21CAF" w:rsidRPr="00E92A57">
        <w:rPr>
          <w:rFonts w:asciiTheme="minorHAnsi" w:hAnsiTheme="minorHAnsi" w:cstheme="minorHAnsi"/>
          <w:lang w:val="fr-FR"/>
        </w:rPr>
        <w:t>-</w:t>
      </w:r>
      <w:r w:rsidR="00E92A57" w:rsidRPr="00E92A44">
        <w:rPr>
          <w:rFonts w:asciiTheme="minorHAnsi" w:hAnsiTheme="minorHAnsi" w:cstheme="minorHAnsi"/>
          <w:highlight w:val="yellow"/>
          <w:lang w:val="fr-FR"/>
        </w:rPr>
        <w:t>___</w:t>
      </w:r>
      <w:r w:rsidR="00F21CAF" w:rsidRPr="00E92A57">
        <w:rPr>
          <w:rFonts w:asciiTheme="minorHAnsi" w:hAnsiTheme="minorHAnsi" w:cstheme="minorHAnsi"/>
          <w:lang w:val="fr-FR"/>
        </w:rPr>
        <w:t>.</w:t>
      </w:r>
      <w:r w:rsidR="00F21CAF" w:rsidRPr="00C73365">
        <w:rPr>
          <w:rFonts w:asciiTheme="minorHAnsi" w:hAnsiTheme="minorHAnsi" w:cstheme="minorHAnsi"/>
          <w:color w:val="1F497D"/>
          <w:sz w:val="18"/>
          <w:szCs w:val="18"/>
          <w:lang w:val="fr-FR"/>
        </w:rPr>
        <w:t xml:space="preserve"> </w:t>
      </w:r>
      <w:r w:rsidRPr="00C73365">
        <w:rPr>
          <w:rFonts w:asciiTheme="minorHAnsi" w:hAnsiTheme="minorHAnsi" w:cstheme="minorHAnsi"/>
          <w:lang w:val="fr-FR"/>
        </w:rPr>
        <w:t>Ce document ne peut être utilisé à l’appui d’une opération financière que s’il est complété par une note d’opération visée par l’AMF. Il a été établi par l’émetteur et engage la responsabilité de ses signataires.</w:t>
      </w:r>
    </w:p>
    <w:p w14:paraId="454F962C" w14:textId="77777777" w:rsidR="00713CB6" w:rsidRDefault="00F46C7B" w:rsidP="00713CB6">
      <w:pPr>
        <w:pStyle w:val="Normalcentr"/>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 xml:space="preserve">L’enregistrement, conformément aux dispositions de l’article L. 621-8-1-I du code monétaire et financier, a été effectué après que l’AMF a vérifié </w:t>
      </w:r>
      <w:r w:rsidRPr="00C73365">
        <w:rPr>
          <w:rFonts w:asciiTheme="minorHAnsi" w:hAnsiTheme="minorHAnsi" w:cstheme="minorHAnsi"/>
          <w:i/>
          <w:lang w:val="fr-FR"/>
        </w:rPr>
        <w:t>« si le document est complet et compréhensible, et si les informations qu’il contient sont cohérentes »</w:t>
      </w:r>
      <w:r w:rsidRPr="00C73365">
        <w:rPr>
          <w:rFonts w:asciiTheme="minorHAnsi" w:hAnsiTheme="minorHAnsi" w:cstheme="minorHAnsi"/>
          <w:lang w:val="fr-FR"/>
        </w:rPr>
        <w:t>. Il n’implique pas l’authentification des éléments comptables et financiers présent</w:t>
      </w:r>
      <w:r w:rsidR="00713CB6">
        <w:rPr>
          <w:rFonts w:asciiTheme="minorHAnsi" w:hAnsiTheme="minorHAnsi" w:cstheme="minorHAnsi"/>
          <w:lang w:val="fr-FR"/>
        </w:rPr>
        <w:t>és par l’AMF.</w:t>
      </w:r>
    </w:p>
    <w:p w14:paraId="6C861AA5" w14:textId="1940E0FE" w:rsidR="00F46C7B" w:rsidRPr="00713CB6" w:rsidRDefault="00F46C7B" w:rsidP="00713CB6">
      <w:pPr>
        <w:pStyle w:val="Normalcentr"/>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Des exemplaires du présent document de référence sont disponibles sans frais auprès de la Société au 5, rue de la Baume, 75008 Paris ainsi qu’en version électronique sur le site Internet de la Société (</w:t>
      </w:r>
      <w:hyperlink r:id="rId10" w:history="1">
        <w:r w:rsidR="004572A0" w:rsidRPr="00C73365">
          <w:rPr>
            <w:rStyle w:val="Lienhypertexte"/>
            <w:rFonts w:asciiTheme="minorHAnsi" w:hAnsiTheme="minorHAnsi" w:cstheme="minorHAnsi"/>
            <w:lang w:val="fr-FR"/>
          </w:rPr>
          <w:t>www.ABIVAX.com</w:t>
        </w:r>
      </w:hyperlink>
      <w:r w:rsidRPr="00C73365">
        <w:rPr>
          <w:rFonts w:asciiTheme="minorHAnsi" w:hAnsiTheme="minorHAnsi" w:cstheme="minorHAnsi"/>
          <w:lang w:val="fr-FR"/>
        </w:rPr>
        <w:t>) et sur le site Internet de l’Autorité des marchés financiers (</w:t>
      </w:r>
      <w:hyperlink r:id="rId11" w:history="1">
        <w:r w:rsidR="004572A0" w:rsidRPr="00C73365">
          <w:rPr>
            <w:rStyle w:val="Lienhypertexte"/>
            <w:rFonts w:asciiTheme="minorHAnsi" w:hAnsiTheme="minorHAnsi" w:cstheme="minorHAnsi"/>
            <w:lang w:val="fr-FR"/>
          </w:rPr>
          <w:t>www.amf-france.org</w:t>
        </w:r>
      </w:hyperlink>
      <w:r w:rsidRPr="00C73365">
        <w:rPr>
          <w:rFonts w:asciiTheme="minorHAnsi" w:hAnsiTheme="minorHAnsi" w:cstheme="minorHAnsi"/>
          <w:lang w:val="fr-FR"/>
        </w:rPr>
        <w:t>).</w:t>
      </w:r>
    </w:p>
    <w:p w14:paraId="6FB91BBB" w14:textId="77777777" w:rsidR="00F46C7B" w:rsidRPr="00C73365" w:rsidRDefault="00F46C7B" w:rsidP="00A96CCA">
      <w:pPr>
        <w:pStyle w:val="Corpsdetexte3"/>
        <w:spacing w:after="120"/>
        <w:jc w:val="left"/>
        <w:rPr>
          <w:rFonts w:asciiTheme="minorHAnsi" w:hAnsiTheme="minorHAnsi" w:cstheme="minorHAnsi"/>
          <w:b/>
          <w:i w:val="0"/>
          <w:smallCaps/>
          <w:color w:val="7030A0"/>
          <w:sz w:val="32"/>
          <w:szCs w:val="32"/>
          <w:lang w:val="fr-FR"/>
        </w:rPr>
      </w:pPr>
    </w:p>
    <w:p w14:paraId="2B69D570" w14:textId="77777777" w:rsidR="00A96CCA" w:rsidRPr="00C73365" w:rsidRDefault="00A96CCA">
      <w:pPr>
        <w:spacing w:after="160" w:line="259" w:lineRule="auto"/>
        <w:rPr>
          <w:rFonts w:asciiTheme="minorHAnsi" w:hAnsiTheme="minorHAnsi" w:cstheme="minorHAnsi"/>
          <w:b/>
          <w:smallCaps/>
          <w:color w:val="7030A0"/>
          <w:sz w:val="32"/>
          <w:szCs w:val="32"/>
          <w:lang w:val="fr-FR"/>
        </w:rPr>
      </w:pPr>
      <w:r w:rsidRPr="00C73365">
        <w:rPr>
          <w:rFonts w:asciiTheme="minorHAnsi" w:hAnsiTheme="minorHAnsi" w:cstheme="minorHAnsi"/>
          <w:b/>
          <w:i/>
          <w:smallCaps/>
          <w:color w:val="7030A0"/>
          <w:sz w:val="32"/>
          <w:szCs w:val="32"/>
          <w:lang w:val="fr-FR"/>
        </w:rPr>
        <w:br w:type="page"/>
      </w:r>
    </w:p>
    <w:p w14:paraId="162DF0F2" w14:textId="77777777" w:rsidR="00F46C7B" w:rsidRPr="00C73365" w:rsidRDefault="00F46C7B" w:rsidP="00A96CCA">
      <w:pPr>
        <w:pStyle w:val="Corpsdetexte3"/>
        <w:spacing w:after="120"/>
        <w:jc w:val="left"/>
        <w:rPr>
          <w:rFonts w:asciiTheme="minorHAnsi" w:hAnsiTheme="minorHAnsi" w:cstheme="minorHAnsi"/>
          <w:b/>
          <w:i w:val="0"/>
          <w:smallCaps/>
          <w:color w:val="7030A0"/>
          <w:sz w:val="32"/>
          <w:szCs w:val="32"/>
          <w:lang w:val="fr-FR"/>
        </w:rPr>
      </w:pPr>
      <w:r w:rsidRPr="00C73365">
        <w:rPr>
          <w:rFonts w:asciiTheme="minorHAnsi" w:hAnsiTheme="minorHAnsi" w:cstheme="minorHAnsi"/>
          <w:b/>
          <w:i w:val="0"/>
          <w:smallCaps/>
          <w:color w:val="7030A0"/>
          <w:sz w:val="32"/>
          <w:szCs w:val="32"/>
          <w:lang w:val="fr-FR"/>
        </w:rPr>
        <w:lastRenderedPageBreak/>
        <w:t>SOMMAIRE</w:t>
      </w:r>
    </w:p>
    <w:p w14:paraId="7088C7C0" w14:textId="77777777" w:rsidR="00E92A57" w:rsidRPr="00E92A57" w:rsidRDefault="00F46C7B">
      <w:pPr>
        <w:pStyle w:val="TM2"/>
        <w:rPr>
          <w:rFonts w:eastAsiaTheme="minorEastAsia" w:cstheme="minorBidi"/>
          <w:b w:val="0"/>
          <w:color w:val="auto"/>
          <w:sz w:val="22"/>
          <w:szCs w:val="22"/>
          <w:lang w:eastAsia="fr-FR"/>
        </w:rPr>
      </w:pPr>
      <w:r w:rsidRPr="00E92A57">
        <w:rPr>
          <w:rFonts w:cstheme="minorHAnsi"/>
        </w:rPr>
        <w:fldChar w:fldCharType="begin"/>
      </w:r>
      <w:r w:rsidRPr="00E92A57">
        <w:rPr>
          <w:rFonts w:cstheme="minorHAnsi"/>
        </w:rPr>
        <w:instrText xml:space="preserve"> TOC \o "1-2" \u </w:instrText>
      </w:r>
      <w:r w:rsidRPr="00E92A57">
        <w:rPr>
          <w:rFonts w:cstheme="minorHAnsi"/>
        </w:rPr>
        <w:fldChar w:fldCharType="separate"/>
      </w:r>
      <w:r w:rsidR="00E92A57" w:rsidRPr="00E92A57">
        <w:rPr>
          <w:rFonts w:cstheme="minorHAnsi"/>
          <w:b w:val="0"/>
        </w:rPr>
        <w:t>§</w:t>
      </w:r>
      <w:r w:rsidR="00E92A57" w:rsidRPr="00E92A57">
        <w:rPr>
          <w:rFonts w:eastAsiaTheme="minorEastAsia" w:cstheme="minorBidi"/>
          <w:b w:val="0"/>
          <w:color w:val="auto"/>
          <w:sz w:val="22"/>
          <w:szCs w:val="22"/>
          <w:lang w:eastAsia="fr-FR"/>
        </w:rPr>
        <w:tab/>
      </w:r>
      <w:r w:rsidR="00E92A57" w:rsidRPr="00E92A57">
        <w:rPr>
          <w:rFonts w:cstheme="minorHAnsi"/>
        </w:rPr>
        <w:t>REMARQUES GENERALES</w:t>
      </w:r>
      <w:r w:rsidR="00E92A57" w:rsidRPr="00E92A57">
        <w:tab/>
      </w:r>
      <w:r w:rsidR="00E92A57" w:rsidRPr="00E92A57">
        <w:fldChar w:fldCharType="begin"/>
      </w:r>
      <w:r w:rsidR="00E92A57" w:rsidRPr="00E92A57">
        <w:instrText xml:space="preserve"> PAGEREF _Toc510548387 \h </w:instrText>
      </w:r>
      <w:r w:rsidR="00E92A57" w:rsidRPr="00E92A57">
        <w:fldChar w:fldCharType="separate"/>
      </w:r>
      <w:r w:rsidR="006A487E">
        <w:t>6</w:t>
      </w:r>
      <w:r w:rsidR="00E92A57" w:rsidRPr="00E92A57">
        <w:fldChar w:fldCharType="end"/>
      </w:r>
    </w:p>
    <w:p w14:paraId="4A640710"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iCs/>
          <w:lang w:val="fr-FR"/>
        </w:rPr>
        <w:t>1.</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PERSONNES RESPONSABLES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_Toc510548388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8</w:t>
      </w:r>
      <w:r w:rsidRPr="00E92A57">
        <w:rPr>
          <w:rFonts w:asciiTheme="minorHAnsi" w:hAnsiTheme="minorHAnsi"/>
        </w:rPr>
        <w:fldChar w:fldCharType="end"/>
      </w:r>
    </w:p>
    <w:p w14:paraId="7A6FC375" w14:textId="77777777" w:rsidR="00E92A57" w:rsidRPr="00E92A57" w:rsidRDefault="00E92A57">
      <w:pPr>
        <w:pStyle w:val="TM2"/>
        <w:rPr>
          <w:rFonts w:eastAsiaTheme="minorEastAsia" w:cstheme="minorBidi"/>
          <w:b w:val="0"/>
          <w:color w:val="auto"/>
          <w:sz w:val="22"/>
          <w:szCs w:val="22"/>
          <w:lang w:eastAsia="fr-FR"/>
        </w:rPr>
      </w:pPr>
      <w:r w:rsidRPr="00E92A57">
        <w:t>1.1</w:t>
      </w:r>
      <w:r w:rsidRPr="00E92A57">
        <w:rPr>
          <w:rFonts w:eastAsiaTheme="minorEastAsia" w:cstheme="minorBidi"/>
          <w:b w:val="0"/>
          <w:color w:val="auto"/>
          <w:sz w:val="22"/>
          <w:szCs w:val="22"/>
          <w:lang w:eastAsia="fr-FR"/>
        </w:rPr>
        <w:tab/>
      </w:r>
      <w:r w:rsidRPr="00E92A57">
        <w:rPr>
          <w:rFonts w:cstheme="minorHAnsi"/>
        </w:rPr>
        <w:t>Responsable du document de référence</w:t>
      </w:r>
      <w:r w:rsidRPr="00E92A57">
        <w:tab/>
      </w:r>
      <w:r w:rsidRPr="00E92A57">
        <w:fldChar w:fldCharType="begin"/>
      </w:r>
      <w:r w:rsidRPr="00E92A57">
        <w:instrText xml:space="preserve"> PAGEREF _Toc510548389 \h </w:instrText>
      </w:r>
      <w:r w:rsidRPr="00E92A57">
        <w:fldChar w:fldCharType="separate"/>
      </w:r>
      <w:r w:rsidR="006A487E">
        <w:t>8</w:t>
      </w:r>
      <w:r w:rsidRPr="00E92A57">
        <w:fldChar w:fldCharType="end"/>
      </w:r>
    </w:p>
    <w:p w14:paraId="2CAA46C2" w14:textId="77777777" w:rsidR="00E92A57" w:rsidRPr="00E92A57" w:rsidRDefault="00E92A57">
      <w:pPr>
        <w:pStyle w:val="TM2"/>
        <w:rPr>
          <w:rFonts w:eastAsiaTheme="minorEastAsia" w:cstheme="minorBidi"/>
          <w:b w:val="0"/>
          <w:color w:val="auto"/>
          <w:sz w:val="22"/>
          <w:szCs w:val="22"/>
          <w:lang w:eastAsia="fr-FR"/>
        </w:rPr>
      </w:pPr>
      <w:r w:rsidRPr="00E92A57">
        <w:t>1.2</w:t>
      </w:r>
      <w:r w:rsidRPr="00E92A57">
        <w:rPr>
          <w:rFonts w:eastAsiaTheme="minorEastAsia" w:cstheme="minorBidi"/>
          <w:b w:val="0"/>
          <w:color w:val="auto"/>
          <w:sz w:val="22"/>
          <w:szCs w:val="22"/>
          <w:lang w:eastAsia="fr-FR"/>
        </w:rPr>
        <w:tab/>
      </w:r>
      <w:r w:rsidRPr="00E92A57">
        <w:rPr>
          <w:rFonts w:cstheme="minorHAnsi"/>
        </w:rPr>
        <w:t>Attestation de la personne responsable</w:t>
      </w:r>
      <w:r w:rsidRPr="00E92A57">
        <w:tab/>
      </w:r>
      <w:r w:rsidRPr="00E92A57">
        <w:fldChar w:fldCharType="begin"/>
      </w:r>
      <w:r w:rsidRPr="00E92A57">
        <w:instrText xml:space="preserve"> PAGEREF _Toc510548390 \h </w:instrText>
      </w:r>
      <w:r w:rsidRPr="00E92A57">
        <w:fldChar w:fldCharType="separate"/>
      </w:r>
      <w:r w:rsidR="006A487E">
        <w:t>8</w:t>
      </w:r>
      <w:r w:rsidRPr="00E92A57">
        <w:fldChar w:fldCharType="end"/>
      </w:r>
    </w:p>
    <w:p w14:paraId="1B693FA5" w14:textId="77777777" w:rsidR="00E92A57" w:rsidRPr="00E92A57" w:rsidRDefault="00E92A57">
      <w:pPr>
        <w:pStyle w:val="TM2"/>
        <w:rPr>
          <w:rFonts w:eastAsiaTheme="minorEastAsia" w:cstheme="minorBidi"/>
          <w:b w:val="0"/>
          <w:color w:val="auto"/>
          <w:sz w:val="22"/>
          <w:szCs w:val="22"/>
          <w:lang w:eastAsia="fr-FR"/>
        </w:rPr>
      </w:pPr>
      <w:r w:rsidRPr="00E92A57">
        <w:t>1.3</w:t>
      </w:r>
      <w:r w:rsidRPr="00E92A57">
        <w:rPr>
          <w:rFonts w:eastAsiaTheme="minorEastAsia" w:cstheme="minorBidi"/>
          <w:b w:val="0"/>
          <w:color w:val="auto"/>
          <w:sz w:val="22"/>
          <w:szCs w:val="22"/>
          <w:lang w:eastAsia="fr-FR"/>
        </w:rPr>
        <w:tab/>
      </w:r>
      <w:r w:rsidRPr="00E92A57">
        <w:rPr>
          <w:rFonts w:cstheme="minorHAnsi"/>
        </w:rPr>
        <w:t>Responsable de l’information financière</w:t>
      </w:r>
      <w:r w:rsidRPr="00E92A57">
        <w:tab/>
      </w:r>
      <w:r w:rsidRPr="00E92A57">
        <w:fldChar w:fldCharType="begin"/>
      </w:r>
      <w:r w:rsidRPr="00E92A57">
        <w:instrText xml:space="preserve"> PAGEREF _Toc510548391 \h </w:instrText>
      </w:r>
      <w:r w:rsidRPr="00E92A57">
        <w:fldChar w:fldCharType="separate"/>
      </w:r>
      <w:r w:rsidR="006A487E">
        <w:t>8</w:t>
      </w:r>
      <w:r w:rsidRPr="00E92A57">
        <w:fldChar w:fldCharType="end"/>
      </w:r>
    </w:p>
    <w:p w14:paraId="2FBB5524"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2.</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CONTROLEURS LEGAUX DES COMPTES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_Toc510548392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9</w:t>
      </w:r>
      <w:r w:rsidRPr="00E92A57">
        <w:rPr>
          <w:rFonts w:asciiTheme="minorHAnsi" w:hAnsiTheme="minorHAnsi"/>
        </w:rPr>
        <w:fldChar w:fldCharType="end"/>
      </w:r>
    </w:p>
    <w:p w14:paraId="40BE0265" w14:textId="77777777" w:rsidR="00E92A57" w:rsidRPr="00E92A57" w:rsidRDefault="00E92A57">
      <w:pPr>
        <w:pStyle w:val="TM2"/>
        <w:rPr>
          <w:rFonts w:eastAsiaTheme="minorEastAsia" w:cstheme="minorBidi"/>
          <w:b w:val="0"/>
          <w:color w:val="auto"/>
          <w:sz w:val="22"/>
          <w:szCs w:val="22"/>
          <w:lang w:eastAsia="fr-FR"/>
        </w:rPr>
      </w:pPr>
      <w:r w:rsidRPr="00E92A57">
        <w:t>2.1</w:t>
      </w:r>
      <w:r w:rsidRPr="00E92A57">
        <w:rPr>
          <w:rFonts w:eastAsiaTheme="minorEastAsia" w:cstheme="minorBidi"/>
          <w:b w:val="0"/>
          <w:color w:val="auto"/>
          <w:sz w:val="22"/>
          <w:szCs w:val="22"/>
          <w:lang w:eastAsia="fr-FR"/>
        </w:rPr>
        <w:tab/>
      </w:r>
      <w:r w:rsidRPr="00E92A57">
        <w:rPr>
          <w:rFonts w:cstheme="minorHAnsi"/>
        </w:rPr>
        <w:t>Commissaire aux comptes titulaire</w:t>
      </w:r>
      <w:r w:rsidRPr="00E92A57">
        <w:tab/>
      </w:r>
      <w:r w:rsidRPr="00E92A57">
        <w:fldChar w:fldCharType="begin"/>
      </w:r>
      <w:r w:rsidRPr="00E92A57">
        <w:instrText xml:space="preserve"> PAGEREF _Toc510548393 \h </w:instrText>
      </w:r>
      <w:r w:rsidRPr="00E92A57">
        <w:fldChar w:fldCharType="separate"/>
      </w:r>
      <w:r w:rsidR="006A487E">
        <w:t>9</w:t>
      </w:r>
      <w:r w:rsidRPr="00E92A57">
        <w:fldChar w:fldCharType="end"/>
      </w:r>
    </w:p>
    <w:p w14:paraId="546EBEFF" w14:textId="77777777" w:rsidR="00E92A57" w:rsidRPr="00E92A57" w:rsidRDefault="00E92A57">
      <w:pPr>
        <w:pStyle w:val="TM2"/>
        <w:rPr>
          <w:rFonts w:eastAsiaTheme="minorEastAsia" w:cstheme="minorBidi"/>
          <w:b w:val="0"/>
          <w:color w:val="auto"/>
          <w:sz w:val="22"/>
          <w:szCs w:val="22"/>
          <w:lang w:eastAsia="fr-FR"/>
        </w:rPr>
      </w:pPr>
      <w:r w:rsidRPr="00E92A57">
        <w:t>2.2</w:t>
      </w:r>
      <w:r w:rsidRPr="00E92A57">
        <w:rPr>
          <w:rFonts w:eastAsiaTheme="minorEastAsia" w:cstheme="minorBidi"/>
          <w:b w:val="0"/>
          <w:color w:val="auto"/>
          <w:sz w:val="22"/>
          <w:szCs w:val="22"/>
          <w:lang w:eastAsia="fr-FR"/>
        </w:rPr>
        <w:tab/>
      </w:r>
      <w:r w:rsidRPr="00E92A57">
        <w:rPr>
          <w:rFonts w:cstheme="minorHAnsi"/>
        </w:rPr>
        <w:t>Commissaire aux comptes suppléant</w:t>
      </w:r>
      <w:r w:rsidRPr="00E92A57">
        <w:tab/>
      </w:r>
      <w:r w:rsidRPr="00E92A57">
        <w:fldChar w:fldCharType="begin"/>
      </w:r>
      <w:r w:rsidRPr="00E92A57">
        <w:instrText xml:space="preserve"> PAGEREF _Toc510548394 \h </w:instrText>
      </w:r>
      <w:r w:rsidRPr="00E92A57">
        <w:fldChar w:fldCharType="separate"/>
      </w:r>
      <w:r w:rsidR="006A487E">
        <w:t>9</w:t>
      </w:r>
      <w:r w:rsidRPr="00E92A57">
        <w:fldChar w:fldCharType="end"/>
      </w:r>
    </w:p>
    <w:p w14:paraId="37A22277"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3.</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INFORMATIONS FINANCIERES SELECTIONNEES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_Toc510548395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10</w:t>
      </w:r>
      <w:r w:rsidRPr="00E92A57">
        <w:rPr>
          <w:rFonts w:asciiTheme="minorHAnsi" w:hAnsiTheme="minorHAnsi"/>
        </w:rPr>
        <w:fldChar w:fldCharType="end"/>
      </w:r>
    </w:p>
    <w:p w14:paraId="6211034C"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4.</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FACTEURS DE RISQUES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_Toc510548396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13</w:t>
      </w:r>
      <w:r w:rsidRPr="00E92A57">
        <w:rPr>
          <w:rFonts w:asciiTheme="minorHAnsi" w:hAnsiTheme="minorHAnsi"/>
        </w:rPr>
        <w:fldChar w:fldCharType="end"/>
      </w:r>
    </w:p>
    <w:p w14:paraId="41B8732B" w14:textId="77777777" w:rsidR="00E92A57" w:rsidRPr="00E92A57" w:rsidRDefault="00E92A57">
      <w:pPr>
        <w:pStyle w:val="TM2"/>
        <w:rPr>
          <w:rFonts w:eastAsiaTheme="minorEastAsia" w:cstheme="minorBidi"/>
          <w:b w:val="0"/>
          <w:color w:val="auto"/>
          <w:sz w:val="22"/>
          <w:szCs w:val="22"/>
          <w:lang w:eastAsia="fr-FR"/>
        </w:rPr>
      </w:pPr>
      <w:r w:rsidRPr="00E92A57">
        <w:t>4.1</w:t>
      </w:r>
      <w:r w:rsidRPr="00E92A57">
        <w:rPr>
          <w:rFonts w:eastAsiaTheme="minorEastAsia" w:cstheme="minorBidi"/>
          <w:b w:val="0"/>
          <w:color w:val="auto"/>
          <w:sz w:val="22"/>
          <w:szCs w:val="22"/>
          <w:lang w:eastAsia="fr-FR"/>
        </w:rPr>
        <w:tab/>
      </w:r>
      <w:r w:rsidRPr="00E92A57">
        <w:rPr>
          <w:rFonts w:cstheme="minorHAnsi"/>
        </w:rPr>
        <w:t>Risques liés à l’activité de la Société</w:t>
      </w:r>
      <w:r w:rsidRPr="00E92A57">
        <w:tab/>
      </w:r>
      <w:r w:rsidRPr="00E92A57">
        <w:fldChar w:fldCharType="begin"/>
      </w:r>
      <w:r w:rsidRPr="00E92A57">
        <w:instrText xml:space="preserve"> PAGEREF _Toc510548397 \h </w:instrText>
      </w:r>
      <w:r w:rsidRPr="00E92A57">
        <w:fldChar w:fldCharType="separate"/>
      </w:r>
      <w:r w:rsidR="006A487E">
        <w:t>13</w:t>
      </w:r>
      <w:r w:rsidRPr="00E92A57">
        <w:fldChar w:fldCharType="end"/>
      </w:r>
    </w:p>
    <w:p w14:paraId="5C271C6D" w14:textId="77777777" w:rsidR="00E92A57" w:rsidRPr="00E92A57" w:rsidRDefault="00E92A57">
      <w:pPr>
        <w:pStyle w:val="TM2"/>
        <w:rPr>
          <w:rFonts w:eastAsiaTheme="minorEastAsia" w:cstheme="minorBidi"/>
          <w:b w:val="0"/>
          <w:color w:val="auto"/>
          <w:sz w:val="22"/>
          <w:szCs w:val="22"/>
          <w:lang w:eastAsia="fr-FR"/>
        </w:rPr>
      </w:pPr>
      <w:r w:rsidRPr="00E92A57">
        <w:t>4.2</w:t>
      </w:r>
      <w:r w:rsidRPr="00E92A57">
        <w:rPr>
          <w:rFonts w:eastAsiaTheme="minorEastAsia" w:cstheme="minorBidi"/>
          <w:b w:val="0"/>
          <w:color w:val="auto"/>
          <w:sz w:val="22"/>
          <w:szCs w:val="22"/>
          <w:lang w:eastAsia="fr-FR"/>
        </w:rPr>
        <w:tab/>
      </w:r>
      <w:r w:rsidRPr="00E92A57">
        <w:rPr>
          <w:rFonts w:cstheme="minorHAnsi"/>
        </w:rPr>
        <w:t>Risques liés à l’organisation de la Société</w:t>
      </w:r>
      <w:r w:rsidRPr="00E92A57">
        <w:tab/>
      </w:r>
      <w:r w:rsidRPr="00E92A57">
        <w:fldChar w:fldCharType="begin"/>
      </w:r>
      <w:r w:rsidRPr="00E92A57">
        <w:instrText xml:space="preserve"> PAGEREF _Toc510548398 \h </w:instrText>
      </w:r>
      <w:r w:rsidRPr="00E92A57">
        <w:fldChar w:fldCharType="separate"/>
      </w:r>
      <w:r w:rsidR="006A487E">
        <w:t>17</w:t>
      </w:r>
      <w:r w:rsidRPr="00E92A57">
        <w:fldChar w:fldCharType="end"/>
      </w:r>
    </w:p>
    <w:p w14:paraId="637A5956" w14:textId="77777777" w:rsidR="00E92A57" w:rsidRPr="00E92A57" w:rsidRDefault="00E92A57">
      <w:pPr>
        <w:pStyle w:val="TM2"/>
        <w:rPr>
          <w:rFonts w:eastAsiaTheme="minorEastAsia" w:cstheme="minorBidi"/>
          <w:b w:val="0"/>
          <w:color w:val="auto"/>
          <w:sz w:val="22"/>
          <w:szCs w:val="22"/>
          <w:lang w:eastAsia="fr-FR"/>
        </w:rPr>
      </w:pPr>
      <w:r w:rsidRPr="00E92A57">
        <w:t>4.3</w:t>
      </w:r>
      <w:r w:rsidRPr="00E92A57">
        <w:rPr>
          <w:rFonts w:eastAsiaTheme="minorEastAsia" w:cstheme="minorBidi"/>
          <w:b w:val="0"/>
          <w:color w:val="auto"/>
          <w:sz w:val="22"/>
          <w:szCs w:val="22"/>
          <w:lang w:eastAsia="fr-FR"/>
        </w:rPr>
        <w:tab/>
      </w:r>
      <w:r w:rsidRPr="00E92A57">
        <w:rPr>
          <w:rFonts w:cstheme="minorHAnsi"/>
        </w:rPr>
        <w:t>Risques réglementaires et juridiques</w:t>
      </w:r>
      <w:r w:rsidRPr="00E92A57">
        <w:tab/>
      </w:r>
      <w:r w:rsidRPr="00E92A57">
        <w:fldChar w:fldCharType="begin"/>
      </w:r>
      <w:r w:rsidRPr="00E92A57">
        <w:instrText xml:space="preserve"> PAGEREF _Toc510548399 \h </w:instrText>
      </w:r>
      <w:r w:rsidRPr="00E92A57">
        <w:fldChar w:fldCharType="separate"/>
      </w:r>
      <w:r w:rsidR="006A487E">
        <w:t>19</w:t>
      </w:r>
      <w:r w:rsidRPr="00E92A57">
        <w:fldChar w:fldCharType="end"/>
      </w:r>
    </w:p>
    <w:p w14:paraId="67C22CFA" w14:textId="77777777" w:rsidR="00E92A57" w:rsidRPr="00E92A57" w:rsidRDefault="00E92A57">
      <w:pPr>
        <w:pStyle w:val="TM2"/>
        <w:rPr>
          <w:rFonts w:eastAsiaTheme="minorEastAsia" w:cstheme="minorBidi"/>
          <w:b w:val="0"/>
          <w:color w:val="auto"/>
          <w:sz w:val="22"/>
          <w:szCs w:val="22"/>
          <w:lang w:eastAsia="fr-FR"/>
        </w:rPr>
      </w:pPr>
      <w:r w:rsidRPr="00E92A57">
        <w:t>4.4</w:t>
      </w:r>
      <w:r w:rsidRPr="00E92A57">
        <w:rPr>
          <w:rFonts w:eastAsiaTheme="minorEastAsia" w:cstheme="minorBidi"/>
          <w:b w:val="0"/>
          <w:color w:val="auto"/>
          <w:sz w:val="22"/>
          <w:szCs w:val="22"/>
          <w:lang w:eastAsia="fr-FR"/>
        </w:rPr>
        <w:tab/>
      </w:r>
      <w:r w:rsidRPr="00E92A57">
        <w:rPr>
          <w:rFonts w:cstheme="minorHAnsi"/>
        </w:rPr>
        <w:t>Risques industriels</w:t>
      </w:r>
      <w:r w:rsidRPr="00E92A57">
        <w:tab/>
      </w:r>
      <w:r w:rsidRPr="00E92A57">
        <w:fldChar w:fldCharType="begin"/>
      </w:r>
      <w:r w:rsidRPr="00E92A57">
        <w:instrText xml:space="preserve"> PAGEREF _Toc510548400 \h </w:instrText>
      </w:r>
      <w:r w:rsidRPr="00E92A57">
        <w:fldChar w:fldCharType="separate"/>
      </w:r>
      <w:r w:rsidR="006A487E">
        <w:t>25</w:t>
      </w:r>
      <w:r w:rsidRPr="00E92A57">
        <w:fldChar w:fldCharType="end"/>
      </w:r>
    </w:p>
    <w:p w14:paraId="1F4472E0" w14:textId="77777777" w:rsidR="00E92A57" w:rsidRPr="00E92A57" w:rsidRDefault="00E92A57">
      <w:pPr>
        <w:pStyle w:val="TM2"/>
        <w:rPr>
          <w:rFonts w:eastAsiaTheme="minorEastAsia" w:cstheme="minorBidi"/>
          <w:b w:val="0"/>
          <w:color w:val="auto"/>
          <w:sz w:val="22"/>
          <w:szCs w:val="22"/>
          <w:lang w:eastAsia="fr-FR"/>
        </w:rPr>
      </w:pPr>
      <w:r w:rsidRPr="00E92A57">
        <w:t>4.5</w:t>
      </w:r>
      <w:r w:rsidRPr="00E92A57">
        <w:rPr>
          <w:rFonts w:eastAsiaTheme="minorEastAsia" w:cstheme="minorBidi"/>
          <w:b w:val="0"/>
          <w:color w:val="auto"/>
          <w:sz w:val="22"/>
          <w:szCs w:val="22"/>
          <w:lang w:eastAsia="fr-FR"/>
        </w:rPr>
        <w:tab/>
      </w:r>
      <w:r w:rsidRPr="00E92A57">
        <w:rPr>
          <w:rFonts w:cstheme="minorHAnsi"/>
        </w:rPr>
        <w:t>Risques financiers</w:t>
      </w:r>
      <w:r w:rsidRPr="00E92A57">
        <w:tab/>
      </w:r>
      <w:r w:rsidRPr="00E92A57">
        <w:fldChar w:fldCharType="begin"/>
      </w:r>
      <w:r w:rsidRPr="00E92A57">
        <w:instrText xml:space="preserve"> PAGEREF _Toc510548401 \h </w:instrText>
      </w:r>
      <w:r w:rsidRPr="00E92A57">
        <w:fldChar w:fldCharType="separate"/>
      </w:r>
      <w:r w:rsidR="006A487E">
        <w:t>26</w:t>
      </w:r>
      <w:r w:rsidRPr="00E92A57">
        <w:fldChar w:fldCharType="end"/>
      </w:r>
    </w:p>
    <w:p w14:paraId="1FF7BF1D" w14:textId="77777777" w:rsidR="00E92A57" w:rsidRPr="00E92A57" w:rsidRDefault="00E92A57">
      <w:pPr>
        <w:pStyle w:val="TM2"/>
        <w:rPr>
          <w:rFonts w:eastAsiaTheme="minorEastAsia" w:cstheme="minorBidi"/>
          <w:b w:val="0"/>
          <w:color w:val="auto"/>
          <w:sz w:val="22"/>
          <w:szCs w:val="22"/>
          <w:lang w:eastAsia="fr-FR"/>
        </w:rPr>
      </w:pPr>
      <w:r w:rsidRPr="00E92A57">
        <w:t>4.6</w:t>
      </w:r>
      <w:r w:rsidRPr="00E92A57">
        <w:rPr>
          <w:rFonts w:eastAsiaTheme="minorEastAsia" w:cstheme="minorBidi"/>
          <w:b w:val="0"/>
          <w:color w:val="auto"/>
          <w:sz w:val="22"/>
          <w:szCs w:val="22"/>
          <w:lang w:eastAsia="fr-FR"/>
        </w:rPr>
        <w:tab/>
      </w:r>
      <w:r w:rsidRPr="00E92A57">
        <w:rPr>
          <w:rFonts w:cstheme="minorHAnsi"/>
        </w:rPr>
        <w:t>Risques de marché</w:t>
      </w:r>
      <w:r w:rsidRPr="00E92A57">
        <w:tab/>
      </w:r>
      <w:r w:rsidRPr="00E92A57">
        <w:fldChar w:fldCharType="begin"/>
      </w:r>
      <w:r w:rsidRPr="00E92A57">
        <w:instrText xml:space="preserve"> PAGEREF _Toc510548402 \h </w:instrText>
      </w:r>
      <w:r w:rsidRPr="00E92A57">
        <w:fldChar w:fldCharType="separate"/>
      </w:r>
      <w:r w:rsidR="006A487E">
        <w:t>30</w:t>
      </w:r>
      <w:r w:rsidRPr="00E92A57">
        <w:fldChar w:fldCharType="end"/>
      </w:r>
    </w:p>
    <w:p w14:paraId="7E6B76CD" w14:textId="77777777" w:rsidR="00E92A57" w:rsidRPr="00E92A57" w:rsidRDefault="00E92A57">
      <w:pPr>
        <w:pStyle w:val="TM2"/>
        <w:rPr>
          <w:rFonts w:eastAsiaTheme="minorEastAsia" w:cstheme="minorBidi"/>
          <w:b w:val="0"/>
          <w:color w:val="auto"/>
          <w:sz w:val="22"/>
          <w:szCs w:val="22"/>
          <w:lang w:eastAsia="fr-FR"/>
        </w:rPr>
      </w:pPr>
      <w:r w:rsidRPr="00E92A57">
        <w:t>4.7</w:t>
      </w:r>
      <w:r w:rsidRPr="00E92A57">
        <w:rPr>
          <w:rFonts w:eastAsiaTheme="minorEastAsia" w:cstheme="minorBidi"/>
          <w:b w:val="0"/>
          <w:color w:val="auto"/>
          <w:sz w:val="22"/>
          <w:szCs w:val="22"/>
          <w:lang w:eastAsia="fr-FR"/>
        </w:rPr>
        <w:tab/>
      </w:r>
      <w:r w:rsidRPr="00E92A57">
        <w:rPr>
          <w:rFonts w:cstheme="minorHAnsi"/>
        </w:rPr>
        <w:t>Assurances et couvertures de risques</w:t>
      </w:r>
      <w:r w:rsidRPr="00E92A57">
        <w:tab/>
      </w:r>
      <w:r w:rsidRPr="00E92A57">
        <w:fldChar w:fldCharType="begin"/>
      </w:r>
      <w:r w:rsidRPr="00E92A57">
        <w:instrText xml:space="preserve"> PAGEREF _Toc510548403 \h </w:instrText>
      </w:r>
      <w:r w:rsidRPr="00E92A57">
        <w:fldChar w:fldCharType="separate"/>
      </w:r>
      <w:r w:rsidR="006A487E">
        <w:t>32</w:t>
      </w:r>
      <w:r w:rsidRPr="00E92A57">
        <w:fldChar w:fldCharType="end"/>
      </w:r>
    </w:p>
    <w:p w14:paraId="7BB98A4F" w14:textId="77777777" w:rsidR="00E92A57" w:rsidRPr="00E92A57" w:rsidRDefault="00E92A57">
      <w:pPr>
        <w:pStyle w:val="TM2"/>
        <w:rPr>
          <w:rFonts w:eastAsiaTheme="minorEastAsia" w:cstheme="minorBidi"/>
          <w:b w:val="0"/>
          <w:color w:val="auto"/>
          <w:sz w:val="22"/>
          <w:szCs w:val="22"/>
          <w:lang w:eastAsia="fr-FR"/>
        </w:rPr>
      </w:pPr>
      <w:r w:rsidRPr="00E92A57">
        <w:t>4.8</w:t>
      </w:r>
      <w:r w:rsidRPr="00E92A57">
        <w:rPr>
          <w:rFonts w:eastAsiaTheme="minorEastAsia" w:cstheme="minorBidi"/>
          <w:b w:val="0"/>
          <w:color w:val="auto"/>
          <w:sz w:val="22"/>
          <w:szCs w:val="22"/>
          <w:lang w:eastAsia="fr-FR"/>
        </w:rPr>
        <w:tab/>
      </w:r>
      <w:r w:rsidRPr="00E92A57">
        <w:rPr>
          <w:rFonts w:cstheme="minorHAnsi"/>
        </w:rPr>
        <w:t>Faits exceptionnels et litiges</w:t>
      </w:r>
      <w:r w:rsidRPr="00E92A57">
        <w:tab/>
      </w:r>
      <w:r w:rsidRPr="00E92A57">
        <w:fldChar w:fldCharType="begin"/>
      </w:r>
      <w:r w:rsidRPr="00E92A57">
        <w:instrText xml:space="preserve"> PAGEREF _Toc510548404 \h </w:instrText>
      </w:r>
      <w:r w:rsidRPr="00E92A57">
        <w:fldChar w:fldCharType="separate"/>
      </w:r>
      <w:r w:rsidR="006A487E">
        <w:t>36</w:t>
      </w:r>
      <w:r w:rsidRPr="00E92A57">
        <w:fldChar w:fldCharType="end"/>
      </w:r>
    </w:p>
    <w:p w14:paraId="17FBF203"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5.</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INFORMATIONS CONCERNANT LA SOCIETE</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_Toc510548405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37</w:t>
      </w:r>
      <w:r w:rsidRPr="00E92A57">
        <w:rPr>
          <w:rFonts w:asciiTheme="minorHAnsi" w:hAnsiTheme="minorHAnsi"/>
        </w:rPr>
        <w:fldChar w:fldCharType="end"/>
      </w:r>
    </w:p>
    <w:p w14:paraId="37801390" w14:textId="77777777" w:rsidR="00E92A57" w:rsidRPr="00E92A57" w:rsidRDefault="00E92A57">
      <w:pPr>
        <w:pStyle w:val="TM2"/>
        <w:rPr>
          <w:rFonts w:eastAsiaTheme="minorEastAsia" w:cstheme="minorBidi"/>
          <w:b w:val="0"/>
          <w:color w:val="auto"/>
          <w:sz w:val="22"/>
          <w:szCs w:val="22"/>
          <w:lang w:eastAsia="fr-FR"/>
        </w:rPr>
      </w:pPr>
      <w:r w:rsidRPr="00E92A57">
        <w:t>5.1</w:t>
      </w:r>
      <w:r w:rsidRPr="00E92A57">
        <w:rPr>
          <w:rFonts w:eastAsiaTheme="minorEastAsia" w:cstheme="minorBidi"/>
          <w:b w:val="0"/>
          <w:color w:val="auto"/>
          <w:sz w:val="22"/>
          <w:szCs w:val="22"/>
          <w:lang w:eastAsia="fr-FR"/>
        </w:rPr>
        <w:tab/>
      </w:r>
      <w:r w:rsidRPr="00E92A57">
        <w:rPr>
          <w:rFonts w:cstheme="minorHAnsi"/>
        </w:rPr>
        <w:t>Histoire et évolution de la Société</w:t>
      </w:r>
      <w:r w:rsidRPr="00E92A57">
        <w:tab/>
      </w:r>
      <w:r w:rsidRPr="00E92A57">
        <w:fldChar w:fldCharType="begin"/>
      </w:r>
      <w:r w:rsidRPr="00E92A57">
        <w:instrText xml:space="preserve"> PAGEREF _Toc510548406 \h </w:instrText>
      </w:r>
      <w:r w:rsidRPr="00E92A57">
        <w:fldChar w:fldCharType="separate"/>
      </w:r>
      <w:r w:rsidR="006A487E">
        <w:t>37</w:t>
      </w:r>
      <w:r w:rsidRPr="00E92A57">
        <w:fldChar w:fldCharType="end"/>
      </w:r>
    </w:p>
    <w:p w14:paraId="477B572D" w14:textId="77777777" w:rsidR="00E92A57" w:rsidRPr="00E92A57" w:rsidRDefault="00E92A57">
      <w:pPr>
        <w:pStyle w:val="TM2"/>
        <w:rPr>
          <w:rFonts w:eastAsiaTheme="minorEastAsia" w:cstheme="minorBidi"/>
          <w:b w:val="0"/>
          <w:color w:val="auto"/>
          <w:sz w:val="22"/>
          <w:szCs w:val="22"/>
          <w:lang w:eastAsia="fr-FR"/>
        </w:rPr>
      </w:pPr>
      <w:r w:rsidRPr="00E92A57">
        <w:t>5.2</w:t>
      </w:r>
      <w:r w:rsidRPr="00E92A57">
        <w:rPr>
          <w:rFonts w:eastAsiaTheme="minorEastAsia" w:cstheme="minorBidi"/>
          <w:b w:val="0"/>
          <w:color w:val="auto"/>
          <w:sz w:val="22"/>
          <w:szCs w:val="22"/>
          <w:lang w:eastAsia="fr-FR"/>
        </w:rPr>
        <w:tab/>
      </w:r>
      <w:r w:rsidRPr="00E92A57">
        <w:rPr>
          <w:rFonts w:cstheme="minorHAnsi"/>
        </w:rPr>
        <w:t>Investissements</w:t>
      </w:r>
      <w:r w:rsidRPr="00E92A57">
        <w:tab/>
      </w:r>
      <w:r w:rsidRPr="00E92A57">
        <w:fldChar w:fldCharType="begin"/>
      </w:r>
      <w:r w:rsidRPr="00E92A57">
        <w:instrText xml:space="preserve"> PAGEREF _Toc510548407 \h </w:instrText>
      </w:r>
      <w:r w:rsidRPr="00E92A57">
        <w:fldChar w:fldCharType="separate"/>
      </w:r>
      <w:r w:rsidR="006A487E">
        <w:t>39</w:t>
      </w:r>
      <w:r w:rsidRPr="00E92A57">
        <w:fldChar w:fldCharType="end"/>
      </w:r>
    </w:p>
    <w:p w14:paraId="61CC2759"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6.</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APERCU DES ACTIVITES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_Toc510548408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41</w:t>
      </w:r>
      <w:r w:rsidRPr="00E92A57">
        <w:rPr>
          <w:rFonts w:asciiTheme="minorHAnsi" w:hAnsiTheme="minorHAnsi"/>
        </w:rPr>
        <w:fldChar w:fldCharType="end"/>
      </w:r>
    </w:p>
    <w:p w14:paraId="700E5E8A" w14:textId="77777777" w:rsidR="00E92A57" w:rsidRPr="00E92A57" w:rsidRDefault="00E92A57">
      <w:pPr>
        <w:pStyle w:val="TM2"/>
        <w:rPr>
          <w:rFonts w:eastAsiaTheme="minorEastAsia" w:cstheme="minorBidi"/>
          <w:b w:val="0"/>
          <w:color w:val="auto"/>
          <w:sz w:val="22"/>
          <w:szCs w:val="22"/>
          <w:lang w:eastAsia="fr-FR"/>
        </w:rPr>
      </w:pPr>
      <w:r w:rsidRPr="00E92A57">
        <w:t>6.1</w:t>
      </w:r>
      <w:r w:rsidRPr="00E92A57">
        <w:rPr>
          <w:rFonts w:eastAsiaTheme="minorEastAsia" w:cstheme="minorBidi"/>
          <w:b w:val="0"/>
          <w:color w:val="auto"/>
          <w:sz w:val="22"/>
          <w:szCs w:val="22"/>
          <w:lang w:eastAsia="fr-FR"/>
        </w:rPr>
        <w:tab/>
      </w:r>
      <w:r w:rsidRPr="00E92A57">
        <w:rPr>
          <w:rFonts w:cstheme="minorHAnsi"/>
        </w:rPr>
        <w:t>Présentation générale d’ABIVAX, une société de biotechnologie spécialiste des pathologies virales</w:t>
      </w:r>
      <w:r w:rsidRPr="00E92A57">
        <w:tab/>
      </w:r>
      <w:r w:rsidRPr="00E92A57">
        <w:fldChar w:fldCharType="begin"/>
      </w:r>
      <w:r w:rsidRPr="00E92A57">
        <w:instrText xml:space="preserve"> PAGEREF _Toc510548409 \h </w:instrText>
      </w:r>
      <w:r w:rsidRPr="00E92A57">
        <w:fldChar w:fldCharType="separate"/>
      </w:r>
      <w:r w:rsidR="006A487E">
        <w:t>41</w:t>
      </w:r>
      <w:r w:rsidRPr="00E92A57">
        <w:fldChar w:fldCharType="end"/>
      </w:r>
    </w:p>
    <w:p w14:paraId="724DD2D5" w14:textId="77777777" w:rsidR="00E92A57" w:rsidRPr="00E92A57" w:rsidRDefault="00E92A57">
      <w:pPr>
        <w:pStyle w:val="TM2"/>
        <w:rPr>
          <w:rFonts w:eastAsiaTheme="minorEastAsia" w:cstheme="minorBidi"/>
          <w:b w:val="0"/>
          <w:color w:val="auto"/>
          <w:sz w:val="22"/>
          <w:szCs w:val="22"/>
          <w:lang w:eastAsia="fr-FR"/>
        </w:rPr>
      </w:pPr>
      <w:r w:rsidRPr="00E92A57">
        <w:t>6.2</w:t>
      </w:r>
      <w:r w:rsidRPr="00E92A57">
        <w:rPr>
          <w:rFonts w:eastAsiaTheme="minorEastAsia" w:cstheme="minorBidi"/>
          <w:b w:val="0"/>
          <w:color w:val="auto"/>
          <w:sz w:val="22"/>
          <w:szCs w:val="22"/>
          <w:lang w:eastAsia="fr-FR"/>
        </w:rPr>
        <w:tab/>
      </w:r>
      <w:r w:rsidRPr="00E92A57">
        <w:rPr>
          <w:rFonts w:cstheme="minorHAnsi"/>
        </w:rPr>
        <w:t>Panorama des principaux actifs scientifiques d’ABIVAX</w:t>
      </w:r>
      <w:r w:rsidRPr="00E92A57">
        <w:tab/>
      </w:r>
      <w:r w:rsidRPr="00E92A57">
        <w:fldChar w:fldCharType="begin"/>
      </w:r>
      <w:r w:rsidRPr="00E92A57">
        <w:instrText xml:space="preserve"> PAGEREF _Toc510548410 \h </w:instrText>
      </w:r>
      <w:r w:rsidRPr="00E92A57">
        <w:fldChar w:fldCharType="separate"/>
      </w:r>
      <w:r w:rsidR="006A487E">
        <w:t>44</w:t>
      </w:r>
      <w:r w:rsidRPr="00E92A57">
        <w:fldChar w:fldCharType="end"/>
      </w:r>
    </w:p>
    <w:p w14:paraId="2E9E3B94" w14:textId="77777777" w:rsidR="00E92A57" w:rsidRPr="00E92A57" w:rsidRDefault="00E92A57">
      <w:pPr>
        <w:pStyle w:val="TM2"/>
        <w:rPr>
          <w:rFonts w:eastAsiaTheme="minorEastAsia" w:cstheme="minorBidi"/>
          <w:b w:val="0"/>
          <w:color w:val="auto"/>
          <w:sz w:val="22"/>
          <w:szCs w:val="22"/>
          <w:lang w:eastAsia="fr-FR"/>
        </w:rPr>
      </w:pPr>
      <w:r w:rsidRPr="00E92A57">
        <w:t>6.3</w:t>
      </w:r>
      <w:r w:rsidRPr="00E92A57">
        <w:rPr>
          <w:rFonts w:eastAsiaTheme="minorEastAsia" w:cstheme="minorBidi"/>
          <w:b w:val="0"/>
          <w:color w:val="auto"/>
          <w:sz w:val="22"/>
          <w:szCs w:val="22"/>
          <w:lang w:eastAsia="fr-FR"/>
        </w:rPr>
        <w:tab/>
      </w:r>
      <w:r w:rsidRPr="00E92A57">
        <w:rPr>
          <w:rFonts w:cstheme="minorHAnsi"/>
        </w:rPr>
        <w:t>Présentation détaillée des principaux produits d’ABIVAX</w:t>
      </w:r>
      <w:r w:rsidRPr="00E92A57">
        <w:tab/>
      </w:r>
      <w:r w:rsidRPr="00E92A57">
        <w:fldChar w:fldCharType="begin"/>
      </w:r>
      <w:r w:rsidRPr="00E92A57">
        <w:instrText xml:space="preserve"> PAGEREF _Toc510548411 \h </w:instrText>
      </w:r>
      <w:r w:rsidRPr="00E92A57">
        <w:fldChar w:fldCharType="separate"/>
      </w:r>
      <w:r w:rsidR="006A487E">
        <w:t>52</w:t>
      </w:r>
      <w:r w:rsidRPr="00E92A57">
        <w:fldChar w:fldCharType="end"/>
      </w:r>
    </w:p>
    <w:p w14:paraId="07605C89" w14:textId="77777777" w:rsidR="00E92A57" w:rsidRPr="00E92A57" w:rsidRDefault="00E92A57">
      <w:pPr>
        <w:pStyle w:val="TM2"/>
        <w:rPr>
          <w:rFonts w:eastAsiaTheme="minorEastAsia" w:cstheme="minorBidi"/>
          <w:b w:val="0"/>
          <w:color w:val="auto"/>
          <w:sz w:val="22"/>
          <w:szCs w:val="22"/>
          <w:lang w:eastAsia="fr-FR"/>
        </w:rPr>
      </w:pPr>
      <w:r w:rsidRPr="00E92A57">
        <w:t>6.4</w:t>
      </w:r>
      <w:r w:rsidRPr="00E92A57">
        <w:rPr>
          <w:rFonts w:eastAsiaTheme="minorEastAsia" w:cstheme="minorBidi"/>
          <w:b w:val="0"/>
          <w:color w:val="auto"/>
          <w:sz w:val="22"/>
          <w:szCs w:val="22"/>
          <w:lang w:eastAsia="fr-FR"/>
        </w:rPr>
        <w:tab/>
      </w:r>
      <w:r w:rsidRPr="00E92A57">
        <w:rPr>
          <w:rFonts w:cstheme="minorHAnsi"/>
        </w:rPr>
        <w:t>Organisation d’ABIVAX</w:t>
      </w:r>
      <w:r w:rsidRPr="00E92A57">
        <w:tab/>
      </w:r>
      <w:r w:rsidRPr="00E92A57">
        <w:fldChar w:fldCharType="begin"/>
      </w:r>
      <w:r w:rsidRPr="00E92A57">
        <w:instrText xml:space="preserve"> PAGEREF _Toc510548412 \h </w:instrText>
      </w:r>
      <w:r w:rsidRPr="00E92A57">
        <w:fldChar w:fldCharType="separate"/>
      </w:r>
      <w:r w:rsidR="006A487E">
        <w:t>73</w:t>
      </w:r>
      <w:r w:rsidRPr="00E92A57">
        <w:fldChar w:fldCharType="end"/>
      </w:r>
    </w:p>
    <w:p w14:paraId="16CA96FD" w14:textId="77777777" w:rsidR="00E92A57" w:rsidRPr="00E92A57" w:rsidRDefault="00E92A57">
      <w:pPr>
        <w:pStyle w:val="TM2"/>
        <w:rPr>
          <w:rFonts w:eastAsiaTheme="minorEastAsia" w:cstheme="minorBidi"/>
          <w:b w:val="0"/>
          <w:color w:val="auto"/>
          <w:sz w:val="22"/>
          <w:szCs w:val="22"/>
          <w:lang w:eastAsia="fr-FR"/>
        </w:rPr>
      </w:pPr>
      <w:r w:rsidRPr="00E92A57">
        <w:t>6.5</w:t>
      </w:r>
      <w:r w:rsidRPr="00E92A57">
        <w:rPr>
          <w:rFonts w:eastAsiaTheme="minorEastAsia" w:cstheme="minorBidi"/>
          <w:b w:val="0"/>
          <w:color w:val="auto"/>
          <w:sz w:val="22"/>
          <w:szCs w:val="22"/>
          <w:lang w:eastAsia="fr-FR"/>
        </w:rPr>
        <w:tab/>
      </w:r>
      <w:r w:rsidRPr="00E92A57">
        <w:rPr>
          <w:rFonts w:cstheme="minorHAnsi"/>
        </w:rPr>
        <w:t>Situation juridique de la Société durant l’exercice écoulé</w:t>
      </w:r>
      <w:r w:rsidRPr="00E92A57">
        <w:tab/>
      </w:r>
      <w:r w:rsidRPr="00E92A57">
        <w:fldChar w:fldCharType="begin"/>
      </w:r>
      <w:r w:rsidRPr="00E92A57">
        <w:instrText xml:space="preserve"> PAGEREF _Toc510548413 \h </w:instrText>
      </w:r>
      <w:r w:rsidRPr="00E92A57">
        <w:fldChar w:fldCharType="separate"/>
      </w:r>
      <w:r w:rsidR="006A487E">
        <w:t>79</w:t>
      </w:r>
      <w:r w:rsidRPr="00E92A57">
        <w:fldChar w:fldCharType="end"/>
      </w:r>
    </w:p>
    <w:p w14:paraId="750F299F" w14:textId="77777777" w:rsidR="00E92A57" w:rsidRPr="00E92A57" w:rsidRDefault="00E92A57">
      <w:pPr>
        <w:pStyle w:val="TM2"/>
        <w:rPr>
          <w:rFonts w:eastAsiaTheme="minorEastAsia" w:cstheme="minorBidi"/>
          <w:b w:val="0"/>
          <w:color w:val="auto"/>
          <w:sz w:val="22"/>
          <w:szCs w:val="22"/>
          <w:lang w:eastAsia="fr-FR"/>
        </w:rPr>
      </w:pPr>
      <w:r w:rsidRPr="00E92A57">
        <w:t>6.6</w:t>
      </w:r>
      <w:r w:rsidRPr="00E92A57">
        <w:rPr>
          <w:rFonts w:eastAsiaTheme="minorEastAsia" w:cstheme="minorBidi"/>
          <w:b w:val="0"/>
          <w:color w:val="auto"/>
          <w:sz w:val="22"/>
          <w:szCs w:val="22"/>
          <w:lang w:eastAsia="fr-FR"/>
        </w:rPr>
        <w:tab/>
      </w:r>
      <w:r w:rsidRPr="00E92A57">
        <w:rPr>
          <w:rFonts w:cstheme="minorHAnsi"/>
        </w:rPr>
        <w:t>Politique de la Société en matière de responsabilité environnementale, sociale et sociétale</w:t>
      </w:r>
      <w:r w:rsidRPr="00E92A57">
        <w:tab/>
      </w:r>
      <w:r w:rsidRPr="00E92A57">
        <w:fldChar w:fldCharType="begin"/>
      </w:r>
      <w:r w:rsidRPr="00E92A57">
        <w:instrText xml:space="preserve"> PAGEREF _Toc510548414 \h </w:instrText>
      </w:r>
      <w:r w:rsidRPr="00E92A57">
        <w:fldChar w:fldCharType="separate"/>
      </w:r>
      <w:r w:rsidR="006A487E">
        <w:t>80</w:t>
      </w:r>
      <w:r w:rsidRPr="00E92A57">
        <w:fldChar w:fldCharType="end"/>
      </w:r>
    </w:p>
    <w:p w14:paraId="61BC9E10"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7.</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ORGANIGRAMME</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_Toc510548415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87</w:t>
      </w:r>
      <w:r w:rsidRPr="00E92A57">
        <w:rPr>
          <w:rFonts w:asciiTheme="minorHAnsi" w:hAnsiTheme="minorHAnsi"/>
        </w:rPr>
        <w:fldChar w:fldCharType="end"/>
      </w:r>
    </w:p>
    <w:p w14:paraId="1C08BBD5" w14:textId="77777777" w:rsidR="00E92A57" w:rsidRPr="00E92A57" w:rsidRDefault="00E92A57">
      <w:pPr>
        <w:pStyle w:val="TM2"/>
        <w:rPr>
          <w:rFonts w:eastAsiaTheme="minorEastAsia" w:cstheme="minorBidi"/>
          <w:b w:val="0"/>
          <w:color w:val="auto"/>
          <w:sz w:val="22"/>
          <w:szCs w:val="22"/>
          <w:lang w:eastAsia="fr-FR"/>
        </w:rPr>
      </w:pPr>
      <w:r w:rsidRPr="00E92A57">
        <w:t>7.1</w:t>
      </w:r>
      <w:r w:rsidRPr="00E92A57">
        <w:rPr>
          <w:rFonts w:eastAsiaTheme="minorEastAsia" w:cstheme="minorBidi"/>
          <w:b w:val="0"/>
          <w:color w:val="auto"/>
          <w:sz w:val="22"/>
          <w:szCs w:val="22"/>
          <w:lang w:eastAsia="fr-FR"/>
        </w:rPr>
        <w:tab/>
      </w:r>
      <w:r w:rsidRPr="00E92A57">
        <w:rPr>
          <w:rFonts w:cstheme="minorHAnsi"/>
        </w:rPr>
        <w:t>Organisation de la Société</w:t>
      </w:r>
      <w:r w:rsidRPr="00E92A57">
        <w:tab/>
      </w:r>
      <w:r w:rsidRPr="00E92A57">
        <w:fldChar w:fldCharType="begin"/>
      </w:r>
      <w:r w:rsidRPr="00E92A57">
        <w:instrText xml:space="preserve"> PAGEREF _Toc510548416 \h </w:instrText>
      </w:r>
      <w:r w:rsidRPr="00E92A57">
        <w:fldChar w:fldCharType="separate"/>
      </w:r>
      <w:r w:rsidR="006A487E">
        <w:t>87</w:t>
      </w:r>
      <w:r w:rsidRPr="00E92A57">
        <w:fldChar w:fldCharType="end"/>
      </w:r>
    </w:p>
    <w:p w14:paraId="161AA310" w14:textId="77777777" w:rsidR="00E92A57" w:rsidRPr="00E92A57" w:rsidRDefault="00E92A57">
      <w:pPr>
        <w:pStyle w:val="TM2"/>
        <w:rPr>
          <w:rFonts w:eastAsiaTheme="minorEastAsia" w:cstheme="minorBidi"/>
          <w:b w:val="0"/>
          <w:color w:val="auto"/>
          <w:sz w:val="22"/>
          <w:szCs w:val="22"/>
          <w:lang w:eastAsia="fr-FR"/>
        </w:rPr>
      </w:pPr>
      <w:r w:rsidRPr="00E92A57">
        <w:t>7.2</w:t>
      </w:r>
      <w:r w:rsidRPr="00E92A57">
        <w:rPr>
          <w:rFonts w:eastAsiaTheme="minorEastAsia" w:cstheme="minorBidi"/>
          <w:b w:val="0"/>
          <w:color w:val="auto"/>
          <w:sz w:val="22"/>
          <w:szCs w:val="22"/>
          <w:lang w:eastAsia="fr-FR"/>
        </w:rPr>
        <w:tab/>
      </w:r>
      <w:r w:rsidRPr="00E92A57">
        <w:rPr>
          <w:rFonts w:cstheme="minorHAnsi"/>
        </w:rPr>
        <w:t>Liste des filiales, succursales et établissements secondaires</w:t>
      </w:r>
      <w:r w:rsidRPr="00E92A57">
        <w:tab/>
      </w:r>
      <w:r w:rsidRPr="00E92A57">
        <w:fldChar w:fldCharType="begin"/>
      </w:r>
      <w:r w:rsidRPr="00E92A57">
        <w:instrText xml:space="preserve"> PAGEREF _Toc510548417 \h </w:instrText>
      </w:r>
      <w:r w:rsidRPr="00E92A57">
        <w:fldChar w:fldCharType="separate"/>
      </w:r>
      <w:r w:rsidR="006A487E">
        <w:t>87</w:t>
      </w:r>
      <w:r w:rsidRPr="00E92A57">
        <w:fldChar w:fldCharType="end"/>
      </w:r>
    </w:p>
    <w:p w14:paraId="16EE57A2"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8.</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PROPRIETES IMMOBILIERES, USINES ET EQUIPEMENT</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_Toc510548418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88</w:t>
      </w:r>
      <w:r w:rsidRPr="00E92A57">
        <w:rPr>
          <w:rFonts w:asciiTheme="minorHAnsi" w:hAnsiTheme="minorHAnsi"/>
        </w:rPr>
        <w:fldChar w:fldCharType="end"/>
      </w:r>
    </w:p>
    <w:p w14:paraId="50A4ABE1" w14:textId="77777777" w:rsidR="00E92A57" w:rsidRPr="00E92A57" w:rsidRDefault="00E92A57">
      <w:pPr>
        <w:pStyle w:val="TM2"/>
        <w:rPr>
          <w:rFonts w:eastAsiaTheme="minorEastAsia" w:cstheme="minorBidi"/>
          <w:b w:val="0"/>
          <w:color w:val="auto"/>
          <w:sz w:val="22"/>
          <w:szCs w:val="22"/>
          <w:lang w:eastAsia="fr-FR"/>
        </w:rPr>
      </w:pPr>
      <w:r w:rsidRPr="00E92A57">
        <w:t>8.1</w:t>
      </w:r>
      <w:r w:rsidRPr="00E92A57">
        <w:rPr>
          <w:rFonts w:eastAsiaTheme="minorEastAsia" w:cstheme="minorBidi"/>
          <w:b w:val="0"/>
          <w:color w:val="auto"/>
          <w:sz w:val="22"/>
          <w:szCs w:val="22"/>
          <w:lang w:eastAsia="fr-FR"/>
        </w:rPr>
        <w:tab/>
      </w:r>
      <w:r w:rsidRPr="00E92A57">
        <w:rPr>
          <w:rFonts w:cstheme="minorHAnsi"/>
        </w:rPr>
        <w:t>Descriptif des propriétés immobilières</w:t>
      </w:r>
      <w:r w:rsidRPr="00E92A57">
        <w:tab/>
      </w:r>
      <w:r w:rsidRPr="00E92A57">
        <w:fldChar w:fldCharType="begin"/>
      </w:r>
      <w:r w:rsidRPr="00E92A57">
        <w:instrText xml:space="preserve"> PAGEREF _Toc510548419 \h </w:instrText>
      </w:r>
      <w:r w:rsidRPr="00E92A57">
        <w:fldChar w:fldCharType="separate"/>
      </w:r>
      <w:r w:rsidR="006A487E">
        <w:t>88</w:t>
      </w:r>
      <w:r w:rsidRPr="00E92A57">
        <w:fldChar w:fldCharType="end"/>
      </w:r>
    </w:p>
    <w:p w14:paraId="5862C242" w14:textId="77777777" w:rsidR="00E92A57" w:rsidRPr="00E92A57" w:rsidRDefault="00E92A57">
      <w:pPr>
        <w:pStyle w:val="TM2"/>
        <w:rPr>
          <w:rFonts w:eastAsiaTheme="minorEastAsia" w:cstheme="minorBidi"/>
          <w:b w:val="0"/>
          <w:color w:val="auto"/>
          <w:sz w:val="22"/>
          <w:szCs w:val="22"/>
          <w:lang w:eastAsia="fr-FR"/>
        </w:rPr>
      </w:pPr>
      <w:r w:rsidRPr="00E92A57">
        <w:t>8.2</w:t>
      </w:r>
      <w:r w:rsidRPr="00E92A57">
        <w:rPr>
          <w:rFonts w:eastAsiaTheme="minorEastAsia" w:cstheme="minorBidi"/>
          <w:b w:val="0"/>
          <w:color w:val="auto"/>
          <w:sz w:val="22"/>
          <w:szCs w:val="22"/>
          <w:lang w:eastAsia="fr-FR"/>
        </w:rPr>
        <w:tab/>
      </w:r>
      <w:r w:rsidRPr="00E92A57">
        <w:rPr>
          <w:rFonts w:cstheme="minorHAnsi"/>
        </w:rPr>
        <w:t>Questions environnementales</w:t>
      </w:r>
      <w:r w:rsidRPr="00E92A57">
        <w:tab/>
      </w:r>
      <w:r w:rsidRPr="00E92A57">
        <w:fldChar w:fldCharType="begin"/>
      </w:r>
      <w:r w:rsidRPr="00E92A57">
        <w:instrText xml:space="preserve"> PAGEREF _Toc510548420 \h </w:instrText>
      </w:r>
      <w:r w:rsidRPr="00E92A57">
        <w:fldChar w:fldCharType="separate"/>
      </w:r>
      <w:r w:rsidR="006A487E">
        <w:t>88</w:t>
      </w:r>
      <w:r w:rsidRPr="00E92A57">
        <w:fldChar w:fldCharType="end"/>
      </w:r>
    </w:p>
    <w:p w14:paraId="5FC350EA"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9.</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EXAMEN DU RESULTAT ET DE LA SITUATION FINANCIERE</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_Toc510548421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89</w:t>
      </w:r>
      <w:r w:rsidRPr="00E92A57">
        <w:rPr>
          <w:rFonts w:asciiTheme="minorHAnsi" w:hAnsiTheme="minorHAnsi"/>
        </w:rPr>
        <w:fldChar w:fldCharType="end"/>
      </w:r>
    </w:p>
    <w:p w14:paraId="63041346" w14:textId="77777777" w:rsidR="00E92A57" w:rsidRPr="00E92A57" w:rsidRDefault="00E92A57">
      <w:pPr>
        <w:pStyle w:val="TM2"/>
        <w:rPr>
          <w:rFonts w:eastAsiaTheme="minorEastAsia" w:cstheme="minorBidi"/>
          <w:b w:val="0"/>
          <w:color w:val="auto"/>
          <w:sz w:val="22"/>
          <w:szCs w:val="22"/>
          <w:lang w:eastAsia="fr-FR"/>
        </w:rPr>
      </w:pPr>
      <w:r w:rsidRPr="00E92A57">
        <w:t>9.1</w:t>
      </w:r>
      <w:r w:rsidRPr="00E92A57">
        <w:rPr>
          <w:rFonts w:eastAsiaTheme="minorEastAsia" w:cstheme="minorBidi"/>
          <w:b w:val="0"/>
          <w:color w:val="auto"/>
          <w:sz w:val="22"/>
          <w:szCs w:val="22"/>
          <w:lang w:eastAsia="fr-FR"/>
        </w:rPr>
        <w:tab/>
      </w:r>
      <w:r w:rsidRPr="00E92A57">
        <w:rPr>
          <w:rFonts w:cstheme="minorHAnsi"/>
        </w:rPr>
        <w:t>Présentation générale</w:t>
      </w:r>
      <w:r w:rsidRPr="00E92A57">
        <w:tab/>
      </w:r>
      <w:r w:rsidRPr="00E92A57">
        <w:fldChar w:fldCharType="begin"/>
      </w:r>
      <w:r w:rsidRPr="00E92A57">
        <w:instrText xml:space="preserve"> PAGEREF _Toc510548422 \h </w:instrText>
      </w:r>
      <w:r w:rsidRPr="00E92A57">
        <w:fldChar w:fldCharType="separate"/>
      </w:r>
      <w:r w:rsidR="006A487E">
        <w:t>89</w:t>
      </w:r>
      <w:r w:rsidRPr="00E92A57">
        <w:fldChar w:fldCharType="end"/>
      </w:r>
    </w:p>
    <w:p w14:paraId="2E643E58" w14:textId="77777777" w:rsidR="00E92A57" w:rsidRPr="00E92A57" w:rsidRDefault="00E92A57">
      <w:pPr>
        <w:pStyle w:val="TM2"/>
        <w:rPr>
          <w:rFonts w:eastAsiaTheme="minorEastAsia" w:cstheme="minorBidi"/>
          <w:b w:val="0"/>
          <w:color w:val="auto"/>
          <w:sz w:val="22"/>
          <w:szCs w:val="22"/>
          <w:lang w:eastAsia="fr-FR"/>
        </w:rPr>
      </w:pPr>
      <w:r w:rsidRPr="00E92A57">
        <w:t>9.2</w:t>
      </w:r>
      <w:r w:rsidRPr="00E92A57">
        <w:rPr>
          <w:rFonts w:eastAsiaTheme="minorEastAsia" w:cstheme="minorBidi"/>
          <w:b w:val="0"/>
          <w:color w:val="auto"/>
          <w:sz w:val="22"/>
          <w:szCs w:val="22"/>
          <w:lang w:eastAsia="fr-FR"/>
        </w:rPr>
        <w:tab/>
      </w:r>
      <w:r w:rsidRPr="00E92A57">
        <w:rPr>
          <w:rFonts w:cstheme="minorHAnsi"/>
        </w:rPr>
        <w:t>Examen de la situation financière au 31 Décembre 2017</w:t>
      </w:r>
      <w:r w:rsidRPr="00E92A57">
        <w:tab/>
      </w:r>
      <w:r w:rsidRPr="00E92A57">
        <w:fldChar w:fldCharType="begin"/>
      </w:r>
      <w:r w:rsidRPr="00E92A57">
        <w:instrText xml:space="preserve"> PAGEREF _Toc510548423 \h </w:instrText>
      </w:r>
      <w:r w:rsidRPr="00E92A57">
        <w:fldChar w:fldCharType="separate"/>
      </w:r>
      <w:r w:rsidR="006A487E">
        <w:t>89</w:t>
      </w:r>
      <w:r w:rsidRPr="00E92A57">
        <w:fldChar w:fldCharType="end"/>
      </w:r>
    </w:p>
    <w:p w14:paraId="56B88E9C"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lastRenderedPageBreak/>
        <w:t>10.</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TRESORERIE ET CAPITAUX</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_Toc510548424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97</w:t>
      </w:r>
      <w:r w:rsidRPr="00E92A57">
        <w:rPr>
          <w:rFonts w:asciiTheme="minorHAnsi" w:hAnsiTheme="minorHAnsi"/>
        </w:rPr>
        <w:fldChar w:fldCharType="end"/>
      </w:r>
    </w:p>
    <w:p w14:paraId="0143CBF2" w14:textId="77777777" w:rsidR="00E92A57" w:rsidRPr="00E92A57" w:rsidRDefault="00E92A57">
      <w:pPr>
        <w:pStyle w:val="TM2"/>
        <w:rPr>
          <w:rFonts w:eastAsiaTheme="minorEastAsia" w:cstheme="minorBidi"/>
          <w:b w:val="0"/>
          <w:color w:val="auto"/>
          <w:sz w:val="22"/>
          <w:szCs w:val="22"/>
          <w:lang w:eastAsia="fr-FR"/>
        </w:rPr>
      </w:pPr>
      <w:r w:rsidRPr="00E92A57">
        <w:t>10.1</w:t>
      </w:r>
      <w:r w:rsidRPr="00E92A57">
        <w:rPr>
          <w:rFonts w:eastAsiaTheme="minorEastAsia" w:cstheme="minorBidi"/>
          <w:b w:val="0"/>
          <w:color w:val="auto"/>
          <w:sz w:val="22"/>
          <w:szCs w:val="22"/>
          <w:lang w:eastAsia="fr-FR"/>
        </w:rPr>
        <w:tab/>
      </w:r>
      <w:r w:rsidRPr="00E92A57">
        <w:rPr>
          <w:rFonts w:cstheme="minorHAnsi"/>
        </w:rPr>
        <w:t>Informations sur les capitaux de la Société</w:t>
      </w:r>
      <w:r w:rsidRPr="00E92A57">
        <w:tab/>
      </w:r>
      <w:r w:rsidRPr="00E92A57">
        <w:fldChar w:fldCharType="begin"/>
      </w:r>
      <w:r w:rsidRPr="00E92A57">
        <w:instrText xml:space="preserve"> PAGEREF _Toc510548425 \h </w:instrText>
      </w:r>
      <w:r w:rsidRPr="00E92A57">
        <w:fldChar w:fldCharType="separate"/>
      </w:r>
      <w:r w:rsidR="006A487E">
        <w:t>97</w:t>
      </w:r>
      <w:r w:rsidRPr="00E92A57">
        <w:fldChar w:fldCharType="end"/>
      </w:r>
    </w:p>
    <w:p w14:paraId="20F3AB27" w14:textId="77777777" w:rsidR="00E92A57" w:rsidRPr="00E92A57" w:rsidRDefault="00E92A57">
      <w:pPr>
        <w:pStyle w:val="TM2"/>
        <w:rPr>
          <w:rFonts w:eastAsiaTheme="minorEastAsia" w:cstheme="minorBidi"/>
          <w:b w:val="0"/>
          <w:color w:val="auto"/>
          <w:sz w:val="22"/>
          <w:szCs w:val="22"/>
          <w:lang w:eastAsia="fr-FR"/>
        </w:rPr>
      </w:pPr>
      <w:r w:rsidRPr="00E92A57">
        <w:t>10.2</w:t>
      </w:r>
      <w:r w:rsidRPr="00E92A57">
        <w:rPr>
          <w:rFonts w:eastAsiaTheme="minorEastAsia" w:cstheme="minorBidi"/>
          <w:b w:val="0"/>
          <w:color w:val="auto"/>
          <w:sz w:val="22"/>
          <w:szCs w:val="22"/>
          <w:lang w:eastAsia="fr-FR"/>
        </w:rPr>
        <w:tab/>
      </w:r>
      <w:r w:rsidRPr="00E92A57">
        <w:rPr>
          <w:rFonts w:cstheme="minorHAnsi"/>
        </w:rPr>
        <w:t>Flux de trésorerie</w:t>
      </w:r>
      <w:r w:rsidRPr="00E92A57">
        <w:tab/>
      </w:r>
      <w:r w:rsidRPr="00E92A57">
        <w:fldChar w:fldCharType="begin"/>
      </w:r>
      <w:r w:rsidRPr="00E92A57">
        <w:instrText xml:space="preserve"> PAGEREF _Toc510548426 \h </w:instrText>
      </w:r>
      <w:r w:rsidRPr="00E92A57">
        <w:fldChar w:fldCharType="separate"/>
      </w:r>
      <w:r w:rsidR="006A487E">
        <w:t>99</w:t>
      </w:r>
      <w:r w:rsidRPr="00E92A57">
        <w:fldChar w:fldCharType="end"/>
      </w:r>
    </w:p>
    <w:p w14:paraId="3EF9BF67" w14:textId="77777777" w:rsidR="00E92A57" w:rsidRPr="00E92A57" w:rsidRDefault="00E92A57">
      <w:pPr>
        <w:pStyle w:val="TM2"/>
        <w:rPr>
          <w:rFonts w:eastAsiaTheme="minorEastAsia" w:cstheme="minorBidi"/>
          <w:b w:val="0"/>
          <w:color w:val="auto"/>
          <w:sz w:val="22"/>
          <w:szCs w:val="22"/>
          <w:lang w:eastAsia="fr-FR"/>
        </w:rPr>
      </w:pPr>
      <w:r w:rsidRPr="00E92A57">
        <w:t>10.3</w:t>
      </w:r>
      <w:r w:rsidRPr="00E92A57">
        <w:rPr>
          <w:rFonts w:eastAsiaTheme="minorEastAsia" w:cstheme="minorBidi"/>
          <w:b w:val="0"/>
          <w:color w:val="auto"/>
          <w:sz w:val="22"/>
          <w:szCs w:val="22"/>
          <w:lang w:eastAsia="fr-FR"/>
        </w:rPr>
        <w:tab/>
      </w:r>
      <w:r w:rsidRPr="00E92A57">
        <w:rPr>
          <w:rFonts w:cstheme="minorHAnsi"/>
        </w:rPr>
        <w:t>Conditions d’emprunt et structure de financement</w:t>
      </w:r>
      <w:r w:rsidRPr="00E92A57">
        <w:tab/>
      </w:r>
      <w:r w:rsidRPr="00E92A57">
        <w:fldChar w:fldCharType="begin"/>
      </w:r>
      <w:r w:rsidRPr="00E92A57">
        <w:instrText xml:space="preserve"> PAGEREF _Toc510548427 \h </w:instrText>
      </w:r>
      <w:r w:rsidRPr="00E92A57">
        <w:fldChar w:fldCharType="separate"/>
      </w:r>
      <w:r w:rsidR="006A487E">
        <w:t>99</w:t>
      </w:r>
      <w:r w:rsidRPr="00E92A57">
        <w:fldChar w:fldCharType="end"/>
      </w:r>
    </w:p>
    <w:p w14:paraId="0E30954B" w14:textId="77777777" w:rsidR="00E92A57" w:rsidRPr="00E92A57" w:rsidRDefault="00E92A57">
      <w:pPr>
        <w:pStyle w:val="TM2"/>
        <w:rPr>
          <w:rFonts w:eastAsiaTheme="minorEastAsia" w:cstheme="minorBidi"/>
          <w:b w:val="0"/>
          <w:color w:val="auto"/>
          <w:sz w:val="22"/>
          <w:szCs w:val="22"/>
          <w:lang w:eastAsia="fr-FR"/>
        </w:rPr>
      </w:pPr>
      <w:r w:rsidRPr="00E92A57">
        <w:t>10.4</w:t>
      </w:r>
      <w:r w:rsidRPr="00E92A57">
        <w:rPr>
          <w:rFonts w:eastAsiaTheme="minorEastAsia" w:cstheme="minorBidi"/>
          <w:b w:val="0"/>
          <w:color w:val="auto"/>
          <w:sz w:val="22"/>
          <w:szCs w:val="22"/>
          <w:lang w:eastAsia="fr-FR"/>
        </w:rPr>
        <w:tab/>
      </w:r>
      <w:r w:rsidRPr="00E92A57">
        <w:rPr>
          <w:rFonts w:cstheme="minorHAnsi"/>
        </w:rPr>
        <w:t>Restrictions à l’utilisation des capitaux ayant influé sensiblement ou pouvant influer sensiblement, de manière directe ou indirecte sur les opérations de la Société</w:t>
      </w:r>
      <w:r w:rsidRPr="00E92A57">
        <w:tab/>
      </w:r>
      <w:r w:rsidRPr="00E92A57">
        <w:fldChar w:fldCharType="begin"/>
      </w:r>
      <w:r w:rsidRPr="00E92A57">
        <w:instrText xml:space="preserve"> PAGEREF _Toc510548428 \h </w:instrText>
      </w:r>
      <w:r w:rsidRPr="00E92A57">
        <w:fldChar w:fldCharType="separate"/>
      </w:r>
      <w:r w:rsidR="006A487E">
        <w:t>102</w:t>
      </w:r>
      <w:r w:rsidRPr="00E92A57">
        <w:fldChar w:fldCharType="end"/>
      </w:r>
    </w:p>
    <w:p w14:paraId="78DC2952" w14:textId="77777777" w:rsidR="00E92A57" w:rsidRPr="00E92A57" w:rsidRDefault="00E92A57">
      <w:pPr>
        <w:pStyle w:val="TM2"/>
        <w:rPr>
          <w:rFonts w:eastAsiaTheme="minorEastAsia" w:cstheme="minorBidi"/>
          <w:b w:val="0"/>
          <w:color w:val="auto"/>
          <w:sz w:val="22"/>
          <w:szCs w:val="22"/>
          <w:lang w:eastAsia="fr-FR"/>
        </w:rPr>
      </w:pPr>
      <w:r w:rsidRPr="00E92A57">
        <w:t>10.5</w:t>
      </w:r>
      <w:r w:rsidRPr="00E92A57">
        <w:rPr>
          <w:rFonts w:eastAsiaTheme="minorEastAsia" w:cstheme="minorBidi"/>
          <w:b w:val="0"/>
          <w:color w:val="auto"/>
          <w:sz w:val="22"/>
          <w:szCs w:val="22"/>
          <w:lang w:eastAsia="fr-FR"/>
        </w:rPr>
        <w:tab/>
      </w:r>
      <w:r w:rsidRPr="00E92A57">
        <w:rPr>
          <w:rFonts w:cstheme="minorHAnsi"/>
        </w:rPr>
        <w:t>Sources de financement attendues</w:t>
      </w:r>
      <w:r w:rsidRPr="00E92A57">
        <w:tab/>
      </w:r>
      <w:r w:rsidRPr="00E92A57">
        <w:fldChar w:fldCharType="begin"/>
      </w:r>
      <w:r w:rsidRPr="00E92A57">
        <w:instrText xml:space="preserve"> PAGEREF _Toc510548429 \h </w:instrText>
      </w:r>
      <w:r w:rsidRPr="00E92A57">
        <w:fldChar w:fldCharType="separate"/>
      </w:r>
      <w:r w:rsidR="006A487E">
        <w:t>102</w:t>
      </w:r>
      <w:r w:rsidRPr="00E92A57">
        <w:fldChar w:fldCharType="end"/>
      </w:r>
    </w:p>
    <w:p w14:paraId="312A2F24"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11.</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INVENTIONS, BREVETS, LICENCES, MARQUES ET NOMS DE DOMAINE</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_Toc510548430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104</w:t>
      </w:r>
      <w:r w:rsidRPr="00E92A57">
        <w:rPr>
          <w:rFonts w:asciiTheme="minorHAnsi" w:hAnsiTheme="minorHAnsi"/>
        </w:rPr>
        <w:fldChar w:fldCharType="end"/>
      </w:r>
    </w:p>
    <w:p w14:paraId="3A5F57C3" w14:textId="77777777" w:rsidR="00E92A57" w:rsidRPr="00E92A57" w:rsidRDefault="00E92A57">
      <w:pPr>
        <w:pStyle w:val="TM2"/>
        <w:rPr>
          <w:rFonts w:eastAsiaTheme="minorEastAsia" w:cstheme="minorBidi"/>
          <w:b w:val="0"/>
          <w:color w:val="auto"/>
          <w:sz w:val="22"/>
          <w:szCs w:val="22"/>
          <w:lang w:eastAsia="fr-FR"/>
        </w:rPr>
      </w:pPr>
      <w:r w:rsidRPr="00E92A57">
        <w:rPr>
          <w:rFonts w:cstheme="minorHAnsi"/>
        </w:rPr>
        <w:t>11.1</w:t>
      </w:r>
      <w:r w:rsidRPr="00E92A57">
        <w:rPr>
          <w:rFonts w:eastAsiaTheme="minorEastAsia" w:cstheme="minorBidi"/>
          <w:b w:val="0"/>
          <w:color w:val="auto"/>
          <w:sz w:val="22"/>
          <w:szCs w:val="22"/>
          <w:lang w:eastAsia="fr-FR"/>
        </w:rPr>
        <w:tab/>
      </w:r>
      <w:r w:rsidRPr="00E92A57">
        <w:rPr>
          <w:rFonts w:cstheme="minorHAnsi"/>
        </w:rPr>
        <w:t>Politique d’innovation</w:t>
      </w:r>
      <w:r w:rsidRPr="00E92A57">
        <w:tab/>
      </w:r>
      <w:r w:rsidRPr="00E92A57">
        <w:fldChar w:fldCharType="begin"/>
      </w:r>
      <w:r w:rsidRPr="00E92A57">
        <w:instrText xml:space="preserve"> PAGEREF _Toc510548431 \h </w:instrText>
      </w:r>
      <w:r w:rsidRPr="00E92A57">
        <w:fldChar w:fldCharType="separate"/>
      </w:r>
      <w:r w:rsidR="006A487E">
        <w:t>104</w:t>
      </w:r>
      <w:r w:rsidRPr="00E92A57">
        <w:fldChar w:fldCharType="end"/>
      </w:r>
    </w:p>
    <w:p w14:paraId="76B6ABF4" w14:textId="77777777" w:rsidR="00E92A57" w:rsidRPr="00E92A57" w:rsidRDefault="00E92A57">
      <w:pPr>
        <w:pStyle w:val="TM2"/>
        <w:rPr>
          <w:rFonts w:eastAsiaTheme="minorEastAsia" w:cstheme="minorBidi"/>
          <w:b w:val="0"/>
          <w:color w:val="auto"/>
          <w:sz w:val="22"/>
          <w:szCs w:val="22"/>
          <w:lang w:eastAsia="fr-FR"/>
        </w:rPr>
      </w:pPr>
      <w:r w:rsidRPr="00E92A57">
        <w:rPr>
          <w:rFonts w:cstheme="minorHAnsi"/>
        </w:rPr>
        <w:t>11.2</w:t>
      </w:r>
      <w:r w:rsidRPr="00E92A57">
        <w:rPr>
          <w:rFonts w:eastAsiaTheme="minorEastAsia" w:cstheme="minorBidi"/>
          <w:b w:val="0"/>
          <w:color w:val="auto"/>
          <w:sz w:val="22"/>
          <w:szCs w:val="22"/>
          <w:lang w:eastAsia="fr-FR"/>
        </w:rPr>
        <w:tab/>
      </w:r>
      <w:r w:rsidRPr="00E92A57">
        <w:rPr>
          <w:rFonts w:cstheme="minorHAnsi"/>
        </w:rPr>
        <w:t>Brevets et demandes de brevets</w:t>
      </w:r>
      <w:r w:rsidRPr="00E92A57">
        <w:tab/>
      </w:r>
      <w:r w:rsidRPr="00E92A57">
        <w:fldChar w:fldCharType="begin"/>
      </w:r>
      <w:r w:rsidRPr="00E92A57">
        <w:instrText xml:space="preserve"> PAGEREF _Toc510548432 \h </w:instrText>
      </w:r>
      <w:r w:rsidRPr="00E92A57">
        <w:fldChar w:fldCharType="separate"/>
      </w:r>
      <w:r w:rsidR="006A487E">
        <w:t>105</w:t>
      </w:r>
      <w:r w:rsidRPr="00E92A57">
        <w:fldChar w:fldCharType="end"/>
      </w:r>
    </w:p>
    <w:p w14:paraId="58EFA0DB" w14:textId="77777777" w:rsidR="00E92A57" w:rsidRPr="00E92A57" w:rsidRDefault="00E92A57">
      <w:pPr>
        <w:pStyle w:val="TM2"/>
        <w:rPr>
          <w:rFonts w:eastAsiaTheme="minorEastAsia" w:cstheme="minorBidi"/>
          <w:b w:val="0"/>
          <w:color w:val="auto"/>
          <w:sz w:val="22"/>
          <w:szCs w:val="22"/>
          <w:lang w:eastAsia="fr-FR"/>
        </w:rPr>
      </w:pPr>
      <w:r w:rsidRPr="00E92A57">
        <w:rPr>
          <w:rFonts w:cstheme="minorHAnsi"/>
        </w:rPr>
        <w:t>11.3</w:t>
      </w:r>
      <w:r w:rsidRPr="00E92A57">
        <w:rPr>
          <w:rFonts w:eastAsiaTheme="minorEastAsia" w:cstheme="minorBidi"/>
          <w:b w:val="0"/>
          <w:color w:val="auto"/>
          <w:sz w:val="22"/>
          <w:szCs w:val="22"/>
          <w:lang w:eastAsia="fr-FR"/>
        </w:rPr>
        <w:tab/>
      </w:r>
      <w:r w:rsidRPr="00E92A57">
        <w:rPr>
          <w:rFonts w:cstheme="minorHAnsi"/>
        </w:rPr>
        <w:t>Contrats de collaboration, de recherches, de prestations de service et de licences accordés par la Société ou concédés à cette dernière</w:t>
      </w:r>
      <w:r w:rsidRPr="00E92A57">
        <w:tab/>
      </w:r>
      <w:r w:rsidRPr="00E92A57">
        <w:fldChar w:fldCharType="begin"/>
      </w:r>
      <w:r w:rsidRPr="00E92A57">
        <w:instrText xml:space="preserve"> PAGEREF _Toc510548433 \h </w:instrText>
      </w:r>
      <w:r w:rsidRPr="00E92A57">
        <w:fldChar w:fldCharType="separate"/>
      </w:r>
      <w:r w:rsidR="006A487E">
        <w:t>117</w:t>
      </w:r>
      <w:r w:rsidRPr="00E92A57">
        <w:fldChar w:fldCharType="end"/>
      </w:r>
    </w:p>
    <w:p w14:paraId="7BFADD14" w14:textId="77777777" w:rsidR="00E92A57" w:rsidRPr="00E92A57" w:rsidRDefault="00E92A57">
      <w:pPr>
        <w:pStyle w:val="TM2"/>
        <w:rPr>
          <w:rFonts w:eastAsiaTheme="minorEastAsia" w:cstheme="minorBidi"/>
          <w:b w:val="0"/>
          <w:color w:val="auto"/>
          <w:sz w:val="22"/>
          <w:szCs w:val="22"/>
          <w:lang w:eastAsia="fr-FR"/>
        </w:rPr>
      </w:pPr>
      <w:r w:rsidRPr="00E92A57">
        <w:rPr>
          <w:rFonts w:cstheme="minorHAnsi"/>
        </w:rPr>
        <w:t>11.4</w:t>
      </w:r>
      <w:r w:rsidRPr="00E92A57">
        <w:rPr>
          <w:rFonts w:eastAsiaTheme="minorEastAsia" w:cstheme="minorBidi"/>
          <w:b w:val="0"/>
          <w:color w:val="auto"/>
          <w:sz w:val="22"/>
          <w:szCs w:val="22"/>
          <w:lang w:eastAsia="fr-FR"/>
        </w:rPr>
        <w:tab/>
      </w:r>
      <w:r w:rsidRPr="00E92A57">
        <w:rPr>
          <w:rFonts w:cstheme="minorHAnsi"/>
        </w:rPr>
        <w:t>Marques, demandes de marque et noms de domaine</w:t>
      </w:r>
      <w:r w:rsidRPr="00E92A57">
        <w:tab/>
      </w:r>
      <w:r w:rsidRPr="00E92A57">
        <w:fldChar w:fldCharType="begin"/>
      </w:r>
      <w:r w:rsidRPr="00E92A57">
        <w:instrText xml:space="preserve"> PAGEREF _Toc510548434 \h </w:instrText>
      </w:r>
      <w:r w:rsidRPr="00E92A57">
        <w:fldChar w:fldCharType="separate"/>
      </w:r>
      <w:r w:rsidR="006A487E">
        <w:t>119</w:t>
      </w:r>
      <w:r w:rsidRPr="00E92A57">
        <w:fldChar w:fldCharType="end"/>
      </w:r>
    </w:p>
    <w:p w14:paraId="62003B34"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12.</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TENDANCES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_Toc510548435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121</w:t>
      </w:r>
      <w:r w:rsidRPr="00E92A57">
        <w:rPr>
          <w:rFonts w:asciiTheme="minorHAnsi" w:hAnsiTheme="minorHAnsi"/>
        </w:rPr>
        <w:fldChar w:fldCharType="end"/>
      </w:r>
    </w:p>
    <w:p w14:paraId="3DEC2C4E" w14:textId="77777777" w:rsidR="00E92A57" w:rsidRPr="00E92A57" w:rsidRDefault="00E92A57">
      <w:pPr>
        <w:pStyle w:val="TM2"/>
        <w:rPr>
          <w:rFonts w:eastAsiaTheme="minorEastAsia" w:cstheme="minorBidi"/>
          <w:b w:val="0"/>
          <w:color w:val="auto"/>
          <w:sz w:val="22"/>
          <w:szCs w:val="22"/>
          <w:lang w:eastAsia="fr-FR"/>
        </w:rPr>
      </w:pPr>
      <w:r w:rsidRPr="00E92A57">
        <w:t>12.1</w:t>
      </w:r>
      <w:r w:rsidRPr="00E92A57">
        <w:rPr>
          <w:rFonts w:eastAsiaTheme="minorEastAsia" w:cstheme="minorBidi"/>
          <w:b w:val="0"/>
          <w:color w:val="auto"/>
          <w:sz w:val="22"/>
          <w:szCs w:val="22"/>
          <w:lang w:eastAsia="fr-FR"/>
        </w:rPr>
        <w:tab/>
      </w:r>
      <w:r w:rsidRPr="00E92A57">
        <w:rPr>
          <w:rFonts w:cstheme="minorHAnsi"/>
        </w:rPr>
        <w:t>Perspectives 2018</w:t>
      </w:r>
      <w:r w:rsidRPr="00E92A57">
        <w:tab/>
      </w:r>
      <w:r w:rsidRPr="00E92A57">
        <w:fldChar w:fldCharType="begin"/>
      </w:r>
      <w:r w:rsidRPr="00E92A57">
        <w:instrText xml:space="preserve"> PAGEREF _Toc510548436 \h </w:instrText>
      </w:r>
      <w:r w:rsidRPr="00E92A57">
        <w:fldChar w:fldCharType="separate"/>
      </w:r>
      <w:r w:rsidR="006A487E">
        <w:t>121</w:t>
      </w:r>
      <w:r w:rsidRPr="00E92A57">
        <w:fldChar w:fldCharType="end"/>
      </w:r>
    </w:p>
    <w:p w14:paraId="286C9430" w14:textId="77777777" w:rsidR="00E92A57" w:rsidRPr="00E92A57" w:rsidRDefault="00E92A57">
      <w:pPr>
        <w:pStyle w:val="TM2"/>
        <w:rPr>
          <w:rFonts w:eastAsiaTheme="minorEastAsia" w:cstheme="minorBidi"/>
          <w:b w:val="0"/>
          <w:color w:val="auto"/>
          <w:sz w:val="22"/>
          <w:szCs w:val="22"/>
          <w:lang w:eastAsia="fr-FR"/>
        </w:rPr>
      </w:pPr>
      <w:r w:rsidRPr="00E92A57">
        <w:t>12.2</w:t>
      </w:r>
      <w:r w:rsidRPr="00E92A57">
        <w:rPr>
          <w:rFonts w:eastAsiaTheme="minorEastAsia" w:cstheme="minorBidi"/>
          <w:b w:val="0"/>
          <w:color w:val="auto"/>
          <w:sz w:val="22"/>
          <w:szCs w:val="22"/>
          <w:lang w:eastAsia="fr-FR"/>
        </w:rPr>
        <w:tab/>
      </w:r>
      <w:r w:rsidRPr="00E92A57">
        <w:rPr>
          <w:rFonts w:cstheme="minorHAnsi"/>
        </w:rPr>
        <w:t>Tendance connue, incertitude, demande d’engagement ou évènement raisonnablement susceptible d’influer sur les perspectives de la Société</w:t>
      </w:r>
      <w:r w:rsidRPr="00E92A57">
        <w:tab/>
      </w:r>
      <w:r w:rsidRPr="00E92A57">
        <w:fldChar w:fldCharType="begin"/>
      </w:r>
      <w:r w:rsidRPr="00E92A57">
        <w:instrText xml:space="preserve"> PAGEREF _Toc510548437 \h </w:instrText>
      </w:r>
      <w:r w:rsidRPr="00E92A57">
        <w:fldChar w:fldCharType="separate"/>
      </w:r>
      <w:r w:rsidR="006A487E">
        <w:t>121</w:t>
      </w:r>
      <w:r w:rsidRPr="00E92A57">
        <w:fldChar w:fldCharType="end"/>
      </w:r>
    </w:p>
    <w:p w14:paraId="687DC5D5"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13.</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PREVISIONS OU ESTIMATIONS DU BENEFICE</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_Toc510548438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122</w:t>
      </w:r>
      <w:r w:rsidRPr="00E92A57">
        <w:rPr>
          <w:rFonts w:asciiTheme="minorHAnsi" w:hAnsiTheme="minorHAnsi"/>
        </w:rPr>
        <w:fldChar w:fldCharType="end"/>
      </w:r>
    </w:p>
    <w:p w14:paraId="3C1B78C3"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14.</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ORGANES D’ADMINISTRATION, DE DIRECTION, DE SURVEILLANCE ET DE DIRECTION GENERALE</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_Toc510548439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123</w:t>
      </w:r>
      <w:r w:rsidRPr="00E92A57">
        <w:rPr>
          <w:rFonts w:asciiTheme="minorHAnsi" w:hAnsiTheme="minorHAnsi"/>
        </w:rPr>
        <w:fldChar w:fldCharType="end"/>
      </w:r>
    </w:p>
    <w:p w14:paraId="04F49866" w14:textId="77777777" w:rsidR="00E92A57" w:rsidRPr="00E92A57" w:rsidRDefault="00E92A57">
      <w:pPr>
        <w:pStyle w:val="TM2"/>
        <w:rPr>
          <w:rFonts w:eastAsiaTheme="minorEastAsia" w:cstheme="minorBidi"/>
          <w:b w:val="0"/>
          <w:color w:val="auto"/>
          <w:sz w:val="22"/>
          <w:szCs w:val="22"/>
          <w:lang w:eastAsia="fr-FR"/>
        </w:rPr>
      </w:pPr>
      <w:r w:rsidRPr="00E92A57">
        <w:t>14.1</w:t>
      </w:r>
      <w:r w:rsidRPr="00E92A57">
        <w:rPr>
          <w:rFonts w:eastAsiaTheme="minorEastAsia" w:cstheme="minorBidi"/>
          <w:b w:val="0"/>
          <w:color w:val="auto"/>
          <w:sz w:val="22"/>
          <w:szCs w:val="22"/>
          <w:lang w:eastAsia="fr-FR"/>
        </w:rPr>
        <w:tab/>
      </w:r>
      <w:r w:rsidRPr="00E92A57">
        <w:rPr>
          <w:rFonts w:cstheme="minorHAnsi"/>
        </w:rPr>
        <w:t>Dirigeants, administrateurs et censeurs</w:t>
      </w:r>
      <w:r w:rsidRPr="00E92A57">
        <w:tab/>
      </w:r>
      <w:r w:rsidRPr="00E92A57">
        <w:fldChar w:fldCharType="begin"/>
      </w:r>
      <w:r w:rsidRPr="00E92A57">
        <w:instrText xml:space="preserve"> PAGEREF _Toc510548440 \h </w:instrText>
      </w:r>
      <w:r w:rsidRPr="00E92A57">
        <w:fldChar w:fldCharType="separate"/>
      </w:r>
      <w:r w:rsidR="006A487E">
        <w:t>123</w:t>
      </w:r>
      <w:r w:rsidRPr="00E92A57">
        <w:fldChar w:fldCharType="end"/>
      </w:r>
    </w:p>
    <w:p w14:paraId="36874670" w14:textId="77777777" w:rsidR="00E92A57" w:rsidRPr="00E92A57" w:rsidRDefault="00E92A57">
      <w:pPr>
        <w:pStyle w:val="TM2"/>
        <w:rPr>
          <w:rFonts w:eastAsiaTheme="minorEastAsia" w:cstheme="minorBidi"/>
          <w:b w:val="0"/>
          <w:color w:val="auto"/>
          <w:sz w:val="22"/>
          <w:szCs w:val="22"/>
          <w:lang w:eastAsia="fr-FR"/>
        </w:rPr>
      </w:pPr>
      <w:r w:rsidRPr="00E92A57">
        <w:t>14.2</w:t>
      </w:r>
      <w:r w:rsidRPr="00E92A57">
        <w:rPr>
          <w:rFonts w:eastAsiaTheme="minorEastAsia" w:cstheme="minorBidi"/>
          <w:b w:val="0"/>
          <w:color w:val="auto"/>
          <w:sz w:val="22"/>
          <w:szCs w:val="22"/>
          <w:lang w:eastAsia="fr-FR"/>
        </w:rPr>
        <w:tab/>
      </w:r>
      <w:r w:rsidRPr="00E92A57">
        <w:rPr>
          <w:rFonts w:cstheme="minorHAnsi"/>
        </w:rPr>
        <w:t>Censeurs</w:t>
      </w:r>
      <w:r w:rsidRPr="00E92A57">
        <w:tab/>
      </w:r>
      <w:r w:rsidRPr="00E92A57">
        <w:fldChar w:fldCharType="begin"/>
      </w:r>
      <w:r w:rsidRPr="00E92A57">
        <w:instrText xml:space="preserve"> PAGEREF _Toc510548441 \h </w:instrText>
      </w:r>
      <w:r w:rsidRPr="00E92A57">
        <w:fldChar w:fldCharType="separate"/>
      </w:r>
      <w:r w:rsidR="006A487E">
        <w:t>132</w:t>
      </w:r>
      <w:r w:rsidRPr="00E92A57">
        <w:fldChar w:fldCharType="end"/>
      </w:r>
    </w:p>
    <w:p w14:paraId="7EA6182A" w14:textId="77777777" w:rsidR="00E92A57" w:rsidRPr="00E92A57" w:rsidRDefault="00E92A57">
      <w:pPr>
        <w:pStyle w:val="TM2"/>
        <w:rPr>
          <w:rFonts w:eastAsiaTheme="minorEastAsia" w:cstheme="minorBidi"/>
          <w:b w:val="0"/>
          <w:color w:val="auto"/>
          <w:sz w:val="22"/>
          <w:szCs w:val="22"/>
          <w:lang w:eastAsia="fr-FR"/>
        </w:rPr>
      </w:pPr>
      <w:r w:rsidRPr="00E92A57">
        <w:t>14.3</w:t>
      </w:r>
      <w:r w:rsidRPr="00E92A57">
        <w:rPr>
          <w:rFonts w:eastAsiaTheme="minorEastAsia" w:cstheme="minorBidi"/>
          <w:b w:val="0"/>
          <w:color w:val="auto"/>
          <w:sz w:val="22"/>
          <w:szCs w:val="22"/>
          <w:lang w:eastAsia="fr-FR"/>
        </w:rPr>
        <w:tab/>
      </w:r>
      <w:r w:rsidRPr="00E92A57">
        <w:rPr>
          <w:rFonts w:cstheme="minorHAnsi"/>
        </w:rPr>
        <w:t>Conflits d’intérêts au niveau des organes d’administration et de direction générale</w:t>
      </w:r>
      <w:r w:rsidRPr="00E92A57">
        <w:tab/>
      </w:r>
      <w:r w:rsidRPr="00E92A57">
        <w:fldChar w:fldCharType="begin"/>
      </w:r>
      <w:r w:rsidRPr="00E92A57">
        <w:instrText xml:space="preserve"> PAGEREF _Toc510548442 \h </w:instrText>
      </w:r>
      <w:r w:rsidRPr="00E92A57">
        <w:fldChar w:fldCharType="separate"/>
      </w:r>
      <w:r w:rsidR="006A487E">
        <w:t>132</w:t>
      </w:r>
      <w:r w:rsidRPr="00E92A57">
        <w:fldChar w:fldCharType="end"/>
      </w:r>
    </w:p>
    <w:p w14:paraId="44FA0F86"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15.</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REMUNERATIONS ET AVANTAGES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_Toc510548443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133</w:t>
      </w:r>
      <w:r w:rsidRPr="00E92A57">
        <w:rPr>
          <w:rFonts w:asciiTheme="minorHAnsi" w:hAnsiTheme="minorHAnsi"/>
        </w:rPr>
        <w:fldChar w:fldCharType="end"/>
      </w:r>
    </w:p>
    <w:p w14:paraId="483262B8" w14:textId="77777777" w:rsidR="00E92A57" w:rsidRPr="00E92A57" w:rsidRDefault="00E92A57">
      <w:pPr>
        <w:pStyle w:val="TM2"/>
        <w:rPr>
          <w:rFonts w:eastAsiaTheme="minorEastAsia" w:cstheme="minorBidi"/>
          <w:b w:val="0"/>
          <w:color w:val="auto"/>
          <w:sz w:val="22"/>
          <w:szCs w:val="22"/>
          <w:lang w:eastAsia="fr-FR"/>
        </w:rPr>
      </w:pPr>
      <w:r w:rsidRPr="00E92A57">
        <w:t>15.1</w:t>
      </w:r>
      <w:r w:rsidRPr="00E92A57">
        <w:rPr>
          <w:rFonts w:eastAsiaTheme="minorEastAsia" w:cstheme="minorBidi"/>
          <w:b w:val="0"/>
          <w:color w:val="auto"/>
          <w:sz w:val="22"/>
          <w:szCs w:val="22"/>
          <w:lang w:eastAsia="fr-FR"/>
        </w:rPr>
        <w:tab/>
      </w:r>
      <w:r w:rsidRPr="00E92A57">
        <w:rPr>
          <w:rFonts w:cstheme="minorHAnsi"/>
        </w:rPr>
        <w:t>Rémunérations des mandataires sociaux</w:t>
      </w:r>
      <w:r w:rsidRPr="00E92A57">
        <w:tab/>
      </w:r>
      <w:r w:rsidRPr="00E92A57">
        <w:fldChar w:fldCharType="begin"/>
      </w:r>
      <w:r w:rsidRPr="00E92A57">
        <w:instrText xml:space="preserve"> PAGEREF _Toc510548444 \h </w:instrText>
      </w:r>
      <w:r w:rsidRPr="00E92A57">
        <w:fldChar w:fldCharType="separate"/>
      </w:r>
      <w:r w:rsidR="006A487E">
        <w:t>133</w:t>
      </w:r>
      <w:r w:rsidRPr="00E92A57">
        <w:fldChar w:fldCharType="end"/>
      </w:r>
    </w:p>
    <w:p w14:paraId="5001FAEB" w14:textId="77777777" w:rsidR="00E92A57" w:rsidRPr="00E92A57" w:rsidRDefault="00E92A57">
      <w:pPr>
        <w:pStyle w:val="TM2"/>
        <w:rPr>
          <w:rFonts w:eastAsiaTheme="minorEastAsia" w:cstheme="minorBidi"/>
          <w:b w:val="0"/>
          <w:color w:val="auto"/>
          <w:sz w:val="22"/>
          <w:szCs w:val="22"/>
          <w:lang w:eastAsia="fr-FR"/>
        </w:rPr>
      </w:pPr>
      <w:r w:rsidRPr="00E92A57">
        <w:t>15.2</w:t>
      </w:r>
      <w:r w:rsidRPr="00E92A57">
        <w:rPr>
          <w:rFonts w:eastAsiaTheme="minorEastAsia" w:cstheme="minorBidi"/>
          <w:b w:val="0"/>
          <w:color w:val="auto"/>
          <w:sz w:val="22"/>
          <w:szCs w:val="22"/>
          <w:lang w:eastAsia="fr-FR"/>
        </w:rPr>
        <w:tab/>
      </w:r>
      <w:r w:rsidRPr="00E92A57">
        <w:rPr>
          <w:rFonts w:cstheme="minorHAnsi"/>
        </w:rPr>
        <w:t>Sommes provisionnées par la Société aux fins de versement de pensions, retraites et autres avantages au profit des mandataires sociaux</w:t>
      </w:r>
      <w:r w:rsidRPr="00E92A57">
        <w:tab/>
      </w:r>
      <w:r w:rsidRPr="00E92A57">
        <w:fldChar w:fldCharType="begin"/>
      </w:r>
      <w:r w:rsidRPr="00E92A57">
        <w:instrText xml:space="preserve"> PAGEREF _Toc510548445 \h </w:instrText>
      </w:r>
      <w:r w:rsidRPr="00E92A57">
        <w:fldChar w:fldCharType="separate"/>
      </w:r>
      <w:r w:rsidR="006A487E">
        <w:t>138</w:t>
      </w:r>
      <w:r w:rsidRPr="00E92A57">
        <w:fldChar w:fldCharType="end"/>
      </w:r>
    </w:p>
    <w:p w14:paraId="7703ED8C" w14:textId="77777777" w:rsidR="00E92A57" w:rsidRPr="00E92A57" w:rsidRDefault="00E92A57">
      <w:pPr>
        <w:pStyle w:val="TM2"/>
        <w:rPr>
          <w:rFonts w:eastAsiaTheme="minorEastAsia" w:cstheme="minorBidi"/>
          <w:b w:val="0"/>
          <w:color w:val="auto"/>
          <w:sz w:val="22"/>
          <w:szCs w:val="22"/>
          <w:lang w:eastAsia="fr-FR"/>
        </w:rPr>
      </w:pPr>
      <w:r w:rsidRPr="00E92A57">
        <w:t>15.3</w:t>
      </w:r>
      <w:r w:rsidRPr="00E92A57">
        <w:rPr>
          <w:rFonts w:eastAsiaTheme="minorEastAsia" w:cstheme="minorBidi"/>
          <w:b w:val="0"/>
          <w:color w:val="auto"/>
          <w:sz w:val="22"/>
          <w:szCs w:val="22"/>
          <w:lang w:eastAsia="fr-FR"/>
        </w:rPr>
        <w:tab/>
      </w:r>
      <w:r w:rsidRPr="00E92A57">
        <w:rPr>
          <w:rFonts w:cstheme="minorHAnsi"/>
        </w:rPr>
        <w:t>Actions attribuées gratuitement, bons de souscription d’actions et options de souscription d’actions attribuées aux mandataires sociaux</w:t>
      </w:r>
      <w:r w:rsidRPr="00E92A57">
        <w:tab/>
      </w:r>
      <w:r w:rsidRPr="00E92A57">
        <w:fldChar w:fldCharType="begin"/>
      </w:r>
      <w:r w:rsidRPr="00E92A57">
        <w:instrText xml:space="preserve"> PAGEREF _Toc510548446 \h </w:instrText>
      </w:r>
      <w:r w:rsidRPr="00E92A57">
        <w:fldChar w:fldCharType="separate"/>
      </w:r>
      <w:r w:rsidR="006A487E">
        <w:t>138</w:t>
      </w:r>
      <w:r w:rsidRPr="00E92A57">
        <w:fldChar w:fldCharType="end"/>
      </w:r>
    </w:p>
    <w:p w14:paraId="6CBD0E71" w14:textId="77777777" w:rsidR="00E92A57" w:rsidRPr="00E92A57" w:rsidRDefault="00E92A57">
      <w:pPr>
        <w:pStyle w:val="TM2"/>
        <w:rPr>
          <w:rFonts w:eastAsiaTheme="minorEastAsia" w:cstheme="minorBidi"/>
          <w:b w:val="0"/>
          <w:color w:val="auto"/>
          <w:sz w:val="22"/>
          <w:szCs w:val="22"/>
          <w:lang w:eastAsia="fr-FR"/>
        </w:rPr>
      </w:pPr>
      <w:r w:rsidRPr="00E92A57">
        <w:t>15.4</w:t>
      </w:r>
      <w:r w:rsidRPr="00E92A57">
        <w:rPr>
          <w:rFonts w:eastAsiaTheme="minorEastAsia" w:cstheme="minorBidi"/>
          <w:b w:val="0"/>
          <w:color w:val="auto"/>
          <w:sz w:val="22"/>
          <w:szCs w:val="22"/>
          <w:lang w:eastAsia="fr-FR"/>
        </w:rPr>
        <w:tab/>
      </w:r>
      <w:r w:rsidRPr="00E92A57">
        <w:rPr>
          <w:rFonts w:cstheme="minorHAnsi"/>
        </w:rPr>
        <w:t>Eléments de rémunérations et avantages dus ou susceptibles d’être dus à raison ou postérieurement à la cessation des fonctions de dirigeants de la Société</w:t>
      </w:r>
      <w:r w:rsidRPr="00E92A57">
        <w:tab/>
      </w:r>
      <w:r w:rsidRPr="00E92A57">
        <w:fldChar w:fldCharType="begin"/>
      </w:r>
      <w:r w:rsidRPr="00E92A57">
        <w:instrText xml:space="preserve"> PAGEREF _Toc510548447 \h </w:instrText>
      </w:r>
      <w:r w:rsidRPr="00E92A57">
        <w:fldChar w:fldCharType="separate"/>
      </w:r>
      <w:r w:rsidR="006A487E">
        <w:t>138</w:t>
      </w:r>
      <w:r w:rsidRPr="00E92A57">
        <w:fldChar w:fldCharType="end"/>
      </w:r>
    </w:p>
    <w:p w14:paraId="2BDFE52F" w14:textId="77777777" w:rsidR="00E92A57" w:rsidRPr="00E92A57" w:rsidRDefault="00E92A57">
      <w:pPr>
        <w:pStyle w:val="TM2"/>
        <w:rPr>
          <w:rFonts w:eastAsiaTheme="minorEastAsia" w:cstheme="minorBidi"/>
          <w:b w:val="0"/>
          <w:color w:val="auto"/>
          <w:sz w:val="22"/>
          <w:szCs w:val="22"/>
          <w:lang w:eastAsia="fr-FR"/>
        </w:rPr>
      </w:pPr>
      <w:r w:rsidRPr="00E92A57">
        <w:t>15.5</w:t>
      </w:r>
      <w:r w:rsidRPr="00E92A57">
        <w:rPr>
          <w:rFonts w:eastAsiaTheme="minorEastAsia" w:cstheme="minorBidi"/>
          <w:b w:val="0"/>
          <w:color w:val="auto"/>
          <w:sz w:val="22"/>
          <w:szCs w:val="22"/>
          <w:lang w:eastAsia="fr-FR"/>
        </w:rPr>
        <w:tab/>
      </w:r>
      <w:r w:rsidRPr="00E92A57">
        <w:rPr>
          <w:rFonts w:cstheme="minorHAnsi"/>
        </w:rPr>
        <w:t>Prêts et garanties accordés aux dirigeants</w:t>
      </w:r>
      <w:r w:rsidRPr="00E92A57">
        <w:tab/>
      </w:r>
      <w:r w:rsidRPr="00E92A57">
        <w:fldChar w:fldCharType="begin"/>
      </w:r>
      <w:r w:rsidRPr="00E92A57">
        <w:instrText xml:space="preserve"> PAGEREF _Toc510548448 \h </w:instrText>
      </w:r>
      <w:r w:rsidRPr="00E92A57">
        <w:fldChar w:fldCharType="separate"/>
      </w:r>
      <w:r w:rsidR="006A487E">
        <w:t>138</w:t>
      </w:r>
      <w:r w:rsidRPr="00E92A57">
        <w:fldChar w:fldCharType="end"/>
      </w:r>
    </w:p>
    <w:p w14:paraId="476817B6" w14:textId="77777777" w:rsidR="00E92A57" w:rsidRPr="00E92A57" w:rsidRDefault="00E92A57">
      <w:pPr>
        <w:pStyle w:val="TM2"/>
        <w:rPr>
          <w:rFonts w:eastAsiaTheme="minorEastAsia" w:cstheme="minorBidi"/>
          <w:b w:val="0"/>
          <w:color w:val="auto"/>
          <w:sz w:val="22"/>
          <w:szCs w:val="22"/>
          <w:lang w:eastAsia="fr-FR"/>
        </w:rPr>
      </w:pPr>
      <w:r w:rsidRPr="00E92A57">
        <w:t>15.6</w:t>
      </w:r>
      <w:r w:rsidRPr="00E92A57">
        <w:rPr>
          <w:rFonts w:eastAsiaTheme="minorEastAsia" w:cstheme="minorBidi"/>
          <w:b w:val="0"/>
          <w:color w:val="auto"/>
          <w:sz w:val="22"/>
          <w:szCs w:val="22"/>
          <w:lang w:eastAsia="fr-FR"/>
        </w:rPr>
        <w:tab/>
      </w:r>
      <w:r w:rsidRPr="00E92A57">
        <w:rPr>
          <w:rFonts w:cstheme="minorHAnsi"/>
        </w:rPr>
        <w:t>Rémunérations et avantages des dirigeants mandataires sociaux exécutifs au titre de l’exercice 2018</w:t>
      </w:r>
      <w:r w:rsidRPr="00E92A57">
        <w:tab/>
      </w:r>
      <w:r w:rsidRPr="00E92A57">
        <w:fldChar w:fldCharType="begin"/>
      </w:r>
      <w:r w:rsidRPr="00E92A57">
        <w:instrText xml:space="preserve"> PAGEREF _Toc510548449 \h </w:instrText>
      </w:r>
      <w:r w:rsidRPr="00E92A57">
        <w:fldChar w:fldCharType="separate"/>
      </w:r>
      <w:r w:rsidR="006A487E">
        <w:t>138</w:t>
      </w:r>
      <w:r w:rsidRPr="00E92A57">
        <w:fldChar w:fldCharType="end"/>
      </w:r>
    </w:p>
    <w:p w14:paraId="7F628093"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16.</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FONCTIONNEMENT DES ORGANES D’ADMINISTRATION ET DE DIRECTION</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_Toc510548450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142</w:t>
      </w:r>
      <w:r w:rsidRPr="00E92A57">
        <w:rPr>
          <w:rFonts w:asciiTheme="minorHAnsi" w:hAnsiTheme="minorHAnsi"/>
        </w:rPr>
        <w:fldChar w:fldCharType="end"/>
      </w:r>
    </w:p>
    <w:p w14:paraId="00EB70FB" w14:textId="77777777" w:rsidR="00E92A57" w:rsidRPr="00E92A57" w:rsidRDefault="00E92A57">
      <w:pPr>
        <w:pStyle w:val="TM2"/>
        <w:rPr>
          <w:rFonts w:eastAsiaTheme="minorEastAsia" w:cstheme="minorBidi"/>
          <w:b w:val="0"/>
          <w:color w:val="auto"/>
          <w:sz w:val="22"/>
          <w:szCs w:val="22"/>
          <w:lang w:eastAsia="fr-FR"/>
        </w:rPr>
      </w:pPr>
      <w:r w:rsidRPr="00E92A57">
        <w:t>16.1</w:t>
      </w:r>
      <w:r w:rsidRPr="00E92A57">
        <w:rPr>
          <w:rFonts w:eastAsiaTheme="minorEastAsia" w:cstheme="minorBidi"/>
          <w:b w:val="0"/>
          <w:color w:val="auto"/>
          <w:sz w:val="22"/>
          <w:szCs w:val="22"/>
          <w:lang w:eastAsia="fr-FR"/>
        </w:rPr>
        <w:tab/>
      </w:r>
      <w:r w:rsidRPr="00E92A57">
        <w:rPr>
          <w:rFonts w:cstheme="minorHAnsi"/>
        </w:rPr>
        <w:t>Direction de la Société</w:t>
      </w:r>
      <w:r w:rsidRPr="00E92A57">
        <w:tab/>
      </w:r>
      <w:r w:rsidRPr="00E92A57">
        <w:fldChar w:fldCharType="begin"/>
      </w:r>
      <w:r w:rsidRPr="00E92A57">
        <w:instrText xml:space="preserve"> PAGEREF _Toc510548451 \h </w:instrText>
      </w:r>
      <w:r w:rsidRPr="00E92A57">
        <w:fldChar w:fldCharType="separate"/>
      </w:r>
      <w:r w:rsidR="006A487E">
        <w:t>142</w:t>
      </w:r>
      <w:r w:rsidRPr="00E92A57">
        <w:fldChar w:fldCharType="end"/>
      </w:r>
    </w:p>
    <w:p w14:paraId="6359FE1C" w14:textId="77777777" w:rsidR="00E92A57" w:rsidRPr="00E92A57" w:rsidRDefault="00E92A57">
      <w:pPr>
        <w:pStyle w:val="TM2"/>
        <w:rPr>
          <w:rFonts w:eastAsiaTheme="minorEastAsia" w:cstheme="minorBidi"/>
          <w:b w:val="0"/>
          <w:color w:val="auto"/>
          <w:sz w:val="22"/>
          <w:szCs w:val="22"/>
          <w:lang w:eastAsia="fr-FR"/>
        </w:rPr>
      </w:pPr>
      <w:r w:rsidRPr="00E92A57">
        <w:t>16.2</w:t>
      </w:r>
      <w:r w:rsidRPr="00E92A57">
        <w:rPr>
          <w:rFonts w:eastAsiaTheme="minorEastAsia" w:cstheme="minorBidi"/>
          <w:b w:val="0"/>
          <w:color w:val="auto"/>
          <w:sz w:val="22"/>
          <w:szCs w:val="22"/>
          <w:lang w:eastAsia="fr-FR"/>
        </w:rPr>
        <w:tab/>
      </w:r>
      <w:r w:rsidRPr="00E92A57">
        <w:rPr>
          <w:rFonts w:cstheme="minorHAnsi"/>
        </w:rPr>
        <w:t>Informations sur les contrats liant les dirigeants et/ou les administrateurs et la Société</w:t>
      </w:r>
      <w:r w:rsidRPr="00E92A57">
        <w:tab/>
      </w:r>
      <w:r w:rsidRPr="00E92A57">
        <w:fldChar w:fldCharType="begin"/>
      </w:r>
      <w:r w:rsidRPr="00E92A57">
        <w:instrText xml:space="preserve"> PAGEREF _Toc510548452 \h </w:instrText>
      </w:r>
      <w:r w:rsidRPr="00E92A57">
        <w:fldChar w:fldCharType="separate"/>
      </w:r>
      <w:r w:rsidR="006A487E">
        <w:t>142</w:t>
      </w:r>
      <w:r w:rsidRPr="00E92A57">
        <w:fldChar w:fldCharType="end"/>
      </w:r>
    </w:p>
    <w:p w14:paraId="0E766978" w14:textId="77777777" w:rsidR="00E92A57" w:rsidRPr="00E92A57" w:rsidRDefault="00E92A57">
      <w:pPr>
        <w:pStyle w:val="TM2"/>
        <w:rPr>
          <w:rFonts w:eastAsiaTheme="minorEastAsia" w:cstheme="minorBidi"/>
          <w:b w:val="0"/>
          <w:color w:val="auto"/>
          <w:sz w:val="22"/>
          <w:szCs w:val="22"/>
          <w:lang w:eastAsia="fr-FR"/>
        </w:rPr>
      </w:pPr>
      <w:r w:rsidRPr="00E92A57">
        <w:t>16.3</w:t>
      </w:r>
      <w:r w:rsidRPr="00E92A57">
        <w:rPr>
          <w:rFonts w:eastAsiaTheme="minorEastAsia" w:cstheme="minorBidi"/>
          <w:b w:val="0"/>
          <w:color w:val="auto"/>
          <w:sz w:val="22"/>
          <w:szCs w:val="22"/>
          <w:lang w:eastAsia="fr-FR"/>
        </w:rPr>
        <w:tab/>
      </w:r>
      <w:r w:rsidRPr="00E92A57">
        <w:rPr>
          <w:rFonts w:cstheme="minorHAnsi"/>
        </w:rPr>
        <w:t>Conseil d’administration et comités spécialisés – Gouvernement d’entreprise</w:t>
      </w:r>
      <w:r w:rsidRPr="00E92A57">
        <w:tab/>
      </w:r>
      <w:r w:rsidRPr="00E92A57">
        <w:fldChar w:fldCharType="begin"/>
      </w:r>
      <w:r w:rsidRPr="00E92A57">
        <w:instrText xml:space="preserve"> PAGEREF _Toc510548453 \h </w:instrText>
      </w:r>
      <w:r w:rsidRPr="00E92A57">
        <w:fldChar w:fldCharType="separate"/>
      </w:r>
      <w:r w:rsidR="006A487E">
        <w:t>142</w:t>
      </w:r>
      <w:r w:rsidRPr="00E92A57">
        <w:fldChar w:fldCharType="end"/>
      </w:r>
    </w:p>
    <w:p w14:paraId="6FB8D1BE" w14:textId="77777777" w:rsidR="00E92A57" w:rsidRPr="00E92A57" w:rsidRDefault="00E92A57">
      <w:pPr>
        <w:pStyle w:val="TM2"/>
        <w:rPr>
          <w:rFonts w:eastAsiaTheme="minorEastAsia" w:cstheme="minorBidi"/>
          <w:b w:val="0"/>
          <w:color w:val="auto"/>
          <w:sz w:val="22"/>
          <w:szCs w:val="22"/>
          <w:lang w:eastAsia="fr-FR"/>
        </w:rPr>
      </w:pPr>
      <w:r w:rsidRPr="00E92A57">
        <w:t>16.4</w:t>
      </w:r>
      <w:r w:rsidRPr="00E92A57">
        <w:rPr>
          <w:rFonts w:eastAsiaTheme="minorEastAsia" w:cstheme="minorBidi"/>
          <w:b w:val="0"/>
          <w:color w:val="auto"/>
          <w:sz w:val="22"/>
          <w:szCs w:val="22"/>
          <w:lang w:eastAsia="fr-FR"/>
        </w:rPr>
        <w:tab/>
      </w:r>
      <w:r w:rsidRPr="00E92A57">
        <w:rPr>
          <w:rFonts w:cstheme="minorHAnsi"/>
        </w:rPr>
        <w:t>Déclaration relative au gouvernement d’entreprise</w:t>
      </w:r>
      <w:r w:rsidRPr="00E92A57">
        <w:tab/>
      </w:r>
      <w:r w:rsidRPr="00E92A57">
        <w:fldChar w:fldCharType="begin"/>
      </w:r>
      <w:r w:rsidRPr="00E92A57">
        <w:instrText xml:space="preserve"> PAGEREF _Toc510548454 \h </w:instrText>
      </w:r>
      <w:r w:rsidRPr="00E92A57">
        <w:fldChar w:fldCharType="separate"/>
      </w:r>
      <w:r w:rsidR="006A487E">
        <w:t>145</w:t>
      </w:r>
      <w:r w:rsidRPr="00E92A57">
        <w:fldChar w:fldCharType="end"/>
      </w:r>
    </w:p>
    <w:p w14:paraId="20536C39" w14:textId="77777777" w:rsidR="00E92A57" w:rsidRPr="00E92A57" w:rsidRDefault="00E92A57">
      <w:pPr>
        <w:pStyle w:val="TM2"/>
        <w:rPr>
          <w:rFonts w:eastAsiaTheme="minorEastAsia" w:cstheme="minorBidi"/>
          <w:b w:val="0"/>
          <w:color w:val="auto"/>
          <w:sz w:val="22"/>
          <w:szCs w:val="22"/>
          <w:lang w:eastAsia="fr-FR"/>
        </w:rPr>
      </w:pPr>
      <w:r w:rsidRPr="00E92A57">
        <w:t>16.5</w:t>
      </w:r>
      <w:r w:rsidRPr="00E92A57">
        <w:rPr>
          <w:rFonts w:eastAsiaTheme="minorEastAsia" w:cstheme="minorBidi"/>
          <w:b w:val="0"/>
          <w:color w:val="auto"/>
          <w:sz w:val="22"/>
          <w:szCs w:val="22"/>
          <w:lang w:eastAsia="fr-FR"/>
        </w:rPr>
        <w:tab/>
      </w:r>
      <w:r w:rsidRPr="00E92A57">
        <w:rPr>
          <w:rFonts w:cstheme="minorHAnsi"/>
        </w:rPr>
        <w:t>Rapport du conseil d’administration sur le gouvernement d’entreprise</w:t>
      </w:r>
      <w:r w:rsidRPr="00E92A57">
        <w:tab/>
      </w:r>
      <w:r w:rsidRPr="00E92A57">
        <w:fldChar w:fldCharType="begin"/>
      </w:r>
      <w:r w:rsidRPr="00E92A57">
        <w:instrText xml:space="preserve"> PAGEREF _Toc510548455 \h </w:instrText>
      </w:r>
      <w:r w:rsidRPr="00E92A57">
        <w:fldChar w:fldCharType="separate"/>
      </w:r>
      <w:r w:rsidR="006A487E">
        <w:t>148</w:t>
      </w:r>
      <w:r w:rsidRPr="00E92A57">
        <w:fldChar w:fldCharType="end"/>
      </w:r>
    </w:p>
    <w:p w14:paraId="3B6B8679" w14:textId="77777777" w:rsidR="00E92A57" w:rsidRPr="00E92A57" w:rsidRDefault="00E92A57">
      <w:pPr>
        <w:pStyle w:val="TM2"/>
        <w:rPr>
          <w:rFonts w:eastAsiaTheme="minorEastAsia" w:cstheme="minorBidi"/>
          <w:b w:val="0"/>
          <w:color w:val="auto"/>
          <w:sz w:val="22"/>
          <w:szCs w:val="22"/>
          <w:lang w:eastAsia="fr-FR"/>
        </w:rPr>
      </w:pPr>
      <w:r w:rsidRPr="00E92A57">
        <w:t>16.6</w:t>
      </w:r>
      <w:r w:rsidRPr="00E92A57">
        <w:rPr>
          <w:rFonts w:eastAsiaTheme="minorEastAsia" w:cstheme="minorBidi"/>
          <w:b w:val="0"/>
          <w:color w:val="auto"/>
          <w:sz w:val="22"/>
          <w:szCs w:val="22"/>
          <w:lang w:eastAsia="fr-FR"/>
        </w:rPr>
        <w:tab/>
      </w:r>
      <w:r w:rsidRPr="00E92A57">
        <w:rPr>
          <w:rFonts w:cstheme="minorHAnsi"/>
        </w:rPr>
        <w:t>Rapport du commissaire aux comptes sur le rapport du conseil d’administration sur le gouvernement d’entreprise</w:t>
      </w:r>
      <w:r w:rsidRPr="00E92A57">
        <w:tab/>
      </w:r>
      <w:r w:rsidRPr="00E92A57">
        <w:fldChar w:fldCharType="begin"/>
      </w:r>
      <w:r w:rsidRPr="00E92A57">
        <w:instrText xml:space="preserve"> PAGEREF _Toc510548456 \h </w:instrText>
      </w:r>
      <w:r w:rsidRPr="00E92A57">
        <w:fldChar w:fldCharType="separate"/>
      </w:r>
      <w:r w:rsidR="006A487E">
        <w:t>149</w:t>
      </w:r>
      <w:r w:rsidRPr="00E92A57">
        <w:fldChar w:fldCharType="end"/>
      </w:r>
    </w:p>
    <w:p w14:paraId="2712998A"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17.</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SALARIES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_Toc510548457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150</w:t>
      </w:r>
      <w:r w:rsidRPr="00E92A57">
        <w:rPr>
          <w:rFonts w:asciiTheme="minorHAnsi" w:hAnsiTheme="minorHAnsi"/>
        </w:rPr>
        <w:fldChar w:fldCharType="end"/>
      </w:r>
    </w:p>
    <w:p w14:paraId="0F9904D9" w14:textId="77777777" w:rsidR="00E92A57" w:rsidRPr="00E92A57" w:rsidRDefault="00E92A57">
      <w:pPr>
        <w:pStyle w:val="TM2"/>
        <w:rPr>
          <w:rFonts w:eastAsiaTheme="minorEastAsia" w:cstheme="minorBidi"/>
          <w:b w:val="0"/>
          <w:color w:val="auto"/>
          <w:sz w:val="22"/>
          <w:szCs w:val="22"/>
          <w:lang w:eastAsia="fr-FR"/>
        </w:rPr>
      </w:pPr>
      <w:r w:rsidRPr="00E92A57">
        <w:t>17.1</w:t>
      </w:r>
      <w:r w:rsidRPr="00E92A57">
        <w:rPr>
          <w:rFonts w:eastAsiaTheme="minorEastAsia" w:cstheme="minorBidi"/>
          <w:b w:val="0"/>
          <w:color w:val="auto"/>
          <w:sz w:val="22"/>
          <w:szCs w:val="22"/>
          <w:lang w:eastAsia="fr-FR"/>
        </w:rPr>
        <w:tab/>
      </w:r>
      <w:r w:rsidRPr="00E92A57">
        <w:rPr>
          <w:rFonts w:cstheme="minorHAnsi"/>
        </w:rPr>
        <w:t>Ressources humaines</w:t>
      </w:r>
      <w:r w:rsidRPr="00E92A57">
        <w:tab/>
      </w:r>
      <w:r w:rsidRPr="00E92A57">
        <w:fldChar w:fldCharType="begin"/>
      </w:r>
      <w:r w:rsidRPr="00E92A57">
        <w:instrText xml:space="preserve"> PAGEREF _Toc510548458 \h </w:instrText>
      </w:r>
      <w:r w:rsidRPr="00E92A57">
        <w:fldChar w:fldCharType="separate"/>
      </w:r>
      <w:r w:rsidR="006A487E">
        <w:t>150</w:t>
      </w:r>
      <w:r w:rsidRPr="00E92A57">
        <w:fldChar w:fldCharType="end"/>
      </w:r>
    </w:p>
    <w:p w14:paraId="7C5BB7C5" w14:textId="77777777" w:rsidR="00E92A57" w:rsidRPr="00E92A57" w:rsidRDefault="00E92A57">
      <w:pPr>
        <w:pStyle w:val="TM2"/>
        <w:rPr>
          <w:rFonts w:eastAsiaTheme="minorEastAsia" w:cstheme="minorBidi"/>
          <w:b w:val="0"/>
          <w:color w:val="auto"/>
          <w:sz w:val="22"/>
          <w:szCs w:val="22"/>
          <w:lang w:eastAsia="fr-FR"/>
        </w:rPr>
      </w:pPr>
      <w:r w:rsidRPr="00E92A57">
        <w:lastRenderedPageBreak/>
        <w:t>17.2</w:t>
      </w:r>
      <w:r w:rsidRPr="00E92A57">
        <w:rPr>
          <w:rFonts w:eastAsiaTheme="minorEastAsia" w:cstheme="minorBidi"/>
          <w:b w:val="0"/>
          <w:color w:val="auto"/>
          <w:sz w:val="22"/>
          <w:szCs w:val="22"/>
          <w:lang w:eastAsia="fr-FR"/>
        </w:rPr>
        <w:tab/>
      </w:r>
      <w:r w:rsidRPr="00E92A57">
        <w:rPr>
          <w:rFonts w:cstheme="minorHAnsi"/>
        </w:rPr>
        <w:t>Participations et stock-options des mandataires sociaux</w:t>
      </w:r>
      <w:r w:rsidRPr="00E92A57">
        <w:tab/>
      </w:r>
      <w:r w:rsidRPr="00E92A57">
        <w:fldChar w:fldCharType="begin"/>
      </w:r>
      <w:r w:rsidRPr="00E92A57">
        <w:instrText xml:space="preserve"> PAGEREF _Toc510548459 \h </w:instrText>
      </w:r>
      <w:r w:rsidRPr="00E92A57">
        <w:fldChar w:fldCharType="separate"/>
      </w:r>
      <w:r w:rsidR="006A487E">
        <w:t>151</w:t>
      </w:r>
      <w:r w:rsidRPr="00E92A57">
        <w:fldChar w:fldCharType="end"/>
      </w:r>
    </w:p>
    <w:p w14:paraId="65A5F095" w14:textId="77777777" w:rsidR="00E92A57" w:rsidRPr="00E92A57" w:rsidRDefault="00E92A57">
      <w:pPr>
        <w:pStyle w:val="TM2"/>
        <w:rPr>
          <w:rFonts w:eastAsiaTheme="minorEastAsia" w:cstheme="minorBidi"/>
          <w:b w:val="0"/>
          <w:color w:val="auto"/>
          <w:sz w:val="22"/>
          <w:szCs w:val="22"/>
          <w:lang w:eastAsia="fr-FR"/>
        </w:rPr>
      </w:pPr>
      <w:r w:rsidRPr="00E92A57">
        <w:t>17.3</w:t>
      </w:r>
      <w:r w:rsidRPr="00E92A57">
        <w:rPr>
          <w:rFonts w:eastAsiaTheme="minorEastAsia" w:cstheme="minorBidi"/>
          <w:b w:val="0"/>
          <w:color w:val="auto"/>
          <w:sz w:val="22"/>
          <w:szCs w:val="22"/>
          <w:lang w:eastAsia="fr-FR"/>
        </w:rPr>
        <w:tab/>
      </w:r>
      <w:r w:rsidRPr="00E92A57">
        <w:rPr>
          <w:rFonts w:cstheme="minorHAnsi"/>
        </w:rPr>
        <w:t>Participation des salariés dans le capital de la Société</w:t>
      </w:r>
      <w:r w:rsidRPr="00E92A57">
        <w:tab/>
      </w:r>
      <w:r w:rsidRPr="00E92A57">
        <w:fldChar w:fldCharType="begin"/>
      </w:r>
      <w:r w:rsidRPr="00E92A57">
        <w:instrText xml:space="preserve"> PAGEREF _Toc510548460 \h </w:instrText>
      </w:r>
      <w:r w:rsidRPr="00E92A57">
        <w:fldChar w:fldCharType="separate"/>
      </w:r>
      <w:r w:rsidR="006A487E">
        <w:t>151</w:t>
      </w:r>
      <w:r w:rsidRPr="00E92A57">
        <w:fldChar w:fldCharType="end"/>
      </w:r>
    </w:p>
    <w:p w14:paraId="2A0B7340" w14:textId="77777777" w:rsidR="00E92A57" w:rsidRPr="00E92A57" w:rsidRDefault="00E92A57">
      <w:pPr>
        <w:pStyle w:val="TM2"/>
        <w:rPr>
          <w:rFonts w:eastAsiaTheme="minorEastAsia" w:cstheme="minorBidi"/>
          <w:b w:val="0"/>
          <w:color w:val="auto"/>
          <w:sz w:val="22"/>
          <w:szCs w:val="22"/>
          <w:lang w:eastAsia="fr-FR"/>
        </w:rPr>
      </w:pPr>
      <w:r w:rsidRPr="00E92A57">
        <w:t>17.4</w:t>
      </w:r>
      <w:r w:rsidRPr="00E92A57">
        <w:rPr>
          <w:rFonts w:eastAsiaTheme="minorEastAsia" w:cstheme="minorBidi"/>
          <w:b w:val="0"/>
          <w:color w:val="auto"/>
          <w:sz w:val="22"/>
          <w:szCs w:val="22"/>
          <w:lang w:eastAsia="fr-FR"/>
        </w:rPr>
        <w:tab/>
      </w:r>
      <w:r w:rsidRPr="00E92A57">
        <w:rPr>
          <w:rFonts w:cstheme="minorHAnsi"/>
        </w:rPr>
        <w:t>Contrats d’intéressement et de participation</w:t>
      </w:r>
      <w:r w:rsidRPr="00E92A57">
        <w:tab/>
      </w:r>
      <w:r w:rsidRPr="00E92A57">
        <w:fldChar w:fldCharType="begin"/>
      </w:r>
      <w:r w:rsidRPr="00E92A57">
        <w:instrText xml:space="preserve"> PAGEREF _Toc510548461 \h </w:instrText>
      </w:r>
      <w:r w:rsidRPr="00E92A57">
        <w:fldChar w:fldCharType="separate"/>
      </w:r>
      <w:r w:rsidR="006A487E">
        <w:t>151</w:t>
      </w:r>
      <w:r w:rsidRPr="00E92A57">
        <w:fldChar w:fldCharType="end"/>
      </w:r>
    </w:p>
    <w:p w14:paraId="1451200A"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18.</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PRINCIPAUX ACTIONNAIRES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_Toc510548462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152</w:t>
      </w:r>
      <w:r w:rsidRPr="00E92A57">
        <w:rPr>
          <w:rFonts w:asciiTheme="minorHAnsi" w:hAnsiTheme="minorHAnsi"/>
        </w:rPr>
        <w:fldChar w:fldCharType="end"/>
      </w:r>
    </w:p>
    <w:p w14:paraId="0746E58B" w14:textId="77777777" w:rsidR="00E92A57" w:rsidRPr="00E92A57" w:rsidRDefault="00E92A57">
      <w:pPr>
        <w:pStyle w:val="TM2"/>
        <w:rPr>
          <w:rFonts w:eastAsiaTheme="minorEastAsia" w:cstheme="minorBidi"/>
          <w:b w:val="0"/>
          <w:color w:val="auto"/>
          <w:sz w:val="22"/>
          <w:szCs w:val="22"/>
          <w:lang w:eastAsia="fr-FR"/>
        </w:rPr>
      </w:pPr>
      <w:r w:rsidRPr="00E92A57">
        <w:t>18.1</w:t>
      </w:r>
      <w:r w:rsidRPr="00E92A57">
        <w:rPr>
          <w:rFonts w:eastAsiaTheme="minorEastAsia" w:cstheme="minorBidi"/>
          <w:b w:val="0"/>
          <w:color w:val="auto"/>
          <w:sz w:val="22"/>
          <w:szCs w:val="22"/>
          <w:lang w:eastAsia="fr-FR"/>
        </w:rPr>
        <w:tab/>
      </w:r>
      <w:r w:rsidRPr="00E92A57">
        <w:rPr>
          <w:rFonts w:cstheme="minorHAnsi"/>
          <w:spacing w:val="-2"/>
        </w:rPr>
        <w:t>Répartition du capital et des droits de vote</w:t>
      </w:r>
      <w:r w:rsidRPr="00E92A57">
        <w:tab/>
      </w:r>
      <w:r w:rsidRPr="00E92A57">
        <w:fldChar w:fldCharType="begin"/>
      </w:r>
      <w:r w:rsidRPr="00E92A57">
        <w:instrText xml:space="preserve"> PAGEREF _Toc510548463 \h </w:instrText>
      </w:r>
      <w:r w:rsidRPr="00E92A57">
        <w:fldChar w:fldCharType="separate"/>
      </w:r>
      <w:r w:rsidR="006A487E">
        <w:t>152</w:t>
      </w:r>
      <w:r w:rsidRPr="00E92A57">
        <w:fldChar w:fldCharType="end"/>
      </w:r>
    </w:p>
    <w:p w14:paraId="45E0CB08" w14:textId="77777777" w:rsidR="00E92A57" w:rsidRPr="00E92A57" w:rsidRDefault="00E92A57">
      <w:pPr>
        <w:pStyle w:val="TM2"/>
        <w:rPr>
          <w:rFonts w:eastAsiaTheme="minorEastAsia" w:cstheme="minorBidi"/>
          <w:b w:val="0"/>
          <w:color w:val="auto"/>
          <w:sz w:val="22"/>
          <w:szCs w:val="22"/>
          <w:lang w:eastAsia="fr-FR"/>
        </w:rPr>
      </w:pPr>
      <w:r w:rsidRPr="00E92A57">
        <w:t>18.2</w:t>
      </w:r>
      <w:r w:rsidRPr="00E92A57">
        <w:rPr>
          <w:rFonts w:eastAsiaTheme="minorEastAsia" w:cstheme="minorBidi"/>
          <w:b w:val="0"/>
          <w:color w:val="auto"/>
          <w:sz w:val="22"/>
          <w:szCs w:val="22"/>
          <w:lang w:eastAsia="fr-FR"/>
        </w:rPr>
        <w:tab/>
      </w:r>
      <w:r w:rsidRPr="00E92A57">
        <w:rPr>
          <w:rFonts w:cstheme="minorHAnsi"/>
        </w:rPr>
        <w:t>Droits de vote des principaux actionnaires</w:t>
      </w:r>
      <w:r w:rsidRPr="00E92A57">
        <w:tab/>
      </w:r>
      <w:r w:rsidRPr="00E92A57">
        <w:fldChar w:fldCharType="begin"/>
      </w:r>
      <w:r w:rsidRPr="00E92A57">
        <w:instrText xml:space="preserve"> PAGEREF _Toc510548464 \h </w:instrText>
      </w:r>
      <w:r w:rsidRPr="00E92A57">
        <w:fldChar w:fldCharType="separate"/>
      </w:r>
      <w:r w:rsidR="006A487E">
        <w:t>154</w:t>
      </w:r>
      <w:r w:rsidRPr="00E92A57">
        <w:fldChar w:fldCharType="end"/>
      </w:r>
    </w:p>
    <w:p w14:paraId="5BD9BAF6" w14:textId="77777777" w:rsidR="00E92A57" w:rsidRPr="00E92A57" w:rsidRDefault="00E92A57">
      <w:pPr>
        <w:pStyle w:val="TM2"/>
        <w:rPr>
          <w:rFonts w:eastAsiaTheme="minorEastAsia" w:cstheme="minorBidi"/>
          <w:b w:val="0"/>
          <w:color w:val="auto"/>
          <w:sz w:val="22"/>
          <w:szCs w:val="22"/>
          <w:lang w:eastAsia="fr-FR"/>
        </w:rPr>
      </w:pPr>
      <w:r w:rsidRPr="00E92A57">
        <w:t>18.3</w:t>
      </w:r>
      <w:r w:rsidRPr="00E92A57">
        <w:rPr>
          <w:rFonts w:eastAsiaTheme="minorEastAsia" w:cstheme="minorBidi"/>
          <w:b w:val="0"/>
          <w:color w:val="auto"/>
          <w:sz w:val="22"/>
          <w:szCs w:val="22"/>
          <w:lang w:eastAsia="fr-FR"/>
        </w:rPr>
        <w:tab/>
      </w:r>
      <w:r w:rsidRPr="00E92A57">
        <w:rPr>
          <w:rFonts w:cstheme="minorHAnsi"/>
        </w:rPr>
        <w:t>Contrôle de la Société</w:t>
      </w:r>
      <w:r w:rsidRPr="00E92A57">
        <w:tab/>
      </w:r>
      <w:r w:rsidRPr="00E92A57">
        <w:fldChar w:fldCharType="begin"/>
      </w:r>
      <w:r w:rsidRPr="00E92A57">
        <w:instrText xml:space="preserve"> PAGEREF _Toc510548465 \h </w:instrText>
      </w:r>
      <w:r w:rsidRPr="00E92A57">
        <w:fldChar w:fldCharType="separate"/>
      </w:r>
      <w:r w:rsidR="006A487E">
        <w:t>155</w:t>
      </w:r>
      <w:r w:rsidRPr="00E92A57">
        <w:fldChar w:fldCharType="end"/>
      </w:r>
    </w:p>
    <w:p w14:paraId="4AE64D07" w14:textId="77777777" w:rsidR="00E92A57" w:rsidRPr="00E92A57" w:rsidRDefault="00E92A57">
      <w:pPr>
        <w:pStyle w:val="TM2"/>
        <w:rPr>
          <w:rFonts w:eastAsiaTheme="minorEastAsia" w:cstheme="minorBidi"/>
          <w:b w:val="0"/>
          <w:color w:val="auto"/>
          <w:sz w:val="22"/>
          <w:szCs w:val="22"/>
          <w:lang w:eastAsia="fr-FR"/>
        </w:rPr>
      </w:pPr>
      <w:r w:rsidRPr="00E92A57">
        <w:t>18.4</w:t>
      </w:r>
      <w:r w:rsidRPr="00E92A57">
        <w:rPr>
          <w:rFonts w:eastAsiaTheme="minorEastAsia" w:cstheme="minorBidi"/>
          <w:b w:val="0"/>
          <w:color w:val="auto"/>
          <w:sz w:val="22"/>
          <w:szCs w:val="22"/>
          <w:lang w:eastAsia="fr-FR"/>
        </w:rPr>
        <w:tab/>
      </w:r>
      <w:r w:rsidRPr="00E92A57">
        <w:rPr>
          <w:rFonts w:cstheme="minorHAnsi"/>
        </w:rPr>
        <w:t>Accords pouvant entraîner un changement de contrôle</w:t>
      </w:r>
      <w:r w:rsidRPr="00E92A57">
        <w:tab/>
      </w:r>
      <w:r w:rsidRPr="00E92A57">
        <w:fldChar w:fldCharType="begin"/>
      </w:r>
      <w:r w:rsidRPr="00E92A57">
        <w:instrText xml:space="preserve"> PAGEREF _Toc510548466 \h </w:instrText>
      </w:r>
      <w:r w:rsidRPr="00E92A57">
        <w:fldChar w:fldCharType="separate"/>
      </w:r>
      <w:r w:rsidR="006A487E">
        <w:t>155</w:t>
      </w:r>
      <w:r w:rsidRPr="00E92A57">
        <w:fldChar w:fldCharType="end"/>
      </w:r>
    </w:p>
    <w:p w14:paraId="0025E156" w14:textId="77777777" w:rsidR="00E92A57" w:rsidRPr="00E92A57" w:rsidRDefault="00E92A57">
      <w:pPr>
        <w:pStyle w:val="TM2"/>
        <w:rPr>
          <w:rFonts w:eastAsiaTheme="minorEastAsia" w:cstheme="minorBidi"/>
          <w:b w:val="0"/>
          <w:color w:val="auto"/>
          <w:sz w:val="22"/>
          <w:szCs w:val="22"/>
          <w:lang w:eastAsia="fr-FR"/>
        </w:rPr>
      </w:pPr>
      <w:r w:rsidRPr="00E92A57">
        <w:t>18.5</w:t>
      </w:r>
      <w:r w:rsidRPr="00E92A57">
        <w:rPr>
          <w:rFonts w:eastAsiaTheme="minorEastAsia" w:cstheme="minorBidi"/>
          <w:b w:val="0"/>
          <w:color w:val="auto"/>
          <w:sz w:val="22"/>
          <w:szCs w:val="22"/>
          <w:lang w:eastAsia="fr-FR"/>
        </w:rPr>
        <w:tab/>
      </w:r>
      <w:r w:rsidRPr="00E92A57">
        <w:rPr>
          <w:rFonts w:cstheme="minorHAnsi"/>
        </w:rPr>
        <w:t>Etat des nantissements d’actions de la Société</w:t>
      </w:r>
      <w:r w:rsidRPr="00E92A57">
        <w:tab/>
      </w:r>
      <w:r w:rsidRPr="00E92A57">
        <w:fldChar w:fldCharType="begin"/>
      </w:r>
      <w:r w:rsidRPr="00E92A57">
        <w:instrText xml:space="preserve"> PAGEREF _Toc510548467 \h </w:instrText>
      </w:r>
      <w:r w:rsidRPr="00E92A57">
        <w:fldChar w:fldCharType="separate"/>
      </w:r>
      <w:r w:rsidR="006A487E">
        <w:t>155</w:t>
      </w:r>
      <w:r w:rsidRPr="00E92A57">
        <w:fldChar w:fldCharType="end"/>
      </w:r>
    </w:p>
    <w:p w14:paraId="484240E9" w14:textId="77777777" w:rsidR="00E92A57" w:rsidRPr="00E92A57" w:rsidRDefault="00E92A57">
      <w:pPr>
        <w:pStyle w:val="TM2"/>
        <w:rPr>
          <w:rFonts w:eastAsiaTheme="minorEastAsia" w:cstheme="minorBidi"/>
          <w:b w:val="0"/>
          <w:color w:val="auto"/>
          <w:sz w:val="22"/>
          <w:szCs w:val="22"/>
          <w:lang w:eastAsia="fr-FR"/>
        </w:rPr>
      </w:pPr>
      <w:r w:rsidRPr="00E92A57">
        <w:t>18.6</w:t>
      </w:r>
      <w:r w:rsidRPr="00E92A57">
        <w:rPr>
          <w:rFonts w:eastAsiaTheme="minorEastAsia" w:cstheme="minorBidi"/>
          <w:b w:val="0"/>
          <w:color w:val="auto"/>
          <w:sz w:val="22"/>
          <w:szCs w:val="22"/>
          <w:lang w:eastAsia="fr-FR"/>
        </w:rPr>
        <w:tab/>
      </w:r>
      <w:r w:rsidRPr="00E92A57">
        <w:rPr>
          <w:rFonts w:cstheme="minorHAnsi"/>
        </w:rPr>
        <w:t>Etat récapitulatif des opérations réalisées par les personnes mentionnées à l’article L. 621-18-2 du Code Monétaire et Financier sur les titres de la Société par les dirigeants</w:t>
      </w:r>
      <w:r w:rsidRPr="00E92A57">
        <w:tab/>
      </w:r>
      <w:r w:rsidRPr="00E92A57">
        <w:fldChar w:fldCharType="begin"/>
      </w:r>
      <w:r w:rsidRPr="00E92A57">
        <w:instrText xml:space="preserve"> PAGEREF _Toc510548468 \h </w:instrText>
      </w:r>
      <w:r w:rsidRPr="00E92A57">
        <w:fldChar w:fldCharType="separate"/>
      </w:r>
      <w:r w:rsidR="006A487E">
        <w:t>155</w:t>
      </w:r>
      <w:r w:rsidRPr="00E92A57">
        <w:fldChar w:fldCharType="end"/>
      </w:r>
    </w:p>
    <w:p w14:paraId="30C10BFB" w14:textId="77777777" w:rsidR="00E92A57" w:rsidRPr="00E92A57" w:rsidRDefault="00E92A57">
      <w:pPr>
        <w:pStyle w:val="TM2"/>
        <w:rPr>
          <w:rFonts w:eastAsiaTheme="minorEastAsia" w:cstheme="minorBidi"/>
          <w:b w:val="0"/>
          <w:color w:val="auto"/>
          <w:sz w:val="22"/>
          <w:szCs w:val="22"/>
          <w:lang w:eastAsia="fr-FR"/>
        </w:rPr>
      </w:pPr>
      <w:r w:rsidRPr="00E92A57">
        <w:t>18.7</w:t>
      </w:r>
      <w:r w:rsidRPr="00E92A57">
        <w:rPr>
          <w:rFonts w:eastAsiaTheme="minorEastAsia" w:cstheme="minorBidi"/>
          <w:b w:val="0"/>
          <w:color w:val="auto"/>
          <w:sz w:val="22"/>
          <w:szCs w:val="22"/>
          <w:lang w:eastAsia="fr-FR"/>
        </w:rPr>
        <w:tab/>
      </w:r>
      <w:r w:rsidRPr="00E92A57">
        <w:rPr>
          <w:rFonts w:cstheme="minorHAnsi"/>
        </w:rPr>
        <w:t>Franchissement de seuils</w:t>
      </w:r>
      <w:r w:rsidRPr="00E92A57">
        <w:tab/>
      </w:r>
      <w:r w:rsidRPr="00E92A57">
        <w:fldChar w:fldCharType="begin"/>
      </w:r>
      <w:r w:rsidRPr="00E92A57">
        <w:instrText xml:space="preserve"> PAGEREF _Toc510548469 \h </w:instrText>
      </w:r>
      <w:r w:rsidRPr="00E92A57">
        <w:fldChar w:fldCharType="separate"/>
      </w:r>
      <w:r w:rsidR="006A487E">
        <w:t>155</w:t>
      </w:r>
      <w:r w:rsidRPr="00E92A57">
        <w:fldChar w:fldCharType="end"/>
      </w:r>
    </w:p>
    <w:p w14:paraId="78F55C2B" w14:textId="77777777" w:rsidR="00E92A57" w:rsidRPr="00E92A57" w:rsidRDefault="00E92A57">
      <w:pPr>
        <w:pStyle w:val="TM2"/>
        <w:rPr>
          <w:rFonts w:eastAsiaTheme="minorEastAsia" w:cstheme="minorBidi"/>
          <w:b w:val="0"/>
          <w:color w:val="auto"/>
          <w:sz w:val="22"/>
          <w:szCs w:val="22"/>
          <w:lang w:eastAsia="fr-FR"/>
        </w:rPr>
      </w:pPr>
      <w:r w:rsidRPr="00E92A57">
        <w:t>18.8</w:t>
      </w:r>
      <w:r w:rsidRPr="00E92A57">
        <w:rPr>
          <w:rFonts w:eastAsiaTheme="minorEastAsia" w:cstheme="minorBidi"/>
          <w:b w:val="0"/>
          <w:color w:val="auto"/>
          <w:sz w:val="22"/>
          <w:szCs w:val="22"/>
          <w:lang w:eastAsia="fr-FR"/>
        </w:rPr>
        <w:tab/>
      </w:r>
      <w:r w:rsidRPr="00E92A57">
        <w:rPr>
          <w:rFonts w:cstheme="minorHAnsi"/>
        </w:rPr>
        <w:t>Evolution du titre</w:t>
      </w:r>
      <w:r w:rsidRPr="00E92A57">
        <w:tab/>
      </w:r>
      <w:r w:rsidRPr="00E92A57">
        <w:fldChar w:fldCharType="begin"/>
      </w:r>
      <w:r w:rsidRPr="00E92A57">
        <w:instrText xml:space="preserve"> PAGEREF _Toc510548470 \h </w:instrText>
      </w:r>
      <w:r w:rsidRPr="00E92A57">
        <w:fldChar w:fldCharType="separate"/>
      </w:r>
      <w:r w:rsidR="006A487E">
        <w:t>155</w:t>
      </w:r>
      <w:r w:rsidRPr="00E92A57">
        <w:fldChar w:fldCharType="end"/>
      </w:r>
    </w:p>
    <w:p w14:paraId="77DDE277"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19.</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OPERATIONS AVEC DES APPARENTES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_Toc510548471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157</w:t>
      </w:r>
      <w:r w:rsidRPr="00E92A57">
        <w:rPr>
          <w:rFonts w:asciiTheme="minorHAnsi" w:hAnsiTheme="minorHAnsi"/>
        </w:rPr>
        <w:fldChar w:fldCharType="end"/>
      </w:r>
    </w:p>
    <w:p w14:paraId="1645F162" w14:textId="77777777" w:rsidR="00E92A57" w:rsidRPr="00E92A57" w:rsidRDefault="00E92A57">
      <w:pPr>
        <w:pStyle w:val="TM2"/>
        <w:rPr>
          <w:rFonts w:eastAsiaTheme="minorEastAsia" w:cstheme="minorBidi"/>
          <w:b w:val="0"/>
          <w:color w:val="auto"/>
          <w:sz w:val="22"/>
          <w:szCs w:val="22"/>
          <w:lang w:eastAsia="fr-FR"/>
        </w:rPr>
      </w:pPr>
      <w:r w:rsidRPr="00E92A57">
        <w:t>19.1</w:t>
      </w:r>
      <w:r w:rsidRPr="00E92A57">
        <w:rPr>
          <w:rFonts w:eastAsiaTheme="minorEastAsia" w:cstheme="minorBidi"/>
          <w:b w:val="0"/>
          <w:color w:val="auto"/>
          <w:sz w:val="22"/>
          <w:szCs w:val="22"/>
          <w:lang w:eastAsia="fr-FR"/>
        </w:rPr>
        <w:tab/>
      </w:r>
      <w:r w:rsidRPr="00E92A57">
        <w:rPr>
          <w:rFonts w:cstheme="minorHAnsi"/>
        </w:rPr>
        <w:t>Conventions intra-groupe</w:t>
      </w:r>
      <w:r w:rsidRPr="00E92A57">
        <w:tab/>
      </w:r>
      <w:r w:rsidRPr="00E92A57">
        <w:fldChar w:fldCharType="begin"/>
      </w:r>
      <w:r w:rsidRPr="00E92A57">
        <w:instrText xml:space="preserve"> PAGEREF _Toc510548472 \h </w:instrText>
      </w:r>
      <w:r w:rsidRPr="00E92A57">
        <w:fldChar w:fldCharType="separate"/>
      </w:r>
      <w:r w:rsidR="006A487E">
        <w:t>157</w:t>
      </w:r>
      <w:r w:rsidRPr="00E92A57">
        <w:fldChar w:fldCharType="end"/>
      </w:r>
    </w:p>
    <w:p w14:paraId="144A03B6" w14:textId="77777777" w:rsidR="00E92A57" w:rsidRPr="00E92A57" w:rsidRDefault="00E92A57">
      <w:pPr>
        <w:pStyle w:val="TM2"/>
        <w:rPr>
          <w:rFonts w:eastAsiaTheme="minorEastAsia" w:cstheme="minorBidi"/>
          <w:b w:val="0"/>
          <w:color w:val="auto"/>
          <w:sz w:val="22"/>
          <w:szCs w:val="22"/>
          <w:lang w:eastAsia="fr-FR"/>
        </w:rPr>
      </w:pPr>
      <w:r w:rsidRPr="00E92A57">
        <w:t>19.2</w:t>
      </w:r>
      <w:r w:rsidRPr="00E92A57">
        <w:rPr>
          <w:rFonts w:eastAsiaTheme="minorEastAsia" w:cstheme="minorBidi"/>
          <w:b w:val="0"/>
          <w:color w:val="auto"/>
          <w:sz w:val="22"/>
          <w:szCs w:val="22"/>
          <w:lang w:eastAsia="fr-FR"/>
        </w:rPr>
        <w:tab/>
      </w:r>
      <w:r w:rsidRPr="00E92A57">
        <w:rPr>
          <w:rFonts w:cstheme="minorHAnsi"/>
        </w:rPr>
        <w:t>Opérations avec les apparentés</w:t>
      </w:r>
      <w:r w:rsidRPr="00E92A57">
        <w:tab/>
      </w:r>
      <w:r w:rsidRPr="00E92A57">
        <w:fldChar w:fldCharType="begin"/>
      </w:r>
      <w:r w:rsidRPr="00E92A57">
        <w:instrText xml:space="preserve"> PAGEREF _Toc510548473 \h </w:instrText>
      </w:r>
      <w:r w:rsidRPr="00E92A57">
        <w:fldChar w:fldCharType="separate"/>
      </w:r>
      <w:r w:rsidR="006A487E">
        <w:t>157</w:t>
      </w:r>
      <w:r w:rsidRPr="00E92A57">
        <w:fldChar w:fldCharType="end"/>
      </w:r>
    </w:p>
    <w:p w14:paraId="767D1F0D" w14:textId="77777777" w:rsidR="00E92A57" w:rsidRPr="00E92A57" w:rsidRDefault="00E92A57">
      <w:pPr>
        <w:pStyle w:val="TM2"/>
        <w:rPr>
          <w:rFonts w:eastAsiaTheme="minorEastAsia" w:cstheme="minorBidi"/>
          <w:b w:val="0"/>
          <w:color w:val="auto"/>
          <w:sz w:val="22"/>
          <w:szCs w:val="22"/>
          <w:lang w:eastAsia="fr-FR"/>
        </w:rPr>
      </w:pPr>
      <w:r w:rsidRPr="00E92A57">
        <w:t>19.3</w:t>
      </w:r>
      <w:r w:rsidRPr="00E92A57">
        <w:rPr>
          <w:rFonts w:eastAsiaTheme="minorEastAsia" w:cstheme="minorBidi"/>
          <w:b w:val="0"/>
          <w:color w:val="auto"/>
          <w:sz w:val="22"/>
          <w:szCs w:val="22"/>
          <w:lang w:eastAsia="fr-FR"/>
        </w:rPr>
        <w:tab/>
      </w:r>
      <w:r w:rsidRPr="00E92A57">
        <w:rPr>
          <w:rFonts w:cstheme="minorHAnsi"/>
        </w:rPr>
        <w:t>Rapports spéciaux des commissaires aux comptes établis au titre des exercices clos le 31 décembre 2017</w:t>
      </w:r>
      <w:r w:rsidRPr="00E92A57">
        <w:tab/>
      </w:r>
      <w:r w:rsidRPr="00E92A57">
        <w:fldChar w:fldCharType="begin"/>
      </w:r>
      <w:r w:rsidRPr="00E92A57">
        <w:instrText xml:space="preserve"> PAGEREF _Toc510548474 \h </w:instrText>
      </w:r>
      <w:r w:rsidRPr="00E92A57">
        <w:fldChar w:fldCharType="separate"/>
      </w:r>
      <w:r w:rsidR="006A487E">
        <w:t>157</w:t>
      </w:r>
      <w:r w:rsidRPr="00E92A57">
        <w:fldChar w:fldCharType="end"/>
      </w:r>
    </w:p>
    <w:p w14:paraId="391D2FEE"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20.</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INFORMATIONS FINANCIERES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_Toc510548475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158</w:t>
      </w:r>
      <w:r w:rsidRPr="00E92A57">
        <w:rPr>
          <w:rFonts w:asciiTheme="minorHAnsi" w:hAnsiTheme="minorHAnsi"/>
        </w:rPr>
        <w:fldChar w:fldCharType="end"/>
      </w:r>
    </w:p>
    <w:p w14:paraId="2FC4A131" w14:textId="77777777" w:rsidR="00E92A57" w:rsidRPr="00E92A57" w:rsidRDefault="00E92A57">
      <w:pPr>
        <w:pStyle w:val="TM2"/>
        <w:rPr>
          <w:rFonts w:eastAsiaTheme="minorEastAsia" w:cstheme="minorBidi"/>
          <w:b w:val="0"/>
          <w:color w:val="auto"/>
          <w:sz w:val="22"/>
          <w:szCs w:val="22"/>
          <w:lang w:eastAsia="fr-FR"/>
        </w:rPr>
      </w:pPr>
      <w:r w:rsidRPr="00E92A57">
        <w:t>20.1</w:t>
      </w:r>
      <w:r w:rsidRPr="00E92A57">
        <w:rPr>
          <w:rFonts w:eastAsiaTheme="minorEastAsia" w:cstheme="minorBidi"/>
          <w:b w:val="0"/>
          <w:color w:val="auto"/>
          <w:sz w:val="22"/>
          <w:szCs w:val="22"/>
          <w:lang w:eastAsia="fr-FR"/>
        </w:rPr>
        <w:tab/>
      </w:r>
      <w:r w:rsidRPr="00E92A57">
        <w:rPr>
          <w:rFonts w:cstheme="minorHAnsi"/>
        </w:rPr>
        <w:t>Informations financières historiques</w:t>
      </w:r>
      <w:r w:rsidRPr="00E92A57">
        <w:tab/>
      </w:r>
      <w:r w:rsidRPr="00E92A57">
        <w:fldChar w:fldCharType="begin"/>
      </w:r>
      <w:r w:rsidRPr="00E92A57">
        <w:instrText xml:space="preserve"> PAGEREF _Toc510548476 \h </w:instrText>
      </w:r>
      <w:r w:rsidRPr="00E92A57">
        <w:fldChar w:fldCharType="separate"/>
      </w:r>
      <w:r w:rsidR="006A487E">
        <w:t>158</w:t>
      </w:r>
      <w:r w:rsidRPr="00E92A57">
        <w:fldChar w:fldCharType="end"/>
      </w:r>
    </w:p>
    <w:p w14:paraId="2568A593" w14:textId="77777777" w:rsidR="00E92A57" w:rsidRPr="00E92A57" w:rsidRDefault="00E92A57">
      <w:pPr>
        <w:pStyle w:val="TM2"/>
        <w:rPr>
          <w:rFonts w:eastAsiaTheme="minorEastAsia" w:cstheme="minorBidi"/>
          <w:b w:val="0"/>
          <w:color w:val="auto"/>
          <w:sz w:val="22"/>
          <w:szCs w:val="22"/>
          <w:lang w:eastAsia="fr-FR"/>
        </w:rPr>
      </w:pPr>
      <w:r w:rsidRPr="00E92A57">
        <w:t>20.2</w:t>
      </w:r>
      <w:r w:rsidRPr="00E92A57">
        <w:rPr>
          <w:rFonts w:eastAsiaTheme="minorEastAsia" w:cstheme="minorBidi"/>
          <w:b w:val="0"/>
          <w:color w:val="auto"/>
          <w:sz w:val="22"/>
          <w:szCs w:val="22"/>
          <w:lang w:eastAsia="fr-FR"/>
        </w:rPr>
        <w:tab/>
      </w:r>
      <w:r w:rsidRPr="00E92A57">
        <w:rPr>
          <w:rFonts w:cstheme="minorHAnsi"/>
        </w:rPr>
        <w:t>Vérification des informations financières historiques annuelles</w:t>
      </w:r>
      <w:r w:rsidRPr="00E92A57">
        <w:tab/>
      </w:r>
      <w:r w:rsidRPr="00E92A57">
        <w:fldChar w:fldCharType="begin"/>
      </w:r>
      <w:r w:rsidRPr="00E92A57">
        <w:instrText xml:space="preserve"> PAGEREF _Toc510548477 \h </w:instrText>
      </w:r>
      <w:r w:rsidRPr="00E92A57">
        <w:fldChar w:fldCharType="separate"/>
      </w:r>
      <w:r w:rsidR="006A487E">
        <w:t>188</w:t>
      </w:r>
      <w:r w:rsidRPr="00E92A57">
        <w:fldChar w:fldCharType="end"/>
      </w:r>
    </w:p>
    <w:p w14:paraId="3AA4CAE6" w14:textId="77777777" w:rsidR="00E92A57" w:rsidRPr="00E92A57" w:rsidRDefault="00E92A57">
      <w:pPr>
        <w:pStyle w:val="TM2"/>
        <w:rPr>
          <w:rFonts w:eastAsiaTheme="minorEastAsia" w:cstheme="minorBidi"/>
          <w:b w:val="0"/>
          <w:color w:val="auto"/>
          <w:sz w:val="22"/>
          <w:szCs w:val="22"/>
          <w:lang w:eastAsia="fr-FR"/>
        </w:rPr>
      </w:pPr>
      <w:r w:rsidRPr="00E92A57">
        <w:t>20.3</w:t>
      </w:r>
      <w:r w:rsidRPr="00E92A57">
        <w:rPr>
          <w:rFonts w:eastAsiaTheme="minorEastAsia" w:cstheme="minorBidi"/>
          <w:b w:val="0"/>
          <w:color w:val="auto"/>
          <w:sz w:val="22"/>
          <w:szCs w:val="22"/>
          <w:lang w:eastAsia="fr-FR"/>
        </w:rPr>
        <w:tab/>
      </w:r>
      <w:r w:rsidRPr="00E92A57">
        <w:rPr>
          <w:rFonts w:cstheme="minorHAnsi"/>
        </w:rPr>
        <w:t>Date des dernières informations financières</w:t>
      </w:r>
      <w:r w:rsidRPr="00E92A57">
        <w:tab/>
      </w:r>
      <w:r w:rsidRPr="00E92A57">
        <w:fldChar w:fldCharType="begin"/>
      </w:r>
      <w:r w:rsidRPr="00E92A57">
        <w:instrText xml:space="preserve"> PAGEREF _Toc510548478 \h </w:instrText>
      </w:r>
      <w:r w:rsidRPr="00E92A57">
        <w:fldChar w:fldCharType="separate"/>
      </w:r>
      <w:r w:rsidR="006A487E">
        <w:t>188</w:t>
      </w:r>
      <w:r w:rsidRPr="00E92A57">
        <w:fldChar w:fldCharType="end"/>
      </w:r>
    </w:p>
    <w:p w14:paraId="5F08B2DE" w14:textId="77777777" w:rsidR="00E92A57" w:rsidRPr="00E92A57" w:rsidRDefault="00E92A57">
      <w:pPr>
        <w:pStyle w:val="TM2"/>
        <w:rPr>
          <w:rFonts w:eastAsiaTheme="minorEastAsia" w:cstheme="minorBidi"/>
          <w:b w:val="0"/>
          <w:color w:val="auto"/>
          <w:sz w:val="22"/>
          <w:szCs w:val="22"/>
          <w:lang w:eastAsia="fr-FR"/>
        </w:rPr>
      </w:pPr>
      <w:r w:rsidRPr="00E92A57">
        <w:t>20.4</w:t>
      </w:r>
      <w:r w:rsidRPr="00E92A57">
        <w:rPr>
          <w:rFonts w:eastAsiaTheme="minorEastAsia" w:cstheme="minorBidi"/>
          <w:b w:val="0"/>
          <w:color w:val="auto"/>
          <w:sz w:val="22"/>
          <w:szCs w:val="22"/>
          <w:lang w:eastAsia="fr-FR"/>
        </w:rPr>
        <w:tab/>
      </w:r>
      <w:r w:rsidRPr="00E92A57">
        <w:rPr>
          <w:rFonts w:cstheme="minorHAnsi"/>
        </w:rPr>
        <w:t>Politique de distribution des dividendes</w:t>
      </w:r>
      <w:r w:rsidRPr="00E92A57">
        <w:tab/>
      </w:r>
      <w:r w:rsidRPr="00E92A57">
        <w:fldChar w:fldCharType="begin"/>
      </w:r>
      <w:r w:rsidRPr="00E92A57">
        <w:instrText xml:space="preserve"> PAGEREF _Toc510548479 \h </w:instrText>
      </w:r>
      <w:r w:rsidRPr="00E92A57">
        <w:fldChar w:fldCharType="separate"/>
      </w:r>
      <w:r w:rsidR="006A487E">
        <w:t>188</w:t>
      </w:r>
      <w:r w:rsidRPr="00E92A57">
        <w:fldChar w:fldCharType="end"/>
      </w:r>
    </w:p>
    <w:p w14:paraId="6BC2DC44" w14:textId="77777777" w:rsidR="00E92A57" w:rsidRPr="00E92A57" w:rsidRDefault="00E92A57">
      <w:pPr>
        <w:pStyle w:val="TM2"/>
        <w:rPr>
          <w:rFonts w:eastAsiaTheme="minorEastAsia" w:cstheme="minorBidi"/>
          <w:b w:val="0"/>
          <w:color w:val="auto"/>
          <w:sz w:val="22"/>
          <w:szCs w:val="22"/>
          <w:lang w:eastAsia="fr-FR"/>
        </w:rPr>
      </w:pPr>
      <w:r w:rsidRPr="00E92A57">
        <w:t>20.5</w:t>
      </w:r>
      <w:r w:rsidRPr="00E92A57">
        <w:rPr>
          <w:rFonts w:eastAsiaTheme="minorEastAsia" w:cstheme="minorBidi"/>
          <w:b w:val="0"/>
          <w:color w:val="auto"/>
          <w:sz w:val="22"/>
          <w:szCs w:val="22"/>
          <w:lang w:eastAsia="fr-FR"/>
        </w:rPr>
        <w:tab/>
      </w:r>
      <w:r w:rsidRPr="00E92A57">
        <w:rPr>
          <w:rFonts w:cstheme="minorHAnsi"/>
        </w:rPr>
        <w:t>Tableau des résultats des exercices clos depuis la constitution de la société</w:t>
      </w:r>
      <w:r w:rsidRPr="00E92A57">
        <w:tab/>
      </w:r>
      <w:r w:rsidRPr="00E92A57">
        <w:fldChar w:fldCharType="begin"/>
      </w:r>
      <w:r w:rsidRPr="00E92A57">
        <w:instrText xml:space="preserve"> PAGEREF _Toc510548480 \h </w:instrText>
      </w:r>
      <w:r w:rsidRPr="00E92A57">
        <w:fldChar w:fldCharType="separate"/>
      </w:r>
      <w:r w:rsidR="006A487E">
        <w:t>188</w:t>
      </w:r>
      <w:r w:rsidRPr="00E92A57">
        <w:fldChar w:fldCharType="end"/>
      </w:r>
    </w:p>
    <w:p w14:paraId="2D8912F1" w14:textId="77777777" w:rsidR="00E92A57" w:rsidRPr="00E92A57" w:rsidRDefault="00E92A57">
      <w:pPr>
        <w:pStyle w:val="TM2"/>
        <w:rPr>
          <w:rFonts w:eastAsiaTheme="minorEastAsia" w:cstheme="minorBidi"/>
          <w:b w:val="0"/>
          <w:color w:val="auto"/>
          <w:sz w:val="22"/>
          <w:szCs w:val="22"/>
          <w:lang w:eastAsia="fr-FR"/>
        </w:rPr>
      </w:pPr>
      <w:r w:rsidRPr="00E92A57">
        <w:t>20.6</w:t>
      </w:r>
      <w:r w:rsidRPr="00E92A57">
        <w:rPr>
          <w:rFonts w:eastAsiaTheme="minorEastAsia" w:cstheme="minorBidi"/>
          <w:b w:val="0"/>
          <w:color w:val="auto"/>
          <w:sz w:val="22"/>
          <w:szCs w:val="22"/>
          <w:lang w:eastAsia="fr-FR"/>
        </w:rPr>
        <w:tab/>
      </w:r>
      <w:r w:rsidRPr="00E92A57">
        <w:rPr>
          <w:rFonts w:cstheme="minorHAnsi"/>
        </w:rPr>
        <w:t>Procédures judiciaires et d’arbitrage</w:t>
      </w:r>
      <w:r w:rsidRPr="00E92A57">
        <w:tab/>
      </w:r>
      <w:r w:rsidRPr="00E92A57">
        <w:fldChar w:fldCharType="begin"/>
      </w:r>
      <w:r w:rsidRPr="00E92A57">
        <w:instrText xml:space="preserve"> PAGEREF _Toc510548481 \h </w:instrText>
      </w:r>
      <w:r w:rsidRPr="00E92A57">
        <w:fldChar w:fldCharType="separate"/>
      </w:r>
      <w:r w:rsidR="006A487E">
        <w:t>189</w:t>
      </w:r>
      <w:r w:rsidRPr="00E92A57">
        <w:fldChar w:fldCharType="end"/>
      </w:r>
    </w:p>
    <w:p w14:paraId="7EA8734D" w14:textId="77777777" w:rsidR="00E92A57" w:rsidRPr="00E92A57" w:rsidRDefault="00E92A57">
      <w:pPr>
        <w:pStyle w:val="TM2"/>
        <w:rPr>
          <w:rFonts w:eastAsiaTheme="minorEastAsia" w:cstheme="minorBidi"/>
          <w:b w:val="0"/>
          <w:color w:val="auto"/>
          <w:sz w:val="22"/>
          <w:szCs w:val="22"/>
          <w:lang w:eastAsia="fr-FR"/>
        </w:rPr>
      </w:pPr>
      <w:r w:rsidRPr="00E92A57">
        <w:t>20.7</w:t>
      </w:r>
      <w:r w:rsidRPr="00E92A57">
        <w:rPr>
          <w:rFonts w:eastAsiaTheme="minorEastAsia" w:cstheme="minorBidi"/>
          <w:b w:val="0"/>
          <w:color w:val="auto"/>
          <w:sz w:val="22"/>
          <w:szCs w:val="22"/>
          <w:lang w:eastAsia="fr-FR"/>
        </w:rPr>
        <w:tab/>
      </w:r>
      <w:r w:rsidRPr="00E92A57">
        <w:rPr>
          <w:rFonts w:cstheme="minorHAnsi"/>
        </w:rPr>
        <w:t>Changement significatif de la situation financière ou commerciale</w:t>
      </w:r>
      <w:r w:rsidRPr="00E92A57">
        <w:tab/>
      </w:r>
      <w:r w:rsidRPr="00E92A57">
        <w:fldChar w:fldCharType="begin"/>
      </w:r>
      <w:r w:rsidRPr="00E92A57">
        <w:instrText xml:space="preserve"> PAGEREF _Toc510548482 \h </w:instrText>
      </w:r>
      <w:r w:rsidRPr="00E92A57">
        <w:fldChar w:fldCharType="separate"/>
      </w:r>
      <w:r w:rsidR="006A487E">
        <w:t>190</w:t>
      </w:r>
      <w:r w:rsidRPr="00E92A57">
        <w:fldChar w:fldCharType="end"/>
      </w:r>
    </w:p>
    <w:p w14:paraId="1F5C4351" w14:textId="77777777" w:rsidR="00E92A57" w:rsidRPr="00E92A57" w:rsidRDefault="00E92A57">
      <w:pPr>
        <w:pStyle w:val="TM2"/>
        <w:rPr>
          <w:rFonts w:eastAsiaTheme="minorEastAsia" w:cstheme="minorBidi"/>
          <w:b w:val="0"/>
          <w:color w:val="auto"/>
          <w:sz w:val="22"/>
          <w:szCs w:val="22"/>
          <w:lang w:eastAsia="fr-FR"/>
        </w:rPr>
      </w:pPr>
      <w:r w:rsidRPr="00E92A57">
        <w:t>20.8</w:t>
      </w:r>
      <w:r w:rsidRPr="00E92A57">
        <w:rPr>
          <w:rFonts w:eastAsiaTheme="minorEastAsia" w:cstheme="minorBidi"/>
          <w:b w:val="0"/>
          <w:color w:val="auto"/>
          <w:sz w:val="22"/>
          <w:szCs w:val="22"/>
          <w:lang w:eastAsia="fr-FR"/>
        </w:rPr>
        <w:tab/>
      </w:r>
      <w:r w:rsidRPr="00E92A57">
        <w:rPr>
          <w:rFonts w:cstheme="minorHAnsi"/>
        </w:rPr>
        <w:t>Evénements postérieurs à la clôture</w:t>
      </w:r>
      <w:r w:rsidRPr="00E92A57">
        <w:tab/>
      </w:r>
      <w:r w:rsidRPr="00E92A57">
        <w:fldChar w:fldCharType="begin"/>
      </w:r>
      <w:r w:rsidRPr="00E92A57">
        <w:instrText xml:space="preserve"> PAGEREF _Toc510548483 \h </w:instrText>
      </w:r>
      <w:r w:rsidRPr="00E92A57">
        <w:fldChar w:fldCharType="separate"/>
      </w:r>
      <w:r w:rsidR="006A487E">
        <w:t>190</w:t>
      </w:r>
      <w:r w:rsidRPr="00E92A57">
        <w:fldChar w:fldCharType="end"/>
      </w:r>
    </w:p>
    <w:p w14:paraId="318F3519"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21.</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INFORMATIONS COMPLEMENTAIRES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_Toc510548484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191</w:t>
      </w:r>
      <w:r w:rsidRPr="00E92A57">
        <w:rPr>
          <w:rFonts w:asciiTheme="minorHAnsi" w:hAnsiTheme="minorHAnsi"/>
        </w:rPr>
        <w:fldChar w:fldCharType="end"/>
      </w:r>
    </w:p>
    <w:p w14:paraId="5DF4BC2C" w14:textId="77777777" w:rsidR="00E92A57" w:rsidRPr="00E92A57" w:rsidRDefault="00E92A57">
      <w:pPr>
        <w:pStyle w:val="TM2"/>
        <w:rPr>
          <w:rFonts w:eastAsiaTheme="minorEastAsia" w:cstheme="minorBidi"/>
          <w:b w:val="0"/>
          <w:color w:val="auto"/>
          <w:sz w:val="22"/>
          <w:szCs w:val="22"/>
          <w:lang w:eastAsia="fr-FR"/>
        </w:rPr>
      </w:pPr>
      <w:r w:rsidRPr="00E92A57">
        <w:t>21.1</w:t>
      </w:r>
      <w:r w:rsidRPr="00E92A57">
        <w:rPr>
          <w:rFonts w:eastAsiaTheme="minorEastAsia" w:cstheme="minorBidi"/>
          <w:b w:val="0"/>
          <w:color w:val="auto"/>
          <w:sz w:val="22"/>
          <w:szCs w:val="22"/>
          <w:lang w:eastAsia="fr-FR"/>
        </w:rPr>
        <w:tab/>
      </w:r>
      <w:r w:rsidRPr="00E92A57">
        <w:rPr>
          <w:rFonts w:cstheme="minorHAnsi"/>
        </w:rPr>
        <w:t>Capital social</w:t>
      </w:r>
      <w:r w:rsidRPr="00E92A57">
        <w:tab/>
      </w:r>
      <w:r w:rsidRPr="00E92A57">
        <w:fldChar w:fldCharType="begin"/>
      </w:r>
      <w:r w:rsidRPr="00E92A57">
        <w:instrText xml:space="preserve"> PAGEREF _Toc510548485 \h </w:instrText>
      </w:r>
      <w:r w:rsidRPr="00E92A57">
        <w:fldChar w:fldCharType="separate"/>
      </w:r>
      <w:r w:rsidR="006A487E">
        <w:t>191</w:t>
      </w:r>
      <w:r w:rsidRPr="00E92A57">
        <w:fldChar w:fldCharType="end"/>
      </w:r>
    </w:p>
    <w:p w14:paraId="10E3D7C0" w14:textId="77777777" w:rsidR="00E92A57" w:rsidRPr="00E92A57" w:rsidRDefault="00E92A57">
      <w:pPr>
        <w:pStyle w:val="TM2"/>
        <w:rPr>
          <w:rFonts w:eastAsiaTheme="minorEastAsia" w:cstheme="minorBidi"/>
          <w:b w:val="0"/>
          <w:color w:val="auto"/>
          <w:sz w:val="22"/>
          <w:szCs w:val="22"/>
          <w:lang w:eastAsia="fr-FR"/>
        </w:rPr>
      </w:pPr>
      <w:r w:rsidRPr="00E92A57">
        <w:t>21.2</w:t>
      </w:r>
      <w:r w:rsidRPr="00E92A57">
        <w:rPr>
          <w:rFonts w:eastAsiaTheme="minorEastAsia" w:cstheme="minorBidi"/>
          <w:b w:val="0"/>
          <w:color w:val="auto"/>
          <w:sz w:val="22"/>
          <w:szCs w:val="22"/>
          <w:lang w:eastAsia="fr-FR"/>
        </w:rPr>
        <w:tab/>
      </w:r>
      <w:r w:rsidRPr="00E92A57">
        <w:rPr>
          <w:rFonts w:cstheme="minorHAnsi"/>
        </w:rPr>
        <w:t>Eléments susceptibles d’avoir une incidence en cas d’offre publique</w:t>
      </w:r>
      <w:r w:rsidRPr="00E92A57">
        <w:tab/>
      </w:r>
      <w:r w:rsidRPr="00E92A57">
        <w:fldChar w:fldCharType="begin"/>
      </w:r>
      <w:r w:rsidRPr="00E92A57">
        <w:instrText xml:space="preserve"> PAGEREF _Toc510548486 \h </w:instrText>
      </w:r>
      <w:r w:rsidRPr="00E92A57">
        <w:fldChar w:fldCharType="separate"/>
      </w:r>
      <w:r w:rsidR="006A487E">
        <w:t>207</w:t>
      </w:r>
      <w:r w:rsidRPr="00E92A57">
        <w:fldChar w:fldCharType="end"/>
      </w:r>
    </w:p>
    <w:p w14:paraId="0FD8AC95" w14:textId="77777777" w:rsidR="00E92A57" w:rsidRPr="00E92A57" w:rsidRDefault="00E92A57">
      <w:pPr>
        <w:pStyle w:val="TM2"/>
        <w:rPr>
          <w:rFonts w:eastAsiaTheme="minorEastAsia" w:cstheme="minorBidi"/>
          <w:b w:val="0"/>
          <w:color w:val="auto"/>
          <w:sz w:val="22"/>
          <w:szCs w:val="22"/>
          <w:lang w:eastAsia="fr-FR"/>
        </w:rPr>
      </w:pPr>
      <w:r w:rsidRPr="00E92A57">
        <w:t>21.3</w:t>
      </w:r>
      <w:r w:rsidRPr="00E92A57">
        <w:rPr>
          <w:rFonts w:eastAsiaTheme="minorEastAsia" w:cstheme="minorBidi"/>
          <w:b w:val="0"/>
          <w:color w:val="auto"/>
          <w:sz w:val="22"/>
          <w:szCs w:val="22"/>
          <w:lang w:eastAsia="fr-FR"/>
        </w:rPr>
        <w:tab/>
      </w:r>
      <w:r w:rsidRPr="00E92A57">
        <w:rPr>
          <w:rFonts w:cstheme="minorHAnsi"/>
        </w:rPr>
        <w:t>Acte constitutif et statuts</w:t>
      </w:r>
      <w:r w:rsidRPr="00E92A57">
        <w:tab/>
      </w:r>
      <w:r w:rsidRPr="00E92A57">
        <w:fldChar w:fldCharType="begin"/>
      </w:r>
      <w:r w:rsidRPr="00E92A57">
        <w:instrText xml:space="preserve"> PAGEREF _Toc510548487 \h </w:instrText>
      </w:r>
      <w:r w:rsidRPr="00E92A57">
        <w:fldChar w:fldCharType="separate"/>
      </w:r>
      <w:r w:rsidR="006A487E">
        <w:t>208</w:t>
      </w:r>
      <w:r w:rsidRPr="00E92A57">
        <w:fldChar w:fldCharType="end"/>
      </w:r>
    </w:p>
    <w:p w14:paraId="06617CB7"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22.</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CONTRATS IMPORTANTS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_Toc510548488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221</w:t>
      </w:r>
      <w:r w:rsidRPr="00E92A57">
        <w:rPr>
          <w:rFonts w:asciiTheme="minorHAnsi" w:hAnsiTheme="minorHAnsi"/>
        </w:rPr>
        <w:fldChar w:fldCharType="end"/>
      </w:r>
    </w:p>
    <w:p w14:paraId="64FA2EE0" w14:textId="77777777" w:rsidR="00E92A57" w:rsidRPr="00E92A57" w:rsidRDefault="00E92A57">
      <w:pPr>
        <w:pStyle w:val="TM2"/>
        <w:rPr>
          <w:rFonts w:eastAsiaTheme="minorEastAsia" w:cstheme="minorBidi"/>
          <w:b w:val="0"/>
          <w:color w:val="auto"/>
          <w:sz w:val="22"/>
          <w:szCs w:val="22"/>
          <w:lang w:eastAsia="fr-FR"/>
        </w:rPr>
      </w:pPr>
      <w:r w:rsidRPr="00E92A57">
        <w:t>22.1</w:t>
      </w:r>
      <w:r w:rsidRPr="00E92A57">
        <w:rPr>
          <w:rFonts w:eastAsiaTheme="minorEastAsia" w:cstheme="minorBidi"/>
          <w:b w:val="0"/>
          <w:color w:val="auto"/>
          <w:sz w:val="22"/>
          <w:szCs w:val="22"/>
          <w:lang w:eastAsia="fr-FR"/>
        </w:rPr>
        <w:tab/>
      </w:r>
      <w:r w:rsidRPr="00E92A57">
        <w:rPr>
          <w:rFonts w:cstheme="minorHAnsi"/>
        </w:rPr>
        <w:t>Contrats de collaboration et de recherche et développement</w:t>
      </w:r>
      <w:r w:rsidRPr="00E92A57">
        <w:tab/>
      </w:r>
      <w:r w:rsidRPr="00E92A57">
        <w:fldChar w:fldCharType="begin"/>
      </w:r>
      <w:r w:rsidRPr="00E92A57">
        <w:instrText xml:space="preserve"> PAGEREF _Toc510548489 \h </w:instrText>
      </w:r>
      <w:r w:rsidRPr="00E92A57">
        <w:fldChar w:fldCharType="separate"/>
      </w:r>
      <w:r w:rsidR="006A487E">
        <w:t>221</w:t>
      </w:r>
      <w:r w:rsidRPr="00E92A57">
        <w:fldChar w:fldCharType="end"/>
      </w:r>
    </w:p>
    <w:p w14:paraId="6CE542A1" w14:textId="77777777" w:rsidR="00E92A57" w:rsidRPr="00E92A57" w:rsidRDefault="00E92A57">
      <w:pPr>
        <w:pStyle w:val="TM2"/>
        <w:rPr>
          <w:rFonts w:eastAsiaTheme="minorEastAsia" w:cstheme="minorBidi"/>
          <w:b w:val="0"/>
          <w:color w:val="auto"/>
          <w:sz w:val="22"/>
          <w:szCs w:val="22"/>
          <w:lang w:eastAsia="fr-FR"/>
        </w:rPr>
      </w:pPr>
      <w:r w:rsidRPr="00E92A57">
        <w:t>22.2</w:t>
      </w:r>
      <w:r w:rsidRPr="00E92A57">
        <w:rPr>
          <w:rFonts w:eastAsiaTheme="minorEastAsia" w:cstheme="minorBidi"/>
          <w:b w:val="0"/>
          <w:color w:val="auto"/>
          <w:sz w:val="22"/>
          <w:szCs w:val="22"/>
          <w:lang w:eastAsia="fr-FR"/>
        </w:rPr>
        <w:tab/>
      </w:r>
      <w:r w:rsidRPr="00E92A57">
        <w:rPr>
          <w:rFonts w:cstheme="minorHAnsi"/>
        </w:rPr>
        <w:t>Contrats de prestations de services et de mandat avec des « Clinical Research Organisation » (CRO), des laboratoires centralisés et des logisticiens cliniques</w:t>
      </w:r>
      <w:r w:rsidRPr="00E92A57">
        <w:tab/>
      </w:r>
      <w:r w:rsidRPr="00E92A57">
        <w:fldChar w:fldCharType="begin"/>
      </w:r>
      <w:r w:rsidRPr="00E92A57">
        <w:instrText xml:space="preserve"> PAGEREF _Toc510548490 \h </w:instrText>
      </w:r>
      <w:r w:rsidRPr="00E92A57">
        <w:fldChar w:fldCharType="separate"/>
      </w:r>
      <w:r w:rsidR="006A487E">
        <w:t>221</w:t>
      </w:r>
      <w:r w:rsidRPr="00E92A57">
        <w:fldChar w:fldCharType="end"/>
      </w:r>
    </w:p>
    <w:p w14:paraId="323A12F9" w14:textId="77777777" w:rsidR="00E92A57" w:rsidRPr="00E92A57" w:rsidRDefault="00E92A57">
      <w:pPr>
        <w:pStyle w:val="TM2"/>
        <w:rPr>
          <w:rFonts w:eastAsiaTheme="minorEastAsia" w:cstheme="minorBidi"/>
          <w:b w:val="0"/>
          <w:color w:val="auto"/>
          <w:sz w:val="22"/>
          <w:szCs w:val="22"/>
          <w:lang w:eastAsia="fr-FR"/>
        </w:rPr>
      </w:pPr>
      <w:r w:rsidRPr="00E92A57">
        <w:t>22.3</w:t>
      </w:r>
      <w:r w:rsidRPr="00E92A57">
        <w:rPr>
          <w:rFonts w:eastAsiaTheme="minorEastAsia" w:cstheme="minorBidi"/>
          <w:b w:val="0"/>
          <w:color w:val="auto"/>
          <w:sz w:val="22"/>
          <w:szCs w:val="22"/>
          <w:lang w:eastAsia="fr-FR"/>
        </w:rPr>
        <w:tab/>
      </w:r>
      <w:r w:rsidRPr="00E92A57">
        <w:rPr>
          <w:rFonts w:cstheme="minorHAnsi"/>
        </w:rPr>
        <w:t>Contrat de cession de marque</w:t>
      </w:r>
      <w:r w:rsidRPr="00E92A57">
        <w:tab/>
      </w:r>
      <w:r w:rsidRPr="00E92A57">
        <w:fldChar w:fldCharType="begin"/>
      </w:r>
      <w:r w:rsidRPr="00E92A57">
        <w:instrText xml:space="preserve"> PAGEREF _Toc510548491 \h </w:instrText>
      </w:r>
      <w:r w:rsidRPr="00E92A57">
        <w:fldChar w:fldCharType="separate"/>
      </w:r>
      <w:r w:rsidR="006A487E">
        <w:t>223</w:t>
      </w:r>
      <w:r w:rsidRPr="00E92A57">
        <w:fldChar w:fldCharType="end"/>
      </w:r>
    </w:p>
    <w:p w14:paraId="78F6B74A" w14:textId="77777777" w:rsidR="00E92A57" w:rsidRPr="00E92A57" w:rsidRDefault="00E92A57">
      <w:pPr>
        <w:pStyle w:val="TM2"/>
        <w:rPr>
          <w:rFonts w:eastAsiaTheme="minorEastAsia" w:cstheme="minorBidi"/>
          <w:b w:val="0"/>
          <w:color w:val="auto"/>
          <w:sz w:val="22"/>
          <w:szCs w:val="22"/>
          <w:lang w:eastAsia="fr-FR"/>
        </w:rPr>
      </w:pPr>
      <w:r w:rsidRPr="00E92A57">
        <w:t>22.4</w:t>
      </w:r>
      <w:r w:rsidRPr="00E92A57">
        <w:rPr>
          <w:rFonts w:eastAsiaTheme="minorEastAsia" w:cstheme="minorBidi"/>
          <w:b w:val="0"/>
          <w:color w:val="auto"/>
          <w:sz w:val="22"/>
          <w:szCs w:val="22"/>
          <w:lang w:eastAsia="fr-FR"/>
        </w:rPr>
        <w:tab/>
      </w:r>
      <w:r w:rsidRPr="00E92A57">
        <w:rPr>
          <w:rFonts w:cstheme="minorHAnsi"/>
        </w:rPr>
        <w:t>Contrats d’aide Bpifrance (subventions et/ou avances remboursables)</w:t>
      </w:r>
      <w:r w:rsidRPr="00E92A57">
        <w:tab/>
      </w:r>
      <w:r w:rsidRPr="00E92A57">
        <w:fldChar w:fldCharType="begin"/>
      </w:r>
      <w:r w:rsidRPr="00E92A57">
        <w:instrText xml:space="preserve"> PAGEREF _Toc510548492 \h </w:instrText>
      </w:r>
      <w:r w:rsidRPr="00E92A57">
        <w:fldChar w:fldCharType="separate"/>
      </w:r>
      <w:r w:rsidR="006A487E">
        <w:t>224</w:t>
      </w:r>
      <w:r w:rsidRPr="00E92A57">
        <w:fldChar w:fldCharType="end"/>
      </w:r>
    </w:p>
    <w:p w14:paraId="2BE2941C"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23.</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INFORMATIONS PROVENANT DE TIERS, DECLARATIONS D’EXPERTS ET DECLARATIONS D’INTERETS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_Toc510548493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230</w:t>
      </w:r>
      <w:r w:rsidRPr="00E92A57">
        <w:rPr>
          <w:rFonts w:asciiTheme="minorHAnsi" w:hAnsiTheme="minorHAnsi"/>
        </w:rPr>
        <w:fldChar w:fldCharType="end"/>
      </w:r>
    </w:p>
    <w:p w14:paraId="2E58C453" w14:textId="77777777" w:rsidR="00E92A57" w:rsidRPr="00E92A57" w:rsidRDefault="00E92A57">
      <w:pPr>
        <w:pStyle w:val="TM2"/>
        <w:rPr>
          <w:rFonts w:eastAsiaTheme="minorEastAsia" w:cstheme="minorBidi"/>
          <w:b w:val="0"/>
          <w:color w:val="auto"/>
          <w:sz w:val="22"/>
          <w:szCs w:val="22"/>
          <w:lang w:eastAsia="fr-FR"/>
        </w:rPr>
      </w:pPr>
      <w:r w:rsidRPr="00E92A57">
        <w:t>23.1</w:t>
      </w:r>
      <w:r w:rsidRPr="00E92A57">
        <w:rPr>
          <w:rFonts w:eastAsiaTheme="minorEastAsia" w:cstheme="minorBidi"/>
          <w:b w:val="0"/>
          <w:color w:val="auto"/>
          <w:sz w:val="22"/>
          <w:szCs w:val="22"/>
          <w:lang w:eastAsia="fr-FR"/>
        </w:rPr>
        <w:tab/>
      </w:r>
      <w:r w:rsidRPr="00E92A57">
        <w:rPr>
          <w:rFonts w:cstheme="minorHAnsi"/>
        </w:rPr>
        <w:t>Désignation des experts</w:t>
      </w:r>
      <w:r w:rsidRPr="00E92A57">
        <w:tab/>
      </w:r>
      <w:r w:rsidRPr="00E92A57">
        <w:fldChar w:fldCharType="begin"/>
      </w:r>
      <w:r w:rsidRPr="00E92A57">
        <w:instrText xml:space="preserve"> PAGEREF _Toc510548494 \h </w:instrText>
      </w:r>
      <w:r w:rsidRPr="00E92A57">
        <w:fldChar w:fldCharType="separate"/>
      </w:r>
      <w:r w:rsidR="006A487E">
        <w:t>230</w:t>
      </w:r>
      <w:r w:rsidRPr="00E92A57">
        <w:fldChar w:fldCharType="end"/>
      </w:r>
    </w:p>
    <w:p w14:paraId="1E7068F0" w14:textId="77777777" w:rsidR="00E92A57" w:rsidRPr="00E92A57" w:rsidRDefault="00E92A57">
      <w:pPr>
        <w:pStyle w:val="TM2"/>
        <w:rPr>
          <w:rFonts w:eastAsiaTheme="minorEastAsia" w:cstheme="minorBidi"/>
          <w:b w:val="0"/>
          <w:color w:val="auto"/>
          <w:sz w:val="22"/>
          <w:szCs w:val="22"/>
          <w:lang w:eastAsia="fr-FR"/>
        </w:rPr>
      </w:pPr>
      <w:r w:rsidRPr="00E92A57">
        <w:t>23.2</w:t>
      </w:r>
      <w:r w:rsidRPr="00E92A57">
        <w:rPr>
          <w:rFonts w:eastAsiaTheme="minorEastAsia" w:cstheme="minorBidi"/>
          <w:b w:val="0"/>
          <w:color w:val="auto"/>
          <w:sz w:val="22"/>
          <w:szCs w:val="22"/>
          <w:lang w:eastAsia="fr-FR"/>
        </w:rPr>
        <w:tab/>
      </w:r>
      <w:r w:rsidRPr="00E92A57">
        <w:rPr>
          <w:rFonts w:cstheme="minorHAnsi"/>
        </w:rPr>
        <w:t>Désignation des tiers</w:t>
      </w:r>
      <w:r w:rsidRPr="00E92A57">
        <w:tab/>
      </w:r>
      <w:r w:rsidRPr="00E92A57">
        <w:fldChar w:fldCharType="begin"/>
      </w:r>
      <w:r w:rsidRPr="00E92A57">
        <w:instrText xml:space="preserve"> PAGEREF _Toc510548495 \h </w:instrText>
      </w:r>
      <w:r w:rsidRPr="00E92A57">
        <w:fldChar w:fldCharType="separate"/>
      </w:r>
      <w:r w:rsidR="006A487E">
        <w:t>230</w:t>
      </w:r>
      <w:r w:rsidRPr="00E92A57">
        <w:fldChar w:fldCharType="end"/>
      </w:r>
    </w:p>
    <w:p w14:paraId="59768F49"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lastRenderedPageBreak/>
        <w:t>24.</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DOCUMENTS ACCESSIBLES AU PUBLIC</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_Toc510548496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231</w:t>
      </w:r>
      <w:r w:rsidRPr="00E92A57">
        <w:rPr>
          <w:rFonts w:asciiTheme="minorHAnsi" w:hAnsiTheme="minorHAnsi"/>
        </w:rPr>
        <w:fldChar w:fldCharType="end"/>
      </w:r>
    </w:p>
    <w:p w14:paraId="3463C407"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25.</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INFORMATIONS SUR LES PARTICIPATIONS</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_Toc510548497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232</w:t>
      </w:r>
      <w:r w:rsidRPr="00E92A57">
        <w:rPr>
          <w:rFonts w:asciiTheme="minorHAnsi" w:hAnsiTheme="minorHAnsi"/>
        </w:rPr>
        <w:fldChar w:fldCharType="end"/>
      </w:r>
    </w:p>
    <w:p w14:paraId="72641895" w14:textId="77777777" w:rsidR="00E92A57" w:rsidRPr="00E92A57" w:rsidRDefault="00E92A57">
      <w:pPr>
        <w:pStyle w:val="TM1"/>
        <w:rPr>
          <w:rFonts w:asciiTheme="minorHAnsi" w:eastAsiaTheme="minorEastAsia" w:hAnsiTheme="minorHAnsi" w:cstheme="minorBidi"/>
          <w:b w:val="0"/>
          <w:sz w:val="22"/>
          <w:szCs w:val="22"/>
          <w:lang w:val="fr-FR" w:eastAsia="fr-FR"/>
        </w:rPr>
      </w:pPr>
      <w:r w:rsidRPr="00E92A57">
        <w:rPr>
          <w:rFonts w:asciiTheme="minorHAnsi" w:hAnsiTheme="minorHAnsi"/>
          <w:lang w:val="fr-FR"/>
        </w:rPr>
        <w:t>26.</w:t>
      </w:r>
      <w:r w:rsidRPr="00E92A57">
        <w:rPr>
          <w:rFonts w:asciiTheme="minorHAnsi" w:eastAsiaTheme="minorEastAsia" w:hAnsiTheme="minorHAnsi" w:cstheme="minorBidi"/>
          <w:b w:val="0"/>
          <w:sz w:val="22"/>
          <w:szCs w:val="22"/>
          <w:lang w:val="fr-FR" w:eastAsia="fr-FR"/>
        </w:rPr>
        <w:tab/>
      </w:r>
      <w:r w:rsidRPr="00E92A57">
        <w:rPr>
          <w:rFonts w:asciiTheme="minorHAnsi" w:hAnsiTheme="minorHAnsi" w:cstheme="minorHAnsi"/>
          <w:lang w:val="fr-FR"/>
        </w:rPr>
        <w:t>TABLE DE CONCORDANCE DU RAPPORT DE GESTION</w:t>
      </w:r>
      <w:r w:rsidRPr="00E92A57">
        <w:rPr>
          <w:rFonts w:asciiTheme="minorHAnsi" w:hAnsiTheme="minorHAnsi"/>
          <w:lang w:val="fr-FR"/>
        </w:rPr>
        <w:tab/>
      </w:r>
      <w:r w:rsidRPr="00E92A57">
        <w:rPr>
          <w:rFonts w:asciiTheme="minorHAnsi" w:hAnsiTheme="minorHAnsi"/>
        </w:rPr>
        <w:fldChar w:fldCharType="begin"/>
      </w:r>
      <w:r w:rsidRPr="00E92A57">
        <w:rPr>
          <w:rFonts w:asciiTheme="minorHAnsi" w:hAnsiTheme="minorHAnsi"/>
          <w:lang w:val="fr-FR"/>
        </w:rPr>
        <w:instrText xml:space="preserve"> PAGEREF _Toc510548498 \h </w:instrText>
      </w:r>
      <w:r w:rsidRPr="00E92A57">
        <w:rPr>
          <w:rFonts w:asciiTheme="minorHAnsi" w:hAnsiTheme="minorHAnsi"/>
        </w:rPr>
      </w:r>
      <w:r w:rsidRPr="00E92A57">
        <w:rPr>
          <w:rFonts w:asciiTheme="minorHAnsi" w:hAnsiTheme="minorHAnsi"/>
        </w:rPr>
        <w:fldChar w:fldCharType="separate"/>
      </w:r>
      <w:r w:rsidR="006A487E">
        <w:rPr>
          <w:rFonts w:asciiTheme="minorHAnsi" w:hAnsiTheme="minorHAnsi"/>
          <w:lang w:val="fr-FR"/>
        </w:rPr>
        <w:t>233</w:t>
      </w:r>
      <w:r w:rsidRPr="00E92A57">
        <w:rPr>
          <w:rFonts w:asciiTheme="minorHAnsi" w:hAnsiTheme="minorHAnsi"/>
        </w:rPr>
        <w:fldChar w:fldCharType="end"/>
      </w:r>
    </w:p>
    <w:p w14:paraId="050FF662" w14:textId="77777777" w:rsidR="00E92A57" w:rsidRPr="00E92A57" w:rsidRDefault="00E92A57">
      <w:pPr>
        <w:pStyle w:val="TM2"/>
        <w:rPr>
          <w:rFonts w:eastAsiaTheme="minorEastAsia" w:cstheme="minorBidi"/>
          <w:b w:val="0"/>
          <w:color w:val="auto"/>
          <w:sz w:val="22"/>
          <w:szCs w:val="22"/>
          <w:lang w:eastAsia="fr-FR"/>
        </w:rPr>
      </w:pPr>
      <w:r w:rsidRPr="00E92A57">
        <w:t>26.1</w:t>
      </w:r>
      <w:r w:rsidRPr="00E92A57">
        <w:rPr>
          <w:rFonts w:eastAsiaTheme="minorEastAsia" w:cstheme="minorBidi"/>
          <w:b w:val="0"/>
          <w:color w:val="auto"/>
          <w:sz w:val="22"/>
          <w:szCs w:val="22"/>
          <w:lang w:eastAsia="fr-FR"/>
        </w:rPr>
        <w:tab/>
      </w:r>
      <w:r w:rsidRPr="00E92A57">
        <w:rPr>
          <w:rFonts w:cstheme="minorHAnsi"/>
        </w:rPr>
        <w:t>Table de concordance avec le rapport financier annuel</w:t>
      </w:r>
      <w:r w:rsidRPr="00E92A57">
        <w:tab/>
      </w:r>
      <w:r w:rsidRPr="00E92A57">
        <w:fldChar w:fldCharType="begin"/>
      </w:r>
      <w:r w:rsidRPr="00E92A57">
        <w:instrText xml:space="preserve"> PAGEREF _Toc510548499 \h </w:instrText>
      </w:r>
      <w:r w:rsidRPr="00E92A57">
        <w:fldChar w:fldCharType="separate"/>
      </w:r>
      <w:r w:rsidR="006A487E">
        <w:t>233</w:t>
      </w:r>
      <w:r w:rsidRPr="00E92A57">
        <w:fldChar w:fldCharType="end"/>
      </w:r>
    </w:p>
    <w:p w14:paraId="506BB098" w14:textId="77777777" w:rsidR="00E92A57" w:rsidRPr="00E92A57" w:rsidRDefault="00E92A57">
      <w:pPr>
        <w:pStyle w:val="TM2"/>
        <w:rPr>
          <w:rFonts w:eastAsiaTheme="minorEastAsia" w:cstheme="minorBidi"/>
          <w:b w:val="0"/>
          <w:color w:val="auto"/>
          <w:sz w:val="22"/>
          <w:szCs w:val="22"/>
          <w:lang w:eastAsia="fr-FR"/>
        </w:rPr>
      </w:pPr>
      <w:r w:rsidRPr="00E92A57">
        <w:t>26.2</w:t>
      </w:r>
      <w:r w:rsidRPr="00E92A57">
        <w:rPr>
          <w:rFonts w:eastAsiaTheme="minorEastAsia" w:cstheme="minorBidi"/>
          <w:b w:val="0"/>
          <w:color w:val="auto"/>
          <w:sz w:val="22"/>
          <w:szCs w:val="22"/>
          <w:lang w:eastAsia="fr-FR"/>
        </w:rPr>
        <w:tab/>
      </w:r>
      <w:r w:rsidRPr="00E92A57">
        <w:rPr>
          <w:rFonts w:cstheme="minorHAnsi"/>
        </w:rPr>
        <w:t>Table de concordance avec le rapport de gestion</w:t>
      </w:r>
      <w:r w:rsidRPr="00E92A57">
        <w:tab/>
      </w:r>
      <w:r w:rsidRPr="00E92A57">
        <w:fldChar w:fldCharType="begin"/>
      </w:r>
      <w:r w:rsidRPr="00E92A57">
        <w:instrText xml:space="preserve"> PAGEREF _Toc510548500 \h </w:instrText>
      </w:r>
      <w:r w:rsidRPr="00E92A57">
        <w:fldChar w:fldCharType="separate"/>
      </w:r>
      <w:r w:rsidR="006A487E">
        <w:t>233</w:t>
      </w:r>
      <w:r w:rsidRPr="00E92A57">
        <w:fldChar w:fldCharType="end"/>
      </w:r>
    </w:p>
    <w:p w14:paraId="4E628A63" w14:textId="77777777" w:rsidR="00E92A57" w:rsidRPr="00E92A57" w:rsidRDefault="00E92A57">
      <w:pPr>
        <w:pStyle w:val="TM2"/>
        <w:rPr>
          <w:rFonts w:eastAsiaTheme="minorEastAsia" w:cstheme="minorBidi"/>
          <w:b w:val="0"/>
          <w:color w:val="auto"/>
          <w:sz w:val="22"/>
          <w:szCs w:val="22"/>
          <w:lang w:eastAsia="fr-FR"/>
        </w:rPr>
      </w:pPr>
      <w:r w:rsidRPr="00E92A57">
        <w:t>26.3</w:t>
      </w:r>
      <w:r w:rsidRPr="00E92A57">
        <w:rPr>
          <w:rFonts w:eastAsiaTheme="minorEastAsia" w:cstheme="minorBidi"/>
          <w:b w:val="0"/>
          <w:color w:val="auto"/>
          <w:sz w:val="22"/>
          <w:szCs w:val="22"/>
          <w:lang w:eastAsia="fr-FR"/>
        </w:rPr>
        <w:tab/>
      </w:r>
      <w:r w:rsidRPr="00E92A57">
        <w:rPr>
          <w:rFonts w:cstheme="minorHAnsi"/>
        </w:rPr>
        <w:t>Table de concordance avec le rapport sur le gouvernement d’entreprise</w:t>
      </w:r>
      <w:r w:rsidRPr="00E92A57">
        <w:tab/>
      </w:r>
      <w:r w:rsidRPr="00E92A57">
        <w:fldChar w:fldCharType="begin"/>
      </w:r>
      <w:r w:rsidRPr="00E92A57">
        <w:instrText xml:space="preserve"> PAGEREF _Toc510548501 \h </w:instrText>
      </w:r>
      <w:r w:rsidRPr="00E92A57">
        <w:fldChar w:fldCharType="separate"/>
      </w:r>
      <w:r w:rsidR="006A487E">
        <w:t>234</w:t>
      </w:r>
      <w:r w:rsidRPr="00E92A57">
        <w:fldChar w:fldCharType="end"/>
      </w:r>
    </w:p>
    <w:p w14:paraId="35EF29CB" w14:textId="77777777" w:rsidR="00F46C7B" w:rsidRPr="00C73365" w:rsidRDefault="00F46C7B">
      <w:pPr>
        <w:widowControl w:val="0"/>
        <w:tabs>
          <w:tab w:val="right" w:leader="dot" w:pos="9639"/>
        </w:tabs>
        <w:rPr>
          <w:rFonts w:asciiTheme="minorHAnsi" w:hAnsiTheme="minorHAnsi" w:cstheme="minorHAnsi"/>
          <w:szCs w:val="20"/>
          <w:lang w:val="fr-FR"/>
        </w:rPr>
      </w:pPr>
      <w:r w:rsidRPr="00E92A57">
        <w:rPr>
          <w:rFonts w:asciiTheme="minorHAnsi" w:hAnsiTheme="minorHAnsi" w:cstheme="minorHAnsi"/>
          <w:b/>
          <w:noProof/>
          <w:szCs w:val="20"/>
          <w:lang w:val="fr-FR"/>
        </w:rPr>
        <w:fldChar w:fldCharType="end"/>
      </w:r>
    </w:p>
    <w:p w14:paraId="33232245" w14:textId="77777777" w:rsidR="00F46C7B" w:rsidRPr="00C73365" w:rsidRDefault="00F46C7B">
      <w:pPr>
        <w:rPr>
          <w:rFonts w:asciiTheme="minorHAnsi" w:hAnsiTheme="minorHAnsi" w:cstheme="minorHAnsi"/>
          <w:szCs w:val="20"/>
          <w:lang w:val="fr-FR"/>
        </w:rPr>
      </w:pPr>
      <w:r w:rsidRPr="00C73365">
        <w:rPr>
          <w:rFonts w:asciiTheme="minorHAnsi" w:hAnsiTheme="minorHAnsi" w:cstheme="minorHAnsi"/>
          <w:szCs w:val="20"/>
          <w:lang w:val="fr-FR"/>
        </w:rPr>
        <w:br w:type="page"/>
      </w:r>
    </w:p>
    <w:p w14:paraId="65E67C84" w14:textId="77777777" w:rsidR="00F46C7B" w:rsidRPr="00C73365" w:rsidRDefault="00F46C7B" w:rsidP="004572A0">
      <w:pPr>
        <w:pStyle w:val="Titre2"/>
        <w:rPr>
          <w:rFonts w:cstheme="minorHAnsi"/>
          <w:lang w:val="fr-FR"/>
        </w:rPr>
      </w:pPr>
      <w:bookmarkStart w:id="3" w:name="_Toc510548387"/>
      <w:r w:rsidRPr="00C73365">
        <w:rPr>
          <w:rFonts w:cstheme="minorHAnsi"/>
          <w:lang w:val="fr-FR"/>
        </w:rPr>
        <w:lastRenderedPageBreak/>
        <w:t>REMARQUES GENERALES</w:t>
      </w:r>
      <w:bookmarkEnd w:id="3"/>
    </w:p>
    <w:p w14:paraId="5643D0C8" w14:textId="77777777" w:rsidR="00F46C7B" w:rsidRPr="00C73365" w:rsidRDefault="00F46C7B" w:rsidP="00A96CCA">
      <w:pPr>
        <w:pStyle w:val="Titr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Il est précisé que le présent document de référence a été rédigé sur la base de l’annexe I du règlement européen N°809/2004. </w:t>
      </w:r>
    </w:p>
    <w:p w14:paraId="02AD7A07" w14:textId="77777777" w:rsidR="00F46C7B" w:rsidRPr="00C73365" w:rsidRDefault="00F46C7B" w:rsidP="00A96CCA">
      <w:pPr>
        <w:pStyle w:val="Titre"/>
        <w:keepNext/>
        <w:spacing w:after="120"/>
        <w:jc w:val="left"/>
        <w:rPr>
          <w:rFonts w:asciiTheme="minorHAnsi" w:hAnsiTheme="minorHAnsi" w:cstheme="minorHAnsi"/>
          <w:color w:val="7030A0"/>
          <w:lang w:val="fr-FR"/>
        </w:rPr>
      </w:pPr>
      <w:r w:rsidRPr="00C73365">
        <w:rPr>
          <w:rFonts w:asciiTheme="minorHAnsi" w:hAnsiTheme="minorHAnsi" w:cstheme="minorHAnsi"/>
          <w:color w:val="7030A0"/>
          <w:lang w:val="fr-FR"/>
        </w:rPr>
        <w:t>Définition</w:t>
      </w:r>
    </w:p>
    <w:p w14:paraId="542F0B33"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Dans le présent document de référence, et sauf indication contraire :</w:t>
      </w:r>
    </w:p>
    <w:p w14:paraId="2BCD8743" w14:textId="77777777" w:rsidR="00F46C7B" w:rsidRPr="00E66FAB" w:rsidRDefault="00F46C7B" w:rsidP="004572A0">
      <w:pPr>
        <w:pStyle w:val="Listepuces2"/>
        <w:numPr>
          <w:ilvl w:val="0"/>
          <w:numId w:val="38"/>
        </w:numPr>
        <w:rPr>
          <w:rFonts w:asciiTheme="minorHAnsi" w:hAnsiTheme="minorHAnsi" w:cstheme="minorHAnsi"/>
          <w:lang w:val="fr-FR"/>
        </w:rPr>
      </w:pPr>
      <w:r w:rsidRPr="00E66FAB">
        <w:rPr>
          <w:rFonts w:asciiTheme="minorHAnsi" w:hAnsiTheme="minorHAnsi" w:cstheme="minorHAnsi"/>
          <w:lang w:val="fr-FR"/>
        </w:rPr>
        <w:t>les termes « </w:t>
      </w:r>
      <w:r w:rsidR="00EF089C" w:rsidRPr="00E66FAB">
        <w:rPr>
          <w:rFonts w:asciiTheme="minorHAnsi" w:hAnsiTheme="minorHAnsi" w:cstheme="minorHAnsi"/>
          <w:u w:val="single"/>
          <w:lang w:val="fr-FR"/>
        </w:rPr>
        <w:t>ABIVAX</w:t>
      </w:r>
      <w:r w:rsidRPr="00E66FAB">
        <w:rPr>
          <w:rFonts w:asciiTheme="minorHAnsi" w:hAnsiTheme="minorHAnsi" w:cstheme="minorHAnsi"/>
          <w:lang w:val="fr-FR"/>
        </w:rPr>
        <w:t> » ou la « </w:t>
      </w:r>
      <w:r w:rsidRPr="00E66FAB">
        <w:rPr>
          <w:rFonts w:asciiTheme="minorHAnsi" w:hAnsiTheme="minorHAnsi" w:cstheme="minorHAnsi"/>
          <w:u w:val="single"/>
          <w:lang w:val="fr-FR"/>
        </w:rPr>
        <w:t>Société</w:t>
      </w:r>
      <w:r w:rsidRPr="00E66FAB">
        <w:rPr>
          <w:rFonts w:asciiTheme="minorHAnsi" w:hAnsiTheme="minorHAnsi" w:cstheme="minorHAnsi"/>
          <w:lang w:val="fr-FR"/>
        </w:rPr>
        <w:t xml:space="preserve"> » désignent la société </w:t>
      </w:r>
      <w:r w:rsidR="00EF089C" w:rsidRPr="00E66FAB">
        <w:rPr>
          <w:rFonts w:asciiTheme="minorHAnsi" w:hAnsiTheme="minorHAnsi" w:cstheme="minorHAnsi"/>
          <w:lang w:val="fr-FR"/>
        </w:rPr>
        <w:t>ABIVAX</w:t>
      </w:r>
      <w:r w:rsidRPr="00E66FAB">
        <w:rPr>
          <w:rFonts w:asciiTheme="minorHAnsi" w:hAnsiTheme="minorHAnsi" w:cstheme="minorHAnsi"/>
          <w:lang w:val="fr-FR"/>
        </w:rPr>
        <w:t>, société anonyme dont le siège social est situé 5, rue de la Baume, 75008 Paris, France, immatriculée au registre du commerce et des sociétés de Paris sous le numéro 799 363 718 ;</w:t>
      </w:r>
    </w:p>
    <w:p w14:paraId="06CAD6C2" w14:textId="77777777" w:rsidR="00F46C7B" w:rsidRPr="00E66FAB" w:rsidRDefault="00F46C7B" w:rsidP="004572A0">
      <w:pPr>
        <w:pStyle w:val="Listepuces2"/>
        <w:numPr>
          <w:ilvl w:val="0"/>
          <w:numId w:val="38"/>
        </w:numPr>
        <w:rPr>
          <w:rFonts w:asciiTheme="minorHAnsi" w:hAnsiTheme="minorHAnsi" w:cstheme="minorHAnsi"/>
          <w:lang w:val="fr-FR"/>
        </w:rPr>
      </w:pPr>
      <w:r w:rsidRPr="00E66FAB">
        <w:rPr>
          <w:rFonts w:asciiTheme="minorHAnsi" w:hAnsiTheme="minorHAnsi" w:cstheme="minorHAnsi"/>
          <w:lang w:val="fr-FR"/>
        </w:rPr>
        <w:t>le terme « </w:t>
      </w:r>
      <w:r w:rsidRPr="00E66FAB">
        <w:rPr>
          <w:rFonts w:asciiTheme="minorHAnsi" w:hAnsiTheme="minorHAnsi" w:cstheme="minorHAnsi"/>
          <w:u w:val="single"/>
          <w:lang w:val="fr-FR"/>
        </w:rPr>
        <w:t>Groupe</w:t>
      </w:r>
      <w:r w:rsidRPr="00E66FAB">
        <w:rPr>
          <w:rFonts w:asciiTheme="minorHAnsi" w:hAnsiTheme="minorHAnsi" w:cstheme="minorHAnsi"/>
          <w:lang w:val="fr-FR"/>
        </w:rPr>
        <w:t xml:space="preserve"> » désigne la Société et ses anciennes filiales :</w:t>
      </w:r>
    </w:p>
    <w:p w14:paraId="2E9D738B" w14:textId="77777777" w:rsidR="00F46C7B" w:rsidRPr="00E66FAB" w:rsidRDefault="00F46C7B" w:rsidP="004572A0">
      <w:pPr>
        <w:pStyle w:val="Listepuces3"/>
        <w:numPr>
          <w:ilvl w:val="1"/>
          <w:numId w:val="39"/>
        </w:numPr>
        <w:rPr>
          <w:rFonts w:asciiTheme="minorHAnsi" w:hAnsiTheme="minorHAnsi" w:cstheme="minorHAnsi"/>
          <w:lang w:val="fr-FR"/>
        </w:rPr>
      </w:pPr>
      <w:r w:rsidRPr="00E66FAB">
        <w:rPr>
          <w:rFonts w:asciiTheme="minorHAnsi" w:hAnsiTheme="minorHAnsi" w:cstheme="minorHAnsi"/>
          <w:lang w:val="fr-FR"/>
        </w:rPr>
        <w:t xml:space="preserve">SPLICOS, société par actions simplifiée dont le siège social était situé 1919, route de Mende – Campus CNRS Languedoc Roussillon – 34293 Montpellier Cedex 5, immatriculée au registre du commerce et des sociétés de Montpellier sous le numéro 504 586 017,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octobre 2014 ;</w:t>
      </w:r>
    </w:p>
    <w:p w14:paraId="696675A2" w14:textId="77777777" w:rsidR="00F46C7B" w:rsidRPr="00E66FAB" w:rsidRDefault="00F46C7B" w:rsidP="004572A0">
      <w:pPr>
        <w:pStyle w:val="Listepuces3"/>
        <w:numPr>
          <w:ilvl w:val="1"/>
          <w:numId w:val="39"/>
        </w:numPr>
        <w:rPr>
          <w:rFonts w:asciiTheme="minorHAnsi" w:hAnsiTheme="minorHAnsi" w:cstheme="minorHAnsi"/>
          <w:lang w:val="fr-FR"/>
        </w:rPr>
      </w:pPr>
      <w:r w:rsidRPr="00E66FAB">
        <w:rPr>
          <w:rFonts w:asciiTheme="minorHAnsi" w:hAnsiTheme="minorHAnsi" w:cstheme="minorHAnsi"/>
          <w:lang w:val="fr-FR"/>
        </w:rPr>
        <w:t xml:space="preserve">WITTYCELL, société par actions simplifiée dont le siège social était situé 8 bis, rue Gabriel Voisin, 51100 Reims, immatriculée au registre du commerce et des sociétés de Reims sous le numéro 484 030 366,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juillet 2014 ;</w:t>
      </w:r>
    </w:p>
    <w:p w14:paraId="1ABBB566" w14:textId="77777777" w:rsidR="00F46C7B" w:rsidRPr="00E66FAB" w:rsidRDefault="00F46C7B" w:rsidP="004572A0">
      <w:pPr>
        <w:pStyle w:val="Listepuces3"/>
        <w:numPr>
          <w:ilvl w:val="1"/>
          <w:numId w:val="39"/>
        </w:numPr>
        <w:rPr>
          <w:rFonts w:asciiTheme="minorHAnsi" w:hAnsiTheme="minorHAnsi" w:cstheme="minorHAnsi"/>
          <w:lang w:val="fr-FR"/>
        </w:rPr>
      </w:pPr>
      <w:r w:rsidRPr="00E66FAB">
        <w:rPr>
          <w:rFonts w:asciiTheme="minorHAnsi" w:hAnsiTheme="minorHAnsi" w:cstheme="minorHAnsi"/>
          <w:lang w:val="fr-FR"/>
        </w:rPr>
        <w:t xml:space="preserve">ZOPHIS, société par actions simplifiée à associé unique dont le siège social était situé 5, rue de la Baume, 75008 Paris, France, immatriculée au registre du commerce et des sociétés de Paris sous le numéro 530 959 410,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juillet 2014.</w:t>
      </w:r>
    </w:p>
    <w:p w14:paraId="2E2AD2F6" w14:textId="77777777" w:rsidR="00F46C7B" w:rsidRPr="00C73365" w:rsidRDefault="00F46C7B">
      <w:pPr>
        <w:rPr>
          <w:rFonts w:asciiTheme="minorHAnsi" w:hAnsiTheme="minorHAnsi" w:cstheme="minorHAnsi"/>
          <w:szCs w:val="20"/>
          <w:lang w:val="fr-FR"/>
        </w:rPr>
      </w:pPr>
      <w:r w:rsidRPr="00C73365">
        <w:rPr>
          <w:rFonts w:asciiTheme="minorHAnsi" w:hAnsiTheme="minorHAnsi" w:cstheme="minorHAnsi"/>
          <w:lang w:val="fr-FR"/>
        </w:rPr>
        <w:br w:type="page"/>
      </w:r>
    </w:p>
    <w:p w14:paraId="3BEBF717" w14:textId="77777777" w:rsidR="00F46C7B" w:rsidRPr="00C73365" w:rsidRDefault="00F46C7B" w:rsidP="00A96CCA">
      <w:pPr>
        <w:pStyle w:val="Titre"/>
        <w:keepNext/>
        <w:spacing w:after="120"/>
        <w:jc w:val="left"/>
        <w:rPr>
          <w:rFonts w:asciiTheme="minorHAnsi" w:hAnsiTheme="minorHAnsi" w:cstheme="minorHAnsi"/>
          <w:color w:val="7030A0"/>
          <w:lang w:val="fr-FR"/>
        </w:rPr>
      </w:pPr>
      <w:r w:rsidRPr="00C73365">
        <w:rPr>
          <w:rFonts w:asciiTheme="minorHAnsi" w:hAnsiTheme="minorHAnsi" w:cstheme="minorHAnsi"/>
          <w:color w:val="7030A0"/>
          <w:lang w:val="fr-FR"/>
        </w:rPr>
        <w:lastRenderedPageBreak/>
        <w:t>Avertissement</w:t>
      </w:r>
    </w:p>
    <w:p w14:paraId="66731162" w14:textId="77777777" w:rsidR="00F46C7B" w:rsidRPr="00C73365" w:rsidRDefault="00F46C7B" w:rsidP="00A96CCA">
      <w:pPr>
        <w:pStyle w:val="Titr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 xml:space="preserve">Le présent document de référence contient des informations relatives à l’activité de la Société ainsi qu’aux marchés sur lesquels celle-ci opère. Ces informations proviennent d’études réalisées soit par des sources internes soit par des sources externes (ex : publications du secteur, études spécialisées, informations publiées par des sociétés d’études de marché, rapports d’analystes). La Société estime que ces informations donnent à ce jour une image fidèle de ses marchés de référence et de son positionnement concurrentiel sur ces marchés. </w:t>
      </w:r>
    </w:p>
    <w:p w14:paraId="676EC93F" w14:textId="77777777" w:rsidR="00F46C7B" w:rsidRPr="00C73365" w:rsidRDefault="00F46C7B" w:rsidP="00A96CCA">
      <w:pPr>
        <w:pStyle w:val="Titr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 xml:space="preserve">Toutefois, ces informations n’ont pas été vérifiées par un expert indépendant et la Société ne peut pas garantir qu’un tiers utilisant des méthodes différentes pour réunir, analyser ou calculer des données sur les marchés obtiendrait les mêmes résultats. </w:t>
      </w:r>
    </w:p>
    <w:p w14:paraId="202B5E4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présent document de référence contient des indications sur les perspectives et axes de développement de la Société. Ces indications sont parfois identifiées par l’utilisation du futur, du conditionnel ou de termes à caractère prospectif tels que « estimer », « considérer », « envisager », « penser », « avoir pour objectif », « s’attendre à », « entendre », « devoir », « ambitionner », « croire », « souhaiter », « pouvoir » ou, le cas échéant, la forme négative de ces mêmes termes, ou toute autre variante ou terminologie similaire. </w:t>
      </w:r>
    </w:p>
    <w:p w14:paraId="3ACC0B2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Ces informations ne sont pas des données historiques et ne doivent pas être interprétées comme des garanties que les faits et données énoncés se produiront. Ces informations sont fondées sur des données, hypothèses et estimations considérées comme raisonnables par la Société. Elles sont susceptibles d’évoluer ou d’être modifiées en raison des incertitudes liées notamment à l’environnement économique, financier, concurrentiel et réglementaire. </w:t>
      </w:r>
    </w:p>
    <w:p w14:paraId="40D4B6B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Ces informations sont mentionnées dans différents paragraphes du présent document de référence et contiennent des données relatives aux intentions, estimations et objectifs de la Société concernant, notamment, les marchés dans lesquels elle évolue, sa stratégie, sa croissance, ses résultats, sa situation financière, sa trésorerie et ses prévisions. Les informations prospectives mentionnées dans le présent document de référence sont données uniquement à la date d’enregistrement du présent document de référence. La Société opère dans un environnement concurrentiel et en constante évolution. Elle ne peut donc anticiper tous les risques, incertitudes ou autres facteurs susceptibles d’affecter son activité, leur impact potentiel sur son activité ou encore dans quelle mesure la matérialisation d’un risque ou d’une combinaison de risques pourrait avoir des résultats significativement différents de ceux mentionnés dans toute information prospective, étant rappelé qu’aucune de ces informations prospectives ne constitue une garantie de résultats réels.</w:t>
      </w:r>
    </w:p>
    <w:p w14:paraId="3B71E19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Les investisseurs sont invités à lire attentivement les facteurs de risques décrits au chapitre 4 « </w:t>
      </w:r>
      <w:r w:rsidRPr="00C73365">
        <w:rPr>
          <w:rFonts w:asciiTheme="minorHAnsi" w:hAnsiTheme="minorHAnsi" w:cstheme="minorHAnsi"/>
          <w:i/>
          <w:iCs/>
          <w:lang w:val="fr-FR"/>
        </w:rPr>
        <w:t>Facteurs de risques</w:t>
      </w:r>
      <w:r w:rsidRPr="00C73365">
        <w:rPr>
          <w:rFonts w:asciiTheme="minorHAnsi" w:hAnsiTheme="minorHAnsi" w:cstheme="minorHAnsi"/>
          <w:lang w:val="fr-FR"/>
        </w:rPr>
        <w:t> » du présent document de référence avant de prendre toute décision d’investissement. La réalisation de tout ou partie de ces risques est susceptible d’avoir un effet défavorable significatif sur les activités, la situation financière, les résultats ou les perspectives de la Société. En outre, d’autres risques, non encore identifiés ou considérés comme non significatifs par la Société, à la date d’enregistrement du présent document de référence, pourraient également avoir un effet défavorable significatif.</w:t>
      </w:r>
    </w:p>
    <w:p w14:paraId="1AE77123" w14:textId="77777777" w:rsidR="00F46C7B" w:rsidRPr="00C73365" w:rsidRDefault="00F46C7B" w:rsidP="00A96CCA">
      <w:pPr>
        <w:pStyle w:val="ConmainL1"/>
        <w:numPr>
          <w:ilvl w:val="0"/>
          <w:numId w:val="9"/>
        </w:numPr>
        <w:spacing w:after="120"/>
        <w:rPr>
          <w:rFonts w:asciiTheme="minorHAnsi" w:hAnsiTheme="minorHAnsi" w:cstheme="minorHAnsi"/>
          <w:i/>
          <w:iCs/>
          <w:sz w:val="22"/>
          <w:lang w:val="fr-FR"/>
        </w:rPr>
      </w:pPr>
      <w:bookmarkStart w:id="4" w:name="_Toc462673217"/>
      <w:bookmarkStart w:id="5" w:name="_Toc510548388"/>
      <w:r w:rsidRPr="00C73365">
        <w:rPr>
          <w:rFonts w:asciiTheme="minorHAnsi" w:hAnsiTheme="minorHAnsi" w:cstheme="minorHAnsi"/>
          <w:sz w:val="22"/>
          <w:lang w:val="fr-FR"/>
        </w:rPr>
        <w:lastRenderedPageBreak/>
        <w:t>PERSONNES RESPONSABLES</w:t>
      </w:r>
      <w:bookmarkEnd w:id="4"/>
      <w:bookmarkEnd w:id="5"/>
    </w:p>
    <w:p w14:paraId="3BEC100D" w14:textId="77777777"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6" w:name="_Toc402884111"/>
      <w:bookmarkStart w:id="7" w:name="_Toc462673218"/>
      <w:bookmarkStart w:id="8" w:name="_Toc510548389"/>
      <w:r w:rsidRPr="00C73365">
        <w:rPr>
          <w:rFonts w:asciiTheme="minorHAnsi" w:hAnsiTheme="minorHAnsi" w:cstheme="minorHAnsi"/>
          <w:sz w:val="22"/>
          <w:szCs w:val="22"/>
          <w:lang w:val="fr-FR"/>
        </w:rPr>
        <w:t>Responsable du document de référence</w:t>
      </w:r>
      <w:bookmarkEnd w:id="6"/>
      <w:bookmarkEnd w:id="7"/>
      <w:bookmarkEnd w:id="8"/>
    </w:p>
    <w:p w14:paraId="6A308F5F" w14:textId="77777777" w:rsidR="00F46C7B" w:rsidRPr="00C73365" w:rsidRDefault="00F46C7B" w:rsidP="004572A0">
      <w:pPr>
        <w:pStyle w:val="Listecontinue2"/>
        <w:rPr>
          <w:rFonts w:asciiTheme="minorHAnsi" w:hAnsiTheme="minorHAnsi" w:cstheme="minorHAnsi"/>
          <w:lang w:val="fr-FR"/>
        </w:rPr>
      </w:pPr>
      <w:r w:rsidRPr="00C73365">
        <w:rPr>
          <w:rFonts w:asciiTheme="minorHAnsi" w:hAnsiTheme="minorHAnsi" w:cstheme="minorHAnsi"/>
          <w:lang w:val="fr-FR"/>
        </w:rPr>
        <w:t>Monsieur Hartmut Ehrlich, Directeur général.</w:t>
      </w:r>
    </w:p>
    <w:p w14:paraId="63F928BE" w14:textId="77777777"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9" w:name="_Toc402884112"/>
      <w:bookmarkStart w:id="10" w:name="_Toc462673219"/>
      <w:bookmarkStart w:id="11" w:name="_Toc510548390"/>
      <w:r w:rsidRPr="00C73365">
        <w:rPr>
          <w:rFonts w:asciiTheme="minorHAnsi" w:hAnsiTheme="minorHAnsi" w:cstheme="minorHAnsi"/>
          <w:sz w:val="22"/>
          <w:szCs w:val="22"/>
          <w:lang w:val="fr-FR"/>
        </w:rPr>
        <w:t>Attestation de la personne responsable</w:t>
      </w:r>
      <w:bookmarkEnd w:id="9"/>
      <w:bookmarkEnd w:id="10"/>
      <w:bookmarkEnd w:id="11"/>
    </w:p>
    <w:p w14:paraId="689CFD2D" w14:textId="77777777" w:rsidR="00F46C7B" w:rsidRPr="00C73365" w:rsidRDefault="00F46C7B" w:rsidP="004572A0">
      <w:pPr>
        <w:pStyle w:val="Listecontinue2"/>
        <w:rPr>
          <w:rFonts w:asciiTheme="minorHAnsi" w:hAnsiTheme="minorHAnsi" w:cstheme="minorHAnsi"/>
          <w:lang w:val="fr-FR"/>
        </w:rPr>
      </w:pPr>
      <w:r w:rsidRPr="00C73365">
        <w:rPr>
          <w:rFonts w:asciiTheme="minorHAnsi" w:hAnsiTheme="minorHAnsi" w:cstheme="minorHAnsi"/>
          <w:lang w:val="fr-FR"/>
        </w:rPr>
        <w:t>J’atteste, après avoir pris toute mesure raisonnable à cet effet, que les informations contenues dans le présent document de référence sont, à ma connaissance, conformes à la réalité et ne comportent pas d’omission de nature à en altérer la portée.</w:t>
      </w:r>
    </w:p>
    <w:p w14:paraId="69A9A6B9" w14:textId="77777777" w:rsidR="00B40454" w:rsidRPr="00C73365" w:rsidRDefault="00B40454" w:rsidP="004572A0">
      <w:pPr>
        <w:pStyle w:val="Listecontinue2"/>
        <w:rPr>
          <w:rFonts w:asciiTheme="minorHAnsi" w:hAnsiTheme="minorHAnsi" w:cstheme="minorHAnsi"/>
          <w:b/>
          <w:lang w:val="fr-FR"/>
        </w:rPr>
      </w:pPr>
      <w:r w:rsidRPr="00C73365">
        <w:rPr>
          <w:rFonts w:asciiTheme="minorHAnsi" w:hAnsiTheme="minorHAnsi" w:cstheme="minorHAnsi"/>
          <w:lang w:val="fr-FR"/>
        </w:rPr>
        <w:t>J</w:t>
      </w:r>
      <w:r w:rsidR="004572A0" w:rsidRPr="00C73365">
        <w:rPr>
          <w:rFonts w:asciiTheme="minorHAnsi" w:hAnsiTheme="minorHAnsi" w:cstheme="minorHAnsi"/>
          <w:lang w:val="fr-FR"/>
        </w:rPr>
        <w:t>’</w:t>
      </w:r>
      <w:r w:rsidRPr="00C73365">
        <w:rPr>
          <w:rFonts w:asciiTheme="minorHAnsi" w:hAnsiTheme="minorHAnsi" w:cstheme="minorHAnsi"/>
          <w:lang w:val="fr-FR"/>
        </w:rPr>
        <w:t>atteste, à ma connaissance, que les comptes sont établis conformément aux normes comptables applicables et donnent une image fidèle du patrimoine, de la situation financière et du résultat de la société, et que le rapport de gestion présente un tableau fidèle de l</w:t>
      </w:r>
      <w:r w:rsidR="004572A0" w:rsidRPr="00C73365">
        <w:rPr>
          <w:rFonts w:asciiTheme="minorHAnsi" w:hAnsiTheme="minorHAnsi" w:cstheme="minorHAnsi"/>
          <w:lang w:val="fr-FR"/>
        </w:rPr>
        <w:t>’</w:t>
      </w:r>
      <w:r w:rsidRPr="00C73365">
        <w:rPr>
          <w:rFonts w:asciiTheme="minorHAnsi" w:hAnsiTheme="minorHAnsi" w:cstheme="minorHAnsi"/>
          <w:lang w:val="fr-FR"/>
        </w:rPr>
        <w:t>évolution des affaires, des résultats et de la situation financière de la société ainsi qu</w:t>
      </w:r>
      <w:r w:rsidR="004572A0" w:rsidRPr="00C73365">
        <w:rPr>
          <w:rFonts w:asciiTheme="minorHAnsi" w:hAnsiTheme="minorHAnsi" w:cstheme="minorHAnsi"/>
          <w:lang w:val="fr-FR"/>
        </w:rPr>
        <w:t>’</w:t>
      </w:r>
      <w:r w:rsidRPr="00C73365">
        <w:rPr>
          <w:rFonts w:asciiTheme="minorHAnsi" w:hAnsiTheme="minorHAnsi" w:cstheme="minorHAnsi"/>
          <w:lang w:val="fr-FR"/>
        </w:rPr>
        <w:t>une description des principaux risques et incertitudes auxquels elle est confrontée.</w:t>
      </w:r>
    </w:p>
    <w:p w14:paraId="2C6DFF52" w14:textId="77777777" w:rsidR="00F46C7B" w:rsidRPr="00C73365" w:rsidRDefault="00F46C7B" w:rsidP="004572A0">
      <w:pPr>
        <w:pStyle w:val="Listecontinue2"/>
        <w:rPr>
          <w:rFonts w:asciiTheme="minorHAnsi" w:hAnsiTheme="minorHAnsi" w:cstheme="minorHAnsi"/>
          <w:lang w:val="fr-FR"/>
        </w:rPr>
      </w:pPr>
      <w:r w:rsidRPr="00C73365">
        <w:rPr>
          <w:rFonts w:asciiTheme="minorHAnsi" w:hAnsiTheme="minorHAnsi" w:cstheme="minorHAnsi"/>
          <w:lang w:val="fr-FR"/>
        </w:rPr>
        <w:t>J’ai obtenu du contrôleur légal des comptes une lettre de fin de travaux, dans laquelle il indique avoir procédé à la vérification des informations portant sur la situation financière et les comptes données dans le présent document de référence ainsi qu’à la lecture d’ensemble du document de référence.</w:t>
      </w:r>
    </w:p>
    <w:p w14:paraId="12E8A6C9" w14:textId="77777777" w:rsidR="00F46C7B" w:rsidRPr="00C73365" w:rsidRDefault="00F46C7B" w:rsidP="00A96CCA">
      <w:pPr>
        <w:pStyle w:val="Corpsdetexte"/>
        <w:spacing w:after="120"/>
        <w:rPr>
          <w:rFonts w:asciiTheme="minorHAnsi" w:hAnsiTheme="minorHAnsi" w:cstheme="minorHAnsi"/>
          <w:lang w:val="fr-FR"/>
        </w:rPr>
      </w:pPr>
    </w:p>
    <w:p w14:paraId="02533721" w14:textId="77777777" w:rsidR="00F46C7B" w:rsidRPr="00C73365" w:rsidRDefault="00F46C7B" w:rsidP="00A96CCA">
      <w:pPr>
        <w:pStyle w:val="Corpsdetexte"/>
        <w:spacing w:after="120"/>
        <w:rPr>
          <w:rFonts w:asciiTheme="minorHAnsi" w:hAnsiTheme="minorHAnsi" w:cstheme="minorHAnsi"/>
          <w:lang w:val="fr-FR"/>
        </w:rPr>
      </w:pPr>
    </w:p>
    <w:p w14:paraId="4D7692C0" w14:textId="77777777" w:rsidR="00A611FC" w:rsidRPr="00C73365" w:rsidRDefault="00A611FC" w:rsidP="00A96CCA">
      <w:pPr>
        <w:pStyle w:val="Corpsdetexte"/>
        <w:spacing w:after="120"/>
        <w:rPr>
          <w:rFonts w:asciiTheme="minorHAnsi" w:hAnsiTheme="minorHAnsi" w:cstheme="minorHAnsi"/>
          <w:lang w:val="fr-FR"/>
        </w:rPr>
      </w:pPr>
    </w:p>
    <w:p w14:paraId="58E8BE92" w14:textId="77777777" w:rsidR="00A611FC" w:rsidRPr="00C73365" w:rsidRDefault="00A611FC" w:rsidP="00A96CCA">
      <w:pPr>
        <w:pStyle w:val="Corpsdetexte"/>
        <w:spacing w:after="120"/>
        <w:rPr>
          <w:rFonts w:asciiTheme="minorHAnsi" w:hAnsiTheme="minorHAnsi" w:cstheme="minorHAnsi"/>
          <w:lang w:val="fr-FR"/>
        </w:rPr>
      </w:pPr>
    </w:p>
    <w:p w14:paraId="73E3CA51" w14:textId="77777777" w:rsidR="00F46C7B" w:rsidRPr="00C73365" w:rsidRDefault="00F46C7B" w:rsidP="00A96CCA">
      <w:pPr>
        <w:pStyle w:val="Corpsdetexte"/>
        <w:spacing w:after="120"/>
        <w:rPr>
          <w:rFonts w:asciiTheme="minorHAnsi" w:hAnsiTheme="minorHAnsi" w:cstheme="minorHAnsi"/>
          <w:lang w:val="fr-FR"/>
        </w:rPr>
      </w:pPr>
      <w:r w:rsidRPr="00C73365">
        <w:rPr>
          <w:rFonts w:asciiTheme="minorHAnsi" w:hAnsiTheme="minorHAnsi" w:cstheme="minorHAnsi"/>
          <w:lang w:val="fr-FR"/>
        </w:rPr>
        <w:t> </w:t>
      </w:r>
    </w:p>
    <w:p w14:paraId="04D5791E" w14:textId="77777777" w:rsidR="00F46C7B" w:rsidRPr="00C73365" w:rsidRDefault="00F46C7B" w:rsidP="00A96CCA">
      <w:pPr>
        <w:pStyle w:val="Corpsdetexte"/>
        <w:spacing w:after="120"/>
        <w:rPr>
          <w:rFonts w:asciiTheme="minorHAnsi" w:hAnsiTheme="minorHAnsi" w:cstheme="minorHAnsi"/>
          <w:lang w:val="fr-FR"/>
        </w:rPr>
      </w:pPr>
    </w:p>
    <w:p w14:paraId="0C9438C3" w14:textId="4AE30525" w:rsidR="00F46C7B" w:rsidRPr="00C73365" w:rsidRDefault="00F46C7B" w:rsidP="00E92A57">
      <w:pPr>
        <w:pStyle w:val="Corpsdetexte"/>
        <w:jc w:val="left"/>
        <w:rPr>
          <w:rFonts w:asciiTheme="minorHAnsi" w:hAnsiTheme="minorHAnsi" w:cstheme="minorHAnsi"/>
          <w:lang w:val="fr-FR"/>
        </w:rPr>
      </w:pPr>
      <w:r w:rsidRPr="00C73365">
        <w:rPr>
          <w:rFonts w:asciiTheme="minorHAnsi" w:hAnsiTheme="minorHAnsi" w:cstheme="minorHAnsi"/>
          <w:szCs w:val="22"/>
          <w:lang w:val="fr-FR"/>
        </w:rPr>
        <w:t>Fait à Paris,</w:t>
      </w:r>
      <w:r w:rsidRPr="00C73365">
        <w:rPr>
          <w:rFonts w:asciiTheme="minorHAnsi" w:hAnsiTheme="minorHAnsi" w:cstheme="minorHAnsi"/>
          <w:szCs w:val="22"/>
          <w:lang w:val="fr-FR"/>
        </w:rPr>
        <w:br/>
      </w:r>
      <w:r w:rsidRPr="00E92A57">
        <w:rPr>
          <w:rFonts w:asciiTheme="minorHAnsi" w:hAnsiTheme="minorHAnsi" w:cstheme="minorHAnsi"/>
          <w:lang w:val="fr-FR"/>
        </w:rPr>
        <w:t xml:space="preserve">le </w:t>
      </w:r>
      <w:r w:rsidR="00E92A57" w:rsidRPr="00E92A57">
        <w:rPr>
          <w:rFonts w:asciiTheme="minorHAnsi" w:hAnsiTheme="minorHAnsi" w:cstheme="minorHAnsi"/>
          <w:lang w:val="fr-FR"/>
        </w:rPr>
        <w:t>[</w:t>
      </w:r>
      <w:r w:rsidR="00E92A57" w:rsidRPr="008A1306">
        <w:rPr>
          <w:rFonts w:asciiTheme="minorHAnsi" w:hAnsiTheme="minorHAnsi" w:cstheme="minorHAnsi"/>
          <w:highlight w:val="yellow"/>
          <w:lang w:val="fr-FR"/>
        </w:rPr>
        <w:t>●</w:t>
      </w:r>
      <w:r w:rsidR="00E92A57" w:rsidRPr="00E92A57">
        <w:rPr>
          <w:rFonts w:asciiTheme="minorHAnsi" w:hAnsiTheme="minorHAnsi" w:cstheme="minorHAnsi"/>
          <w:lang w:val="fr-FR"/>
        </w:rPr>
        <w:t xml:space="preserve">] </w:t>
      </w:r>
      <w:r w:rsidRPr="00E92A57">
        <w:rPr>
          <w:rFonts w:asciiTheme="minorHAnsi" w:hAnsiTheme="minorHAnsi" w:cstheme="minorHAnsi"/>
          <w:lang w:val="fr-FR"/>
        </w:rPr>
        <w:t>201</w:t>
      </w:r>
      <w:r w:rsidR="00E92A57" w:rsidRPr="00E92A57">
        <w:rPr>
          <w:rFonts w:asciiTheme="minorHAnsi" w:hAnsiTheme="minorHAnsi" w:cstheme="minorHAnsi"/>
          <w:lang w:val="fr-FR"/>
        </w:rPr>
        <w:t>8</w:t>
      </w:r>
    </w:p>
    <w:p w14:paraId="2D52418B" w14:textId="77777777" w:rsidR="00F46C7B" w:rsidRPr="00C73365" w:rsidRDefault="00F46C7B">
      <w:pPr>
        <w:ind w:left="4859"/>
        <w:rPr>
          <w:rFonts w:asciiTheme="minorHAnsi" w:hAnsiTheme="minorHAnsi" w:cstheme="minorHAnsi"/>
          <w:lang w:val="fr-FR"/>
        </w:rPr>
      </w:pPr>
    </w:p>
    <w:p w14:paraId="47A94DE2" w14:textId="77777777" w:rsidR="002C5729" w:rsidRPr="00C73365" w:rsidRDefault="002C5729">
      <w:pPr>
        <w:ind w:left="4859"/>
        <w:rPr>
          <w:rFonts w:asciiTheme="minorHAnsi" w:hAnsiTheme="minorHAnsi" w:cstheme="minorHAnsi"/>
          <w:lang w:val="fr-FR"/>
        </w:rPr>
      </w:pPr>
    </w:p>
    <w:p w14:paraId="451DAF84" w14:textId="77777777" w:rsidR="002C5729" w:rsidRPr="00C73365" w:rsidRDefault="002C5729">
      <w:pPr>
        <w:ind w:left="4859"/>
        <w:rPr>
          <w:rFonts w:asciiTheme="minorHAnsi" w:hAnsiTheme="minorHAnsi" w:cstheme="minorHAnsi"/>
          <w:lang w:val="fr-FR"/>
        </w:rPr>
      </w:pPr>
    </w:p>
    <w:p w14:paraId="1EE341AF" w14:textId="77777777" w:rsidR="002C5729" w:rsidRPr="00C73365" w:rsidRDefault="002C5729">
      <w:pPr>
        <w:ind w:left="4859"/>
        <w:rPr>
          <w:rFonts w:asciiTheme="minorHAnsi" w:hAnsiTheme="minorHAnsi" w:cstheme="minorHAnsi"/>
          <w:lang w:val="fr-FR"/>
        </w:rPr>
      </w:pPr>
    </w:p>
    <w:p w14:paraId="0F5B8B2D" w14:textId="77777777" w:rsidR="00F46C7B" w:rsidRPr="00732CFD" w:rsidRDefault="002C5729" w:rsidP="004572A0">
      <w:pPr>
        <w:pStyle w:val="Lignederfrence"/>
        <w:rPr>
          <w:rFonts w:asciiTheme="minorHAnsi" w:hAnsiTheme="minorHAnsi" w:cstheme="minorHAnsi"/>
          <w:sz w:val="20"/>
        </w:rPr>
      </w:pPr>
      <w:r w:rsidRPr="00732CFD">
        <w:rPr>
          <w:rFonts w:asciiTheme="minorHAnsi" w:hAnsiTheme="minorHAnsi" w:cstheme="minorHAnsi"/>
          <w:sz w:val="20"/>
        </w:rPr>
        <w:t>Pr. Hartmut Ehrlich</w:t>
      </w:r>
    </w:p>
    <w:p w14:paraId="45F70474" w14:textId="77777777" w:rsidR="002C5729" w:rsidRPr="00732CFD" w:rsidRDefault="002C5729" w:rsidP="004572A0">
      <w:pPr>
        <w:pStyle w:val="Lignederfrence"/>
        <w:rPr>
          <w:rFonts w:asciiTheme="minorHAnsi" w:hAnsiTheme="minorHAnsi" w:cstheme="minorHAnsi"/>
          <w:sz w:val="20"/>
        </w:rPr>
      </w:pPr>
      <w:r w:rsidRPr="00732CFD">
        <w:rPr>
          <w:rFonts w:asciiTheme="minorHAnsi" w:hAnsiTheme="minorHAnsi" w:cstheme="minorHAnsi"/>
          <w:sz w:val="20"/>
        </w:rPr>
        <w:t>Directeur Général</w:t>
      </w:r>
    </w:p>
    <w:p w14:paraId="3072BE71" w14:textId="77777777" w:rsidR="00F46C7B" w:rsidRPr="00C73365" w:rsidRDefault="00F46C7B" w:rsidP="00A96CCA">
      <w:pPr>
        <w:ind w:left="4860" w:hanging="182"/>
        <w:rPr>
          <w:rFonts w:asciiTheme="minorHAnsi" w:hAnsiTheme="minorHAnsi" w:cstheme="minorHAnsi"/>
          <w:lang w:val="fr-FR"/>
        </w:rPr>
      </w:pPr>
    </w:p>
    <w:p w14:paraId="3D00C8E5" w14:textId="77777777"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2" w:name="_Toc402884113"/>
      <w:bookmarkStart w:id="13" w:name="_Toc462673220"/>
      <w:bookmarkStart w:id="14" w:name="_Toc510548391"/>
      <w:r w:rsidRPr="00C73365">
        <w:rPr>
          <w:rFonts w:asciiTheme="minorHAnsi" w:hAnsiTheme="minorHAnsi" w:cstheme="minorHAnsi"/>
          <w:sz w:val="22"/>
          <w:szCs w:val="22"/>
          <w:lang w:val="fr-FR"/>
        </w:rPr>
        <w:t>Responsable de l’information financière</w:t>
      </w:r>
      <w:bookmarkEnd w:id="12"/>
      <w:bookmarkEnd w:id="13"/>
      <w:bookmarkEnd w:id="14"/>
    </w:p>
    <w:p w14:paraId="6227DCD8" w14:textId="77777777" w:rsidR="00F46C7B" w:rsidRPr="00C73365" w:rsidRDefault="00F46C7B" w:rsidP="004572A0">
      <w:pPr>
        <w:pStyle w:val="Liste3"/>
        <w:rPr>
          <w:rFonts w:asciiTheme="minorHAnsi" w:hAnsiTheme="minorHAnsi" w:cstheme="minorHAnsi"/>
          <w:highlight w:val="yellow"/>
          <w:lang w:val="fr-FR"/>
        </w:rPr>
      </w:pPr>
      <w:r w:rsidRPr="00C73365">
        <w:rPr>
          <w:rFonts w:asciiTheme="minorHAnsi" w:hAnsiTheme="minorHAnsi" w:cstheme="minorHAnsi"/>
          <w:lang w:val="fr-FR"/>
        </w:rPr>
        <w:t>Hartmut Ehrlich</w:t>
      </w:r>
      <w:r w:rsidRPr="00C73365">
        <w:rPr>
          <w:rFonts w:asciiTheme="minorHAnsi" w:hAnsiTheme="minorHAnsi" w:cstheme="minorHAnsi"/>
          <w:highlight w:val="yellow"/>
          <w:lang w:val="fr-FR"/>
        </w:rPr>
        <w:t xml:space="preserve"> </w:t>
      </w:r>
    </w:p>
    <w:p w14:paraId="2E503AA3" w14:textId="77777777" w:rsidR="00F46C7B" w:rsidRPr="00C73365" w:rsidRDefault="00F46C7B" w:rsidP="004572A0">
      <w:pPr>
        <w:pStyle w:val="Liste3"/>
        <w:rPr>
          <w:rFonts w:asciiTheme="minorHAnsi" w:hAnsiTheme="minorHAnsi" w:cstheme="minorHAnsi"/>
          <w:lang w:val="fr-FR"/>
        </w:rPr>
      </w:pPr>
      <w:r w:rsidRPr="00C73365">
        <w:rPr>
          <w:rFonts w:asciiTheme="minorHAnsi" w:hAnsiTheme="minorHAnsi" w:cstheme="minorHAnsi"/>
          <w:lang w:val="fr-FR"/>
        </w:rPr>
        <w:t xml:space="preserve">Directeur </w:t>
      </w:r>
      <w:r w:rsidR="0091533C" w:rsidRPr="00C73365">
        <w:rPr>
          <w:rFonts w:asciiTheme="minorHAnsi" w:hAnsiTheme="minorHAnsi" w:cstheme="minorHAnsi"/>
          <w:lang w:val="fr-FR"/>
        </w:rPr>
        <w:t>G</w:t>
      </w:r>
      <w:r w:rsidRPr="00C73365">
        <w:rPr>
          <w:rFonts w:asciiTheme="minorHAnsi" w:hAnsiTheme="minorHAnsi" w:cstheme="minorHAnsi"/>
          <w:lang w:val="fr-FR"/>
        </w:rPr>
        <w:t>énéral</w:t>
      </w:r>
    </w:p>
    <w:p w14:paraId="56E655D5" w14:textId="77777777" w:rsidR="00F46C7B" w:rsidRPr="00C73365" w:rsidRDefault="00F46C7B" w:rsidP="004572A0">
      <w:pPr>
        <w:pStyle w:val="Liste3"/>
        <w:rPr>
          <w:rFonts w:asciiTheme="minorHAnsi" w:hAnsiTheme="minorHAnsi" w:cstheme="minorHAnsi"/>
          <w:lang w:val="fr-FR"/>
        </w:rPr>
      </w:pPr>
      <w:r w:rsidRPr="00C73365">
        <w:rPr>
          <w:rFonts w:asciiTheme="minorHAnsi" w:hAnsiTheme="minorHAnsi" w:cstheme="minorHAnsi"/>
          <w:lang w:val="fr-FR"/>
        </w:rPr>
        <w:t>Adresse : 5, rue de la Baume, 75008 Paris</w:t>
      </w:r>
    </w:p>
    <w:p w14:paraId="5D77A551" w14:textId="77777777" w:rsidR="00F46C7B" w:rsidRPr="00C73365" w:rsidRDefault="00F46C7B" w:rsidP="004572A0">
      <w:pPr>
        <w:pStyle w:val="Liste3"/>
        <w:rPr>
          <w:rFonts w:asciiTheme="minorHAnsi" w:hAnsiTheme="minorHAnsi" w:cstheme="minorHAnsi"/>
          <w:lang w:val="fr-FR"/>
        </w:rPr>
      </w:pPr>
      <w:r w:rsidRPr="00C73365">
        <w:rPr>
          <w:rFonts w:asciiTheme="minorHAnsi" w:hAnsiTheme="minorHAnsi" w:cstheme="minorHAnsi"/>
          <w:lang w:val="fr-FR"/>
        </w:rPr>
        <w:t>Téléphone : +33 (0) 1 53 83 08 41</w:t>
      </w:r>
    </w:p>
    <w:p w14:paraId="520E0591" w14:textId="77777777" w:rsidR="00F46C7B" w:rsidRPr="00C73365" w:rsidRDefault="00F46C7B">
      <w:pPr>
        <w:pStyle w:val="BlockLeft"/>
        <w:rPr>
          <w:rFonts w:asciiTheme="minorHAnsi" w:hAnsiTheme="minorHAnsi" w:cstheme="minorHAnsi"/>
          <w:i/>
          <w:iCs/>
          <w:lang w:val="fr-FR"/>
        </w:rPr>
      </w:pPr>
      <w:r w:rsidRPr="00C73365">
        <w:rPr>
          <w:rFonts w:asciiTheme="minorHAnsi" w:hAnsiTheme="minorHAnsi" w:cstheme="minorHAnsi"/>
          <w:lang w:val="fr-FR"/>
        </w:rPr>
        <w:t xml:space="preserve">Courriel : </w:t>
      </w:r>
      <w:hyperlink r:id="rId12" w:history="1">
        <w:r w:rsidRPr="00C73365">
          <w:rPr>
            <w:rStyle w:val="Lienhypertexte"/>
            <w:rFonts w:asciiTheme="minorHAnsi" w:hAnsiTheme="minorHAnsi" w:cstheme="minorHAnsi"/>
            <w:lang w:val="fr-FR"/>
          </w:rPr>
          <w:t>info@</w:t>
        </w:r>
        <w:r w:rsidR="00EF089C" w:rsidRPr="00C73365">
          <w:rPr>
            <w:rStyle w:val="Lienhypertexte"/>
            <w:rFonts w:asciiTheme="minorHAnsi" w:hAnsiTheme="minorHAnsi" w:cstheme="minorHAnsi"/>
            <w:lang w:val="fr-FR"/>
          </w:rPr>
          <w:t>ABIVAX</w:t>
        </w:r>
        <w:r w:rsidRPr="00C73365">
          <w:rPr>
            <w:rStyle w:val="Lienhypertexte"/>
            <w:rFonts w:asciiTheme="minorHAnsi" w:hAnsiTheme="minorHAnsi" w:cstheme="minorHAnsi"/>
            <w:lang w:val="fr-FR"/>
          </w:rPr>
          <w:t>.com</w:t>
        </w:r>
      </w:hyperlink>
    </w:p>
    <w:p w14:paraId="7EF87027" w14:textId="77777777" w:rsidR="00F46C7B" w:rsidRPr="00C73365" w:rsidRDefault="00F46C7B">
      <w:pPr>
        <w:pStyle w:val="BlockLeft"/>
        <w:rPr>
          <w:rFonts w:asciiTheme="minorHAnsi" w:hAnsiTheme="minorHAnsi" w:cstheme="minorHAnsi"/>
          <w:lang w:val="fr-FR"/>
        </w:rPr>
      </w:pPr>
    </w:p>
    <w:p w14:paraId="1BF37843" w14:textId="77777777" w:rsidR="00F46C7B" w:rsidRPr="00C73365" w:rsidRDefault="00F46C7B" w:rsidP="00A96CCA">
      <w:pPr>
        <w:pStyle w:val="ConmainL1"/>
        <w:numPr>
          <w:ilvl w:val="0"/>
          <w:numId w:val="9"/>
        </w:numPr>
        <w:spacing w:after="120"/>
        <w:rPr>
          <w:rFonts w:asciiTheme="minorHAnsi" w:hAnsiTheme="minorHAnsi" w:cstheme="minorHAnsi"/>
          <w:sz w:val="22"/>
          <w:szCs w:val="20"/>
          <w:lang w:val="fr-FR"/>
        </w:rPr>
      </w:pPr>
      <w:bookmarkStart w:id="15" w:name="_Toc402884114"/>
      <w:bookmarkStart w:id="16" w:name="_Toc462673221"/>
      <w:bookmarkStart w:id="17" w:name="_Toc510548392"/>
      <w:r w:rsidRPr="00C73365">
        <w:rPr>
          <w:rFonts w:asciiTheme="minorHAnsi" w:hAnsiTheme="minorHAnsi" w:cstheme="minorHAnsi"/>
          <w:sz w:val="22"/>
          <w:szCs w:val="20"/>
          <w:lang w:val="fr-FR"/>
        </w:rPr>
        <w:lastRenderedPageBreak/>
        <w:t>CONTROLEURS LEGAUX DES COMPTES</w:t>
      </w:r>
      <w:bookmarkEnd w:id="15"/>
      <w:bookmarkEnd w:id="16"/>
      <w:bookmarkEnd w:id="17"/>
    </w:p>
    <w:p w14:paraId="665971FD" w14:textId="77777777"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8" w:name="_Toc402884115"/>
      <w:bookmarkStart w:id="19" w:name="_Toc462673222"/>
      <w:bookmarkStart w:id="20" w:name="_Toc510548393"/>
      <w:r w:rsidRPr="00C73365">
        <w:rPr>
          <w:rFonts w:asciiTheme="minorHAnsi" w:hAnsiTheme="minorHAnsi" w:cstheme="minorHAnsi"/>
          <w:sz w:val="22"/>
          <w:szCs w:val="22"/>
          <w:lang w:val="fr-FR"/>
        </w:rPr>
        <w:t>Commissaire aux comptes titulaire</w:t>
      </w:r>
      <w:bookmarkEnd w:id="18"/>
      <w:bookmarkEnd w:id="19"/>
      <w:bookmarkEnd w:id="20"/>
    </w:p>
    <w:p w14:paraId="1076D3F9" w14:textId="17F3F1DC" w:rsidR="00F46C7B" w:rsidRPr="00C73365" w:rsidRDefault="008A1306">
      <w:pPr>
        <w:pStyle w:val="BlockLeft"/>
        <w:keepNext/>
        <w:rPr>
          <w:rFonts w:asciiTheme="minorHAnsi" w:hAnsiTheme="minorHAnsi" w:cstheme="minorHAnsi"/>
          <w:b/>
          <w:lang w:val="fr-FR"/>
        </w:rPr>
      </w:pPr>
      <w:r>
        <w:rPr>
          <w:rFonts w:asciiTheme="minorHAnsi" w:hAnsiTheme="minorHAnsi" w:cstheme="minorHAnsi"/>
          <w:b/>
          <w:lang w:val="fr-FR"/>
        </w:rPr>
        <w:t>PricewaterhouseCoopers Audit</w:t>
      </w:r>
    </w:p>
    <w:p w14:paraId="39AEC1DD" w14:textId="77777777"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Représentée par Monsieur Thierry Charron</w:t>
      </w:r>
    </w:p>
    <w:p w14:paraId="004FFCED" w14:textId="77777777"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63, rue de Villiers – 92200 Neuilly-sur-Seine</w:t>
      </w:r>
    </w:p>
    <w:p w14:paraId="17A6C812" w14:textId="77777777"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Membre de la Compagnie régionale des commissaires aux comptes de Versailles</w:t>
      </w:r>
    </w:p>
    <w:p w14:paraId="74562850" w14:textId="77777777"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Date de début du premier mandat : Nomination lors de la constitution de l’entreprise le 4 décembre 2013</w:t>
      </w:r>
    </w:p>
    <w:p w14:paraId="2855821A" w14:textId="77777777"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Durée du mandat en cours : 6 exercices à compter de la constitution de la Société</w:t>
      </w:r>
    </w:p>
    <w:p w14:paraId="736CE0DB" w14:textId="77777777" w:rsidR="00F46C7B" w:rsidRPr="00E92A57" w:rsidRDefault="00F46C7B" w:rsidP="004572A0">
      <w:pPr>
        <w:pStyle w:val="Corpsdetexte"/>
        <w:rPr>
          <w:rFonts w:asciiTheme="minorHAnsi" w:hAnsiTheme="minorHAnsi" w:cstheme="minorHAnsi"/>
          <w:lang w:val="fr-FR"/>
        </w:rPr>
      </w:pPr>
      <w:r w:rsidRPr="00E92A57">
        <w:rPr>
          <w:rFonts w:asciiTheme="minorHAnsi" w:hAnsiTheme="minorHAnsi" w:cstheme="minorHAnsi"/>
          <w:lang w:val="fr-FR"/>
        </w:rPr>
        <w:t>Date d’expiration du mandat en cours : à l’issue de l’assemblée générale annuelle des actionnaires statuant sur les comptes de l’exercice clos le 31 décembre 2018.</w:t>
      </w:r>
    </w:p>
    <w:p w14:paraId="32FB215A" w14:textId="77777777"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21" w:name="_Toc402884116"/>
      <w:bookmarkStart w:id="22" w:name="_Toc462673223"/>
      <w:bookmarkStart w:id="23" w:name="_Toc510548394"/>
      <w:r w:rsidRPr="00C73365">
        <w:rPr>
          <w:rFonts w:asciiTheme="minorHAnsi" w:hAnsiTheme="minorHAnsi" w:cstheme="minorHAnsi"/>
          <w:sz w:val="22"/>
          <w:szCs w:val="22"/>
          <w:lang w:val="fr-FR"/>
        </w:rPr>
        <w:t>Commissaire aux comptes suppléant</w:t>
      </w:r>
      <w:bookmarkEnd w:id="21"/>
      <w:bookmarkEnd w:id="22"/>
      <w:bookmarkEnd w:id="23"/>
    </w:p>
    <w:p w14:paraId="673B53D5" w14:textId="77777777" w:rsidR="00F46C7B" w:rsidRPr="00C73365" w:rsidRDefault="00F46C7B">
      <w:pPr>
        <w:pStyle w:val="BlockLeft"/>
        <w:rPr>
          <w:rFonts w:asciiTheme="minorHAnsi" w:hAnsiTheme="minorHAnsi" w:cstheme="minorHAnsi"/>
          <w:b/>
          <w:lang w:val="fr-FR"/>
        </w:rPr>
      </w:pPr>
      <w:r w:rsidRPr="00C73365">
        <w:rPr>
          <w:rFonts w:asciiTheme="minorHAnsi" w:hAnsiTheme="minorHAnsi" w:cstheme="minorHAnsi"/>
          <w:b/>
          <w:lang w:val="fr-FR"/>
        </w:rPr>
        <w:t>Monsieur Jean-Christophe Georghiou</w:t>
      </w:r>
    </w:p>
    <w:p w14:paraId="6A0BFFEC" w14:textId="77777777"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Membre de la Compagnie régionale des commissaires aux comptes de Versailles</w:t>
      </w:r>
    </w:p>
    <w:p w14:paraId="6965F000" w14:textId="77777777"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Date de début du premier mandat : Nomination lors de la constitution de l’entreprise le 4 décembre 2013</w:t>
      </w:r>
    </w:p>
    <w:p w14:paraId="06B52617" w14:textId="77777777"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Durée du mandat en cours : 6 exercices à compter de la constitution de la Société</w:t>
      </w:r>
    </w:p>
    <w:p w14:paraId="6E82FE05" w14:textId="77777777" w:rsidR="005864DD"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Date d’expiration du mandat en cours : assemblée générale annuelle statuant sur les comptes de l’exercice clos le 31 décembre 2018.</w:t>
      </w:r>
    </w:p>
    <w:p w14:paraId="3257F27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Depuis leur nomination, le commissaire aux comptes et son suppléant n’ont pas été démis de leurs fonctions et n’ont pas démissionné. </w:t>
      </w:r>
    </w:p>
    <w:p w14:paraId="72FD8164" w14:textId="77777777" w:rsidR="001E5FAB" w:rsidRPr="00C73365" w:rsidRDefault="001E5FAB" w:rsidP="004572A0">
      <w:pPr>
        <w:pStyle w:val="Corpsdetexte"/>
        <w:rPr>
          <w:rFonts w:asciiTheme="minorHAnsi" w:hAnsiTheme="minorHAnsi" w:cstheme="minorHAnsi"/>
          <w:lang w:val="fr-FR"/>
        </w:rPr>
      </w:pPr>
      <w:r w:rsidRPr="00C73365">
        <w:rPr>
          <w:rFonts w:asciiTheme="minorHAnsi" w:hAnsiTheme="minorHAnsi" w:cstheme="minorHAnsi"/>
          <w:lang w:val="fr-FR"/>
        </w:rPr>
        <w:t>Leur mandat prendra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l’assemblée générale qui statuera en 2019 sur les comptes de l’exercice clos le 31 décembre 2018.</w:t>
      </w:r>
    </w:p>
    <w:p w14:paraId="0259C215" w14:textId="63725CFC" w:rsidR="001E5FAB" w:rsidRPr="00C73365" w:rsidRDefault="001E5FAB" w:rsidP="004572A0">
      <w:pPr>
        <w:pStyle w:val="Corpsdetexte"/>
        <w:rPr>
          <w:rFonts w:asciiTheme="minorHAnsi" w:hAnsiTheme="minorHAnsi" w:cstheme="minorHAnsi"/>
          <w:lang w:val="fr-FR"/>
        </w:rPr>
      </w:pPr>
      <w:r w:rsidRPr="00C73365">
        <w:rPr>
          <w:rFonts w:asciiTheme="minorHAnsi" w:hAnsiTheme="minorHAnsi" w:cstheme="minorHAnsi"/>
          <w:lang w:val="fr-FR"/>
        </w:rPr>
        <w:t>Le tableau des honoraires des commissaires aux comptes figure en Note 1</w:t>
      </w:r>
      <w:r w:rsidR="006A6647">
        <w:rPr>
          <w:rFonts w:asciiTheme="minorHAnsi" w:hAnsiTheme="minorHAnsi" w:cstheme="minorHAnsi"/>
          <w:lang w:val="fr-FR"/>
        </w:rPr>
        <w:t>5</w:t>
      </w:r>
      <w:r w:rsidRPr="00C73365">
        <w:rPr>
          <w:rFonts w:asciiTheme="minorHAnsi" w:hAnsiTheme="minorHAnsi" w:cstheme="minorHAnsi"/>
          <w:lang w:val="fr-FR"/>
        </w:rPr>
        <w:t xml:space="preserve"> du chapitre 20.1 du présent Document de Référence.</w:t>
      </w:r>
    </w:p>
    <w:p w14:paraId="487750B5" w14:textId="77777777" w:rsidR="00F46C7B" w:rsidRPr="00C73365" w:rsidRDefault="00F46C7B" w:rsidP="00A96CCA">
      <w:pPr>
        <w:pStyle w:val="ConmainL1"/>
        <w:numPr>
          <w:ilvl w:val="0"/>
          <w:numId w:val="9"/>
        </w:numPr>
        <w:spacing w:after="120"/>
        <w:jc w:val="left"/>
        <w:rPr>
          <w:rFonts w:asciiTheme="minorHAnsi" w:hAnsiTheme="minorHAnsi" w:cstheme="minorHAnsi"/>
          <w:sz w:val="22"/>
          <w:lang w:val="fr-FR"/>
        </w:rPr>
      </w:pPr>
      <w:bookmarkStart w:id="24" w:name="_Toc462673224"/>
      <w:bookmarkStart w:id="25" w:name="_Toc510548395"/>
      <w:r w:rsidRPr="00C73365">
        <w:rPr>
          <w:rFonts w:asciiTheme="minorHAnsi" w:hAnsiTheme="minorHAnsi" w:cstheme="minorHAnsi"/>
          <w:sz w:val="22"/>
          <w:lang w:val="fr-FR"/>
        </w:rPr>
        <w:lastRenderedPageBreak/>
        <w:t>INFORMATIONS FINANCIERES SELECTIONNEES</w:t>
      </w:r>
      <w:bookmarkEnd w:id="24"/>
      <w:bookmarkEnd w:id="25"/>
    </w:p>
    <w:p w14:paraId="246008A0" w14:textId="77777777" w:rsidR="00DF442F" w:rsidRPr="00C73365" w:rsidRDefault="00DF442F" w:rsidP="004572A0">
      <w:pPr>
        <w:pStyle w:val="Listecontinue"/>
        <w:rPr>
          <w:rFonts w:asciiTheme="minorHAnsi" w:hAnsiTheme="minorHAnsi" w:cstheme="minorHAnsi"/>
          <w:lang w:val="fr-FR"/>
        </w:rPr>
      </w:pPr>
      <w:r w:rsidRPr="00C73365">
        <w:rPr>
          <w:rFonts w:asciiTheme="minorHAnsi" w:hAnsiTheme="minorHAnsi" w:cstheme="minorHAnsi"/>
          <w:lang w:val="fr-FR"/>
        </w:rPr>
        <w:t>La Société a été créée le 4 décembre 2013 et a réalisé un premier exercice comptable social de 28 jours clos au 31 décembre 2013.</w:t>
      </w:r>
    </w:p>
    <w:p w14:paraId="13379694" w14:textId="77777777" w:rsidR="00DF442F" w:rsidRPr="00C73365" w:rsidRDefault="00EF089C" w:rsidP="004572A0">
      <w:pPr>
        <w:pStyle w:val="Listecontinue"/>
        <w:rPr>
          <w:rFonts w:asciiTheme="minorHAnsi" w:hAnsiTheme="minorHAnsi" w:cstheme="minorHAnsi"/>
          <w:lang w:val="fr-FR"/>
        </w:rPr>
      </w:pPr>
      <w:r w:rsidRPr="00C73365">
        <w:rPr>
          <w:rFonts w:asciiTheme="minorHAnsi" w:hAnsiTheme="minorHAnsi" w:cstheme="minorHAnsi"/>
          <w:lang w:val="fr-FR"/>
        </w:rPr>
        <w:t>ABIVAX</w:t>
      </w:r>
      <w:r w:rsidR="00DF442F" w:rsidRPr="00C73365">
        <w:rPr>
          <w:rFonts w:asciiTheme="minorHAnsi" w:hAnsiTheme="minorHAnsi" w:cstheme="minorHAnsi"/>
          <w:lang w:val="fr-FR"/>
        </w:rPr>
        <w:t xml:space="preserve"> a fait l’objet d’opérations d’apports en nature des sociétés SPLICOS, WITTYCELL et ZOPHIS réalisées le 25 avril 2014 et des transmissions universelles de patrimoine desdites sociétés réalisées le 31 juillet 2014 pour les sociétés ZOPHIS et WITTYCELL et le 31 octobre 2014 pour la société SPLICOS.</w:t>
      </w:r>
    </w:p>
    <w:p w14:paraId="569864EF" w14:textId="77777777" w:rsidR="00DF442F" w:rsidRPr="00C73365" w:rsidRDefault="00DF442F" w:rsidP="004572A0">
      <w:pPr>
        <w:pStyle w:val="Listecontinue"/>
        <w:rPr>
          <w:rFonts w:asciiTheme="minorHAnsi" w:hAnsiTheme="minorHAnsi" w:cstheme="minorHAnsi"/>
          <w:lang w:val="fr-FR"/>
        </w:rPr>
      </w:pPr>
      <w:r w:rsidRPr="00C73365">
        <w:rPr>
          <w:rFonts w:asciiTheme="minorHAnsi" w:hAnsiTheme="minorHAnsi" w:cstheme="minorHAnsi"/>
          <w:lang w:val="fr-FR"/>
        </w:rPr>
        <w:t>Les informations financières sélectionnées présentées dans le présent chapitre 3 sont issues des états financiers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des exercices clos les 31 décembre </w:t>
      </w:r>
      <w:r w:rsidR="00342FB5"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31 décembre </w:t>
      </w:r>
      <w:r w:rsidR="00342FB5" w:rsidRPr="00C73365">
        <w:rPr>
          <w:rFonts w:asciiTheme="minorHAnsi" w:hAnsiTheme="minorHAnsi" w:cstheme="minorHAnsi"/>
          <w:lang w:val="fr-FR"/>
        </w:rPr>
        <w:t xml:space="preserve">2016 </w:t>
      </w:r>
      <w:r w:rsidRPr="00C73365">
        <w:rPr>
          <w:rFonts w:asciiTheme="minorHAnsi" w:hAnsiTheme="minorHAnsi" w:cstheme="minorHAnsi"/>
          <w:lang w:val="fr-FR"/>
        </w:rPr>
        <w:t xml:space="preserve">figurant au paragraphe 20.1. « Informations financières historiques » du présent document de référence d’une part, ainsi que les exercices clos les 31 décembre </w:t>
      </w:r>
      <w:r w:rsidR="00342FB5" w:rsidRPr="00C73365">
        <w:rPr>
          <w:rFonts w:asciiTheme="minorHAnsi" w:hAnsiTheme="minorHAnsi" w:cstheme="minorHAnsi"/>
          <w:lang w:val="fr-FR"/>
        </w:rPr>
        <w:t xml:space="preserve">2015 et 2014 </w:t>
      </w:r>
      <w:r w:rsidRPr="00C73365">
        <w:rPr>
          <w:rFonts w:asciiTheme="minorHAnsi" w:hAnsiTheme="minorHAnsi" w:cstheme="minorHAnsi"/>
          <w:lang w:val="fr-FR"/>
        </w:rPr>
        <w:t>d’autre part.</w:t>
      </w:r>
    </w:p>
    <w:p w14:paraId="2F65155E" w14:textId="77777777" w:rsidR="00DF442F" w:rsidRPr="00C73365" w:rsidRDefault="00DF442F" w:rsidP="004572A0">
      <w:pPr>
        <w:pStyle w:val="Listecontinue"/>
        <w:rPr>
          <w:rFonts w:asciiTheme="minorHAnsi" w:hAnsiTheme="minorHAnsi" w:cstheme="minorHAnsi"/>
          <w:lang w:val="fr-FR"/>
        </w:rPr>
      </w:pPr>
      <w:r w:rsidRPr="00C73365">
        <w:rPr>
          <w:rFonts w:asciiTheme="minorHAnsi" w:hAnsiTheme="minorHAnsi" w:cstheme="minorHAnsi"/>
          <w:lang w:val="fr-FR"/>
        </w:rPr>
        <w:t>Ces informations financières doivent être lues en parallèle avec :</w:t>
      </w:r>
    </w:p>
    <w:p w14:paraId="53F18A3E" w14:textId="77777777" w:rsidR="00DF442F" w:rsidRPr="00C73365" w:rsidRDefault="005864DD" w:rsidP="00B170BA">
      <w:pPr>
        <w:pStyle w:val="Paragraphedeliste"/>
        <w:numPr>
          <w:ilvl w:val="0"/>
          <w:numId w:val="37"/>
        </w:numPr>
        <w:rPr>
          <w:rFonts w:asciiTheme="minorHAnsi" w:hAnsiTheme="minorHAnsi" w:cstheme="minorHAnsi"/>
          <w:bCs/>
          <w:szCs w:val="20"/>
          <w:lang w:val="fr-FR"/>
        </w:rPr>
      </w:pPr>
      <w:r w:rsidRPr="00C73365">
        <w:rPr>
          <w:rFonts w:asciiTheme="minorHAnsi" w:hAnsiTheme="minorHAnsi" w:cstheme="minorHAnsi"/>
          <w:bCs/>
          <w:szCs w:val="20"/>
          <w:lang w:val="fr-FR"/>
        </w:rPr>
        <w:t>L’examen</w:t>
      </w:r>
      <w:r w:rsidR="00DF442F" w:rsidRPr="00C73365">
        <w:rPr>
          <w:rFonts w:asciiTheme="minorHAnsi" w:hAnsiTheme="minorHAnsi" w:cstheme="minorHAnsi"/>
          <w:bCs/>
          <w:szCs w:val="20"/>
          <w:lang w:val="fr-FR"/>
        </w:rPr>
        <w:t xml:space="preserve"> du résultat et de la situation financière du Groupe présenté au chapitre 9 du présent document de référence et </w:t>
      </w:r>
    </w:p>
    <w:p w14:paraId="74515738" w14:textId="77777777" w:rsidR="00DF442F" w:rsidRPr="00C73365" w:rsidRDefault="005864DD" w:rsidP="00B170BA">
      <w:pPr>
        <w:pStyle w:val="Paragraphedeliste"/>
        <w:numPr>
          <w:ilvl w:val="0"/>
          <w:numId w:val="37"/>
        </w:numPr>
        <w:rPr>
          <w:rFonts w:asciiTheme="minorHAnsi" w:hAnsiTheme="minorHAnsi" w:cstheme="minorHAnsi"/>
          <w:bCs/>
          <w:szCs w:val="20"/>
          <w:lang w:val="fr-FR"/>
        </w:rPr>
      </w:pPr>
      <w:r w:rsidRPr="00C73365">
        <w:rPr>
          <w:rFonts w:asciiTheme="minorHAnsi" w:hAnsiTheme="minorHAnsi" w:cstheme="minorHAnsi"/>
          <w:bCs/>
          <w:szCs w:val="20"/>
          <w:lang w:val="fr-FR"/>
        </w:rPr>
        <w:t>L’examen</w:t>
      </w:r>
      <w:r w:rsidR="00DF442F" w:rsidRPr="00C73365">
        <w:rPr>
          <w:rFonts w:asciiTheme="minorHAnsi" w:hAnsiTheme="minorHAnsi" w:cstheme="minorHAnsi"/>
          <w:bCs/>
          <w:szCs w:val="20"/>
          <w:lang w:val="fr-FR"/>
        </w:rPr>
        <w:t xml:space="preserve"> de la trésorerie et des capitaux du Groupe présenté au chapitre 10 du présent document de référence. </w:t>
      </w:r>
    </w:p>
    <w:p w14:paraId="6F8BF25B" w14:textId="77777777" w:rsidR="00DF442F" w:rsidRPr="00C73365" w:rsidRDefault="00DF442F"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Extraits des informations financières reprenant les éléments clés des résultats annuels établis conformément aux normes comptables françaises, pour les exercices </w:t>
      </w:r>
      <w:r w:rsidR="00342FB5"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w:t>
      </w:r>
      <w:r w:rsidR="00342FB5" w:rsidRPr="00C73365">
        <w:rPr>
          <w:rFonts w:asciiTheme="minorHAnsi" w:hAnsiTheme="minorHAnsi" w:cstheme="minorHAnsi"/>
          <w:lang w:val="fr-FR"/>
        </w:rPr>
        <w:t>2016</w:t>
      </w:r>
      <w:r w:rsidR="00CE3CE6" w:rsidRPr="00C73365">
        <w:rPr>
          <w:rFonts w:asciiTheme="minorHAnsi" w:hAnsiTheme="minorHAnsi" w:cstheme="minorHAnsi"/>
          <w:lang w:val="fr-FR"/>
        </w:rPr>
        <w:t>.</w:t>
      </w:r>
    </w:p>
    <w:p w14:paraId="66DD865E" w14:textId="77777777" w:rsidR="00DF442F" w:rsidRPr="00C73365" w:rsidRDefault="00DF442F" w:rsidP="00A96CCA">
      <w:pPr>
        <w:pStyle w:val="BlockLeft"/>
        <w:keepNext/>
        <w:jc w:val="center"/>
        <w:rPr>
          <w:rFonts w:asciiTheme="minorHAnsi" w:hAnsiTheme="minorHAnsi" w:cstheme="minorHAnsi"/>
          <w:b/>
          <w:color w:val="7030A0"/>
          <w:lang w:val="fr-FR"/>
        </w:rPr>
      </w:pPr>
      <w:r w:rsidRPr="00C73365">
        <w:rPr>
          <w:rFonts w:asciiTheme="minorHAnsi" w:hAnsiTheme="minorHAnsi" w:cstheme="minorHAnsi"/>
          <w:b/>
          <w:color w:val="7030A0"/>
          <w:lang w:val="fr-FR"/>
        </w:rPr>
        <w:t>Informations financières sélectionnées du compte de résultat :</w:t>
      </w:r>
    </w:p>
    <w:tbl>
      <w:tblPr>
        <w:tblpPr w:leftFromText="141" w:rightFromText="141" w:vertAnchor="text" w:horzAnchor="margin" w:tblpXSpec="center" w:tblpY="-27"/>
        <w:tblOverlap w:val="never"/>
        <w:tblW w:w="7204" w:type="dxa"/>
        <w:tblCellMar>
          <w:left w:w="70" w:type="dxa"/>
          <w:right w:w="70" w:type="dxa"/>
        </w:tblCellMar>
        <w:tblLook w:val="04A0" w:firstRow="1" w:lastRow="0" w:firstColumn="1" w:lastColumn="0" w:noHBand="0" w:noVBand="1"/>
      </w:tblPr>
      <w:tblGrid>
        <w:gridCol w:w="3760"/>
        <w:gridCol w:w="1225"/>
        <w:gridCol w:w="1225"/>
        <w:gridCol w:w="994"/>
      </w:tblGrid>
      <w:tr w:rsidR="00A96CCA" w:rsidRPr="00C73365" w14:paraId="549FBC02" w14:textId="77777777" w:rsidTr="00A96CCA">
        <w:trPr>
          <w:trHeight w:val="288"/>
        </w:trPr>
        <w:tc>
          <w:tcPr>
            <w:tcW w:w="3760" w:type="dxa"/>
            <w:tcBorders>
              <w:top w:val="single" w:sz="12" w:space="0" w:color="7030A0"/>
              <w:left w:val="nil"/>
              <w:bottom w:val="nil"/>
              <w:right w:val="nil"/>
            </w:tcBorders>
            <w:shd w:val="clear" w:color="auto" w:fill="auto"/>
            <w:vAlign w:val="center"/>
            <w:hideMark/>
          </w:tcPr>
          <w:p w14:paraId="5B78A0FC" w14:textId="77777777" w:rsidR="00A96CCA" w:rsidRPr="00C73365" w:rsidRDefault="00A96CC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225" w:type="dxa"/>
            <w:vMerge w:val="restart"/>
            <w:tcBorders>
              <w:top w:val="single" w:sz="12" w:space="0" w:color="7030A0"/>
              <w:left w:val="nil"/>
              <w:bottom w:val="single" w:sz="8" w:space="0" w:color="7030A0"/>
              <w:right w:val="nil"/>
            </w:tcBorders>
            <w:shd w:val="clear" w:color="auto" w:fill="auto"/>
            <w:vAlign w:val="center"/>
            <w:hideMark/>
          </w:tcPr>
          <w:p w14:paraId="3DC4BF69" w14:textId="77777777"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225" w:type="dxa"/>
            <w:vMerge w:val="restart"/>
            <w:tcBorders>
              <w:top w:val="single" w:sz="12" w:space="0" w:color="7030A0"/>
              <w:left w:val="nil"/>
              <w:bottom w:val="single" w:sz="8" w:space="0" w:color="7030A0"/>
              <w:right w:val="nil"/>
            </w:tcBorders>
            <w:shd w:val="clear" w:color="auto" w:fill="auto"/>
            <w:vAlign w:val="center"/>
            <w:hideMark/>
          </w:tcPr>
          <w:p w14:paraId="3FEFED25" w14:textId="77777777" w:rsidR="00A96CCA" w:rsidRPr="008A1306" w:rsidRDefault="00A96CCA" w:rsidP="00A96CCA">
            <w:pPr>
              <w:spacing w:after="0"/>
              <w:jc w:val="right"/>
              <w:rPr>
                <w:rFonts w:asciiTheme="minorHAnsi" w:hAnsiTheme="minorHAnsi" w:cstheme="minorHAnsi"/>
                <w:b/>
                <w:bCs/>
                <w:color w:val="7030A0"/>
                <w:szCs w:val="20"/>
                <w:lang w:val="fr-FR" w:eastAsia="fr-FR"/>
              </w:rPr>
            </w:pPr>
            <w:r w:rsidRPr="008A1306">
              <w:rPr>
                <w:rFonts w:asciiTheme="minorHAnsi" w:hAnsiTheme="minorHAnsi" w:cstheme="minorHAnsi"/>
                <w:b/>
                <w:bCs/>
                <w:color w:val="7030A0"/>
                <w:szCs w:val="20"/>
                <w:lang w:val="fr-FR" w:eastAsia="fr-FR"/>
              </w:rPr>
              <w:t>31/12/2016</w:t>
            </w:r>
          </w:p>
        </w:tc>
        <w:tc>
          <w:tcPr>
            <w:tcW w:w="994" w:type="dxa"/>
            <w:vMerge w:val="restart"/>
            <w:tcBorders>
              <w:top w:val="single" w:sz="12" w:space="0" w:color="7030A0"/>
              <w:left w:val="nil"/>
              <w:bottom w:val="single" w:sz="8" w:space="0" w:color="7030A0"/>
              <w:right w:val="nil"/>
            </w:tcBorders>
            <w:shd w:val="clear" w:color="auto" w:fill="auto"/>
            <w:vAlign w:val="center"/>
            <w:hideMark/>
          </w:tcPr>
          <w:p w14:paraId="726981A6" w14:textId="77777777" w:rsidR="00A96CCA" w:rsidRPr="008A1306" w:rsidRDefault="00A96CCA" w:rsidP="00A96CCA">
            <w:pPr>
              <w:spacing w:after="0"/>
              <w:jc w:val="right"/>
              <w:rPr>
                <w:rFonts w:asciiTheme="minorHAnsi" w:hAnsiTheme="minorHAnsi" w:cstheme="minorHAnsi"/>
                <w:b/>
                <w:bCs/>
                <w:color w:val="7030A0"/>
                <w:szCs w:val="20"/>
                <w:lang w:val="fr-FR" w:eastAsia="fr-FR"/>
              </w:rPr>
            </w:pPr>
            <w:r w:rsidRPr="008A1306">
              <w:rPr>
                <w:rFonts w:asciiTheme="minorHAnsi" w:hAnsiTheme="minorHAnsi" w:cstheme="minorHAnsi"/>
                <w:b/>
                <w:bCs/>
                <w:color w:val="7030A0"/>
                <w:szCs w:val="20"/>
                <w:lang w:val="fr-FR" w:eastAsia="fr-FR"/>
              </w:rPr>
              <w:t>Variation</w:t>
            </w:r>
          </w:p>
        </w:tc>
      </w:tr>
      <w:tr w:rsidR="00A96CCA" w:rsidRPr="00C73365" w14:paraId="33697B99" w14:textId="77777777" w:rsidTr="00A96CCA">
        <w:trPr>
          <w:trHeight w:val="288"/>
        </w:trPr>
        <w:tc>
          <w:tcPr>
            <w:tcW w:w="3760" w:type="dxa"/>
            <w:tcBorders>
              <w:top w:val="nil"/>
              <w:left w:val="nil"/>
              <w:bottom w:val="single" w:sz="8" w:space="0" w:color="7030A0"/>
              <w:right w:val="nil"/>
            </w:tcBorders>
            <w:shd w:val="clear" w:color="auto" w:fill="auto"/>
            <w:vAlign w:val="center"/>
            <w:hideMark/>
          </w:tcPr>
          <w:p w14:paraId="0EFC7890" w14:textId="77777777"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25" w:type="dxa"/>
            <w:vMerge/>
            <w:tcBorders>
              <w:top w:val="single" w:sz="12" w:space="0" w:color="7030A0"/>
              <w:left w:val="nil"/>
              <w:bottom w:val="single" w:sz="8" w:space="0" w:color="7030A0"/>
              <w:right w:val="nil"/>
            </w:tcBorders>
            <w:vAlign w:val="center"/>
            <w:hideMark/>
          </w:tcPr>
          <w:p w14:paraId="06A9EC01" w14:textId="77777777" w:rsidR="00A96CCA" w:rsidRPr="00C73365" w:rsidRDefault="00A96CCA" w:rsidP="00A96CCA">
            <w:pPr>
              <w:spacing w:after="0"/>
              <w:rPr>
                <w:rFonts w:asciiTheme="minorHAnsi" w:hAnsiTheme="minorHAnsi" w:cstheme="minorHAnsi"/>
                <w:b/>
                <w:bCs/>
                <w:color w:val="7030A0"/>
                <w:szCs w:val="20"/>
                <w:lang w:val="fr-FR" w:eastAsia="fr-FR"/>
              </w:rPr>
            </w:pPr>
          </w:p>
        </w:tc>
        <w:tc>
          <w:tcPr>
            <w:tcW w:w="1225" w:type="dxa"/>
            <w:vMerge/>
            <w:tcBorders>
              <w:top w:val="single" w:sz="12" w:space="0" w:color="7030A0"/>
              <w:left w:val="nil"/>
              <w:bottom w:val="single" w:sz="8" w:space="0" w:color="7030A0"/>
              <w:right w:val="nil"/>
            </w:tcBorders>
            <w:vAlign w:val="center"/>
            <w:hideMark/>
          </w:tcPr>
          <w:p w14:paraId="3FCFA4FA" w14:textId="77777777" w:rsidR="00A96CCA" w:rsidRPr="00C73365" w:rsidRDefault="00A96CCA" w:rsidP="00A96CCA">
            <w:pPr>
              <w:spacing w:after="0"/>
              <w:rPr>
                <w:rFonts w:asciiTheme="minorHAnsi" w:hAnsiTheme="minorHAnsi" w:cstheme="minorHAnsi"/>
                <w:b/>
                <w:bCs/>
                <w:color w:val="000000"/>
                <w:szCs w:val="20"/>
                <w:lang w:val="fr-FR" w:eastAsia="fr-FR"/>
              </w:rPr>
            </w:pPr>
          </w:p>
        </w:tc>
        <w:tc>
          <w:tcPr>
            <w:tcW w:w="994" w:type="dxa"/>
            <w:vMerge/>
            <w:tcBorders>
              <w:top w:val="single" w:sz="12" w:space="0" w:color="7030A0"/>
              <w:left w:val="nil"/>
              <w:bottom w:val="single" w:sz="8" w:space="0" w:color="7030A0"/>
              <w:right w:val="nil"/>
            </w:tcBorders>
            <w:vAlign w:val="center"/>
            <w:hideMark/>
          </w:tcPr>
          <w:p w14:paraId="1BF8D0A8" w14:textId="77777777" w:rsidR="00A96CCA" w:rsidRPr="00C73365" w:rsidRDefault="00A96CCA" w:rsidP="00A96CCA">
            <w:pPr>
              <w:spacing w:after="0"/>
              <w:rPr>
                <w:rFonts w:asciiTheme="minorHAnsi" w:hAnsiTheme="minorHAnsi" w:cstheme="minorHAnsi"/>
                <w:b/>
                <w:bCs/>
                <w:color w:val="000000"/>
                <w:szCs w:val="20"/>
                <w:lang w:val="fr-FR" w:eastAsia="fr-FR"/>
              </w:rPr>
            </w:pPr>
          </w:p>
        </w:tc>
      </w:tr>
      <w:tr w:rsidR="00A96CCA" w:rsidRPr="00C73365" w14:paraId="2859AD67" w14:textId="77777777" w:rsidTr="00A96CCA">
        <w:trPr>
          <w:trHeight w:val="276"/>
        </w:trPr>
        <w:tc>
          <w:tcPr>
            <w:tcW w:w="3760" w:type="dxa"/>
            <w:tcBorders>
              <w:top w:val="nil"/>
              <w:left w:val="nil"/>
              <w:bottom w:val="nil"/>
              <w:right w:val="nil"/>
            </w:tcBorders>
            <w:shd w:val="clear" w:color="auto" w:fill="auto"/>
            <w:noWrap/>
            <w:vAlign w:val="center"/>
            <w:hideMark/>
          </w:tcPr>
          <w:p w14:paraId="70B769C1" w14:textId="77777777"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produits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14:paraId="476114C3"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357</w:t>
            </w:r>
          </w:p>
        </w:tc>
        <w:tc>
          <w:tcPr>
            <w:tcW w:w="1225" w:type="dxa"/>
            <w:tcBorders>
              <w:top w:val="nil"/>
              <w:left w:val="nil"/>
              <w:bottom w:val="nil"/>
              <w:right w:val="nil"/>
            </w:tcBorders>
            <w:shd w:val="clear" w:color="auto" w:fill="auto"/>
            <w:vAlign w:val="center"/>
            <w:hideMark/>
          </w:tcPr>
          <w:p w14:paraId="72665C39"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151</w:t>
            </w:r>
          </w:p>
        </w:tc>
        <w:tc>
          <w:tcPr>
            <w:tcW w:w="994" w:type="dxa"/>
            <w:tcBorders>
              <w:top w:val="nil"/>
              <w:left w:val="nil"/>
              <w:bottom w:val="nil"/>
              <w:right w:val="nil"/>
            </w:tcBorders>
            <w:shd w:val="clear" w:color="auto" w:fill="auto"/>
            <w:vAlign w:val="center"/>
            <w:hideMark/>
          </w:tcPr>
          <w:p w14:paraId="5BECD950"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206</w:t>
            </w:r>
          </w:p>
        </w:tc>
      </w:tr>
      <w:tr w:rsidR="00A96CCA" w:rsidRPr="00C73365" w14:paraId="389CF811" w14:textId="77777777" w:rsidTr="00A96CCA">
        <w:trPr>
          <w:trHeight w:val="276"/>
        </w:trPr>
        <w:tc>
          <w:tcPr>
            <w:tcW w:w="3760" w:type="dxa"/>
            <w:tcBorders>
              <w:top w:val="nil"/>
              <w:left w:val="nil"/>
              <w:bottom w:val="nil"/>
              <w:right w:val="nil"/>
            </w:tcBorders>
            <w:shd w:val="clear" w:color="auto" w:fill="auto"/>
            <w:noWrap/>
            <w:vAlign w:val="center"/>
            <w:hideMark/>
          </w:tcPr>
          <w:p w14:paraId="135E0C02" w14:textId="77777777"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14:paraId="19FF5610" w14:textId="77777777"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A96CCA" w:rsidRPr="00C73365">
              <w:rPr>
                <w:rFonts w:asciiTheme="minorHAnsi" w:hAnsiTheme="minorHAnsi" w:cstheme="minorHAnsi"/>
                <w:color w:val="000000"/>
                <w:szCs w:val="20"/>
              </w:rPr>
              <w:t>14 507</w:t>
            </w:r>
          </w:p>
        </w:tc>
        <w:tc>
          <w:tcPr>
            <w:tcW w:w="1225" w:type="dxa"/>
            <w:tcBorders>
              <w:top w:val="nil"/>
              <w:left w:val="nil"/>
              <w:bottom w:val="nil"/>
              <w:right w:val="nil"/>
            </w:tcBorders>
            <w:shd w:val="clear" w:color="auto" w:fill="auto"/>
            <w:vAlign w:val="center"/>
            <w:hideMark/>
          </w:tcPr>
          <w:p w14:paraId="7395532A" w14:textId="77777777"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18 387</w:t>
            </w:r>
          </w:p>
        </w:tc>
        <w:tc>
          <w:tcPr>
            <w:tcW w:w="994" w:type="dxa"/>
            <w:tcBorders>
              <w:top w:val="nil"/>
              <w:left w:val="nil"/>
              <w:bottom w:val="nil"/>
              <w:right w:val="nil"/>
            </w:tcBorders>
            <w:shd w:val="clear" w:color="auto" w:fill="auto"/>
            <w:vAlign w:val="center"/>
            <w:hideMark/>
          </w:tcPr>
          <w:p w14:paraId="42A46AAB"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3 880</w:t>
            </w:r>
          </w:p>
        </w:tc>
      </w:tr>
      <w:tr w:rsidR="00A96CCA" w:rsidRPr="00C73365" w14:paraId="006EB282" w14:textId="77777777" w:rsidTr="00A96CCA">
        <w:trPr>
          <w:trHeight w:val="276"/>
        </w:trPr>
        <w:tc>
          <w:tcPr>
            <w:tcW w:w="3760" w:type="dxa"/>
            <w:tcBorders>
              <w:top w:val="nil"/>
              <w:left w:val="nil"/>
              <w:bottom w:val="nil"/>
              <w:right w:val="nil"/>
            </w:tcBorders>
            <w:shd w:val="clear" w:color="000000" w:fill="FFFFFF"/>
            <w:noWrap/>
            <w:vAlign w:val="center"/>
            <w:hideMark/>
          </w:tcPr>
          <w:p w14:paraId="78E564C3" w14:textId="77777777" w:rsidR="00A96CCA" w:rsidRPr="00C73365" w:rsidRDefault="00A96CCA" w:rsidP="00A96CCA">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de Recherche et Développement</w:t>
            </w:r>
          </w:p>
        </w:tc>
        <w:tc>
          <w:tcPr>
            <w:tcW w:w="1225" w:type="dxa"/>
            <w:tcBorders>
              <w:top w:val="nil"/>
              <w:left w:val="nil"/>
              <w:bottom w:val="nil"/>
              <w:right w:val="nil"/>
            </w:tcBorders>
            <w:shd w:val="clear" w:color="auto" w:fill="auto"/>
            <w:vAlign w:val="center"/>
            <w:hideMark/>
          </w:tcPr>
          <w:p w14:paraId="13577CB6" w14:textId="77777777"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10 846</w:t>
            </w:r>
          </w:p>
        </w:tc>
        <w:tc>
          <w:tcPr>
            <w:tcW w:w="1225" w:type="dxa"/>
            <w:tcBorders>
              <w:top w:val="nil"/>
              <w:left w:val="nil"/>
              <w:bottom w:val="nil"/>
              <w:right w:val="nil"/>
            </w:tcBorders>
            <w:shd w:val="clear" w:color="auto" w:fill="auto"/>
            <w:vAlign w:val="center"/>
            <w:hideMark/>
          </w:tcPr>
          <w:p w14:paraId="1E580CF0" w14:textId="77777777"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15 459</w:t>
            </w:r>
          </w:p>
        </w:tc>
        <w:tc>
          <w:tcPr>
            <w:tcW w:w="994" w:type="dxa"/>
            <w:tcBorders>
              <w:top w:val="nil"/>
              <w:left w:val="nil"/>
              <w:bottom w:val="nil"/>
              <w:right w:val="nil"/>
            </w:tcBorders>
            <w:shd w:val="clear" w:color="auto" w:fill="auto"/>
            <w:vAlign w:val="center"/>
            <w:hideMark/>
          </w:tcPr>
          <w:p w14:paraId="32F51D38"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4 613</w:t>
            </w:r>
          </w:p>
        </w:tc>
      </w:tr>
      <w:tr w:rsidR="00A96CCA" w:rsidRPr="00C73365" w14:paraId="001B3B99"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31C2CB71" w14:textId="77777777" w:rsidR="00A96CCA" w:rsidRPr="00C73365" w:rsidRDefault="00A96CCA" w:rsidP="00A96CCA">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administratifs et généraux</w:t>
            </w:r>
          </w:p>
        </w:tc>
        <w:tc>
          <w:tcPr>
            <w:tcW w:w="1225" w:type="dxa"/>
            <w:tcBorders>
              <w:top w:val="nil"/>
              <w:left w:val="nil"/>
              <w:bottom w:val="single" w:sz="8" w:space="0" w:color="7030A0"/>
              <w:right w:val="nil"/>
            </w:tcBorders>
            <w:shd w:val="clear" w:color="auto" w:fill="auto"/>
            <w:vAlign w:val="center"/>
            <w:hideMark/>
          </w:tcPr>
          <w:p w14:paraId="190379F5" w14:textId="77777777"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3 661</w:t>
            </w:r>
          </w:p>
        </w:tc>
        <w:tc>
          <w:tcPr>
            <w:tcW w:w="1225" w:type="dxa"/>
            <w:tcBorders>
              <w:top w:val="nil"/>
              <w:left w:val="nil"/>
              <w:bottom w:val="single" w:sz="8" w:space="0" w:color="7030A0"/>
              <w:right w:val="nil"/>
            </w:tcBorders>
            <w:shd w:val="clear" w:color="auto" w:fill="auto"/>
            <w:vAlign w:val="center"/>
            <w:hideMark/>
          </w:tcPr>
          <w:p w14:paraId="356A6B0F" w14:textId="77777777"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2 928</w:t>
            </w:r>
          </w:p>
        </w:tc>
        <w:tc>
          <w:tcPr>
            <w:tcW w:w="994" w:type="dxa"/>
            <w:tcBorders>
              <w:top w:val="nil"/>
              <w:left w:val="nil"/>
              <w:bottom w:val="single" w:sz="8" w:space="0" w:color="7030A0"/>
              <w:right w:val="nil"/>
            </w:tcBorders>
            <w:shd w:val="clear" w:color="auto" w:fill="auto"/>
            <w:vAlign w:val="center"/>
            <w:hideMark/>
          </w:tcPr>
          <w:p w14:paraId="4E99DF60" w14:textId="77777777"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733</w:t>
            </w:r>
          </w:p>
        </w:tc>
      </w:tr>
      <w:tr w:rsidR="00A96CCA" w:rsidRPr="00C73365" w14:paraId="659C4072"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2FCA0844" w14:textId="77777777" w:rsidR="00A96CCA" w:rsidRPr="00C73365" w:rsidRDefault="00A96CCA"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Résultat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exploitation</w:t>
            </w:r>
          </w:p>
        </w:tc>
        <w:tc>
          <w:tcPr>
            <w:tcW w:w="1225" w:type="dxa"/>
            <w:tcBorders>
              <w:top w:val="nil"/>
              <w:left w:val="nil"/>
              <w:bottom w:val="single" w:sz="8" w:space="0" w:color="7030A0"/>
              <w:right w:val="nil"/>
            </w:tcBorders>
            <w:shd w:val="clear" w:color="auto" w:fill="auto"/>
            <w:vAlign w:val="center"/>
            <w:hideMark/>
          </w:tcPr>
          <w:p w14:paraId="74ABEE92" w14:textId="77777777"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-14 150</w:t>
            </w:r>
          </w:p>
        </w:tc>
        <w:tc>
          <w:tcPr>
            <w:tcW w:w="1225" w:type="dxa"/>
            <w:tcBorders>
              <w:top w:val="nil"/>
              <w:left w:val="nil"/>
              <w:bottom w:val="single" w:sz="8" w:space="0" w:color="7030A0"/>
              <w:right w:val="nil"/>
            </w:tcBorders>
            <w:shd w:val="clear" w:color="auto" w:fill="auto"/>
            <w:vAlign w:val="center"/>
            <w:hideMark/>
          </w:tcPr>
          <w:p w14:paraId="02EC456A" w14:textId="77777777"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-18 236</w:t>
            </w:r>
          </w:p>
        </w:tc>
        <w:tc>
          <w:tcPr>
            <w:tcW w:w="994" w:type="dxa"/>
            <w:tcBorders>
              <w:top w:val="nil"/>
              <w:left w:val="nil"/>
              <w:bottom w:val="single" w:sz="8" w:space="0" w:color="7030A0"/>
              <w:right w:val="nil"/>
            </w:tcBorders>
            <w:shd w:val="clear" w:color="auto" w:fill="auto"/>
            <w:vAlign w:val="center"/>
            <w:hideMark/>
          </w:tcPr>
          <w:p w14:paraId="3D2F960D" w14:textId="77777777"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4 086</w:t>
            </w:r>
          </w:p>
        </w:tc>
      </w:tr>
      <w:tr w:rsidR="00A96CCA" w:rsidRPr="00C73365" w14:paraId="38A3BA3B"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36615072" w14:textId="77777777"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financier</w:t>
            </w:r>
          </w:p>
        </w:tc>
        <w:tc>
          <w:tcPr>
            <w:tcW w:w="1225" w:type="dxa"/>
            <w:tcBorders>
              <w:top w:val="nil"/>
              <w:left w:val="nil"/>
              <w:bottom w:val="single" w:sz="8" w:space="0" w:color="7030A0"/>
              <w:right w:val="nil"/>
            </w:tcBorders>
            <w:shd w:val="clear" w:color="auto" w:fill="auto"/>
            <w:vAlign w:val="center"/>
            <w:hideMark/>
          </w:tcPr>
          <w:p w14:paraId="4E5808FE"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77</w:t>
            </w:r>
          </w:p>
        </w:tc>
        <w:tc>
          <w:tcPr>
            <w:tcW w:w="1225" w:type="dxa"/>
            <w:tcBorders>
              <w:top w:val="nil"/>
              <w:left w:val="nil"/>
              <w:bottom w:val="single" w:sz="8" w:space="0" w:color="7030A0"/>
              <w:right w:val="nil"/>
            </w:tcBorders>
            <w:shd w:val="clear" w:color="auto" w:fill="auto"/>
            <w:vAlign w:val="center"/>
            <w:hideMark/>
          </w:tcPr>
          <w:p w14:paraId="225DE17A"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258</w:t>
            </w:r>
          </w:p>
        </w:tc>
        <w:tc>
          <w:tcPr>
            <w:tcW w:w="994" w:type="dxa"/>
            <w:tcBorders>
              <w:top w:val="nil"/>
              <w:left w:val="nil"/>
              <w:bottom w:val="single" w:sz="8" w:space="0" w:color="7030A0"/>
              <w:right w:val="nil"/>
            </w:tcBorders>
            <w:shd w:val="clear" w:color="auto" w:fill="auto"/>
            <w:vAlign w:val="center"/>
            <w:hideMark/>
          </w:tcPr>
          <w:p w14:paraId="069FB9B3"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-182</w:t>
            </w:r>
          </w:p>
        </w:tc>
      </w:tr>
      <w:tr w:rsidR="00A96CCA" w:rsidRPr="00C73365" w14:paraId="6E86D605"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7C2C37BB" w14:textId="77777777" w:rsidR="00A96CCA" w:rsidRPr="00C73365" w:rsidRDefault="00A96CC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courant</w:t>
            </w:r>
          </w:p>
        </w:tc>
        <w:tc>
          <w:tcPr>
            <w:tcW w:w="1225" w:type="dxa"/>
            <w:tcBorders>
              <w:top w:val="nil"/>
              <w:left w:val="nil"/>
              <w:bottom w:val="single" w:sz="8" w:space="0" w:color="7030A0"/>
              <w:right w:val="nil"/>
            </w:tcBorders>
            <w:shd w:val="clear" w:color="auto" w:fill="auto"/>
            <w:vAlign w:val="center"/>
            <w:hideMark/>
          </w:tcPr>
          <w:p w14:paraId="4762FA05" w14:textId="77777777"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-14 073</w:t>
            </w:r>
          </w:p>
        </w:tc>
        <w:tc>
          <w:tcPr>
            <w:tcW w:w="1225" w:type="dxa"/>
            <w:tcBorders>
              <w:top w:val="nil"/>
              <w:left w:val="nil"/>
              <w:bottom w:val="single" w:sz="8" w:space="0" w:color="7030A0"/>
              <w:right w:val="nil"/>
            </w:tcBorders>
            <w:shd w:val="clear" w:color="auto" w:fill="auto"/>
            <w:vAlign w:val="center"/>
            <w:hideMark/>
          </w:tcPr>
          <w:p w14:paraId="3B1E59AC" w14:textId="77777777"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-17 978</w:t>
            </w:r>
          </w:p>
        </w:tc>
        <w:tc>
          <w:tcPr>
            <w:tcW w:w="994" w:type="dxa"/>
            <w:tcBorders>
              <w:top w:val="nil"/>
              <w:left w:val="nil"/>
              <w:bottom w:val="single" w:sz="8" w:space="0" w:color="7030A0"/>
              <w:right w:val="nil"/>
            </w:tcBorders>
            <w:shd w:val="clear" w:color="auto" w:fill="auto"/>
            <w:vAlign w:val="center"/>
            <w:hideMark/>
          </w:tcPr>
          <w:p w14:paraId="1662FCBF" w14:textId="77777777"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3 905</w:t>
            </w:r>
          </w:p>
        </w:tc>
      </w:tr>
      <w:tr w:rsidR="00A96CCA" w:rsidRPr="00C73365" w14:paraId="73FB7C61" w14:textId="77777777" w:rsidTr="00A96CCA">
        <w:trPr>
          <w:trHeight w:val="276"/>
        </w:trPr>
        <w:tc>
          <w:tcPr>
            <w:tcW w:w="3760" w:type="dxa"/>
            <w:tcBorders>
              <w:top w:val="nil"/>
              <w:left w:val="nil"/>
              <w:bottom w:val="nil"/>
              <w:right w:val="nil"/>
            </w:tcBorders>
            <w:shd w:val="clear" w:color="auto" w:fill="auto"/>
            <w:noWrap/>
            <w:vAlign w:val="center"/>
            <w:hideMark/>
          </w:tcPr>
          <w:p w14:paraId="45CD6538" w14:textId="77777777"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exceptionnel</w:t>
            </w:r>
          </w:p>
        </w:tc>
        <w:tc>
          <w:tcPr>
            <w:tcW w:w="1225" w:type="dxa"/>
            <w:tcBorders>
              <w:top w:val="nil"/>
              <w:left w:val="nil"/>
              <w:bottom w:val="nil"/>
              <w:right w:val="nil"/>
            </w:tcBorders>
            <w:shd w:val="clear" w:color="auto" w:fill="auto"/>
            <w:vAlign w:val="center"/>
            <w:hideMark/>
          </w:tcPr>
          <w:p w14:paraId="73B0E24B"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159</w:t>
            </w:r>
          </w:p>
        </w:tc>
        <w:tc>
          <w:tcPr>
            <w:tcW w:w="1225" w:type="dxa"/>
            <w:tcBorders>
              <w:top w:val="nil"/>
              <w:left w:val="nil"/>
              <w:bottom w:val="nil"/>
              <w:right w:val="nil"/>
            </w:tcBorders>
            <w:shd w:val="clear" w:color="auto" w:fill="auto"/>
            <w:vAlign w:val="center"/>
            <w:hideMark/>
          </w:tcPr>
          <w:p w14:paraId="63E645FD"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152</w:t>
            </w:r>
          </w:p>
        </w:tc>
        <w:tc>
          <w:tcPr>
            <w:tcW w:w="994" w:type="dxa"/>
            <w:tcBorders>
              <w:top w:val="nil"/>
              <w:left w:val="nil"/>
              <w:bottom w:val="nil"/>
              <w:right w:val="nil"/>
            </w:tcBorders>
            <w:shd w:val="clear" w:color="auto" w:fill="auto"/>
            <w:vAlign w:val="center"/>
            <w:hideMark/>
          </w:tcPr>
          <w:p w14:paraId="1417E6BC"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A96CCA" w:rsidRPr="00C73365" w14:paraId="6D834444"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11DF9D63" w14:textId="77777777"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 sur les bénéfices</w:t>
            </w:r>
          </w:p>
        </w:tc>
        <w:tc>
          <w:tcPr>
            <w:tcW w:w="1225" w:type="dxa"/>
            <w:tcBorders>
              <w:top w:val="nil"/>
              <w:left w:val="nil"/>
              <w:bottom w:val="single" w:sz="8" w:space="0" w:color="7030A0"/>
              <w:right w:val="nil"/>
            </w:tcBorders>
            <w:shd w:val="clear" w:color="auto" w:fill="auto"/>
            <w:vAlign w:val="center"/>
            <w:hideMark/>
          </w:tcPr>
          <w:p w14:paraId="4AA59417"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2 692</w:t>
            </w:r>
          </w:p>
        </w:tc>
        <w:tc>
          <w:tcPr>
            <w:tcW w:w="1225" w:type="dxa"/>
            <w:tcBorders>
              <w:top w:val="nil"/>
              <w:left w:val="nil"/>
              <w:bottom w:val="single" w:sz="8" w:space="0" w:color="7030A0"/>
              <w:right w:val="nil"/>
            </w:tcBorders>
            <w:shd w:val="clear" w:color="auto" w:fill="auto"/>
            <w:vAlign w:val="center"/>
            <w:hideMark/>
          </w:tcPr>
          <w:p w14:paraId="4D2F07E1"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3 519</w:t>
            </w:r>
          </w:p>
        </w:tc>
        <w:tc>
          <w:tcPr>
            <w:tcW w:w="994" w:type="dxa"/>
            <w:tcBorders>
              <w:top w:val="nil"/>
              <w:left w:val="nil"/>
              <w:bottom w:val="single" w:sz="8" w:space="0" w:color="7030A0"/>
              <w:right w:val="nil"/>
            </w:tcBorders>
            <w:shd w:val="clear" w:color="auto" w:fill="auto"/>
            <w:vAlign w:val="center"/>
            <w:hideMark/>
          </w:tcPr>
          <w:p w14:paraId="204E0E31" w14:textId="77777777"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827</w:t>
            </w:r>
          </w:p>
        </w:tc>
      </w:tr>
      <w:tr w:rsidR="00A96CCA" w:rsidRPr="00C73365" w14:paraId="474C5C40"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5FDED611" w14:textId="77777777" w:rsidR="00A96CCA" w:rsidRPr="00C73365" w:rsidRDefault="00A96CC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de l</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exercice</w:t>
            </w:r>
          </w:p>
        </w:tc>
        <w:tc>
          <w:tcPr>
            <w:tcW w:w="1225" w:type="dxa"/>
            <w:tcBorders>
              <w:top w:val="nil"/>
              <w:left w:val="nil"/>
              <w:bottom w:val="single" w:sz="8" w:space="0" w:color="7030A0"/>
              <w:right w:val="nil"/>
            </w:tcBorders>
            <w:shd w:val="clear" w:color="auto" w:fill="auto"/>
            <w:vAlign w:val="center"/>
            <w:hideMark/>
          </w:tcPr>
          <w:p w14:paraId="02C743A3" w14:textId="77777777"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-11 223</w:t>
            </w:r>
          </w:p>
        </w:tc>
        <w:tc>
          <w:tcPr>
            <w:tcW w:w="1225" w:type="dxa"/>
            <w:tcBorders>
              <w:top w:val="nil"/>
              <w:left w:val="nil"/>
              <w:bottom w:val="single" w:sz="8" w:space="0" w:color="7030A0"/>
              <w:right w:val="nil"/>
            </w:tcBorders>
            <w:shd w:val="clear" w:color="auto" w:fill="auto"/>
            <w:vAlign w:val="center"/>
            <w:hideMark/>
          </w:tcPr>
          <w:p w14:paraId="317A888D" w14:textId="77777777"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-14 308</w:t>
            </w:r>
          </w:p>
        </w:tc>
        <w:tc>
          <w:tcPr>
            <w:tcW w:w="994" w:type="dxa"/>
            <w:tcBorders>
              <w:top w:val="nil"/>
              <w:left w:val="nil"/>
              <w:bottom w:val="single" w:sz="8" w:space="0" w:color="7030A0"/>
              <w:right w:val="nil"/>
            </w:tcBorders>
            <w:shd w:val="clear" w:color="auto" w:fill="auto"/>
            <w:vAlign w:val="center"/>
            <w:hideMark/>
          </w:tcPr>
          <w:p w14:paraId="44D555E0" w14:textId="77777777"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3 085</w:t>
            </w:r>
          </w:p>
        </w:tc>
      </w:tr>
    </w:tbl>
    <w:p w14:paraId="577BCFFA" w14:textId="77777777" w:rsidR="00DF442F" w:rsidRPr="00C73365" w:rsidRDefault="00D306DB">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br w:type="textWrapping" w:clear="all"/>
      </w:r>
    </w:p>
    <w:p w14:paraId="43E683A9" w14:textId="77777777" w:rsidR="00A96CCA" w:rsidRPr="00C73365" w:rsidRDefault="00A96CCA">
      <w:pPr>
        <w:rPr>
          <w:rFonts w:asciiTheme="minorHAnsi" w:hAnsiTheme="minorHAnsi" w:cstheme="minorHAnsi"/>
          <w:b/>
          <w:color w:val="7030A0"/>
          <w:szCs w:val="20"/>
          <w:lang w:val="fr-FR"/>
        </w:rPr>
      </w:pPr>
    </w:p>
    <w:p w14:paraId="7D55BC10" w14:textId="77777777" w:rsidR="00A96CCA" w:rsidRPr="00C73365" w:rsidRDefault="00A96CCA">
      <w:pPr>
        <w:rPr>
          <w:rFonts w:asciiTheme="minorHAnsi" w:hAnsiTheme="minorHAnsi" w:cstheme="minorHAnsi"/>
          <w:b/>
          <w:color w:val="7030A0"/>
          <w:szCs w:val="20"/>
          <w:lang w:val="fr-FR"/>
        </w:rPr>
      </w:pPr>
    </w:p>
    <w:p w14:paraId="5D1CB190" w14:textId="77777777" w:rsidR="00A96CCA" w:rsidRPr="00C73365" w:rsidRDefault="00A96CCA">
      <w:pPr>
        <w:rPr>
          <w:rFonts w:asciiTheme="minorHAnsi" w:hAnsiTheme="minorHAnsi" w:cstheme="minorHAnsi"/>
          <w:b/>
          <w:color w:val="7030A0"/>
          <w:szCs w:val="20"/>
          <w:lang w:val="fr-FR"/>
        </w:rPr>
      </w:pPr>
    </w:p>
    <w:p w14:paraId="30D4D5FA" w14:textId="77777777" w:rsidR="00A96CCA" w:rsidRPr="00C73365" w:rsidRDefault="00A96CCA">
      <w:pPr>
        <w:rPr>
          <w:rFonts w:asciiTheme="minorHAnsi" w:hAnsiTheme="minorHAnsi" w:cstheme="minorHAnsi"/>
          <w:b/>
          <w:color w:val="7030A0"/>
          <w:szCs w:val="20"/>
          <w:lang w:val="fr-FR"/>
        </w:rPr>
      </w:pPr>
    </w:p>
    <w:p w14:paraId="7021AA8A" w14:textId="77777777" w:rsidR="00A96CCA" w:rsidRPr="00C73365" w:rsidRDefault="00A96CCA">
      <w:pPr>
        <w:rPr>
          <w:rFonts w:asciiTheme="minorHAnsi" w:hAnsiTheme="minorHAnsi" w:cstheme="minorHAnsi"/>
          <w:b/>
          <w:color w:val="7030A0"/>
          <w:szCs w:val="20"/>
          <w:lang w:val="fr-FR"/>
        </w:rPr>
      </w:pPr>
    </w:p>
    <w:p w14:paraId="56985E5A" w14:textId="77777777" w:rsidR="00A96CCA" w:rsidRPr="00C73365" w:rsidRDefault="00A96CCA">
      <w:pPr>
        <w:rPr>
          <w:rFonts w:asciiTheme="minorHAnsi" w:hAnsiTheme="minorHAnsi" w:cstheme="minorHAnsi"/>
          <w:b/>
          <w:color w:val="7030A0"/>
          <w:szCs w:val="20"/>
          <w:lang w:val="fr-FR"/>
        </w:rPr>
      </w:pPr>
    </w:p>
    <w:p w14:paraId="2E688407" w14:textId="77777777" w:rsidR="00A96CCA" w:rsidRPr="00C73365" w:rsidRDefault="00A96CCA">
      <w:pPr>
        <w:rPr>
          <w:rFonts w:asciiTheme="minorHAnsi" w:hAnsiTheme="minorHAnsi" w:cstheme="minorHAnsi"/>
          <w:b/>
          <w:color w:val="7030A0"/>
          <w:szCs w:val="20"/>
          <w:lang w:val="fr-FR"/>
        </w:rPr>
      </w:pPr>
    </w:p>
    <w:p w14:paraId="7A9DD881" w14:textId="77777777" w:rsidR="00A96CCA" w:rsidRPr="00C73365" w:rsidRDefault="00A96CCA">
      <w:pPr>
        <w:rPr>
          <w:rFonts w:asciiTheme="minorHAnsi" w:hAnsiTheme="minorHAnsi" w:cstheme="minorHAnsi"/>
          <w:b/>
          <w:color w:val="7030A0"/>
          <w:szCs w:val="20"/>
          <w:lang w:val="fr-FR"/>
        </w:rPr>
      </w:pPr>
    </w:p>
    <w:p w14:paraId="1487D682" w14:textId="77777777" w:rsidR="00A96CCA" w:rsidRPr="00C73365" w:rsidRDefault="00A96CCA">
      <w:pPr>
        <w:rPr>
          <w:rFonts w:asciiTheme="minorHAnsi" w:hAnsiTheme="minorHAnsi" w:cstheme="minorHAnsi"/>
          <w:b/>
          <w:color w:val="7030A0"/>
          <w:szCs w:val="20"/>
          <w:lang w:val="fr-FR"/>
        </w:rPr>
      </w:pPr>
    </w:p>
    <w:p w14:paraId="3A3D06A1" w14:textId="77777777" w:rsidR="00A96CCA" w:rsidRPr="00C73365" w:rsidRDefault="00A96CCA">
      <w:pPr>
        <w:rPr>
          <w:rFonts w:asciiTheme="minorHAnsi" w:hAnsiTheme="minorHAnsi" w:cstheme="minorHAnsi"/>
          <w:b/>
          <w:color w:val="7030A0"/>
          <w:szCs w:val="20"/>
          <w:lang w:val="fr-FR"/>
        </w:rPr>
      </w:pPr>
    </w:p>
    <w:p w14:paraId="52341A51" w14:textId="77777777" w:rsidR="00A96CCA" w:rsidRPr="00C73365" w:rsidRDefault="00A96CCA">
      <w:pPr>
        <w:rPr>
          <w:rFonts w:asciiTheme="minorHAnsi" w:hAnsiTheme="minorHAnsi" w:cstheme="minorHAnsi"/>
          <w:b/>
          <w:color w:val="7030A0"/>
          <w:szCs w:val="20"/>
          <w:lang w:val="fr-FR"/>
        </w:rPr>
      </w:pPr>
    </w:p>
    <w:p w14:paraId="33E2685F" w14:textId="77777777" w:rsidR="00A96CCA" w:rsidRPr="00C73365" w:rsidRDefault="00A96CCA">
      <w:pPr>
        <w:rPr>
          <w:rFonts w:asciiTheme="minorHAnsi" w:hAnsiTheme="minorHAnsi" w:cstheme="minorHAnsi"/>
          <w:b/>
          <w:color w:val="7030A0"/>
          <w:szCs w:val="20"/>
          <w:lang w:val="fr-FR"/>
        </w:rPr>
      </w:pPr>
    </w:p>
    <w:p w14:paraId="75310F52" w14:textId="1F3760C7" w:rsidR="00F46C7B" w:rsidRPr="00C73365" w:rsidRDefault="00FA1CCF" w:rsidP="00FA1CCF">
      <w:pPr>
        <w:pStyle w:val="BlockLeft"/>
        <w:keepNext/>
        <w:jc w:val="center"/>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 xml:space="preserve">Informations financières sélectionnées du </w:t>
      </w:r>
      <w:r>
        <w:rPr>
          <w:rFonts w:asciiTheme="minorHAnsi" w:hAnsiTheme="minorHAnsi" w:cstheme="minorHAnsi"/>
          <w:b/>
          <w:color w:val="7030A0"/>
          <w:lang w:val="fr-FR"/>
        </w:rPr>
        <w:t>bilan</w:t>
      </w:r>
      <w:r w:rsidRPr="00C73365">
        <w:rPr>
          <w:rFonts w:asciiTheme="minorHAnsi" w:hAnsiTheme="minorHAnsi" w:cstheme="minorHAnsi"/>
          <w:b/>
          <w:color w:val="7030A0"/>
          <w:lang w:val="fr-FR"/>
        </w:rPr>
        <w:t> :</w:t>
      </w:r>
    </w:p>
    <w:tbl>
      <w:tblPr>
        <w:tblW w:w="6818" w:type="dxa"/>
        <w:tblInd w:w="1281" w:type="dxa"/>
        <w:tblLayout w:type="fixed"/>
        <w:tblCellMar>
          <w:left w:w="70" w:type="dxa"/>
          <w:right w:w="70" w:type="dxa"/>
        </w:tblCellMar>
        <w:tblLook w:val="04A0" w:firstRow="1" w:lastRow="0" w:firstColumn="1" w:lastColumn="0" w:noHBand="0" w:noVBand="1"/>
      </w:tblPr>
      <w:tblGrid>
        <w:gridCol w:w="3760"/>
        <w:gridCol w:w="1529"/>
        <w:gridCol w:w="1529"/>
      </w:tblGrid>
      <w:tr w:rsidR="00A96CCA" w:rsidRPr="00F25F20" w14:paraId="7A38F78B" w14:textId="77777777" w:rsidTr="00A96CCA">
        <w:trPr>
          <w:trHeight w:val="288"/>
        </w:trPr>
        <w:tc>
          <w:tcPr>
            <w:tcW w:w="3760" w:type="dxa"/>
            <w:tcBorders>
              <w:top w:val="single" w:sz="12" w:space="0" w:color="7030A0"/>
              <w:left w:val="nil"/>
              <w:bottom w:val="nil"/>
              <w:right w:val="nil"/>
            </w:tcBorders>
            <w:shd w:val="clear" w:color="auto" w:fill="auto"/>
            <w:noWrap/>
            <w:vAlign w:val="center"/>
            <w:hideMark/>
          </w:tcPr>
          <w:p w14:paraId="7625B545" w14:textId="77777777"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ACTIF</w:t>
            </w:r>
          </w:p>
        </w:tc>
        <w:tc>
          <w:tcPr>
            <w:tcW w:w="1529" w:type="dxa"/>
            <w:tcBorders>
              <w:top w:val="single" w:sz="12" w:space="0" w:color="7030A0"/>
              <w:left w:val="nil"/>
              <w:bottom w:val="nil"/>
              <w:right w:val="nil"/>
            </w:tcBorders>
            <w:shd w:val="clear" w:color="auto" w:fill="auto"/>
            <w:vAlign w:val="center"/>
            <w:hideMark/>
          </w:tcPr>
          <w:p w14:paraId="1FA81B45" w14:textId="77777777"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529" w:type="dxa"/>
            <w:tcBorders>
              <w:top w:val="single" w:sz="12" w:space="0" w:color="7030A0"/>
              <w:left w:val="nil"/>
              <w:bottom w:val="nil"/>
              <w:right w:val="nil"/>
            </w:tcBorders>
            <w:shd w:val="clear" w:color="auto" w:fill="auto"/>
            <w:vAlign w:val="center"/>
            <w:hideMark/>
          </w:tcPr>
          <w:p w14:paraId="0F2ADBA5" w14:textId="77777777"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31/12/2016</w:t>
            </w:r>
          </w:p>
        </w:tc>
      </w:tr>
      <w:tr w:rsidR="00A96CCA" w:rsidRPr="00F25F20" w14:paraId="60BC09D4"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767D8EF2"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nil"/>
              <w:left w:val="nil"/>
              <w:bottom w:val="single" w:sz="8" w:space="0" w:color="7030A0"/>
              <w:right w:val="nil"/>
            </w:tcBorders>
            <w:shd w:val="clear" w:color="auto" w:fill="auto"/>
            <w:vAlign w:val="center"/>
            <w:hideMark/>
          </w:tcPr>
          <w:p w14:paraId="49E1D911" w14:textId="77777777"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tcBorders>
              <w:top w:val="nil"/>
              <w:left w:val="nil"/>
              <w:bottom w:val="single" w:sz="8" w:space="0" w:color="7030A0"/>
              <w:right w:val="nil"/>
            </w:tcBorders>
            <w:shd w:val="clear" w:color="auto" w:fill="auto"/>
            <w:vAlign w:val="center"/>
            <w:hideMark/>
          </w:tcPr>
          <w:p w14:paraId="78514474" w14:textId="77777777"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Social</w:t>
            </w:r>
          </w:p>
        </w:tc>
      </w:tr>
      <w:tr w:rsidR="00A96CCA" w:rsidRPr="00C73365" w14:paraId="2AF375EC" w14:textId="77777777" w:rsidTr="00A96CCA">
        <w:trPr>
          <w:trHeight w:val="276"/>
        </w:trPr>
        <w:tc>
          <w:tcPr>
            <w:tcW w:w="3760" w:type="dxa"/>
            <w:tcBorders>
              <w:top w:val="nil"/>
              <w:left w:val="nil"/>
              <w:bottom w:val="nil"/>
              <w:right w:val="nil"/>
            </w:tcBorders>
            <w:shd w:val="clear" w:color="auto" w:fill="auto"/>
            <w:noWrap/>
            <w:vAlign w:val="center"/>
            <w:hideMark/>
          </w:tcPr>
          <w:p w14:paraId="28D1F53D" w14:textId="77777777"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immobilisé</w:t>
            </w:r>
          </w:p>
        </w:tc>
        <w:tc>
          <w:tcPr>
            <w:tcW w:w="1529" w:type="dxa"/>
            <w:tcBorders>
              <w:top w:val="nil"/>
              <w:left w:val="nil"/>
              <w:bottom w:val="nil"/>
              <w:right w:val="nil"/>
            </w:tcBorders>
            <w:shd w:val="clear" w:color="auto" w:fill="auto"/>
            <w:noWrap/>
            <w:vAlign w:val="center"/>
            <w:hideMark/>
          </w:tcPr>
          <w:p w14:paraId="19B9FC3B" w14:textId="77777777"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14:paraId="0F0E1976" w14:textId="77777777" w:rsidR="00A96CCA" w:rsidRPr="00C73365" w:rsidRDefault="00A96CCA">
            <w:pPr>
              <w:jc w:val="right"/>
              <w:rPr>
                <w:rFonts w:asciiTheme="minorHAnsi" w:hAnsiTheme="minorHAnsi" w:cstheme="minorHAnsi"/>
                <w:szCs w:val="20"/>
                <w:lang w:val="fr-FR" w:eastAsia="fr-FR"/>
              </w:rPr>
            </w:pPr>
          </w:p>
        </w:tc>
      </w:tr>
      <w:tr w:rsidR="00A96CCA" w:rsidRPr="00C73365" w14:paraId="7F2D2987" w14:textId="77777777" w:rsidTr="00A96CCA">
        <w:trPr>
          <w:trHeight w:val="276"/>
        </w:trPr>
        <w:tc>
          <w:tcPr>
            <w:tcW w:w="3760" w:type="dxa"/>
            <w:tcBorders>
              <w:top w:val="nil"/>
              <w:left w:val="nil"/>
              <w:bottom w:val="nil"/>
              <w:right w:val="nil"/>
            </w:tcBorders>
            <w:shd w:val="clear" w:color="auto" w:fill="auto"/>
            <w:noWrap/>
            <w:vAlign w:val="center"/>
            <w:hideMark/>
          </w:tcPr>
          <w:p w14:paraId="58FF9F19"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incorporelles</w:t>
            </w:r>
          </w:p>
        </w:tc>
        <w:tc>
          <w:tcPr>
            <w:tcW w:w="1529" w:type="dxa"/>
            <w:tcBorders>
              <w:top w:val="nil"/>
              <w:left w:val="nil"/>
              <w:bottom w:val="nil"/>
              <w:right w:val="nil"/>
            </w:tcBorders>
            <w:shd w:val="clear" w:color="auto" w:fill="auto"/>
            <w:noWrap/>
            <w:vAlign w:val="center"/>
            <w:hideMark/>
          </w:tcPr>
          <w:p w14:paraId="61875D0B"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32 005</w:t>
            </w:r>
          </w:p>
        </w:tc>
        <w:tc>
          <w:tcPr>
            <w:tcW w:w="1529" w:type="dxa"/>
            <w:tcBorders>
              <w:top w:val="nil"/>
              <w:left w:val="nil"/>
              <w:bottom w:val="nil"/>
              <w:right w:val="nil"/>
            </w:tcBorders>
            <w:shd w:val="clear" w:color="auto" w:fill="auto"/>
            <w:vAlign w:val="center"/>
            <w:hideMark/>
          </w:tcPr>
          <w:p w14:paraId="21095C78"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32 005</w:t>
            </w:r>
          </w:p>
        </w:tc>
      </w:tr>
      <w:tr w:rsidR="00A96CCA" w:rsidRPr="00C73365" w14:paraId="22D48581" w14:textId="77777777" w:rsidTr="00A96CCA">
        <w:trPr>
          <w:trHeight w:val="276"/>
        </w:trPr>
        <w:tc>
          <w:tcPr>
            <w:tcW w:w="3760" w:type="dxa"/>
            <w:tcBorders>
              <w:top w:val="nil"/>
              <w:left w:val="nil"/>
              <w:bottom w:val="nil"/>
              <w:right w:val="nil"/>
            </w:tcBorders>
            <w:shd w:val="clear" w:color="auto" w:fill="auto"/>
            <w:noWrap/>
            <w:vAlign w:val="center"/>
            <w:hideMark/>
          </w:tcPr>
          <w:p w14:paraId="029F1A41"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corporelles</w:t>
            </w:r>
          </w:p>
        </w:tc>
        <w:tc>
          <w:tcPr>
            <w:tcW w:w="1529" w:type="dxa"/>
            <w:tcBorders>
              <w:top w:val="nil"/>
              <w:left w:val="nil"/>
              <w:bottom w:val="nil"/>
              <w:right w:val="nil"/>
            </w:tcBorders>
            <w:shd w:val="clear" w:color="auto" w:fill="auto"/>
            <w:noWrap/>
            <w:vAlign w:val="center"/>
            <w:hideMark/>
          </w:tcPr>
          <w:p w14:paraId="2CBEECFB"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w:t>
            </w:r>
          </w:p>
        </w:tc>
        <w:tc>
          <w:tcPr>
            <w:tcW w:w="1529" w:type="dxa"/>
            <w:tcBorders>
              <w:top w:val="nil"/>
              <w:left w:val="nil"/>
              <w:bottom w:val="nil"/>
              <w:right w:val="nil"/>
            </w:tcBorders>
            <w:shd w:val="clear" w:color="auto" w:fill="auto"/>
            <w:noWrap/>
            <w:vAlign w:val="center"/>
            <w:hideMark/>
          </w:tcPr>
          <w:p w14:paraId="339629F6"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w:t>
            </w:r>
          </w:p>
        </w:tc>
      </w:tr>
      <w:tr w:rsidR="00A96CCA" w:rsidRPr="00C73365" w14:paraId="5B824029" w14:textId="77777777" w:rsidTr="00A96CCA">
        <w:trPr>
          <w:trHeight w:val="288"/>
        </w:trPr>
        <w:tc>
          <w:tcPr>
            <w:tcW w:w="3760" w:type="dxa"/>
            <w:tcBorders>
              <w:top w:val="nil"/>
              <w:left w:val="nil"/>
              <w:bottom w:val="nil"/>
              <w:right w:val="nil"/>
            </w:tcBorders>
            <w:shd w:val="clear" w:color="auto" w:fill="auto"/>
            <w:noWrap/>
            <w:vAlign w:val="center"/>
            <w:hideMark/>
          </w:tcPr>
          <w:p w14:paraId="4E12761C"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noWrap/>
            <w:vAlign w:val="center"/>
            <w:hideMark/>
          </w:tcPr>
          <w:p w14:paraId="3549FE9E"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731</w:t>
            </w:r>
          </w:p>
        </w:tc>
        <w:tc>
          <w:tcPr>
            <w:tcW w:w="1529" w:type="dxa"/>
            <w:tcBorders>
              <w:top w:val="nil"/>
              <w:left w:val="nil"/>
              <w:bottom w:val="nil"/>
              <w:right w:val="nil"/>
            </w:tcBorders>
            <w:shd w:val="clear" w:color="auto" w:fill="auto"/>
            <w:noWrap/>
            <w:vAlign w:val="center"/>
            <w:hideMark/>
          </w:tcPr>
          <w:p w14:paraId="72B9C332"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w:t>
            </w:r>
          </w:p>
        </w:tc>
      </w:tr>
      <w:tr w:rsidR="00A96CCA" w:rsidRPr="00C73365" w14:paraId="1D06BD04" w14:textId="77777777" w:rsidTr="00A96CCA">
        <w:trPr>
          <w:trHeight w:val="288"/>
        </w:trPr>
        <w:tc>
          <w:tcPr>
            <w:tcW w:w="3760" w:type="dxa"/>
            <w:tcBorders>
              <w:top w:val="single" w:sz="8" w:space="0" w:color="7030A0"/>
              <w:left w:val="nil"/>
              <w:bottom w:val="single" w:sz="8" w:space="0" w:color="7030A0"/>
              <w:right w:val="nil"/>
            </w:tcBorders>
            <w:shd w:val="clear" w:color="auto" w:fill="auto"/>
            <w:noWrap/>
            <w:vAlign w:val="center"/>
            <w:hideMark/>
          </w:tcPr>
          <w:p w14:paraId="2EE44D6C" w14:textId="77777777"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single" w:sz="8" w:space="0" w:color="7030A0"/>
              <w:left w:val="nil"/>
              <w:bottom w:val="single" w:sz="8" w:space="0" w:color="7030A0"/>
              <w:right w:val="nil"/>
            </w:tcBorders>
            <w:shd w:val="clear" w:color="auto" w:fill="auto"/>
            <w:noWrap/>
            <w:vAlign w:val="center"/>
            <w:hideMark/>
          </w:tcPr>
          <w:p w14:paraId="077AEAA0" w14:textId="77777777"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32 939</w:t>
            </w:r>
          </w:p>
        </w:tc>
        <w:tc>
          <w:tcPr>
            <w:tcW w:w="1529" w:type="dxa"/>
            <w:tcBorders>
              <w:top w:val="single" w:sz="8" w:space="0" w:color="7030A0"/>
              <w:left w:val="nil"/>
              <w:bottom w:val="single" w:sz="8" w:space="0" w:color="7030A0"/>
              <w:right w:val="nil"/>
            </w:tcBorders>
            <w:shd w:val="clear" w:color="auto" w:fill="auto"/>
            <w:vAlign w:val="center"/>
            <w:hideMark/>
          </w:tcPr>
          <w:p w14:paraId="1187AD0E" w14:textId="77777777"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32 757</w:t>
            </w:r>
          </w:p>
        </w:tc>
      </w:tr>
      <w:tr w:rsidR="00A96CCA" w:rsidRPr="00C73365" w14:paraId="1405BBC2" w14:textId="77777777" w:rsidTr="00A96CCA">
        <w:trPr>
          <w:trHeight w:val="276"/>
        </w:trPr>
        <w:tc>
          <w:tcPr>
            <w:tcW w:w="3760" w:type="dxa"/>
            <w:tcBorders>
              <w:top w:val="nil"/>
              <w:left w:val="nil"/>
              <w:bottom w:val="nil"/>
              <w:right w:val="nil"/>
            </w:tcBorders>
            <w:shd w:val="clear" w:color="auto" w:fill="auto"/>
            <w:noWrap/>
            <w:vAlign w:val="center"/>
            <w:hideMark/>
          </w:tcPr>
          <w:p w14:paraId="268E0E82" w14:textId="77777777"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circulant</w:t>
            </w:r>
          </w:p>
        </w:tc>
        <w:tc>
          <w:tcPr>
            <w:tcW w:w="1529" w:type="dxa"/>
            <w:tcBorders>
              <w:top w:val="nil"/>
              <w:left w:val="nil"/>
              <w:bottom w:val="nil"/>
              <w:right w:val="nil"/>
            </w:tcBorders>
            <w:shd w:val="clear" w:color="auto" w:fill="auto"/>
            <w:noWrap/>
            <w:vAlign w:val="center"/>
            <w:hideMark/>
          </w:tcPr>
          <w:p w14:paraId="32CF52B7" w14:textId="77777777"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14:paraId="56A506E1" w14:textId="77777777" w:rsidR="00A96CCA" w:rsidRPr="00C73365" w:rsidRDefault="00A96CCA">
            <w:pPr>
              <w:jc w:val="right"/>
              <w:rPr>
                <w:rFonts w:asciiTheme="minorHAnsi" w:hAnsiTheme="minorHAnsi" w:cstheme="minorHAnsi"/>
                <w:szCs w:val="20"/>
                <w:lang w:val="fr-FR" w:eastAsia="fr-FR"/>
              </w:rPr>
            </w:pPr>
          </w:p>
        </w:tc>
      </w:tr>
      <w:tr w:rsidR="00A96CCA" w:rsidRPr="00C73365" w14:paraId="138F5AB6" w14:textId="77777777" w:rsidTr="00A96CCA">
        <w:trPr>
          <w:trHeight w:val="276"/>
        </w:trPr>
        <w:tc>
          <w:tcPr>
            <w:tcW w:w="3760" w:type="dxa"/>
            <w:tcBorders>
              <w:top w:val="nil"/>
              <w:left w:val="nil"/>
              <w:bottom w:val="nil"/>
              <w:right w:val="nil"/>
            </w:tcBorders>
            <w:shd w:val="clear" w:color="auto" w:fill="auto"/>
            <w:noWrap/>
            <w:vAlign w:val="center"/>
            <w:hideMark/>
          </w:tcPr>
          <w:p w14:paraId="3B00C909"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Créances</w:t>
            </w:r>
          </w:p>
        </w:tc>
        <w:tc>
          <w:tcPr>
            <w:tcW w:w="1529" w:type="dxa"/>
            <w:tcBorders>
              <w:top w:val="nil"/>
              <w:left w:val="nil"/>
              <w:bottom w:val="nil"/>
              <w:right w:val="nil"/>
            </w:tcBorders>
            <w:shd w:val="clear" w:color="auto" w:fill="auto"/>
            <w:noWrap/>
            <w:vAlign w:val="center"/>
            <w:hideMark/>
          </w:tcPr>
          <w:p w14:paraId="282D23A8"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3 647</w:t>
            </w:r>
          </w:p>
        </w:tc>
        <w:tc>
          <w:tcPr>
            <w:tcW w:w="1529" w:type="dxa"/>
            <w:tcBorders>
              <w:top w:val="nil"/>
              <w:left w:val="nil"/>
              <w:bottom w:val="nil"/>
              <w:right w:val="nil"/>
            </w:tcBorders>
            <w:shd w:val="clear" w:color="auto" w:fill="auto"/>
            <w:vAlign w:val="center"/>
            <w:hideMark/>
          </w:tcPr>
          <w:p w14:paraId="66BD9F26"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4 803</w:t>
            </w:r>
          </w:p>
        </w:tc>
      </w:tr>
      <w:tr w:rsidR="00A96CCA" w:rsidRPr="00C73365" w14:paraId="0B45188F" w14:textId="77777777" w:rsidTr="00A96CCA">
        <w:trPr>
          <w:trHeight w:val="276"/>
        </w:trPr>
        <w:tc>
          <w:tcPr>
            <w:tcW w:w="3760" w:type="dxa"/>
            <w:tcBorders>
              <w:top w:val="nil"/>
              <w:left w:val="nil"/>
              <w:bottom w:val="nil"/>
              <w:right w:val="nil"/>
            </w:tcBorders>
            <w:shd w:val="clear" w:color="auto" w:fill="auto"/>
            <w:noWrap/>
            <w:vAlign w:val="center"/>
            <w:hideMark/>
          </w:tcPr>
          <w:p w14:paraId="7D97ACCA"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Instruments de trésorerie </w:t>
            </w:r>
          </w:p>
        </w:tc>
        <w:tc>
          <w:tcPr>
            <w:tcW w:w="1529" w:type="dxa"/>
            <w:tcBorders>
              <w:top w:val="nil"/>
              <w:left w:val="nil"/>
              <w:bottom w:val="nil"/>
              <w:right w:val="nil"/>
            </w:tcBorders>
            <w:shd w:val="clear" w:color="auto" w:fill="auto"/>
            <w:noWrap/>
            <w:vAlign w:val="center"/>
            <w:hideMark/>
          </w:tcPr>
          <w:p w14:paraId="3ECCB5D2" w14:textId="77777777" w:rsidR="00A96CCA" w:rsidRPr="00C73365" w:rsidRDefault="00A96CCA">
            <w:pPr>
              <w:rPr>
                <w:rFonts w:asciiTheme="minorHAnsi" w:hAnsiTheme="minorHAnsi" w:cstheme="minorHAnsi"/>
                <w:color w:val="000000"/>
                <w:szCs w:val="20"/>
                <w:lang w:val="fr-FR" w:eastAsia="fr-FR"/>
              </w:rPr>
            </w:pPr>
          </w:p>
        </w:tc>
        <w:tc>
          <w:tcPr>
            <w:tcW w:w="1529" w:type="dxa"/>
            <w:tcBorders>
              <w:top w:val="nil"/>
              <w:left w:val="nil"/>
              <w:bottom w:val="nil"/>
              <w:right w:val="nil"/>
            </w:tcBorders>
            <w:shd w:val="clear" w:color="auto" w:fill="auto"/>
            <w:vAlign w:val="center"/>
            <w:hideMark/>
          </w:tcPr>
          <w:p w14:paraId="4E681D9E" w14:textId="77777777" w:rsidR="00A96CCA" w:rsidRPr="00C73365" w:rsidRDefault="00A96CCA">
            <w:pPr>
              <w:jc w:val="right"/>
              <w:rPr>
                <w:rFonts w:asciiTheme="minorHAnsi" w:hAnsiTheme="minorHAnsi" w:cstheme="minorHAnsi"/>
                <w:szCs w:val="20"/>
                <w:lang w:val="fr-FR" w:eastAsia="fr-FR"/>
              </w:rPr>
            </w:pPr>
          </w:p>
        </w:tc>
      </w:tr>
      <w:tr w:rsidR="00A96CCA" w:rsidRPr="00C73365" w14:paraId="5B1C7D75" w14:textId="77777777" w:rsidTr="00A96CCA">
        <w:trPr>
          <w:trHeight w:val="276"/>
        </w:trPr>
        <w:tc>
          <w:tcPr>
            <w:tcW w:w="3760" w:type="dxa"/>
            <w:tcBorders>
              <w:top w:val="nil"/>
              <w:left w:val="nil"/>
              <w:bottom w:val="nil"/>
              <w:right w:val="nil"/>
            </w:tcBorders>
            <w:shd w:val="clear" w:color="auto" w:fill="auto"/>
            <w:noWrap/>
            <w:vAlign w:val="center"/>
            <w:hideMark/>
          </w:tcPr>
          <w:p w14:paraId="74CBD779"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Valeurs mobilières de placement</w:t>
            </w:r>
          </w:p>
        </w:tc>
        <w:tc>
          <w:tcPr>
            <w:tcW w:w="1529" w:type="dxa"/>
            <w:tcBorders>
              <w:top w:val="nil"/>
              <w:left w:val="nil"/>
              <w:bottom w:val="nil"/>
              <w:right w:val="nil"/>
            </w:tcBorders>
            <w:shd w:val="clear" w:color="auto" w:fill="auto"/>
            <w:noWrap/>
            <w:vAlign w:val="center"/>
            <w:hideMark/>
          </w:tcPr>
          <w:p w14:paraId="4B163FA2"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15 151</w:t>
            </w:r>
          </w:p>
        </w:tc>
        <w:tc>
          <w:tcPr>
            <w:tcW w:w="1529" w:type="dxa"/>
            <w:tcBorders>
              <w:top w:val="nil"/>
              <w:left w:val="nil"/>
              <w:bottom w:val="nil"/>
              <w:right w:val="nil"/>
            </w:tcBorders>
            <w:shd w:val="clear" w:color="auto" w:fill="auto"/>
            <w:vAlign w:val="center"/>
            <w:hideMark/>
          </w:tcPr>
          <w:p w14:paraId="2F93FB4D"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15 050</w:t>
            </w:r>
          </w:p>
        </w:tc>
      </w:tr>
      <w:tr w:rsidR="00A96CCA" w:rsidRPr="00C73365" w14:paraId="62AA1658" w14:textId="77777777" w:rsidTr="00A96CCA">
        <w:trPr>
          <w:trHeight w:val="276"/>
        </w:trPr>
        <w:tc>
          <w:tcPr>
            <w:tcW w:w="3760" w:type="dxa"/>
            <w:tcBorders>
              <w:top w:val="nil"/>
              <w:left w:val="nil"/>
              <w:bottom w:val="nil"/>
              <w:right w:val="nil"/>
            </w:tcBorders>
            <w:shd w:val="clear" w:color="auto" w:fill="auto"/>
            <w:noWrap/>
            <w:vAlign w:val="center"/>
            <w:hideMark/>
          </w:tcPr>
          <w:p w14:paraId="6F05CC17"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Disponibilités</w:t>
            </w:r>
          </w:p>
        </w:tc>
        <w:tc>
          <w:tcPr>
            <w:tcW w:w="1529" w:type="dxa"/>
            <w:tcBorders>
              <w:top w:val="nil"/>
              <w:left w:val="nil"/>
              <w:bottom w:val="nil"/>
              <w:right w:val="nil"/>
            </w:tcBorders>
            <w:shd w:val="clear" w:color="auto" w:fill="auto"/>
            <w:noWrap/>
            <w:vAlign w:val="center"/>
            <w:hideMark/>
          </w:tcPr>
          <w:p w14:paraId="4C737F59"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1 881</w:t>
            </w:r>
          </w:p>
        </w:tc>
        <w:tc>
          <w:tcPr>
            <w:tcW w:w="1529" w:type="dxa"/>
            <w:tcBorders>
              <w:top w:val="nil"/>
              <w:left w:val="nil"/>
              <w:bottom w:val="nil"/>
              <w:right w:val="nil"/>
            </w:tcBorders>
            <w:shd w:val="clear" w:color="auto" w:fill="auto"/>
            <w:vAlign w:val="center"/>
            <w:hideMark/>
          </w:tcPr>
          <w:p w14:paraId="05E94FE1"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7 937</w:t>
            </w:r>
          </w:p>
        </w:tc>
      </w:tr>
      <w:tr w:rsidR="00A96CCA" w:rsidRPr="00C73365" w14:paraId="71C6C4DA" w14:textId="77777777" w:rsidTr="00A96CCA">
        <w:trPr>
          <w:trHeight w:val="288"/>
        </w:trPr>
        <w:tc>
          <w:tcPr>
            <w:tcW w:w="3760" w:type="dxa"/>
            <w:tcBorders>
              <w:top w:val="nil"/>
              <w:left w:val="nil"/>
              <w:right w:val="nil"/>
            </w:tcBorders>
            <w:shd w:val="clear" w:color="auto" w:fill="auto"/>
            <w:noWrap/>
            <w:vAlign w:val="center"/>
            <w:hideMark/>
          </w:tcPr>
          <w:p w14:paraId="3228233C"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w:t>
            </w:r>
          </w:p>
        </w:tc>
        <w:tc>
          <w:tcPr>
            <w:tcW w:w="1529" w:type="dxa"/>
            <w:tcBorders>
              <w:top w:val="nil"/>
              <w:left w:val="nil"/>
              <w:right w:val="nil"/>
            </w:tcBorders>
            <w:shd w:val="clear" w:color="auto" w:fill="auto"/>
            <w:vAlign w:val="center"/>
            <w:hideMark/>
          </w:tcPr>
          <w:p w14:paraId="48DC728A"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186</w:t>
            </w:r>
          </w:p>
        </w:tc>
        <w:tc>
          <w:tcPr>
            <w:tcW w:w="1529" w:type="dxa"/>
            <w:tcBorders>
              <w:top w:val="nil"/>
              <w:left w:val="nil"/>
              <w:right w:val="nil"/>
            </w:tcBorders>
            <w:shd w:val="clear" w:color="auto" w:fill="auto"/>
            <w:vAlign w:val="center"/>
            <w:hideMark/>
          </w:tcPr>
          <w:p w14:paraId="4C22E562"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w:t>
            </w:r>
          </w:p>
        </w:tc>
      </w:tr>
      <w:tr w:rsidR="00A96CCA" w:rsidRPr="00C73365" w14:paraId="1ED43601" w14:textId="77777777" w:rsidTr="00A96CCA">
        <w:trPr>
          <w:trHeight w:val="288"/>
        </w:trPr>
        <w:tc>
          <w:tcPr>
            <w:tcW w:w="3760" w:type="dxa"/>
            <w:tcBorders>
              <w:top w:val="nil"/>
              <w:left w:val="nil"/>
              <w:bottom w:val="single" w:sz="8" w:space="0" w:color="7030A0"/>
              <w:right w:val="nil"/>
            </w:tcBorders>
            <w:shd w:val="clear" w:color="auto" w:fill="auto"/>
            <w:noWrap/>
            <w:vAlign w:val="center"/>
          </w:tcPr>
          <w:p w14:paraId="717AE0BE"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Avances et acomptes versés sur commande</w:t>
            </w:r>
          </w:p>
        </w:tc>
        <w:tc>
          <w:tcPr>
            <w:tcW w:w="1529" w:type="dxa"/>
            <w:tcBorders>
              <w:top w:val="nil"/>
              <w:left w:val="nil"/>
              <w:bottom w:val="single" w:sz="8" w:space="0" w:color="7030A0"/>
              <w:right w:val="nil"/>
            </w:tcBorders>
            <w:shd w:val="clear" w:color="auto" w:fill="auto"/>
            <w:vAlign w:val="center"/>
          </w:tcPr>
          <w:p w14:paraId="120CDB7A"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w:t>
            </w:r>
          </w:p>
        </w:tc>
        <w:tc>
          <w:tcPr>
            <w:tcW w:w="1529" w:type="dxa"/>
            <w:tcBorders>
              <w:top w:val="nil"/>
              <w:left w:val="nil"/>
              <w:bottom w:val="single" w:sz="8" w:space="0" w:color="7030A0"/>
              <w:right w:val="nil"/>
            </w:tcBorders>
            <w:shd w:val="clear" w:color="auto" w:fill="auto"/>
            <w:vAlign w:val="center"/>
          </w:tcPr>
          <w:p w14:paraId="124C93F1" w14:textId="77777777" w:rsidR="00A96CCA" w:rsidRPr="00C73365" w:rsidRDefault="00A96CCA">
            <w:pPr>
              <w:jc w:val="right"/>
              <w:rPr>
                <w:rFonts w:asciiTheme="minorHAnsi" w:hAnsiTheme="minorHAnsi" w:cstheme="minorHAnsi"/>
                <w:color w:val="000000"/>
                <w:szCs w:val="20"/>
                <w:lang w:val="fr-FR" w:eastAsia="fr-FR"/>
              </w:rPr>
            </w:pPr>
          </w:p>
        </w:tc>
      </w:tr>
      <w:tr w:rsidR="00A96CCA" w:rsidRPr="00C73365" w14:paraId="278A2674"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4E2899B5" w14:textId="77777777"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14:paraId="069D8A53" w14:textId="77777777"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20 876</w:t>
            </w:r>
          </w:p>
        </w:tc>
        <w:tc>
          <w:tcPr>
            <w:tcW w:w="1529" w:type="dxa"/>
            <w:tcBorders>
              <w:top w:val="nil"/>
              <w:left w:val="nil"/>
              <w:bottom w:val="single" w:sz="8" w:space="0" w:color="7030A0"/>
              <w:right w:val="nil"/>
            </w:tcBorders>
            <w:shd w:val="clear" w:color="auto" w:fill="auto"/>
            <w:vAlign w:val="center"/>
            <w:hideMark/>
          </w:tcPr>
          <w:p w14:paraId="64D05643" w14:textId="77777777"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27 841</w:t>
            </w:r>
          </w:p>
        </w:tc>
      </w:tr>
      <w:tr w:rsidR="00A96CCA" w:rsidRPr="00C73365" w14:paraId="22706C07" w14:textId="77777777" w:rsidTr="00A96CCA">
        <w:trPr>
          <w:trHeight w:val="288"/>
        </w:trPr>
        <w:tc>
          <w:tcPr>
            <w:tcW w:w="3760" w:type="dxa"/>
            <w:tcBorders>
              <w:top w:val="nil"/>
              <w:left w:val="nil"/>
              <w:bottom w:val="single" w:sz="8" w:space="0" w:color="7030A0"/>
              <w:right w:val="nil"/>
            </w:tcBorders>
            <w:shd w:val="clear" w:color="auto" w:fill="auto"/>
            <w:noWrap/>
            <w:vAlign w:val="center"/>
          </w:tcPr>
          <w:p w14:paraId="79F1E902"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actif</w:t>
            </w:r>
          </w:p>
        </w:tc>
        <w:tc>
          <w:tcPr>
            <w:tcW w:w="1529" w:type="dxa"/>
            <w:tcBorders>
              <w:top w:val="nil"/>
              <w:left w:val="nil"/>
              <w:bottom w:val="single" w:sz="8" w:space="0" w:color="7030A0"/>
              <w:right w:val="nil"/>
            </w:tcBorders>
            <w:shd w:val="clear" w:color="auto" w:fill="auto"/>
            <w:noWrap/>
            <w:vAlign w:val="center"/>
          </w:tcPr>
          <w:p w14:paraId="5084ECC2" w14:textId="77777777" w:rsidR="00A96CCA" w:rsidRPr="00C73365" w:rsidRDefault="00A96CCA">
            <w:pPr>
              <w:jc w:val="right"/>
              <w:rPr>
                <w:rFonts w:asciiTheme="minorHAnsi" w:hAnsiTheme="minorHAnsi" w:cstheme="minorHAnsi"/>
                <w:color w:val="000000"/>
                <w:szCs w:val="20"/>
                <w:lang w:val="fr-FR" w:eastAsia="fr-FR"/>
              </w:rPr>
            </w:pPr>
          </w:p>
        </w:tc>
        <w:tc>
          <w:tcPr>
            <w:tcW w:w="1529" w:type="dxa"/>
            <w:tcBorders>
              <w:top w:val="nil"/>
              <w:left w:val="nil"/>
              <w:bottom w:val="single" w:sz="8" w:space="0" w:color="7030A0"/>
              <w:right w:val="nil"/>
            </w:tcBorders>
            <w:shd w:val="clear" w:color="auto" w:fill="auto"/>
            <w:vAlign w:val="center"/>
          </w:tcPr>
          <w:p w14:paraId="167BB235" w14:textId="77777777" w:rsidR="00A96CCA" w:rsidRPr="00C73365" w:rsidRDefault="00A96CCA">
            <w:pPr>
              <w:jc w:val="right"/>
              <w:rPr>
                <w:rFonts w:asciiTheme="minorHAnsi" w:hAnsiTheme="minorHAnsi" w:cstheme="minorHAnsi"/>
                <w:color w:val="000000"/>
                <w:szCs w:val="20"/>
                <w:lang w:val="fr-FR" w:eastAsia="fr-FR"/>
              </w:rPr>
            </w:pPr>
          </w:p>
        </w:tc>
      </w:tr>
      <w:tr w:rsidR="00A96CCA" w:rsidRPr="00C73365" w14:paraId="4A3AC3A5"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4DED1B0A" w14:textId="77777777"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14:paraId="1C3327F3" w14:textId="77777777" w:rsidR="00A96CCA" w:rsidRPr="00C73365" w:rsidRDefault="00A96CCA">
            <w:pPr>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53 815 </w:t>
            </w:r>
          </w:p>
        </w:tc>
        <w:tc>
          <w:tcPr>
            <w:tcW w:w="1529" w:type="dxa"/>
            <w:tcBorders>
              <w:top w:val="nil"/>
              <w:left w:val="nil"/>
              <w:bottom w:val="single" w:sz="8" w:space="0" w:color="7030A0"/>
              <w:right w:val="nil"/>
            </w:tcBorders>
            <w:shd w:val="clear" w:color="auto" w:fill="auto"/>
            <w:vAlign w:val="center"/>
            <w:hideMark/>
          </w:tcPr>
          <w:p w14:paraId="71905C88" w14:textId="77777777"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r>
      <w:tr w:rsidR="00A96CCA" w:rsidRPr="00F25F20" w14:paraId="73B08DBF" w14:textId="77777777" w:rsidTr="00A96CCA">
        <w:trPr>
          <w:trHeight w:val="276"/>
        </w:trPr>
        <w:tc>
          <w:tcPr>
            <w:tcW w:w="3760" w:type="dxa"/>
            <w:tcBorders>
              <w:top w:val="nil"/>
              <w:left w:val="nil"/>
              <w:bottom w:val="nil"/>
              <w:right w:val="nil"/>
            </w:tcBorders>
            <w:shd w:val="clear" w:color="auto" w:fill="auto"/>
            <w:noWrap/>
            <w:vAlign w:val="center"/>
            <w:hideMark/>
          </w:tcPr>
          <w:p w14:paraId="4B705CB2" w14:textId="77777777"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PASSIF</w:t>
            </w:r>
          </w:p>
        </w:tc>
        <w:tc>
          <w:tcPr>
            <w:tcW w:w="1529" w:type="dxa"/>
            <w:vMerge w:val="restart"/>
            <w:tcBorders>
              <w:top w:val="nil"/>
              <w:left w:val="nil"/>
              <w:bottom w:val="single" w:sz="8" w:space="0" w:color="7030A0"/>
              <w:right w:val="nil"/>
            </w:tcBorders>
            <w:shd w:val="clear" w:color="auto" w:fill="auto"/>
            <w:vAlign w:val="center"/>
            <w:hideMark/>
          </w:tcPr>
          <w:p w14:paraId="30A0E4A5" w14:textId="77777777"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p w14:paraId="27704876" w14:textId="77777777"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vMerge w:val="restart"/>
            <w:tcBorders>
              <w:top w:val="nil"/>
              <w:left w:val="nil"/>
              <w:bottom w:val="single" w:sz="8" w:space="0" w:color="7030A0"/>
              <w:right w:val="nil"/>
            </w:tcBorders>
            <w:shd w:val="clear" w:color="auto" w:fill="auto"/>
            <w:vAlign w:val="center"/>
            <w:hideMark/>
          </w:tcPr>
          <w:p w14:paraId="1998AB64" w14:textId="77777777"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31/12/2016</w:t>
            </w:r>
          </w:p>
          <w:p w14:paraId="10F3CA9C" w14:textId="77777777"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Social</w:t>
            </w:r>
          </w:p>
        </w:tc>
      </w:tr>
      <w:tr w:rsidR="00A96CCA" w:rsidRPr="00F25F20" w14:paraId="10DD78D9"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573AD8BD"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vMerge/>
            <w:tcBorders>
              <w:top w:val="nil"/>
              <w:left w:val="nil"/>
              <w:bottom w:val="single" w:sz="8" w:space="0" w:color="7030A0"/>
              <w:right w:val="nil"/>
            </w:tcBorders>
            <w:vAlign w:val="center"/>
            <w:hideMark/>
          </w:tcPr>
          <w:p w14:paraId="0799AA59" w14:textId="77777777" w:rsidR="00A96CCA" w:rsidRPr="00C73365" w:rsidRDefault="00A96CCA">
            <w:pPr>
              <w:rPr>
                <w:rFonts w:asciiTheme="minorHAnsi" w:hAnsiTheme="minorHAnsi" w:cstheme="minorHAnsi"/>
                <w:b/>
                <w:bCs/>
                <w:color w:val="7030A0"/>
                <w:szCs w:val="20"/>
                <w:lang w:val="fr-FR" w:eastAsia="fr-FR"/>
              </w:rPr>
            </w:pPr>
          </w:p>
        </w:tc>
        <w:tc>
          <w:tcPr>
            <w:tcW w:w="1529" w:type="dxa"/>
            <w:vMerge/>
            <w:tcBorders>
              <w:top w:val="nil"/>
              <w:left w:val="nil"/>
              <w:bottom w:val="single" w:sz="8" w:space="0" w:color="7030A0"/>
              <w:right w:val="nil"/>
            </w:tcBorders>
            <w:vAlign w:val="center"/>
            <w:hideMark/>
          </w:tcPr>
          <w:p w14:paraId="2D28CA16" w14:textId="77777777" w:rsidR="00A96CCA" w:rsidRPr="00F25F20" w:rsidRDefault="00A96CCA" w:rsidP="00F25F20">
            <w:pPr>
              <w:jc w:val="right"/>
              <w:rPr>
                <w:rFonts w:asciiTheme="minorHAnsi" w:hAnsiTheme="minorHAnsi" w:cstheme="minorHAnsi"/>
                <w:b/>
                <w:bCs/>
                <w:color w:val="7030A0"/>
                <w:szCs w:val="20"/>
                <w:lang w:val="fr-FR" w:eastAsia="fr-FR"/>
              </w:rPr>
            </w:pPr>
          </w:p>
        </w:tc>
      </w:tr>
      <w:tr w:rsidR="00A96CCA" w:rsidRPr="00C73365" w14:paraId="364EA4CB" w14:textId="77777777" w:rsidTr="00A96CCA">
        <w:trPr>
          <w:trHeight w:val="276"/>
        </w:trPr>
        <w:tc>
          <w:tcPr>
            <w:tcW w:w="3760" w:type="dxa"/>
            <w:tcBorders>
              <w:top w:val="nil"/>
              <w:left w:val="nil"/>
              <w:bottom w:val="nil"/>
              <w:right w:val="nil"/>
            </w:tcBorders>
            <w:shd w:val="clear" w:color="auto" w:fill="auto"/>
            <w:noWrap/>
            <w:vAlign w:val="center"/>
            <w:hideMark/>
          </w:tcPr>
          <w:p w14:paraId="1B71E1EB" w14:textId="77777777"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Capitaux propres</w:t>
            </w:r>
          </w:p>
        </w:tc>
        <w:tc>
          <w:tcPr>
            <w:tcW w:w="1529" w:type="dxa"/>
            <w:tcBorders>
              <w:top w:val="nil"/>
              <w:left w:val="nil"/>
              <w:bottom w:val="nil"/>
              <w:right w:val="nil"/>
            </w:tcBorders>
            <w:shd w:val="clear" w:color="auto" w:fill="auto"/>
            <w:vAlign w:val="center"/>
            <w:hideMark/>
          </w:tcPr>
          <w:p w14:paraId="7AF4B9FA" w14:textId="77777777"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43 916</w:t>
            </w:r>
          </w:p>
        </w:tc>
        <w:tc>
          <w:tcPr>
            <w:tcW w:w="1529" w:type="dxa"/>
            <w:tcBorders>
              <w:top w:val="nil"/>
              <w:left w:val="nil"/>
              <w:bottom w:val="nil"/>
              <w:right w:val="nil"/>
            </w:tcBorders>
            <w:shd w:val="clear" w:color="auto" w:fill="auto"/>
            <w:vAlign w:val="center"/>
            <w:hideMark/>
          </w:tcPr>
          <w:p w14:paraId="198FA236" w14:textId="77777777"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54 510</w:t>
            </w:r>
          </w:p>
        </w:tc>
      </w:tr>
      <w:tr w:rsidR="00A96CCA" w:rsidRPr="00C73365" w14:paraId="6F7278E4" w14:textId="77777777" w:rsidTr="00A96CCA">
        <w:trPr>
          <w:trHeight w:val="276"/>
        </w:trPr>
        <w:tc>
          <w:tcPr>
            <w:tcW w:w="3760" w:type="dxa"/>
            <w:tcBorders>
              <w:top w:val="nil"/>
              <w:left w:val="nil"/>
              <w:bottom w:val="nil"/>
              <w:right w:val="nil"/>
            </w:tcBorders>
            <w:shd w:val="clear" w:color="auto" w:fill="auto"/>
            <w:noWrap/>
            <w:vAlign w:val="center"/>
            <w:hideMark/>
          </w:tcPr>
          <w:p w14:paraId="0214DBE9" w14:textId="77777777"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Avances conditionnées</w:t>
            </w:r>
          </w:p>
        </w:tc>
        <w:tc>
          <w:tcPr>
            <w:tcW w:w="1529" w:type="dxa"/>
            <w:tcBorders>
              <w:top w:val="nil"/>
              <w:left w:val="nil"/>
              <w:bottom w:val="nil"/>
              <w:right w:val="nil"/>
            </w:tcBorders>
            <w:shd w:val="clear" w:color="auto" w:fill="auto"/>
            <w:noWrap/>
            <w:vAlign w:val="center"/>
            <w:hideMark/>
          </w:tcPr>
          <w:p w14:paraId="75453D27" w14:textId="77777777"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4 264</w:t>
            </w:r>
          </w:p>
        </w:tc>
        <w:tc>
          <w:tcPr>
            <w:tcW w:w="1529" w:type="dxa"/>
            <w:tcBorders>
              <w:top w:val="nil"/>
              <w:left w:val="nil"/>
              <w:bottom w:val="nil"/>
              <w:right w:val="nil"/>
            </w:tcBorders>
            <w:shd w:val="clear" w:color="auto" w:fill="auto"/>
            <w:vAlign w:val="center"/>
            <w:hideMark/>
          </w:tcPr>
          <w:p w14:paraId="7C47F442" w14:textId="77777777"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2 208</w:t>
            </w:r>
          </w:p>
        </w:tc>
      </w:tr>
      <w:tr w:rsidR="00A96CCA" w:rsidRPr="00C73365" w14:paraId="47C71912"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1594B8D8" w14:textId="77777777"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Provisions pour risques et charges</w:t>
            </w:r>
          </w:p>
        </w:tc>
        <w:tc>
          <w:tcPr>
            <w:tcW w:w="1529" w:type="dxa"/>
            <w:tcBorders>
              <w:top w:val="nil"/>
              <w:left w:val="nil"/>
              <w:bottom w:val="single" w:sz="8" w:space="0" w:color="7030A0"/>
              <w:right w:val="nil"/>
            </w:tcBorders>
            <w:shd w:val="clear" w:color="auto" w:fill="auto"/>
            <w:vAlign w:val="center"/>
            <w:hideMark/>
          </w:tcPr>
          <w:p w14:paraId="0583ED3F" w14:textId="77777777"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27</w:t>
            </w:r>
          </w:p>
        </w:tc>
        <w:tc>
          <w:tcPr>
            <w:tcW w:w="1529" w:type="dxa"/>
            <w:tcBorders>
              <w:top w:val="nil"/>
              <w:left w:val="nil"/>
              <w:bottom w:val="single" w:sz="8" w:space="0" w:color="7030A0"/>
              <w:right w:val="nil"/>
            </w:tcBorders>
            <w:shd w:val="clear" w:color="auto" w:fill="auto"/>
            <w:vAlign w:val="center"/>
            <w:hideMark/>
          </w:tcPr>
          <w:p w14:paraId="313134E6" w14:textId="77777777"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16</w:t>
            </w:r>
          </w:p>
        </w:tc>
      </w:tr>
      <w:tr w:rsidR="00A96CCA" w:rsidRPr="00C73365" w14:paraId="6E1487AC"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3C19A640" w14:textId="77777777"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14:paraId="3F0BAF81" w14:textId="77777777"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48 207</w:t>
            </w:r>
          </w:p>
        </w:tc>
        <w:tc>
          <w:tcPr>
            <w:tcW w:w="1529" w:type="dxa"/>
            <w:tcBorders>
              <w:top w:val="nil"/>
              <w:left w:val="nil"/>
              <w:bottom w:val="single" w:sz="8" w:space="0" w:color="7030A0"/>
              <w:right w:val="nil"/>
            </w:tcBorders>
            <w:shd w:val="clear" w:color="auto" w:fill="auto"/>
            <w:noWrap/>
            <w:vAlign w:val="center"/>
            <w:hideMark/>
          </w:tcPr>
          <w:p w14:paraId="3E58C1ED" w14:textId="77777777"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56 734</w:t>
            </w:r>
          </w:p>
        </w:tc>
      </w:tr>
      <w:tr w:rsidR="00A96CCA" w:rsidRPr="00C73365" w14:paraId="7952415D" w14:textId="77777777" w:rsidTr="00A96CCA">
        <w:trPr>
          <w:trHeight w:val="276"/>
        </w:trPr>
        <w:tc>
          <w:tcPr>
            <w:tcW w:w="3760" w:type="dxa"/>
            <w:tcBorders>
              <w:top w:val="nil"/>
              <w:left w:val="nil"/>
              <w:bottom w:val="nil"/>
              <w:right w:val="nil"/>
            </w:tcBorders>
            <w:shd w:val="clear" w:color="auto" w:fill="auto"/>
            <w:noWrap/>
            <w:vAlign w:val="center"/>
            <w:hideMark/>
          </w:tcPr>
          <w:p w14:paraId="24A5C4E0" w14:textId="77777777"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Dettes</w:t>
            </w:r>
          </w:p>
        </w:tc>
        <w:tc>
          <w:tcPr>
            <w:tcW w:w="1529" w:type="dxa"/>
            <w:tcBorders>
              <w:top w:val="nil"/>
              <w:left w:val="nil"/>
              <w:bottom w:val="nil"/>
              <w:right w:val="nil"/>
            </w:tcBorders>
            <w:shd w:val="clear" w:color="auto" w:fill="auto"/>
            <w:noWrap/>
            <w:vAlign w:val="center"/>
            <w:hideMark/>
          </w:tcPr>
          <w:p w14:paraId="067E94BA" w14:textId="77777777"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14:paraId="411C64C2" w14:textId="77777777" w:rsidR="00A96CCA" w:rsidRPr="00C73365" w:rsidRDefault="00A96CCA">
            <w:pPr>
              <w:jc w:val="right"/>
              <w:rPr>
                <w:rFonts w:asciiTheme="minorHAnsi" w:hAnsiTheme="minorHAnsi" w:cstheme="minorHAnsi"/>
                <w:szCs w:val="20"/>
                <w:lang w:val="fr-FR" w:eastAsia="fr-FR"/>
              </w:rPr>
            </w:pPr>
          </w:p>
        </w:tc>
      </w:tr>
      <w:tr w:rsidR="00A96CCA" w:rsidRPr="00C73365" w14:paraId="6BC72EFE" w14:textId="77777777" w:rsidTr="00A96CCA">
        <w:trPr>
          <w:trHeight w:val="276"/>
        </w:trPr>
        <w:tc>
          <w:tcPr>
            <w:tcW w:w="3760" w:type="dxa"/>
            <w:tcBorders>
              <w:top w:val="nil"/>
              <w:left w:val="nil"/>
              <w:bottom w:val="nil"/>
              <w:right w:val="nil"/>
            </w:tcBorders>
            <w:shd w:val="clear" w:color="auto" w:fill="auto"/>
            <w:noWrap/>
            <w:vAlign w:val="center"/>
            <w:hideMark/>
          </w:tcPr>
          <w:p w14:paraId="63A27349"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Emprunts obligataires convertibles </w:t>
            </w:r>
          </w:p>
        </w:tc>
        <w:tc>
          <w:tcPr>
            <w:tcW w:w="1529" w:type="dxa"/>
            <w:tcBorders>
              <w:top w:val="nil"/>
              <w:left w:val="nil"/>
              <w:bottom w:val="nil"/>
              <w:right w:val="nil"/>
            </w:tcBorders>
            <w:shd w:val="clear" w:color="auto" w:fill="auto"/>
            <w:noWrap/>
            <w:vAlign w:val="center"/>
            <w:hideMark/>
          </w:tcPr>
          <w:p w14:paraId="6A2DA3F0"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c>
          <w:tcPr>
            <w:tcW w:w="1529" w:type="dxa"/>
            <w:tcBorders>
              <w:top w:val="nil"/>
              <w:left w:val="nil"/>
              <w:bottom w:val="nil"/>
              <w:right w:val="nil"/>
            </w:tcBorders>
            <w:shd w:val="clear" w:color="auto" w:fill="auto"/>
            <w:noWrap/>
            <w:vAlign w:val="center"/>
            <w:hideMark/>
          </w:tcPr>
          <w:p w14:paraId="73F72805"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61</w:t>
            </w:r>
          </w:p>
        </w:tc>
      </w:tr>
      <w:tr w:rsidR="00A96CCA" w:rsidRPr="00C73365" w14:paraId="12D9DAA2" w14:textId="77777777" w:rsidTr="00A96CCA">
        <w:trPr>
          <w:trHeight w:val="276"/>
        </w:trPr>
        <w:tc>
          <w:tcPr>
            <w:tcW w:w="3760" w:type="dxa"/>
            <w:tcBorders>
              <w:top w:val="nil"/>
              <w:left w:val="nil"/>
              <w:bottom w:val="nil"/>
              <w:right w:val="nil"/>
            </w:tcBorders>
            <w:shd w:val="clear" w:color="auto" w:fill="auto"/>
            <w:noWrap/>
            <w:vAlign w:val="center"/>
            <w:hideMark/>
          </w:tcPr>
          <w:p w14:paraId="5362A4C2"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Emprunts et dettes financières – Autres</w:t>
            </w:r>
          </w:p>
        </w:tc>
        <w:tc>
          <w:tcPr>
            <w:tcW w:w="1529" w:type="dxa"/>
            <w:tcBorders>
              <w:top w:val="nil"/>
              <w:left w:val="nil"/>
              <w:bottom w:val="nil"/>
              <w:right w:val="nil"/>
            </w:tcBorders>
            <w:shd w:val="clear" w:color="auto" w:fill="auto"/>
            <w:noWrap/>
            <w:vAlign w:val="center"/>
            <w:hideMark/>
          </w:tcPr>
          <w:p w14:paraId="0A578244"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170</w:t>
            </w:r>
          </w:p>
        </w:tc>
        <w:tc>
          <w:tcPr>
            <w:tcW w:w="1529" w:type="dxa"/>
            <w:tcBorders>
              <w:top w:val="nil"/>
              <w:left w:val="nil"/>
              <w:bottom w:val="nil"/>
              <w:right w:val="nil"/>
            </w:tcBorders>
            <w:shd w:val="clear" w:color="auto" w:fill="auto"/>
            <w:noWrap/>
            <w:vAlign w:val="center"/>
            <w:hideMark/>
          </w:tcPr>
          <w:p w14:paraId="5A2D31BC"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255</w:t>
            </w:r>
          </w:p>
        </w:tc>
      </w:tr>
      <w:tr w:rsidR="00A96CCA" w:rsidRPr="00C73365" w14:paraId="7CD0E42B" w14:textId="77777777" w:rsidTr="00A96CCA">
        <w:trPr>
          <w:trHeight w:val="276"/>
        </w:trPr>
        <w:tc>
          <w:tcPr>
            <w:tcW w:w="3760" w:type="dxa"/>
            <w:tcBorders>
              <w:top w:val="nil"/>
              <w:left w:val="nil"/>
              <w:bottom w:val="nil"/>
              <w:right w:val="nil"/>
            </w:tcBorders>
            <w:shd w:val="clear" w:color="auto" w:fill="auto"/>
            <w:noWrap/>
            <w:vAlign w:val="center"/>
            <w:hideMark/>
          </w:tcPr>
          <w:p w14:paraId="4AA52A74"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Fournisseurs et comptes rattachés</w:t>
            </w:r>
          </w:p>
        </w:tc>
        <w:tc>
          <w:tcPr>
            <w:tcW w:w="1529" w:type="dxa"/>
            <w:tcBorders>
              <w:top w:val="nil"/>
              <w:left w:val="nil"/>
              <w:bottom w:val="nil"/>
              <w:right w:val="nil"/>
            </w:tcBorders>
            <w:shd w:val="clear" w:color="auto" w:fill="auto"/>
            <w:noWrap/>
            <w:vAlign w:val="center"/>
            <w:hideMark/>
          </w:tcPr>
          <w:p w14:paraId="3D5A876C"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4 219</w:t>
            </w:r>
          </w:p>
        </w:tc>
        <w:tc>
          <w:tcPr>
            <w:tcW w:w="1529" w:type="dxa"/>
            <w:tcBorders>
              <w:top w:val="nil"/>
              <w:left w:val="nil"/>
              <w:bottom w:val="nil"/>
              <w:right w:val="nil"/>
            </w:tcBorders>
            <w:shd w:val="clear" w:color="auto" w:fill="auto"/>
            <w:noWrap/>
            <w:vAlign w:val="center"/>
            <w:hideMark/>
          </w:tcPr>
          <w:p w14:paraId="550A078F"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2 571</w:t>
            </w:r>
          </w:p>
        </w:tc>
      </w:tr>
      <w:tr w:rsidR="00A96CCA" w:rsidRPr="00C73365" w14:paraId="18328CE0" w14:textId="77777777" w:rsidTr="00A96CCA">
        <w:trPr>
          <w:trHeight w:val="276"/>
        </w:trPr>
        <w:tc>
          <w:tcPr>
            <w:tcW w:w="3760" w:type="dxa"/>
            <w:tcBorders>
              <w:top w:val="nil"/>
              <w:left w:val="nil"/>
              <w:bottom w:val="nil"/>
              <w:right w:val="nil"/>
            </w:tcBorders>
            <w:shd w:val="clear" w:color="auto" w:fill="auto"/>
            <w:noWrap/>
            <w:vAlign w:val="center"/>
            <w:hideMark/>
          </w:tcPr>
          <w:p w14:paraId="74CE430C"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Dettes fiscales et sociales</w:t>
            </w:r>
          </w:p>
        </w:tc>
        <w:tc>
          <w:tcPr>
            <w:tcW w:w="1529" w:type="dxa"/>
            <w:tcBorders>
              <w:top w:val="nil"/>
              <w:left w:val="nil"/>
              <w:bottom w:val="nil"/>
              <w:right w:val="nil"/>
            </w:tcBorders>
            <w:shd w:val="clear" w:color="auto" w:fill="auto"/>
            <w:noWrap/>
            <w:vAlign w:val="center"/>
            <w:hideMark/>
          </w:tcPr>
          <w:p w14:paraId="27EF2643"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1 102</w:t>
            </w:r>
          </w:p>
        </w:tc>
        <w:tc>
          <w:tcPr>
            <w:tcW w:w="1529" w:type="dxa"/>
            <w:tcBorders>
              <w:top w:val="nil"/>
              <w:left w:val="nil"/>
              <w:bottom w:val="nil"/>
              <w:right w:val="nil"/>
            </w:tcBorders>
            <w:shd w:val="clear" w:color="auto" w:fill="auto"/>
            <w:noWrap/>
            <w:vAlign w:val="center"/>
            <w:hideMark/>
          </w:tcPr>
          <w:p w14:paraId="1C9B9868"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974</w:t>
            </w:r>
          </w:p>
        </w:tc>
      </w:tr>
      <w:tr w:rsidR="00A96CCA" w:rsidRPr="00C73365" w14:paraId="3033C9C7" w14:textId="77777777" w:rsidTr="00A96CCA">
        <w:trPr>
          <w:trHeight w:val="276"/>
        </w:trPr>
        <w:tc>
          <w:tcPr>
            <w:tcW w:w="3760" w:type="dxa"/>
            <w:tcBorders>
              <w:top w:val="nil"/>
              <w:left w:val="nil"/>
              <w:bottom w:val="nil"/>
              <w:right w:val="nil"/>
            </w:tcBorders>
            <w:shd w:val="clear" w:color="auto" w:fill="auto"/>
            <w:noWrap/>
            <w:vAlign w:val="center"/>
            <w:hideMark/>
          </w:tcPr>
          <w:p w14:paraId="66531E9A"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dettes</w:t>
            </w:r>
          </w:p>
        </w:tc>
        <w:tc>
          <w:tcPr>
            <w:tcW w:w="1529" w:type="dxa"/>
            <w:tcBorders>
              <w:top w:val="nil"/>
              <w:left w:val="nil"/>
              <w:bottom w:val="nil"/>
              <w:right w:val="nil"/>
            </w:tcBorders>
            <w:shd w:val="clear" w:color="auto" w:fill="auto"/>
            <w:noWrap/>
            <w:vAlign w:val="center"/>
            <w:hideMark/>
          </w:tcPr>
          <w:p w14:paraId="1DC9E0C0"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w:t>
            </w:r>
          </w:p>
        </w:tc>
        <w:tc>
          <w:tcPr>
            <w:tcW w:w="1529" w:type="dxa"/>
            <w:tcBorders>
              <w:top w:val="nil"/>
              <w:left w:val="nil"/>
              <w:bottom w:val="nil"/>
              <w:right w:val="nil"/>
            </w:tcBorders>
            <w:shd w:val="clear" w:color="auto" w:fill="auto"/>
            <w:noWrap/>
            <w:vAlign w:val="center"/>
            <w:hideMark/>
          </w:tcPr>
          <w:p w14:paraId="64BFE151"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A96CCA" w:rsidRPr="00C73365" w14:paraId="710EE198"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4DD0999B"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Produits constatés d’avance</w:t>
            </w:r>
          </w:p>
        </w:tc>
        <w:tc>
          <w:tcPr>
            <w:tcW w:w="1529" w:type="dxa"/>
            <w:tcBorders>
              <w:top w:val="nil"/>
              <w:left w:val="nil"/>
              <w:bottom w:val="single" w:sz="8" w:space="0" w:color="7030A0"/>
              <w:right w:val="nil"/>
            </w:tcBorders>
            <w:shd w:val="clear" w:color="auto" w:fill="auto"/>
            <w:vAlign w:val="center"/>
            <w:hideMark/>
          </w:tcPr>
          <w:p w14:paraId="56A19FA1"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529" w:type="dxa"/>
            <w:tcBorders>
              <w:top w:val="nil"/>
              <w:left w:val="nil"/>
              <w:bottom w:val="single" w:sz="8" w:space="0" w:color="7030A0"/>
              <w:right w:val="nil"/>
            </w:tcBorders>
            <w:shd w:val="clear" w:color="auto" w:fill="auto"/>
            <w:vAlign w:val="center"/>
            <w:hideMark/>
          </w:tcPr>
          <w:p w14:paraId="1175D8E7" w14:textId="77777777"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w:t>
            </w:r>
          </w:p>
        </w:tc>
      </w:tr>
      <w:tr w:rsidR="00A96CCA" w:rsidRPr="00C73365" w14:paraId="02C4833C"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62F16F97" w14:textId="77777777"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14:paraId="6352D8EF" w14:textId="77777777"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5 604</w:t>
            </w:r>
          </w:p>
        </w:tc>
        <w:tc>
          <w:tcPr>
            <w:tcW w:w="1529" w:type="dxa"/>
            <w:tcBorders>
              <w:top w:val="nil"/>
              <w:left w:val="nil"/>
              <w:bottom w:val="single" w:sz="8" w:space="0" w:color="7030A0"/>
              <w:right w:val="nil"/>
            </w:tcBorders>
            <w:shd w:val="clear" w:color="auto" w:fill="auto"/>
            <w:noWrap/>
            <w:vAlign w:val="center"/>
            <w:hideMark/>
          </w:tcPr>
          <w:p w14:paraId="7C5923EF" w14:textId="77777777"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3 863</w:t>
            </w:r>
          </w:p>
        </w:tc>
      </w:tr>
      <w:tr w:rsidR="00A96CCA" w:rsidRPr="00C73365" w14:paraId="006B1E4D"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47EB4E91" w14:textId="77777777"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passif</w:t>
            </w:r>
          </w:p>
        </w:tc>
        <w:tc>
          <w:tcPr>
            <w:tcW w:w="1529" w:type="dxa"/>
            <w:tcBorders>
              <w:top w:val="nil"/>
              <w:left w:val="nil"/>
              <w:bottom w:val="single" w:sz="8" w:space="0" w:color="7030A0"/>
              <w:right w:val="nil"/>
            </w:tcBorders>
            <w:shd w:val="clear" w:color="auto" w:fill="auto"/>
            <w:noWrap/>
            <w:vAlign w:val="center"/>
            <w:hideMark/>
          </w:tcPr>
          <w:p w14:paraId="2931EC3E" w14:textId="77777777"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szCs w:val="20"/>
              </w:rPr>
              <w:t>4</w:t>
            </w:r>
          </w:p>
        </w:tc>
        <w:tc>
          <w:tcPr>
            <w:tcW w:w="1529" w:type="dxa"/>
            <w:tcBorders>
              <w:top w:val="nil"/>
              <w:left w:val="nil"/>
              <w:bottom w:val="single" w:sz="8" w:space="0" w:color="7030A0"/>
              <w:right w:val="nil"/>
            </w:tcBorders>
            <w:shd w:val="clear" w:color="auto" w:fill="auto"/>
            <w:vAlign w:val="center"/>
            <w:hideMark/>
          </w:tcPr>
          <w:p w14:paraId="7B40CFA6" w14:textId="77777777"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A96CCA" w:rsidRPr="00C73365" w14:paraId="2D573B5B" w14:textId="77777777" w:rsidTr="00A96CCA">
        <w:trPr>
          <w:trHeight w:val="288"/>
        </w:trPr>
        <w:tc>
          <w:tcPr>
            <w:tcW w:w="3760" w:type="dxa"/>
            <w:tcBorders>
              <w:top w:val="nil"/>
              <w:left w:val="nil"/>
              <w:bottom w:val="single" w:sz="8" w:space="0" w:color="7030A0"/>
              <w:right w:val="nil"/>
            </w:tcBorders>
            <w:shd w:val="clear" w:color="auto" w:fill="auto"/>
            <w:noWrap/>
            <w:vAlign w:val="center"/>
            <w:hideMark/>
          </w:tcPr>
          <w:p w14:paraId="2876215A" w14:textId="77777777"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14:paraId="56EA4812" w14:textId="77777777"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53 815</w:t>
            </w:r>
          </w:p>
        </w:tc>
        <w:tc>
          <w:tcPr>
            <w:tcW w:w="1529" w:type="dxa"/>
            <w:tcBorders>
              <w:top w:val="nil"/>
              <w:left w:val="nil"/>
              <w:bottom w:val="single" w:sz="8" w:space="0" w:color="7030A0"/>
              <w:right w:val="nil"/>
            </w:tcBorders>
            <w:shd w:val="clear" w:color="auto" w:fill="auto"/>
            <w:noWrap/>
            <w:vAlign w:val="center"/>
            <w:hideMark/>
          </w:tcPr>
          <w:p w14:paraId="74DBBFBA" w14:textId="77777777"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r>
    </w:tbl>
    <w:p w14:paraId="068CE469" w14:textId="77777777" w:rsidR="00214528" w:rsidRPr="00C73365" w:rsidRDefault="00214528">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br w:type="page"/>
      </w:r>
    </w:p>
    <w:p w14:paraId="66233528" w14:textId="77777777" w:rsidR="009E2026" w:rsidRPr="00C73365" w:rsidRDefault="009E2026">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Informations financières sélectionnées des flux de trésorerie :</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9E2026" w:rsidRPr="00B729AF" w14:paraId="11A6C222" w14:textId="77777777" w:rsidTr="0032557C">
        <w:trPr>
          <w:trHeight w:val="852"/>
        </w:trPr>
        <w:tc>
          <w:tcPr>
            <w:tcW w:w="4960" w:type="dxa"/>
            <w:tcBorders>
              <w:top w:val="single" w:sz="12" w:space="0" w:color="7030A0"/>
              <w:left w:val="nil"/>
              <w:bottom w:val="single" w:sz="8" w:space="0" w:color="7030A0"/>
              <w:right w:val="nil"/>
            </w:tcBorders>
            <w:shd w:val="clear" w:color="auto" w:fill="auto"/>
            <w:vAlign w:val="center"/>
            <w:hideMark/>
          </w:tcPr>
          <w:p w14:paraId="6FBB3564" w14:textId="77777777" w:rsidR="009E2026" w:rsidRPr="00C73365" w:rsidRDefault="009E2026"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14:paraId="7BFC32D0" w14:textId="77777777" w:rsidR="009E2026" w:rsidRPr="00C73365" w:rsidRDefault="009E2026"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342FB5" w:rsidRPr="00C73365">
              <w:rPr>
                <w:rFonts w:asciiTheme="minorHAnsi" w:hAnsiTheme="minorHAnsi" w:cstheme="minorHAnsi"/>
                <w:b/>
                <w:bCs/>
                <w:color w:val="7030A0"/>
                <w:szCs w:val="20"/>
                <w:lang w:val="fr-FR" w:eastAsia="fr-FR"/>
              </w:rPr>
              <w:t>2017</w:t>
            </w:r>
          </w:p>
        </w:tc>
        <w:tc>
          <w:tcPr>
            <w:tcW w:w="1308" w:type="dxa"/>
            <w:tcBorders>
              <w:top w:val="single" w:sz="12" w:space="0" w:color="7030A0"/>
              <w:left w:val="nil"/>
              <w:bottom w:val="single" w:sz="8" w:space="0" w:color="7030A0"/>
              <w:right w:val="nil"/>
            </w:tcBorders>
            <w:shd w:val="clear" w:color="auto" w:fill="auto"/>
            <w:vAlign w:val="center"/>
            <w:hideMark/>
          </w:tcPr>
          <w:p w14:paraId="15364E93" w14:textId="77777777" w:rsidR="009E2026" w:rsidRPr="00B729AF" w:rsidRDefault="009E2026" w:rsidP="00A96CCA">
            <w:pPr>
              <w:spacing w:after="0"/>
              <w:jc w:val="right"/>
              <w:rPr>
                <w:rFonts w:asciiTheme="minorHAnsi" w:hAnsiTheme="minorHAnsi" w:cstheme="minorHAnsi"/>
                <w:b/>
                <w:bCs/>
                <w:color w:val="7030A0"/>
                <w:szCs w:val="20"/>
                <w:lang w:val="fr-FR" w:eastAsia="fr-FR"/>
              </w:rPr>
            </w:pPr>
            <w:r w:rsidRPr="00B729AF">
              <w:rPr>
                <w:rFonts w:asciiTheme="minorHAnsi" w:hAnsiTheme="minorHAnsi" w:cstheme="minorHAnsi"/>
                <w:b/>
                <w:bCs/>
                <w:color w:val="7030A0"/>
                <w:szCs w:val="20"/>
                <w:lang w:val="fr-FR" w:eastAsia="fr-FR"/>
              </w:rPr>
              <w:t>31/12/</w:t>
            </w:r>
            <w:r w:rsidR="00342FB5" w:rsidRPr="00B729AF">
              <w:rPr>
                <w:rFonts w:asciiTheme="minorHAnsi" w:hAnsiTheme="minorHAnsi" w:cstheme="minorHAnsi"/>
                <w:b/>
                <w:bCs/>
                <w:color w:val="7030A0"/>
                <w:szCs w:val="20"/>
                <w:lang w:val="fr-FR" w:eastAsia="fr-FR"/>
              </w:rPr>
              <w:t>2016</w:t>
            </w:r>
          </w:p>
        </w:tc>
        <w:tc>
          <w:tcPr>
            <w:tcW w:w="1131" w:type="dxa"/>
            <w:tcBorders>
              <w:top w:val="single" w:sz="12" w:space="0" w:color="7030A0"/>
              <w:left w:val="nil"/>
              <w:bottom w:val="single" w:sz="8" w:space="0" w:color="7030A0"/>
              <w:right w:val="nil"/>
            </w:tcBorders>
            <w:shd w:val="clear" w:color="auto" w:fill="auto"/>
            <w:vAlign w:val="center"/>
            <w:hideMark/>
          </w:tcPr>
          <w:p w14:paraId="5F711E5D" w14:textId="77777777" w:rsidR="009E2026" w:rsidRPr="00B729AF" w:rsidRDefault="009E2026" w:rsidP="00A96CCA">
            <w:pPr>
              <w:spacing w:after="0"/>
              <w:jc w:val="right"/>
              <w:rPr>
                <w:rFonts w:asciiTheme="minorHAnsi" w:hAnsiTheme="minorHAnsi" w:cstheme="minorHAnsi"/>
                <w:b/>
                <w:bCs/>
                <w:color w:val="7030A0"/>
                <w:szCs w:val="20"/>
                <w:lang w:val="fr-FR" w:eastAsia="fr-FR"/>
              </w:rPr>
            </w:pPr>
            <w:r w:rsidRPr="00B729AF">
              <w:rPr>
                <w:rFonts w:asciiTheme="minorHAnsi" w:hAnsiTheme="minorHAnsi" w:cstheme="minorHAnsi"/>
                <w:b/>
                <w:bCs/>
                <w:color w:val="7030A0"/>
                <w:szCs w:val="20"/>
                <w:lang w:val="fr-FR" w:eastAsia="fr-FR"/>
              </w:rPr>
              <w:t>Variation</w:t>
            </w:r>
          </w:p>
        </w:tc>
      </w:tr>
      <w:tr w:rsidR="009E2026" w:rsidRPr="0030056F" w14:paraId="77109A04" w14:textId="77777777" w:rsidTr="0032557C">
        <w:trPr>
          <w:trHeight w:val="276"/>
        </w:trPr>
        <w:tc>
          <w:tcPr>
            <w:tcW w:w="4960" w:type="dxa"/>
            <w:tcBorders>
              <w:top w:val="nil"/>
              <w:left w:val="nil"/>
              <w:bottom w:val="nil"/>
              <w:right w:val="nil"/>
            </w:tcBorders>
            <w:shd w:val="clear" w:color="auto" w:fill="auto"/>
            <w:noWrap/>
            <w:vAlign w:val="center"/>
            <w:hideMark/>
          </w:tcPr>
          <w:p w14:paraId="45725EDA" w14:textId="77777777" w:rsidR="009E2026" w:rsidRPr="00C73365" w:rsidRDefault="009E2026"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4FADBC7E" w14:textId="77777777" w:rsidR="009E2026" w:rsidRPr="00C73365" w:rsidRDefault="009E2026"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14:paraId="57250BCF" w14:textId="77777777" w:rsidR="009E2026" w:rsidRPr="00C73365" w:rsidRDefault="009E2026"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14:paraId="4342DC77" w14:textId="77777777" w:rsidR="009E2026" w:rsidRPr="00C73365" w:rsidRDefault="009E2026" w:rsidP="00A96CCA">
            <w:pPr>
              <w:spacing w:after="0"/>
              <w:jc w:val="right"/>
              <w:rPr>
                <w:rFonts w:asciiTheme="minorHAnsi" w:hAnsiTheme="minorHAnsi" w:cstheme="minorHAnsi"/>
                <w:szCs w:val="20"/>
                <w:lang w:val="fr-FR" w:eastAsia="fr-FR"/>
              </w:rPr>
            </w:pPr>
          </w:p>
        </w:tc>
      </w:tr>
      <w:tr w:rsidR="006B2CAE" w:rsidRPr="00C73365" w14:paraId="4C4113FA" w14:textId="77777777" w:rsidTr="0032557C">
        <w:trPr>
          <w:trHeight w:val="276"/>
        </w:trPr>
        <w:tc>
          <w:tcPr>
            <w:tcW w:w="4960" w:type="dxa"/>
            <w:tcBorders>
              <w:top w:val="nil"/>
              <w:left w:val="nil"/>
              <w:bottom w:val="nil"/>
              <w:right w:val="nil"/>
            </w:tcBorders>
            <w:shd w:val="clear" w:color="auto" w:fill="auto"/>
            <w:noWrap/>
            <w:vAlign w:val="center"/>
            <w:hideMark/>
          </w:tcPr>
          <w:p w14:paraId="52F19505"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18EECD8A"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14:paraId="1C4FF01E"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14:paraId="41BB5F3A"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6B2CAE" w:rsidRPr="00C73365" w14:paraId="1E12F0EB" w14:textId="77777777" w:rsidTr="0032557C">
        <w:trPr>
          <w:trHeight w:val="276"/>
        </w:trPr>
        <w:tc>
          <w:tcPr>
            <w:tcW w:w="4960" w:type="dxa"/>
            <w:tcBorders>
              <w:top w:val="nil"/>
              <w:left w:val="nil"/>
              <w:bottom w:val="nil"/>
              <w:right w:val="nil"/>
            </w:tcBorders>
            <w:shd w:val="clear" w:color="auto" w:fill="auto"/>
            <w:noWrap/>
            <w:vAlign w:val="center"/>
            <w:hideMark/>
          </w:tcPr>
          <w:p w14:paraId="77A84AD7"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14:paraId="0E4BFEF6"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14:paraId="1480E9BA"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14:paraId="30934D8D"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6B2CAE" w:rsidRPr="00C73365" w14:paraId="323CADBF" w14:textId="77777777" w:rsidTr="0032557C">
        <w:trPr>
          <w:trHeight w:val="276"/>
        </w:trPr>
        <w:tc>
          <w:tcPr>
            <w:tcW w:w="4960" w:type="dxa"/>
            <w:tcBorders>
              <w:top w:val="nil"/>
              <w:left w:val="nil"/>
              <w:bottom w:val="nil"/>
              <w:right w:val="nil"/>
            </w:tcBorders>
            <w:shd w:val="clear" w:color="auto" w:fill="auto"/>
            <w:noWrap/>
            <w:vAlign w:val="center"/>
            <w:hideMark/>
          </w:tcPr>
          <w:p w14:paraId="57B120EA"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41489E07"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14:paraId="19E35766"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14:paraId="419CAA43"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6B2CAE" w:rsidRPr="00C73365" w14:paraId="1B2ADB04" w14:textId="77777777" w:rsidTr="0032557C">
        <w:trPr>
          <w:trHeight w:val="276"/>
        </w:trPr>
        <w:tc>
          <w:tcPr>
            <w:tcW w:w="4960" w:type="dxa"/>
            <w:tcBorders>
              <w:top w:val="nil"/>
              <w:left w:val="nil"/>
              <w:bottom w:val="nil"/>
              <w:right w:val="nil"/>
            </w:tcBorders>
            <w:shd w:val="clear" w:color="auto" w:fill="auto"/>
            <w:noWrap/>
            <w:vAlign w:val="center"/>
            <w:hideMark/>
          </w:tcPr>
          <w:p w14:paraId="5CE25752"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723CC3F2"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14:paraId="20360EFB"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14:paraId="54E97498"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6B2CAE" w:rsidRPr="00C73365" w14:paraId="08E7FB7B" w14:textId="77777777" w:rsidTr="0032557C">
        <w:trPr>
          <w:trHeight w:val="276"/>
        </w:trPr>
        <w:tc>
          <w:tcPr>
            <w:tcW w:w="4960" w:type="dxa"/>
            <w:tcBorders>
              <w:top w:val="nil"/>
              <w:left w:val="nil"/>
              <w:bottom w:val="nil"/>
              <w:right w:val="nil"/>
            </w:tcBorders>
            <w:shd w:val="clear" w:color="auto" w:fill="auto"/>
            <w:noWrap/>
            <w:vAlign w:val="center"/>
            <w:hideMark/>
          </w:tcPr>
          <w:p w14:paraId="5620DC3A"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45AD8A9E"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14:paraId="2DAB984E"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14:paraId="2AFEB810"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6B2CAE" w:rsidRPr="00C73365" w14:paraId="31E839CA" w14:textId="77777777" w:rsidTr="0032557C">
        <w:trPr>
          <w:trHeight w:val="276"/>
        </w:trPr>
        <w:tc>
          <w:tcPr>
            <w:tcW w:w="4960" w:type="dxa"/>
            <w:tcBorders>
              <w:top w:val="nil"/>
              <w:left w:val="nil"/>
              <w:bottom w:val="nil"/>
              <w:right w:val="nil"/>
            </w:tcBorders>
            <w:shd w:val="clear" w:color="auto" w:fill="auto"/>
            <w:noWrap/>
            <w:vAlign w:val="center"/>
            <w:hideMark/>
          </w:tcPr>
          <w:p w14:paraId="46A763F7"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14:paraId="1EB2E31C"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14:paraId="4FBF5D9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14:paraId="7B777C4B"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6B2CAE" w:rsidRPr="00C73365" w14:paraId="384777C3" w14:textId="77777777" w:rsidTr="0032557C">
        <w:trPr>
          <w:trHeight w:val="276"/>
        </w:trPr>
        <w:tc>
          <w:tcPr>
            <w:tcW w:w="4960" w:type="dxa"/>
            <w:tcBorders>
              <w:top w:val="nil"/>
              <w:left w:val="nil"/>
              <w:bottom w:val="nil"/>
              <w:right w:val="nil"/>
            </w:tcBorders>
            <w:shd w:val="clear" w:color="auto" w:fill="auto"/>
            <w:noWrap/>
            <w:vAlign w:val="center"/>
            <w:hideMark/>
          </w:tcPr>
          <w:p w14:paraId="34FDCDA1"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14:paraId="07C66BC3"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14:paraId="6220DC3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14:paraId="21AE56D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6B2CAE" w:rsidRPr="0030056F" w14:paraId="6AB582BF" w14:textId="77777777" w:rsidTr="0032557C">
        <w:trPr>
          <w:trHeight w:val="276"/>
        </w:trPr>
        <w:tc>
          <w:tcPr>
            <w:tcW w:w="4960" w:type="dxa"/>
            <w:tcBorders>
              <w:top w:val="nil"/>
              <w:left w:val="nil"/>
              <w:bottom w:val="nil"/>
              <w:right w:val="nil"/>
            </w:tcBorders>
            <w:shd w:val="clear" w:color="auto" w:fill="auto"/>
            <w:noWrap/>
            <w:vAlign w:val="center"/>
            <w:hideMark/>
          </w:tcPr>
          <w:p w14:paraId="28CA4A02"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73860438"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14:paraId="775CBBD8"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14:paraId="3B9F5610" w14:textId="77777777" w:rsidR="006B2CAE" w:rsidRPr="00C73365" w:rsidRDefault="006B2CAE" w:rsidP="00A96CCA">
            <w:pPr>
              <w:spacing w:after="0"/>
              <w:jc w:val="right"/>
              <w:rPr>
                <w:rFonts w:asciiTheme="minorHAnsi" w:hAnsiTheme="minorHAnsi" w:cstheme="minorHAnsi"/>
                <w:color w:val="000000"/>
                <w:szCs w:val="20"/>
                <w:lang w:val="fr-FR" w:eastAsia="fr-FR"/>
              </w:rPr>
            </w:pPr>
          </w:p>
        </w:tc>
      </w:tr>
      <w:tr w:rsidR="006B2CAE" w:rsidRPr="00C73365" w14:paraId="7953B252" w14:textId="77777777" w:rsidTr="0032557C">
        <w:trPr>
          <w:trHeight w:val="276"/>
        </w:trPr>
        <w:tc>
          <w:tcPr>
            <w:tcW w:w="4960" w:type="dxa"/>
            <w:tcBorders>
              <w:top w:val="nil"/>
              <w:left w:val="nil"/>
              <w:bottom w:val="nil"/>
              <w:right w:val="nil"/>
            </w:tcBorders>
            <w:shd w:val="clear" w:color="auto" w:fill="auto"/>
            <w:noWrap/>
            <w:vAlign w:val="center"/>
            <w:hideMark/>
          </w:tcPr>
          <w:p w14:paraId="5065B88C"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6965A08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14:paraId="7ACD75A6"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14:paraId="37274A21"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14:paraId="1C23E111" w14:textId="77777777" w:rsidTr="0032557C">
        <w:trPr>
          <w:trHeight w:val="276"/>
        </w:trPr>
        <w:tc>
          <w:tcPr>
            <w:tcW w:w="4960" w:type="dxa"/>
            <w:tcBorders>
              <w:top w:val="nil"/>
              <w:left w:val="nil"/>
              <w:bottom w:val="nil"/>
              <w:right w:val="nil"/>
            </w:tcBorders>
            <w:shd w:val="clear" w:color="auto" w:fill="auto"/>
            <w:noWrap/>
            <w:vAlign w:val="center"/>
            <w:hideMark/>
          </w:tcPr>
          <w:p w14:paraId="1AECE7EE"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0D8A5DEC"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14:paraId="1041CCA7"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14:paraId="4754D2B2"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6B2CAE" w:rsidRPr="00C73365" w14:paraId="30987AC1" w14:textId="77777777" w:rsidTr="0032557C">
        <w:trPr>
          <w:trHeight w:val="288"/>
        </w:trPr>
        <w:tc>
          <w:tcPr>
            <w:tcW w:w="4960" w:type="dxa"/>
            <w:tcBorders>
              <w:top w:val="nil"/>
              <w:left w:val="nil"/>
              <w:bottom w:val="single" w:sz="8" w:space="0" w:color="7030A0"/>
              <w:right w:val="nil"/>
            </w:tcBorders>
            <w:shd w:val="clear" w:color="auto" w:fill="auto"/>
            <w:noWrap/>
            <w:vAlign w:val="center"/>
            <w:hideMark/>
          </w:tcPr>
          <w:p w14:paraId="277DF9F5"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26EAE8F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14:paraId="1CF952E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14:paraId="23EF5B90"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6B2CAE" w:rsidRPr="00C73365" w14:paraId="412A192E" w14:textId="77777777" w:rsidTr="0032557C">
        <w:trPr>
          <w:trHeight w:val="288"/>
        </w:trPr>
        <w:tc>
          <w:tcPr>
            <w:tcW w:w="4960" w:type="dxa"/>
            <w:tcBorders>
              <w:top w:val="nil"/>
              <w:left w:val="nil"/>
              <w:bottom w:val="single" w:sz="8" w:space="0" w:color="7030A0"/>
              <w:right w:val="nil"/>
            </w:tcBorders>
            <w:shd w:val="clear" w:color="auto" w:fill="auto"/>
            <w:noWrap/>
            <w:vAlign w:val="center"/>
            <w:hideMark/>
          </w:tcPr>
          <w:p w14:paraId="64AA16FA" w14:textId="77777777"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14:paraId="6C405EFE"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14:paraId="7C891EDF"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14:paraId="337240BB"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6B2CAE" w:rsidRPr="00C73365" w14:paraId="1C1DC78C" w14:textId="77777777" w:rsidTr="0032557C">
        <w:trPr>
          <w:trHeight w:val="276"/>
        </w:trPr>
        <w:tc>
          <w:tcPr>
            <w:tcW w:w="4960" w:type="dxa"/>
            <w:tcBorders>
              <w:top w:val="nil"/>
              <w:left w:val="nil"/>
              <w:bottom w:val="nil"/>
              <w:right w:val="nil"/>
            </w:tcBorders>
            <w:shd w:val="clear" w:color="auto" w:fill="auto"/>
            <w:noWrap/>
            <w:vAlign w:val="center"/>
            <w:hideMark/>
          </w:tcPr>
          <w:p w14:paraId="0714CBFC" w14:textId="77777777"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14:paraId="43E246F5"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14:paraId="5AC8F89F"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14:paraId="6AF6E0DF" w14:textId="77777777"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14:paraId="0E413B32" w14:textId="77777777" w:rsidTr="0032557C">
        <w:trPr>
          <w:trHeight w:val="276"/>
        </w:trPr>
        <w:tc>
          <w:tcPr>
            <w:tcW w:w="4960" w:type="dxa"/>
            <w:tcBorders>
              <w:top w:val="nil"/>
              <w:left w:val="nil"/>
              <w:bottom w:val="nil"/>
              <w:right w:val="nil"/>
            </w:tcBorders>
            <w:shd w:val="clear" w:color="auto" w:fill="auto"/>
            <w:noWrap/>
            <w:vAlign w:val="center"/>
            <w:hideMark/>
          </w:tcPr>
          <w:p w14:paraId="3D7CF524"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14:paraId="7DD53127"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14:paraId="76CBA584"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14:paraId="7D99BEF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6B2CAE" w:rsidRPr="00C73365" w14:paraId="376843A0" w14:textId="77777777" w:rsidTr="0032557C">
        <w:trPr>
          <w:trHeight w:val="276"/>
        </w:trPr>
        <w:tc>
          <w:tcPr>
            <w:tcW w:w="4960" w:type="dxa"/>
            <w:tcBorders>
              <w:top w:val="nil"/>
              <w:left w:val="nil"/>
              <w:bottom w:val="nil"/>
              <w:right w:val="nil"/>
            </w:tcBorders>
            <w:shd w:val="clear" w:color="auto" w:fill="auto"/>
            <w:noWrap/>
            <w:vAlign w:val="center"/>
            <w:hideMark/>
          </w:tcPr>
          <w:p w14:paraId="778898B2"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14:paraId="4E56D2F5"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14:paraId="73E7E93A"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14:paraId="22EB4950"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6B2CAE" w:rsidRPr="00C73365" w14:paraId="490C002C" w14:textId="77777777" w:rsidTr="0032557C">
        <w:trPr>
          <w:trHeight w:val="276"/>
        </w:trPr>
        <w:tc>
          <w:tcPr>
            <w:tcW w:w="4960" w:type="dxa"/>
            <w:tcBorders>
              <w:top w:val="nil"/>
              <w:left w:val="nil"/>
              <w:bottom w:val="nil"/>
              <w:right w:val="nil"/>
            </w:tcBorders>
            <w:shd w:val="clear" w:color="auto" w:fill="auto"/>
            <w:noWrap/>
            <w:vAlign w:val="center"/>
            <w:hideMark/>
          </w:tcPr>
          <w:p w14:paraId="35F7287E"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14:paraId="65D93BAB"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14:paraId="59D2FD6A"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14:paraId="0E50B3BD"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6B2CAE" w:rsidRPr="00C73365" w14:paraId="3AD89BBE" w14:textId="77777777" w:rsidTr="0032557C">
        <w:trPr>
          <w:trHeight w:val="288"/>
        </w:trPr>
        <w:tc>
          <w:tcPr>
            <w:tcW w:w="4960" w:type="dxa"/>
            <w:tcBorders>
              <w:top w:val="nil"/>
              <w:left w:val="nil"/>
              <w:bottom w:val="single" w:sz="8" w:space="0" w:color="7030A0"/>
              <w:right w:val="nil"/>
            </w:tcBorders>
            <w:shd w:val="clear" w:color="auto" w:fill="auto"/>
            <w:noWrap/>
            <w:vAlign w:val="center"/>
            <w:hideMark/>
          </w:tcPr>
          <w:p w14:paraId="6C6F7FC2"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14:paraId="0C852546"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14:paraId="6AF3A234"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14:paraId="1FA29270"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6B2CAE" w:rsidRPr="00C73365" w14:paraId="27EE46F2" w14:textId="77777777" w:rsidTr="0032557C">
        <w:trPr>
          <w:trHeight w:val="288"/>
        </w:trPr>
        <w:tc>
          <w:tcPr>
            <w:tcW w:w="4960" w:type="dxa"/>
            <w:tcBorders>
              <w:top w:val="nil"/>
              <w:left w:val="nil"/>
              <w:bottom w:val="nil"/>
              <w:right w:val="nil"/>
            </w:tcBorders>
            <w:shd w:val="clear" w:color="auto" w:fill="auto"/>
            <w:noWrap/>
            <w:vAlign w:val="center"/>
            <w:hideMark/>
          </w:tcPr>
          <w:p w14:paraId="22DBA5B0" w14:textId="77777777"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14:paraId="5F70065C"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14:paraId="67B0E4D1"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14:paraId="08470743"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6B2CAE" w:rsidRPr="00C73365" w14:paraId="4F8051D5" w14:textId="77777777" w:rsidTr="0032557C">
        <w:trPr>
          <w:trHeight w:val="288"/>
        </w:trPr>
        <w:tc>
          <w:tcPr>
            <w:tcW w:w="4960" w:type="dxa"/>
            <w:tcBorders>
              <w:top w:val="single" w:sz="8" w:space="0" w:color="7030A0"/>
              <w:left w:val="nil"/>
              <w:bottom w:val="nil"/>
              <w:right w:val="nil"/>
            </w:tcBorders>
            <w:shd w:val="clear" w:color="auto" w:fill="auto"/>
            <w:noWrap/>
            <w:vAlign w:val="center"/>
            <w:hideMark/>
          </w:tcPr>
          <w:p w14:paraId="7B246ED4" w14:textId="77777777"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14:paraId="3FBCAEB5"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14:paraId="44871A9D"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14:paraId="0E14D01B" w14:textId="77777777"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14:paraId="3B91DA68" w14:textId="77777777" w:rsidTr="0032557C">
        <w:trPr>
          <w:trHeight w:val="276"/>
        </w:trPr>
        <w:tc>
          <w:tcPr>
            <w:tcW w:w="4960" w:type="dxa"/>
            <w:tcBorders>
              <w:top w:val="nil"/>
              <w:left w:val="nil"/>
              <w:bottom w:val="nil"/>
              <w:right w:val="nil"/>
            </w:tcBorders>
            <w:shd w:val="clear" w:color="auto" w:fill="auto"/>
            <w:noWrap/>
            <w:vAlign w:val="center"/>
            <w:hideMark/>
          </w:tcPr>
          <w:p w14:paraId="08D030CC"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14:paraId="35ECC279"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14:paraId="56ED76EB"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14:paraId="6EF802D7"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6B2CAE" w:rsidRPr="00C73365" w14:paraId="3AAFECFD" w14:textId="77777777" w:rsidTr="0032557C">
        <w:trPr>
          <w:trHeight w:val="276"/>
        </w:trPr>
        <w:tc>
          <w:tcPr>
            <w:tcW w:w="4960" w:type="dxa"/>
            <w:tcBorders>
              <w:top w:val="nil"/>
              <w:left w:val="nil"/>
              <w:bottom w:val="nil"/>
              <w:right w:val="nil"/>
            </w:tcBorders>
            <w:shd w:val="clear" w:color="auto" w:fill="auto"/>
            <w:noWrap/>
            <w:vAlign w:val="center"/>
            <w:hideMark/>
          </w:tcPr>
          <w:p w14:paraId="65749BA0"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14:paraId="45832CC8"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14:paraId="5459BE76"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14:paraId="11EC8B7D"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6B2CAE" w:rsidRPr="00C73365" w14:paraId="536CC15B" w14:textId="77777777" w:rsidTr="0032557C">
        <w:trPr>
          <w:trHeight w:val="276"/>
        </w:trPr>
        <w:tc>
          <w:tcPr>
            <w:tcW w:w="4960" w:type="dxa"/>
            <w:tcBorders>
              <w:top w:val="nil"/>
              <w:left w:val="nil"/>
              <w:bottom w:val="nil"/>
              <w:right w:val="nil"/>
            </w:tcBorders>
            <w:shd w:val="clear" w:color="auto" w:fill="auto"/>
            <w:noWrap/>
            <w:vAlign w:val="center"/>
            <w:hideMark/>
          </w:tcPr>
          <w:p w14:paraId="0A2370B1"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14:paraId="0CA6F46B"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14:paraId="7BFB7699"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14:paraId="7901C197"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6B2CAE" w:rsidRPr="00C73365" w14:paraId="6A014424" w14:textId="77777777" w:rsidTr="0032557C">
        <w:trPr>
          <w:trHeight w:val="288"/>
        </w:trPr>
        <w:tc>
          <w:tcPr>
            <w:tcW w:w="4960" w:type="dxa"/>
            <w:tcBorders>
              <w:top w:val="nil"/>
              <w:left w:val="nil"/>
              <w:bottom w:val="single" w:sz="8" w:space="0" w:color="7030A0"/>
              <w:right w:val="nil"/>
            </w:tcBorders>
            <w:shd w:val="clear" w:color="auto" w:fill="auto"/>
            <w:noWrap/>
            <w:vAlign w:val="center"/>
            <w:hideMark/>
          </w:tcPr>
          <w:p w14:paraId="0E429182"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14:paraId="2AD4ECB6"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14:paraId="4589DCB5"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14:paraId="54E4D662"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14:paraId="3F3C94BC" w14:textId="77777777" w:rsidTr="0032557C">
        <w:trPr>
          <w:trHeight w:val="288"/>
        </w:trPr>
        <w:tc>
          <w:tcPr>
            <w:tcW w:w="4960" w:type="dxa"/>
            <w:tcBorders>
              <w:top w:val="nil"/>
              <w:left w:val="nil"/>
              <w:bottom w:val="nil"/>
              <w:right w:val="nil"/>
            </w:tcBorders>
            <w:shd w:val="clear" w:color="auto" w:fill="auto"/>
            <w:noWrap/>
            <w:vAlign w:val="center"/>
            <w:hideMark/>
          </w:tcPr>
          <w:p w14:paraId="4DA0116A" w14:textId="77777777"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14:paraId="10C8DE69"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14:paraId="05091FE4"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14:paraId="4A1914B7"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6B2CAE" w:rsidRPr="00C73365" w14:paraId="033E8EEC" w14:textId="77777777" w:rsidTr="0032557C">
        <w:trPr>
          <w:trHeight w:val="276"/>
        </w:trPr>
        <w:tc>
          <w:tcPr>
            <w:tcW w:w="4960" w:type="dxa"/>
            <w:tcBorders>
              <w:top w:val="single" w:sz="8" w:space="0" w:color="7030A0"/>
              <w:left w:val="nil"/>
              <w:bottom w:val="nil"/>
              <w:right w:val="nil"/>
            </w:tcBorders>
            <w:shd w:val="clear" w:color="auto" w:fill="auto"/>
            <w:noWrap/>
            <w:vAlign w:val="center"/>
            <w:hideMark/>
          </w:tcPr>
          <w:p w14:paraId="1222CB7D" w14:textId="77777777"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14:paraId="5BE5300F" w14:textId="77777777"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14:paraId="02718B64" w14:textId="77777777"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14:paraId="58FD29EF" w14:textId="77777777"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6B2CAE" w:rsidRPr="00C73365" w14:paraId="7CA87309" w14:textId="77777777" w:rsidTr="0032557C">
        <w:trPr>
          <w:trHeight w:val="288"/>
        </w:trPr>
        <w:tc>
          <w:tcPr>
            <w:tcW w:w="4960" w:type="dxa"/>
            <w:tcBorders>
              <w:top w:val="nil"/>
              <w:left w:val="nil"/>
              <w:bottom w:val="single" w:sz="8" w:space="0" w:color="7030A0"/>
              <w:right w:val="nil"/>
            </w:tcBorders>
            <w:shd w:val="clear" w:color="auto" w:fill="auto"/>
            <w:noWrap/>
            <w:vAlign w:val="center"/>
            <w:hideMark/>
          </w:tcPr>
          <w:p w14:paraId="11FD96BB"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14:paraId="488C30BE"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14:paraId="4536CB54"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14:paraId="62233B57"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6B2CAE" w:rsidRPr="00C73365" w14:paraId="6648010C" w14:textId="77777777" w:rsidTr="0032557C">
        <w:trPr>
          <w:trHeight w:val="288"/>
        </w:trPr>
        <w:tc>
          <w:tcPr>
            <w:tcW w:w="4960" w:type="dxa"/>
            <w:tcBorders>
              <w:top w:val="nil"/>
              <w:left w:val="nil"/>
              <w:bottom w:val="single" w:sz="8" w:space="0" w:color="7030A0"/>
              <w:right w:val="nil"/>
            </w:tcBorders>
            <w:shd w:val="clear" w:color="auto" w:fill="auto"/>
            <w:noWrap/>
            <w:vAlign w:val="center"/>
            <w:hideMark/>
          </w:tcPr>
          <w:p w14:paraId="655218D4" w14:textId="77777777" w:rsidR="006B2CAE" w:rsidRPr="00C73365" w:rsidRDefault="006B2CAE"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14:paraId="198F60E6" w14:textId="77777777"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14:paraId="2C850FE7" w14:textId="77777777"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14:paraId="07BFDB2D" w14:textId="77777777"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14:paraId="735D0FEF" w14:textId="77777777" w:rsidR="00214528" w:rsidRPr="00C73365" w:rsidRDefault="00214528" w:rsidP="004572A0">
      <w:pPr>
        <w:pStyle w:val="Lgende"/>
        <w:rPr>
          <w:rFonts w:asciiTheme="minorHAnsi" w:hAnsiTheme="minorHAnsi" w:cstheme="minorHAnsi"/>
          <w:lang w:val="fr-FR"/>
        </w:rPr>
      </w:pPr>
      <w:r w:rsidRPr="00C73365">
        <w:rPr>
          <w:rFonts w:asciiTheme="minorHAnsi" w:hAnsiTheme="minorHAnsi" w:cstheme="minorHAnsi"/>
          <w:lang w:val="fr-FR"/>
        </w:rPr>
        <w:t>Les montants indiqués en Trésorerie correspondent aux Valeurs Mobilières de Placement et Disponibilités indiquées au Bilan</w:t>
      </w:r>
    </w:p>
    <w:p w14:paraId="5263B24F" w14:textId="77777777" w:rsidR="00FA1CCF" w:rsidRDefault="00FA1CCF" w:rsidP="00FA1CCF">
      <w:pPr>
        <w:pStyle w:val="Listepuces"/>
        <w:numPr>
          <w:ilvl w:val="0"/>
          <w:numId w:val="0"/>
        </w:numPr>
        <w:rPr>
          <w:rFonts w:asciiTheme="minorHAnsi" w:hAnsiTheme="minorHAnsi" w:cstheme="minorHAnsi"/>
          <w:lang w:val="fr-FR"/>
        </w:rPr>
      </w:pPr>
    </w:p>
    <w:p w14:paraId="07D7D460" w14:textId="77777777" w:rsidR="00FA1CCF" w:rsidRDefault="00214528" w:rsidP="00FA1CCF">
      <w:pPr>
        <w:pStyle w:val="Listepuces"/>
        <w:numPr>
          <w:ilvl w:val="0"/>
          <w:numId w:val="0"/>
        </w:numPr>
        <w:rPr>
          <w:rFonts w:asciiTheme="minorHAnsi" w:hAnsiTheme="minorHAnsi" w:cstheme="minorHAnsi"/>
          <w:lang w:val="fr-FR"/>
        </w:rPr>
      </w:pPr>
      <w:r w:rsidRPr="00E66FAB">
        <w:rPr>
          <w:rFonts w:asciiTheme="minorHAnsi" w:hAnsiTheme="minorHAnsi" w:cstheme="minorHAnsi"/>
          <w:lang w:val="fr-FR"/>
        </w:rPr>
        <w:t xml:space="preserve">La </w:t>
      </w:r>
      <w:r w:rsidR="00A375B4" w:rsidRPr="00E66FAB">
        <w:rPr>
          <w:rFonts w:asciiTheme="minorHAnsi" w:hAnsiTheme="minorHAnsi" w:cstheme="minorHAnsi"/>
          <w:lang w:val="fr-FR"/>
        </w:rPr>
        <w:t>trésorerie</w:t>
      </w:r>
      <w:r w:rsidRPr="00E66FAB">
        <w:rPr>
          <w:rFonts w:asciiTheme="minorHAnsi" w:hAnsiTheme="minorHAnsi" w:cstheme="minorHAnsi"/>
          <w:lang w:val="fr-FR"/>
        </w:rPr>
        <w:t xml:space="preserve"> financière nette déduction faite des dettes financières de </w:t>
      </w:r>
      <w:r w:rsidR="0085274D" w:rsidRPr="00E66FAB">
        <w:rPr>
          <w:rFonts w:asciiTheme="minorHAnsi" w:hAnsiTheme="minorHAnsi" w:cstheme="minorHAnsi"/>
          <w:lang w:val="fr-FR"/>
        </w:rPr>
        <w:t xml:space="preserve">170 </w:t>
      </w:r>
      <w:r w:rsidR="00EF089C" w:rsidRPr="00E66FAB">
        <w:rPr>
          <w:rFonts w:asciiTheme="minorHAnsi" w:hAnsiTheme="minorHAnsi" w:cstheme="minorHAnsi"/>
          <w:lang w:val="fr-FR"/>
        </w:rPr>
        <w:t>K€</w:t>
      </w:r>
      <w:r w:rsidRPr="00E66FAB">
        <w:rPr>
          <w:rFonts w:asciiTheme="minorHAnsi" w:hAnsiTheme="minorHAnsi" w:cstheme="minorHAnsi"/>
          <w:lang w:val="fr-FR"/>
        </w:rPr>
        <w:t xml:space="preserve"> est de </w:t>
      </w:r>
      <w:r w:rsidR="0085274D" w:rsidRPr="00E66FAB">
        <w:rPr>
          <w:rFonts w:asciiTheme="minorHAnsi" w:hAnsiTheme="minorHAnsi" w:cstheme="minorHAnsi"/>
          <w:lang w:val="fr-FR"/>
        </w:rPr>
        <w:t xml:space="preserve">16 </w:t>
      </w:r>
      <w:r w:rsidR="006B2CAE" w:rsidRPr="00E66FAB">
        <w:rPr>
          <w:rFonts w:asciiTheme="minorHAnsi" w:hAnsiTheme="minorHAnsi" w:cstheme="minorHAnsi"/>
          <w:lang w:val="fr-FR"/>
        </w:rPr>
        <w:t>862</w:t>
      </w:r>
      <w:r w:rsidRPr="00E66FAB">
        <w:rPr>
          <w:rFonts w:asciiTheme="minorHAnsi" w:hAnsiTheme="minorHAnsi" w:cstheme="minorHAnsi"/>
          <w:lang w:val="fr-FR"/>
        </w:rPr>
        <w:t xml:space="preserve"> </w:t>
      </w:r>
      <w:r w:rsidR="00EF089C" w:rsidRPr="00E66FAB">
        <w:rPr>
          <w:rFonts w:asciiTheme="minorHAnsi" w:hAnsiTheme="minorHAnsi" w:cstheme="minorHAnsi"/>
          <w:lang w:val="fr-FR"/>
        </w:rPr>
        <w:t>K€</w:t>
      </w:r>
      <w:r w:rsidR="00992828" w:rsidRPr="00E66FAB">
        <w:rPr>
          <w:rFonts w:asciiTheme="minorHAnsi" w:hAnsiTheme="minorHAnsi" w:cstheme="minorHAnsi"/>
          <w:lang w:val="fr-FR"/>
        </w:rPr>
        <w:t>.</w:t>
      </w:r>
      <w:r w:rsidR="00FA1CCF">
        <w:rPr>
          <w:rFonts w:asciiTheme="minorHAnsi" w:hAnsiTheme="minorHAnsi" w:cstheme="minorHAnsi"/>
          <w:lang w:val="fr-FR"/>
        </w:rPr>
        <w:t xml:space="preserve"> </w:t>
      </w:r>
    </w:p>
    <w:p w14:paraId="79346610" w14:textId="2BE5F9C2" w:rsidR="00214528" w:rsidRDefault="00214528" w:rsidP="00FA1CCF">
      <w:pPr>
        <w:pStyle w:val="Listepuces"/>
        <w:numPr>
          <w:ilvl w:val="0"/>
          <w:numId w:val="0"/>
        </w:numPr>
        <w:rPr>
          <w:rFonts w:asciiTheme="minorHAnsi" w:hAnsiTheme="minorHAnsi" w:cstheme="minorHAnsi"/>
          <w:lang w:val="fr-FR"/>
        </w:rPr>
      </w:pPr>
      <w:r w:rsidRPr="00C73365">
        <w:rPr>
          <w:rFonts w:asciiTheme="minorHAnsi" w:hAnsiTheme="minorHAnsi" w:cstheme="minorHAnsi"/>
          <w:lang w:val="fr-FR"/>
        </w:rPr>
        <w:t xml:space="preserve">La variation de trésorerie hors augmentation de capital sur l’année 2015 a été de </w:t>
      </w:r>
      <w:r w:rsidR="00972704" w:rsidRPr="00C73365">
        <w:rPr>
          <w:rFonts w:asciiTheme="minorHAnsi" w:hAnsiTheme="minorHAnsi" w:cstheme="minorHAnsi"/>
          <w:lang w:val="fr-FR"/>
        </w:rPr>
        <w:t>-</w:t>
      </w:r>
      <w:r w:rsidRPr="00C73365">
        <w:rPr>
          <w:rFonts w:asciiTheme="minorHAnsi" w:hAnsiTheme="minorHAnsi" w:cstheme="minorHAnsi"/>
          <w:lang w:val="fr-FR"/>
        </w:rPr>
        <w:t xml:space="preserve">19 628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Cette même variation était en 2016 de </w:t>
      </w:r>
      <w:r w:rsidR="0067410E" w:rsidRPr="00C73365">
        <w:rPr>
          <w:rFonts w:asciiTheme="minorHAnsi" w:hAnsiTheme="minorHAnsi" w:cstheme="minorHAnsi"/>
          <w:lang w:val="fr-FR"/>
        </w:rPr>
        <w:t>-</w:t>
      </w:r>
      <w:r w:rsidRPr="00C73365">
        <w:rPr>
          <w:rFonts w:asciiTheme="minorHAnsi" w:hAnsiTheme="minorHAnsi" w:cstheme="minorHAnsi"/>
          <w:lang w:val="fr-FR"/>
        </w:rPr>
        <w:t xml:space="preserve">16 140 </w:t>
      </w:r>
      <w:r w:rsidR="00EF089C" w:rsidRPr="00C73365">
        <w:rPr>
          <w:rFonts w:asciiTheme="minorHAnsi" w:hAnsiTheme="minorHAnsi" w:cstheme="minorHAnsi"/>
          <w:lang w:val="fr-FR"/>
        </w:rPr>
        <w:t>K€</w:t>
      </w:r>
      <w:r w:rsidR="00342FB5" w:rsidRPr="00C73365">
        <w:rPr>
          <w:rFonts w:asciiTheme="minorHAnsi" w:hAnsiTheme="minorHAnsi" w:cstheme="minorHAnsi"/>
          <w:lang w:val="fr-FR"/>
        </w:rPr>
        <w:t xml:space="preserve"> et en 2017 de</w:t>
      </w:r>
      <w:r w:rsidR="0085274D" w:rsidRPr="00C73365">
        <w:rPr>
          <w:rFonts w:asciiTheme="minorHAnsi" w:hAnsiTheme="minorHAnsi" w:cstheme="minorHAnsi"/>
          <w:lang w:val="fr-FR"/>
        </w:rPr>
        <w:t xml:space="preserve"> </w:t>
      </w:r>
      <w:r w:rsidR="0067410E" w:rsidRPr="00C73365">
        <w:rPr>
          <w:rFonts w:asciiTheme="minorHAnsi" w:hAnsiTheme="minorHAnsi" w:cstheme="minorHAnsi"/>
          <w:lang w:val="fr-FR"/>
        </w:rPr>
        <w:t>-</w:t>
      </w:r>
      <w:r w:rsidR="006B2CAE" w:rsidRPr="00C73365">
        <w:rPr>
          <w:rFonts w:asciiTheme="minorHAnsi" w:hAnsiTheme="minorHAnsi" w:cstheme="minorHAnsi"/>
          <w:lang w:val="fr-FR"/>
        </w:rPr>
        <w:t>5 955</w:t>
      </w:r>
      <w:r w:rsidR="0085274D"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00342FB5" w:rsidRPr="00C73365">
        <w:rPr>
          <w:rFonts w:asciiTheme="minorHAnsi" w:hAnsiTheme="minorHAnsi" w:cstheme="minorHAnsi"/>
          <w:lang w:val="fr-FR"/>
        </w:rPr>
        <w:t xml:space="preserve"> </w:t>
      </w:r>
    </w:p>
    <w:p w14:paraId="6A3C7510" w14:textId="77777777" w:rsidR="00F46C7B" w:rsidRPr="00C73365" w:rsidRDefault="00F46C7B" w:rsidP="00A96CCA">
      <w:pPr>
        <w:pStyle w:val="ConmainL1"/>
        <w:numPr>
          <w:ilvl w:val="0"/>
          <w:numId w:val="9"/>
        </w:numPr>
        <w:spacing w:after="120"/>
        <w:rPr>
          <w:rFonts w:asciiTheme="minorHAnsi" w:hAnsiTheme="minorHAnsi" w:cstheme="minorHAnsi"/>
          <w:sz w:val="22"/>
          <w:lang w:val="fr-FR"/>
        </w:rPr>
      </w:pPr>
      <w:bookmarkStart w:id="26" w:name="_Toc302702575"/>
      <w:bookmarkStart w:id="27" w:name="_Toc462673225"/>
      <w:bookmarkStart w:id="28" w:name="_Toc510548396"/>
      <w:r w:rsidRPr="00C73365">
        <w:rPr>
          <w:rFonts w:asciiTheme="minorHAnsi" w:hAnsiTheme="minorHAnsi" w:cstheme="minorHAnsi"/>
          <w:sz w:val="22"/>
          <w:lang w:val="fr-FR"/>
        </w:rPr>
        <w:lastRenderedPageBreak/>
        <w:t>FACTEURS DE RISQUES</w:t>
      </w:r>
      <w:bookmarkEnd w:id="26"/>
      <w:bookmarkEnd w:id="27"/>
      <w:bookmarkEnd w:id="28"/>
    </w:p>
    <w:p w14:paraId="2C63CD64" w14:textId="77777777" w:rsidR="00F46C7B" w:rsidRPr="00C73365" w:rsidRDefault="00F46C7B" w:rsidP="004572A0">
      <w:pPr>
        <w:pStyle w:val="Listecontinue"/>
        <w:rPr>
          <w:rFonts w:asciiTheme="minorHAnsi" w:hAnsiTheme="minorHAnsi" w:cstheme="minorHAnsi"/>
          <w:i/>
          <w:lang w:val="fr-FR"/>
        </w:rPr>
      </w:pPr>
      <w:r w:rsidRPr="00C73365">
        <w:rPr>
          <w:rFonts w:asciiTheme="minorHAnsi" w:hAnsiTheme="minorHAnsi" w:cstheme="minorHAnsi"/>
          <w:i/>
          <w:lang w:val="fr-FR"/>
        </w:rPr>
        <w:t>Les investisseurs sont invités à prendre en considération l’ensemble des informations figurant dans le présent document de référence, y compris les facteurs de risques décrits dans le présent chapitre avant de décider d’acquérir ou de souscrire des actions de la Société. Dans le cadre de la préparation du présent document de référence, la Société a procédé à une revue des risques qui pourraient avoir un effet défavorable significatif sur la Société, son activité, sa situation financière ou sa capacité à réaliser ses objectifs et n</w:t>
      </w:r>
      <w:r w:rsidR="004572A0" w:rsidRPr="00C73365">
        <w:rPr>
          <w:rFonts w:asciiTheme="minorHAnsi" w:hAnsiTheme="minorHAnsi" w:cstheme="minorHAnsi"/>
          <w:i/>
          <w:lang w:val="fr-FR"/>
        </w:rPr>
        <w:t>’</w:t>
      </w:r>
      <w:r w:rsidRPr="00C73365">
        <w:rPr>
          <w:rFonts w:asciiTheme="minorHAnsi" w:hAnsiTheme="minorHAnsi" w:cstheme="minorHAnsi"/>
          <w:i/>
          <w:lang w:val="fr-FR"/>
        </w:rPr>
        <w:t>a pas connaissance à ce jour d’autres risques significatifs que ceux présentés. L’attention des investisseurs est toutefois attirée sur le fait que d’autres risques, inconnus ou dont la réalisation n’est pas considérée, à la date d’enregistrement du présent document de référence, comme susceptible d’avoir un effet défavorable sur la Société, son activité, sa situation financière, ses résultats ou ses perspectives, peuvent ou pourraient exister.</w:t>
      </w:r>
    </w:p>
    <w:p w14:paraId="0BCB425C" w14:textId="77777777" w:rsidR="00F46C7B" w:rsidRPr="00C73365" w:rsidRDefault="00502A53" w:rsidP="00A96CCA">
      <w:pPr>
        <w:pStyle w:val="ConmainL2"/>
        <w:numPr>
          <w:ilvl w:val="1"/>
          <w:numId w:val="9"/>
        </w:numPr>
        <w:spacing w:after="120"/>
        <w:rPr>
          <w:rFonts w:asciiTheme="minorHAnsi" w:hAnsiTheme="minorHAnsi" w:cstheme="minorHAnsi"/>
          <w:sz w:val="22"/>
          <w:szCs w:val="22"/>
          <w:lang w:val="fr-FR"/>
        </w:rPr>
      </w:pPr>
      <w:bookmarkStart w:id="29" w:name="_Toc402884119"/>
      <w:bookmarkStart w:id="30" w:name="_Toc462673226"/>
      <w:r w:rsidRPr="00C73365">
        <w:rPr>
          <w:rFonts w:asciiTheme="minorHAnsi" w:hAnsiTheme="minorHAnsi" w:cstheme="minorHAnsi"/>
          <w:sz w:val="22"/>
          <w:szCs w:val="22"/>
          <w:lang w:val="fr-FR"/>
        </w:rPr>
        <w:t xml:space="preserve"> </w:t>
      </w:r>
      <w:bookmarkStart w:id="31" w:name="_Toc510548397"/>
      <w:r w:rsidR="00F46C7B" w:rsidRPr="00C73365">
        <w:rPr>
          <w:rFonts w:asciiTheme="minorHAnsi" w:hAnsiTheme="minorHAnsi" w:cstheme="minorHAnsi"/>
          <w:sz w:val="22"/>
          <w:szCs w:val="22"/>
          <w:lang w:val="fr-FR"/>
        </w:rPr>
        <w:t>Risques liés à l’activité de la Société</w:t>
      </w:r>
      <w:bookmarkEnd w:id="29"/>
      <w:bookmarkEnd w:id="30"/>
      <w:bookmarkEnd w:id="31"/>
    </w:p>
    <w:p w14:paraId="0FBD6C69" w14:textId="77777777" w:rsidR="00F46C7B" w:rsidRPr="00C73365" w:rsidRDefault="00F46C7B" w:rsidP="004572A0">
      <w:pPr>
        <w:pStyle w:val="Listecontinue2"/>
        <w:rPr>
          <w:rFonts w:asciiTheme="minorHAnsi" w:hAnsiTheme="minorHAnsi" w:cstheme="minorHAnsi"/>
          <w:lang w:val="fr-FR"/>
        </w:rPr>
      </w:pPr>
      <w:r w:rsidRPr="00C73365">
        <w:rPr>
          <w:rFonts w:asciiTheme="minorHAnsi" w:hAnsiTheme="minorHAnsi" w:cstheme="minorHAnsi"/>
          <w:lang w:val="fr-FR"/>
        </w:rPr>
        <w:t>L’avenir de la Société repose sur le succès du développement clinique et le cas échéant sur la cession ou concession à un tiers industriel des droits de développement et/ou de commercialisation de l’un de ses produits.</w:t>
      </w:r>
    </w:p>
    <w:p w14:paraId="70F4B954" w14:textId="77777777" w:rsidR="00F46C7B" w:rsidRPr="00C73365" w:rsidRDefault="00F46C7B" w:rsidP="004572A0">
      <w:pPr>
        <w:pStyle w:val="Listecontinue2"/>
        <w:rPr>
          <w:rFonts w:asciiTheme="minorHAnsi" w:hAnsiTheme="minorHAnsi" w:cstheme="minorHAnsi"/>
          <w:lang w:val="fr-FR"/>
        </w:rPr>
      </w:pPr>
      <w:r w:rsidRPr="00C73365">
        <w:rPr>
          <w:rFonts w:asciiTheme="minorHAnsi" w:hAnsiTheme="minorHAnsi" w:cstheme="minorHAnsi"/>
          <w:lang w:val="fr-FR"/>
        </w:rPr>
        <w:t>Les facteurs de risques ci-dessous présentent les risques et événements qui sont susceptibles de ralentir, d’interrompre, de rendre plus coûteux, voire d’entraîner l’arrêt pur et simple du développement des projets de la Société, ainsi que les facteurs qui pourraient limiter le développement commercial de ses produits, voire en faire un échec.</w:t>
      </w:r>
    </w:p>
    <w:p w14:paraId="7776CCC4" w14:textId="77777777" w:rsidR="00F46C7B" w:rsidRPr="00C73365" w:rsidRDefault="00F46C7B" w:rsidP="004572A0">
      <w:pPr>
        <w:pStyle w:val="Listecontinue2"/>
        <w:rPr>
          <w:rFonts w:asciiTheme="minorHAnsi" w:hAnsiTheme="minorHAnsi" w:cstheme="minorHAnsi"/>
          <w:lang w:val="fr-FR"/>
        </w:rPr>
      </w:pPr>
      <w:r w:rsidRPr="00C73365">
        <w:rPr>
          <w:rFonts w:asciiTheme="minorHAnsi" w:hAnsiTheme="minorHAnsi" w:cstheme="minorHAnsi"/>
          <w:lang w:val="fr-FR"/>
        </w:rPr>
        <w:t>Si l’un de ces événements devait se produire, cela aurait un effet défavorable significatif sur l’activité, les perspectives, la situation financière, les résultats et le développement de la Société.</w:t>
      </w:r>
    </w:p>
    <w:p w14:paraId="239A61C8" w14:textId="77777777" w:rsidR="00F46C7B" w:rsidRPr="00E66FAB" w:rsidRDefault="00F46C7B" w:rsidP="00A96CCA">
      <w:pPr>
        <w:pStyle w:val="ConmainL3"/>
        <w:numPr>
          <w:ilvl w:val="2"/>
          <w:numId w:val="9"/>
        </w:numPr>
        <w:spacing w:after="12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développement clinique et à la commercialisation des candidats médicaments de la Société</w:t>
      </w:r>
    </w:p>
    <w:p w14:paraId="74A602C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mène les programmes cliniques suivants :</w:t>
      </w:r>
    </w:p>
    <w:p w14:paraId="1FC4A2CC" w14:textId="77777777" w:rsidR="000161A1" w:rsidRPr="00C73365" w:rsidRDefault="000161A1" w:rsidP="00434C49">
      <w:pPr>
        <w:pStyle w:val="Paragraphedeliste"/>
        <w:widowControl w:val="0"/>
        <w:numPr>
          <w:ilvl w:val="0"/>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ABX464, candidat médicament, est </w:t>
      </w:r>
      <w:r w:rsidRPr="00C73365">
        <w:rPr>
          <w:rFonts w:asciiTheme="minorHAnsi" w:hAnsiTheme="minorHAnsi" w:cstheme="minorHAnsi"/>
          <w:b/>
          <w:lang w:val="fr-FR"/>
        </w:rPr>
        <w:t>en cours de développement clinique dans deux indications thérapeutiques </w:t>
      </w:r>
      <w:r w:rsidRPr="00C73365">
        <w:rPr>
          <w:rFonts w:asciiTheme="minorHAnsi" w:hAnsiTheme="minorHAnsi" w:cstheme="minorHAnsi"/>
          <w:lang w:val="fr-FR"/>
        </w:rPr>
        <w:t>:</w:t>
      </w:r>
    </w:p>
    <w:p w14:paraId="55A6292D" w14:textId="77777777" w:rsidR="000161A1" w:rsidRPr="00C73365" w:rsidRDefault="000161A1" w:rsidP="00434C49">
      <w:pPr>
        <w:pStyle w:val="Paragraphedeliste"/>
        <w:widowControl w:val="0"/>
        <w:numPr>
          <w:ilvl w:val="1"/>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En premier lieu contre l</w:t>
      </w:r>
      <w:r w:rsidR="00676B81" w:rsidRPr="00C73365">
        <w:rPr>
          <w:rFonts w:asciiTheme="minorHAnsi" w:hAnsiTheme="minorHAnsi" w:cstheme="minorHAnsi"/>
          <w:lang w:val="fr-FR"/>
        </w:rPr>
        <w:t>’infection par le</w:t>
      </w:r>
      <w:r w:rsidRPr="00C73365">
        <w:rPr>
          <w:rFonts w:asciiTheme="minorHAnsi" w:hAnsiTheme="minorHAnsi" w:cstheme="minorHAnsi"/>
          <w:lang w:val="fr-FR"/>
        </w:rPr>
        <w:t xml:space="preserve"> </w:t>
      </w:r>
      <w:r w:rsidRPr="00C73365">
        <w:rPr>
          <w:rFonts w:asciiTheme="minorHAnsi" w:hAnsiTheme="minorHAnsi" w:cstheme="minorHAnsi"/>
          <w:b/>
          <w:lang w:val="fr-FR"/>
        </w:rPr>
        <w:t>VIH</w:t>
      </w:r>
      <w:r w:rsidR="00676B81" w:rsidRPr="00C73365">
        <w:rPr>
          <w:rFonts w:asciiTheme="minorHAnsi" w:hAnsiTheme="minorHAnsi" w:cstheme="minorHAnsi"/>
          <w:lang w:val="fr-FR"/>
        </w:rPr>
        <w:t xml:space="preserve"> </w:t>
      </w:r>
      <w:r w:rsidR="005864DD" w:rsidRPr="00C73365">
        <w:rPr>
          <w:rFonts w:asciiTheme="minorHAnsi" w:hAnsiTheme="minorHAnsi" w:cstheme="minorHAnsi"/>
          <w:lang w:val="fr-FR"/>
        </w:rPr>
        <w:t>(I</w:t>
      </w:r>
      <w:r w:rsidR="00676B81" w:rsidRPr="00C73365">
        <w:rPr>
          <w:rFonts w:asciiTheme="minorHAnsi" w:hAnsiTheme="minorHAnsi" w:cstheme="minorHAnsi"/>
          <w:lang w:val="fr-FR"/>
        </w:rPr>
        <w:t>ndication</w:t>
      </w:r>
      <w:r w:rsidRPr="00C73365">
        <w:rPr>
          <w:rFonts w:asciiTheme="minorHAnsi" w:hAnsiTheme="minorHAnsi" w:cstheme="minorHAnsi"/>
          <w:lang w:val="fr-FR"/>
        </w:rPr>
        <w:t xml:space="preserve"> la plus avancée</w:t>
      </w:r>
      <w:r w:rsidR="005864DD" w:rsidRPr="00C73365">
        <w:rPr>
          <w:rFonts w:asciiTheme="minorHAnsi" w:hAnsiTheme="minorHAnsi" w:cstheme="minorHAnsi"/>
          <w:lang w:val="fr-FR"/>
        </w:rPr>
        <w:t>)</w:t>
      </w:r>
      <w:r w:rsidR="00676B81" w:rsidRPr="00C73365">
        <w:rPr>
          <w:rFonts w:asciiTheme="minorHAnsi" w:hAnsiTheme="minorHAnsi" w:cstheme="minorHAnsi"/>
          <w:lang w:val="fr-FR"/>
        </w:rPr>
        <w:t>. L</w:t>
      </w:r>
      <w:r w:rsidRPr="00C73365">
        <w:rPr>
          <w:rFonts w:asciiTheme="minorHAnsi" w:hAnsiTheme="minorHAnsi" w:cstheme="minorHAnsi"/>
          <w:lang w:val="fr-FR"/>
        </w:rPr>
        <w:t>es résultats de la seconde étude clinique de Phase IIa (ABX464-004) ont été communiqués le 2 mai 2017</w:t>
      </w:r>
      <w:r w:rsidR="00676B81" w:rsidRPr="00C73365">
        <w:rPr>
          <w:rFonts w:asciiTheme="minorHAnsi" w:hAnsiTheme="minorHAnsi" w:cstheme="minorHAnsi"/>
          <w:lang w:val="fr-FR"/>
        </w:rPr>
        <w:t>. U</w:t>
      </w:r>
      <w:r w:rsidRPr="00C73365">
        <w:rPr>
          <w:rFonts w:asciiTheme="minorHAnsi" w:hAnsiTheme="minorHAnsi" w:cstheme="minorHAnsi"/>
          <w:lang w:val="fr-FR"/>
        </w:rPr>
        <w:t>ne troisième étude clinique de Phase IIa (ABX</w:t>
      </w:r>
      <w:r w:rsidR="00643D6F" w:rsidRPr="00C73365">
        <w:rPr>
          <w:rFonts w:asciiTheme="minorHAnsi" w:hAnsiTheme="minorHAnsi" w:cstheme="minorHAnsi"/>
          <w:lang w:val="fr-FR"/>
        </w:rPr>
        <w:t>4</w:t>
      </w:r>
      <w:r w:rsidRPr="00C73365">
        <w:rPr>
          <w:rFonts w:asciiTheme="minorHAnsi" w:hAnsiTheme="minorHAnsi" w:cstheme="minorHAnsi"/>
          <w:lang w:val="fr-FR"/>
        </w:rPr>
        <w:t>64-005) est en cours</w:t>
      </w:r>
      <w:r w:rsidR="00676B81" w:rsidRPr="00C73365">
        <w:rPr>
          <w:rFonts w:asciiTheme="minorHAnsi" w:hAnsiTheme="minorHAnsi" w:cstheme="minorHAnsi"/>
          <w:lang w:val="fr-FR"/>
        </w:rPr>
        <w:t>. L</w:t>
      </w:r>
      <w:r w:rsidRPr="00C73365">
        <w:rPr>
          <w:rFonts w:asciiTheme="minorHAnsi" w:hAnsiTheme="minorHAnsi" w:cstheme="minorHAnsi"/>
          <w:lang w:val="fr-FR"/>
        </w:rPr>
        <w:t xml:space="preserve">es résultats d’un premier groupe de patients ont été communiqués le 28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2017.</w:t>
      </w:r>
    </w:p>
    <w:p w14:paraId="62867E9C" w14:textId="77777777" w:rsidR="000161A1" w:rsidRPr="00C73365" w:rsidRDefault="000161A1" w:rsidP="00434C49">
      <w:pPr>
        <w:pStyle w:val="Paragraphedeliste"/>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ABX464 est actuellement en phase clinique IIa dans l’indication VIH après les succès successifs de deux phases I d’essai clinique sur volontaires sains et la confirmation de son activité antivirale et de sa bonne tolérance dans une première étude de Phase IIa sur patients naïfs réalisée en 2015. </w:t>
      </w:r>
      <w:r w:rsidR="00676B81" w:rsidRPr="00C73365">
        <w:rPr>
          <w:rFonts w:asciiTheme="minorHAnsi" w:hAnsiTheme="minorHAnsi" w:cstheme="minorHAnsi"/>
          <w:lang w:val="fr-FR"/>
        </w:rPr>
        <w:t>L</w:t>
      </w:r>
      <w:r w:rsidRPr="00C73365">
        <w:rPr>
          <w:rFonts w:asciiTheme="minorHAnsi" w:hAnsiTheme="minorHAnsi" w:cstheme="minorHAnsi"/>
          <w:lang w:val="fr-FR"/>
        </w:rPr>
        <w:t>es résultats de la seconde étude de Phase IIa (ABX464-004) confirme</w:t>
      </w:r>
      <w:r w:rsidR="005864DD" w:rsidRPr="00C73365">
        <w:rPr>
          <w:rFonts w:asciiTheme="minorHAnsi" w:hAnsiTheme="minorHAnsi" w:cstheme="minorHAnsi"/>
          <w:lang w:val="fr-FR"/>
        </w:rPr>
        <w:t>nt</w:t>
      </w:r>
      <w:r w:rsidRPr="00C73365">
        <w:rPr>
          <w:rFonts w:asciiTheme="minorHAnsi" w:hAnsiTheme="minorHAnsi" w:cstheme="minorHAnsi"/>
          <w:lang w:val="fr-FR"/>
        </w:rPr>
        <w:t xml:space="preserve"> la bonne tolérance et démontre</w:t>
      </w:r>
      <w:r w:rsidR="005864DD" w:rsidRPr="00C73365">
        <w:rPr>
          <w:rFonts w:asciiTheme="minorHAnsi" w:hAnsiTheme="minorHAnsi" w:cstheme="minorHAnsi"/>
          <w:lang w:val="fr-FR"/>
        </w:rPr>
        <w:t>nt</w:t>
      </w:r>
      <w:r w:rsidRPr="00C73365">
        <w:rPr>
          <w:rFonts w:asciiTheme="minorHAnsi" w:hAnsiTheme="minorHAnsi" w:cstheme="minorHAnsi"/>
          <w:lang w:val="fr-FR"/>
        </w:rPr>
        <w:t xml:space="preserve"> une activité importante </w:t>
      </w:r>
      <w:r w:rsidR="00676B81" w:rsidRPr="00C73365">
        <w:rPr>
          <w:rFonts w:asciiTheme="minorHAnsi" w:hAnsiTheme="minorHAnsi" w:cstheme="minorHAnsi"/>
          <w:lang w:val="fr-FR"/>
        </w:rPr>
        <w:t xml:space="preserve">d’ABX464 sur la </w:t>
      </w:r>
      <w:r w:rsidRPr="00C73365">
        <w:rPr>
          <w:rFonts w:asciiTheme="minorHAnsi" w:hAnsiTheme="minorHAnsi" w:cstheme="minorHAnsi"/>
          <w:lang w:val="fr-FR"/>
        </w:rPr>
        <w:t xml:space="preserve">réduction de l’ADN viral HIV dans les cellules réservoir sanguines. Cette étude est </w:t>
      </w:r>
      <w:r w:rsidR="00676B81" w:rsidRPr="00C73365">
        <w:rPr>
          <w:rFonts w:asciiTheme="minorHAnsi" w:hAnsiTheme="minorHAnsi" w:cstheme="minorHAnsi"/>
          <w:lang w:val="fr-FR"/>
        </w:rPr>
        <w:t xml:space="preserve">complétée par </w:t>
      </w:r>
      <w:r w:rsidRPr="00C73365">
        <w:rPr>
          <w:rFonts w:asciiTheme="minorHAnsi" w:hAnsiTheme="minorHAnsi" w:cstheme="minorHAnsi"/>
          <w:lang w:val="fr-FR"/>
        </w:rPr>
        <w:t xml:space="preserve">une troisième étude de Phase IIa (ABX464-005) </w:t>
      </w:r>
      <w:r w:rsidR="00676B81" w:rsidRPr="00C73365">
        <w:rPr>
          <w:rFonts w:asciiTheme="minorHAnsi" w:hAnsiTheme="minorHAnsi" w:cstheme="minorHAnsi"/>
          <w:lang w:val="fr-FR"/>
        </w:rPr>
        <w:t>initiée en</w:t>
      </w:r>
      <w:r w:rsidRPr="00C73365">
        <w:rPr>
          <w:rFonts w:asciiTheme="minorHAnsi" w:hAnsiTheme="minorHAnsi" w:cstheme="minorHAnsi"/>
          <w:lang w:val="fr-FR"/>
        </w:rPr>
        <w:t xml:space="preserve"> avril 2017</w:t>
      </w:r>
      <w:r w:rsidR="00676B81" w:rsidRPr="00C73365">
        <w:rPr>
          <w:rFonts w:asciiTheme="minorHAnsi" w:hAnsiTheme="minorHAnsi" w:cstheme="minorHAnsi"/>
          <w:lang w:val="fr-FR"/>
        </w:rPr>
        <w:t>.</w:t>
      </w:r>
      <w:r w:rsidRPr="00C73365">
        <w:rPr>
          <w:rFonts w:asciiTheme="minorHAnsi" w:hAnsiTheme="minorHAnsi" w:cstheme="minorHAnsi"/>
          <w:lang w:val="fr-FR"/>
        </w:rPr>
        <w:t xml:space="preserve"> </w:t>
      </w:r>
      <w:r w:rsidR="00676B81" w:rsidRPr="00C73365">
        <w:rPr>
          <w:rFonts w:asciiTheme="minorHAnsi" w:hAnsiTheme="minorHAnsi" w:cstheme="minorHAnsi"/>
          <w:lang w:val="fr-FR"/>
        </w:rPr>
        <w:t>L</w:t>
      </w:r>
      <w:r w:rsidRPr="00C73365">
        <w:rPr>
          <w:rFonts w:asciiTheme="minorHAnsi" w:hAnsiTheme="minorHAnsi" w:cstheme="minorHAnsi"/>
          <w:lang w:val="fr-FR"/>
        </w:rPr>
        <w:t xml:space="preserve">es résultats d’un premier groupe de patients traités pendant 4 semaines ont été communiqués en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2017. Ces derniers confirment l’activité d’ABX464 </w:t>
      </w:r>
      <w:r w:rsidR="00676B81" w:rsidRPr="00C73365">
        <w:rPr>
          <w:rFonts w:asciiTheme="minorHAnsi" w:hAnsiTheme="minorHAnsi" w:cstheme="minorHAnsi"/>
          <w:lang w:val="fr-FR"/>
        </w:rPr>
        <w:t>sur la réduction de l’ADN viral HIV dans les cellules réservoir sanguines</w:t>
      </w:r>
      <w:r w:rsidRPr="00C73365">
        <w:rPr>
          <w:rFonts w:asciiTheme="minorHAnsi" w:hAnsiTheme="minorHAnsi" w:cstheme="minorHAnsi"/>
          <w:lang w:val="fr-FR"/>
        </w:rPr>
        <w:t xml:space="preserve">. Les résultats d’un deuxième groupe de patients traités pendant 3 mois sont attendus au cours du </w:t>
      </w:r>
      <w:r w:rsidR="00300FAA" w:rsidRPr="00C73365">
        <w:rPr>
          <w:rFonts w:asciiTheme="minorHAnsi" w:hAnsiTheme="minorHAnsi" w:cstheme="minorHAnsi"/>
          <w:lang w:val="fr-FR"/>
        </w:rPr>
        <w:t>3</w:t>
      </w:r>
      <w:r w:rsidR="00300FAA" w:rsidRPr="00C73365">
        <w:rPr>
          <w:rFonts w:asciiTheme="minorHAnsi" w:hAnsiTheme="minorHAnsi" w:cstheme="minorHAnsi"/>
          <w:vertAlign w:val="superscript"/>
          <w:lang w:val="fr-FR"/>
        </w:rPr>
        <w:t>ème</w:t>
      </w:r>
      <w:r w:rsidR="00300FAA" w:rsidRPr="00C73365">
        <w:rPr>
          <w:rFonts w:asciiTheme="minorHAnsi" w:hAnsiTheme="minorHAnsi" w:cstheme="minorHAnsi"/>
          <w:lang w:val="fr-FR"/>
        </w:rPr>
        <w:t xml:space="preserve"> </w:t>
      </w:r>
      <w:r w:rsidRPr="00C73365">
        <w:rPr>
          <w:rFonts w:asciiTheme="minorHAnsi" w:hAnsiTheme="minorHAnsi" w:cstheme="minorHAnsi"/>
          <w:lang w:val="fr-FR"/>
        </w:rPr>
        <w:t>trimestre 2018.</w:t>
      </w:r>
    </w:p>
    <w:p w14:paraId="5CB409A7" w14:textId="77777777" w:rsidR="000161A1" w:rsidRPr="00C73365" w:rsidRDefault="000161A1" w:rsidP="00434C49">
      <w:pPr>
        <w:pStyle w:val="Paragraphedeliste"/>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Par ailleurs, deux études de phase IIb sont en cours de préparation (ABX464-006 &amp; ABX464-007) avec un démarrage prévu au cours du</w:t>
      </w:r>
      <w:r w:rsidR="00300FAA" w:rsidRPr="00C73365">
        <w:rPr>
          <w:rFonts w:asciiTheme="minorHAnsi" w:hAnsiTheme="minorHAnsi" w:cstheme="minorHAnsi"/>
          <w:lang w:val="fr-FR"/>
        </w:rPr>
        <w:t xml:space="preserve"> 4</w:t>
      </w:r>
      <w:r w:rsidR="00300FAA" w:rsidRPr="00C73365">
        <w:rPr>
          <w:rFonts w:asciiTheme="minorHAnsi" w:hAnsiTheme="minorHAnsi" w:cstheme="minorHAnsi"/>
          <w:vertAlign w:val="superscript"/>
          <w:lang w:val="fr-FR"/>
        </w:rPr>
        <w:t>ème</w:t>
      </w:r>
      <w:r w:rsidR="00300FAA" w:rsidRPr="00C73365">
        <w:rPr>
          <w:rFonts w:asciiTheme="minorHAnsi" w:hAnsiTheme="minorHAnsi" w:cstheme="minorHAnsi"/>
          <w:lang w:val="fr-FR"/>
        </w:rPr>
        <w:t xml:space="preserve"> </w:t>
      </w:r>
      <w:r w:rsidRPr="00C73365">
        <w:rPr>
          <w:rFonts w:asciiTheme="minorHAnsi" w:hAnsiTheme="minorHAnsi" w:cstheme="minorHAnsi"/>
          <w:lang w:val="fr-FR"/>
        </w:rPr>
        <w:t>trimestre 2018.</w:t>
      </w:r>
    </w:p>
    <w:p w14:paraId="01E3237D" w14:textId="77777777" w:rsidR="000161A1" w:rsidRPr="00C73365" w:rsidRDefault="000161A1" w:rsidP="00434C49">
      <w:pPr>
        <w:pStyle w:val="Paragraphedeliste"/>
        <w:widowControl w:val="0"/>
        <w:numPr>
          <w:ilvl w:val="1"/>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En second lieu contre les </w:t>
      </w:r>
      <w:r w:rsidRPr="00C73365">
        <w:rPr>
          <w:rFonts w:asciiTheme="minorHAnsi" w:hAnsiTheme="minorHAnsi" w:cstheme="minorHAnsi"/>
          <w:b/>
          <w:lang w:val="fr-FR"/>
        </w:rPr>
        <w:t>maladies inflammatoires</w:t>
      </w:r>
      <w:r w:rsidRPr="00C73365">
        <w:rPr>
          <w:rFonts w:asciiTheme="minorHAnsi" w:hAnsiTheme="minorHAnsi" w:cstheme="minorHAnsi"/>
          <w:lang w:val="fr-FR"/>
        </w:rPr>
        <w:t>, en visant tout d’abord une maladie inflammatoire chronique de l’intestin</w:t>
      </w:r>
      <w:r w:rsidR="004F6A1E" w:rsidRPr="00C73365">
        <w:rPr>
          <w:rFonts w:asciiTheme="minorHAnsi" w:hAnsiTheme="minorHAnsi" w:cstheme="minorHAnsi"/>
          <w:lang w:val="fr-FR"/>
        </w:rPr>
        <w:t> </w:t>
      </w:r>
      <w:r w:rsidR="00DB60E5" w:rsidRPr="00C73365">
        <w:rPr>
          <w:rFonts w:asciiTheme="minorHAnsi" w:hAnsiTheme="minorHAnsi" w:cstheme="minorHAnsi"/>
          <w:lang w:val="fr-FR"/>
        </w:rPr>
        <w:t xml:space="preserve">(MICI) </w:t>
      </w:r>
      <w:r w:rsidR="004F6A1E" w:rsidRPr="00C73365">
        <w:rPr>
          <w:rFonts w:asciiTheme="minorHAnsi" w:hAnsiTheme="minorHAnsi" w:cstheme="minorHAnsi"/>
          <w:lang w:val="fr-FR"/>
        </w:rPr>
        <w:t>:</w:t>
      </w:r>
      <w:r w:rsidRPr="00C73365">
        <w:rPr>
          <w:rFonts w:asciiTheme="minorHAnsi" w:hAnsiTheme="minorHAnsi" w:cstheme="minorHAnsi"/>
          <w:lang w:val="fr-FR"/>
        </w:rPr>
        <w:t xml:space="preserve"> la rectocolite hémorragique (RCH)</w:t>
      </w:r>
      <w:r w:rsidR="004F6A1E" w:rsidRPr="00C73365">
        <w:rPr>
          <w:rFonts w:asciiTheme="minorHAnsi" w:hAnsiTheme="minorHAnsi" w:cstheme="minorHAnsi"/>
          <w:lang w:val="fr-FR"/>
        </w:rPr>
        <w:t>. U</w:t>
      </w:r>
      <w:r w:rsidRPr="00C73365">
        <w:rPr>
          <w:rFonts w:asciiTheme="minorHAnsi" w:hAnsiTheme="minorHAnsi" w:cstheme="minorHAnsi"/>
          <w:lang w:val="fr-FR"/>
        </w:rPr>
        <w:t>ne étude de Phase IIa sur 8 semaines de traitement (ABX464-101) est en cours. Cette première étude est suivie d’une étude de maintenance (ABX464-102) autorisant un traitement avec ABX464 de 12 mois.</w:t>
      </w:r>
    </w:p>
    <w:p w14:paraId="01D52165" w14:textId="77777777" w:rsidR="000161A1" w:rsidRPr="00C73365" w:rsidRDefault="000161A1" w:rsidP="00434C49">
      <w:pPr>
        <w:pStyle w:val="Paragraphedeliste"/>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À partir d’un essai préclinique positif sur un modèle animal reconnu en matière de pathologie inflammatoire, réalisé fin 2016, une seconde indication thérapeutique d’ABX464 a été identifiée. Une étude de Phase IIa est ainsi en cours de de recrutement. Elle vise à mesurer l’activité de la molécule dans la rectocolite hémorragique ; une </w:t>
      </w:r>
      <w:r w:rsidRPr="00C73365">
        <w:rPr>
          <w:rFonts w:asciiTheme="minorHAnsi" w:hAnsiTheme="minorHAnsi" w:cstheme="minorHAnsi"/>
          <w:lang w:val="fr-FR"/>
        </w:rPr>
        <w:lastRenderedPageBreak/>
        <w:t xml:space="preserve">maladie inflammatoire chronique de l’intestin. Les premiers résultats de cette étude sont attendus à partir de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2018. </w:t>
      </w:r>
    </w:p>
    <w:p w14:paraId="686ECEE5" w14:textId="77777777" w:rsidR="004F6A1E" w:rsidRPr="00C73365" w:rsidRDefault="000161A1" w:rsidP="00434C49">
      <w:pPr>
        <w:pStyle w:val="Paragraphedeliste"/>
        <w:widowControl w:val="0"/>
        <w:numPr>
          <w:ilvl w:val="0"/>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ABX196, candidat</w:t>
      </w:r>
      <w:r w:rsidR="004F6A1E" w:rsidRPr="00C73365">
        <w:rPr>
          <w:rFonts w:asciiTheme="minorHAnsi" w:hAnsiTheme="minorHAnsi" w:cstheme="minorHAnsi"/>
          <w:lang w:val="fr-FR"/>
        </w:rPr>
        <w:t xml:space="preserve"> « stimulation</w:t>
      </w:r>
      <w:r w:rsidRPr="00C73365">
        <w:rPr>
          <w:rFonts w:asciiTheme="minorHAnsi" w:hAnsiTheme="minorHAnsi" w:cstheme="minorHAnsi"/>
          <w:lang w:val="fr-FR"/>
        </w:rPr>
        <w:t xml:space="preserve"> immunitaire », a démontré en 2017 une activité </w:t>
      </w:r>
      <w:r w:rsidR="005864DD" w:rsidRPr="00C73365">
        <w:rPr>
          <w:rFonts w:asciiTheme="minorHAnsi" w:hAnsiTheme="minorHAnsi" w:cstheme="minorHAnsi"/>
          <w:lang w:val="fr-FR"/>
        </w:rPr>
        <w:t xml:space="preserve">antitumorale </w:t>
      </w:r>
      <w:r w:rsidRPr="00C73365">
        <w:rPr>
          <w:rFonts w:asciiTheme="minorHAnsi" w:hAnsiTheme="minorHAnsi" w:cstheme="minorHAnsi"/>
          <w:lang w:val="fr-FR"/>
        </w:rPr>
        <w:t>dans de multiples modèles animaux en oncologie</w:t>
      </w:r>
      <w:r w:rsidR="005864DD" w:rsidRPr="00C73365">
        <w:rPr>
          <w:rFonts w:asciiTheme="minorHAnsi" w:hAnsiTheme="minorHAnsi" w:cstheme="minorHAnsi"/>
          <w:lang w:val="fr-FR"/>
        </w:rPr>
        <w:t xml:space="preserve"> et notamment l’hépatocarcinome</w:t>
      </w:r>
      <w:r w:rsidRPr="00C73365">
        <w:rPr>
          <w:rFonts w:asciiTheme="minorHAnsi" w:hAnsiTheme="minorHAnsi" w:cstheme="minorHAnsi"/>
          <w:lang w:val="fr-FR"/>
        </w:rPr>
        <w:t xml:space="preserve">. </w:t>
      </w:r>
    </w:p>
    <w:p w14:paraId="7E0428A9" w14:textId="77777777" w:rsidR="000161A1" w:rsidRPr="00C73365" w:rsidRDefault="00EF089C" w:rsidP="00434C49">
      <w:pPr>
        <w:pStyle w:val="Paragraphedeliste"/>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ABIVAX</w:t>
      </w:r>
      <w:r w:rsidR="004F6A1E" w:rsidRPr="00C73365">
        <w:rPr>
          <w:rFonts w:asciiTheme="minorHAnsi" w:hAnsiTheme="minorHAnsi" w:cstheme="minorHAnsi"/>
          <w:lang w:val="fr-FR"/>
        </w:rPr>
        <w:t xml:space="preserve"> prépare u</w:t>
      </w:r>
      <w:r w:rsidR="000161A1" w:rsidRPr="00C73365">
        <w:rPr>
          <w:rFonts w:asciiTheme="minorHAnsi" w:hAnsiTheme="minorHAnsi" w:cstheme="minorHAnsi"/>
          <w:lang w:val="fr-FR"/>
        </w:rPr>
        <w:t>n essai clinique de preuve de concept associant ABX196 au nivolumab (</w:t>
      </w:r>
      <w:bookmarkStart w:id="32" w:name="_Hlk510468406"/>
      <w:r w:rsidR="000161A1" w:rsidRPr="00C73365">
        <w:rPr>
          <w:rFonts w:asciiTheme="minorHAnsi" w:hAnsiTheme="minorHAnsi" w:cstheme="minorHAnsi"/>
          <w:lang w:val="fr-FR"/>
        </w:rPr>
        <w:t xml:space="preserve">OPDIVO®) </w:t>
      </w:r>
      <w:bookmarkEnd w:id="32"/>
      <w:r w:rsidR="00DB60E5" w:rsidRPr="00C73365">
        <w:rPr>
          <w:rFonts w:asciiTheme="minorHAnsi" w:hAnsiTheme="minorHAnsi" w:cstheme="minorHAnsi"/>
          <w:lang w:val="fr-FR"/>
        </w:rPr>
        <w:t xml:space="preserve">et/ou au pembrolizumab (KEYTRUDA®) </w:t>
      </w:r>
      <w:r w:rsidR="00946B00" w:rsidRPr="00C73365">
        <w:rPr>
          <w:rFonts w:asciiTheme="minorHAnsi" w:hAnsiTheme="minorHAnsi" w:cstheme="minorHAnsi"/>
          <w:lang w:val="fr-FR"/>
        </w:rPr>
        <w:t xml:space="preserve">chez des patients souffrant d’un hépatocarcinome avancé. Cet essai clinique </w:t>
      </w:r>
      <w:r w:rsidR="000161A1" w:rsidRPr="00C73365">
        <w:rPr>
          <w:rFonts w:asciiTheme="minorHAnsi" w:hAnsiTheme="minorHAnsi" w:cstheme="minorHAnsi"/>
          <w:lang w:val="fr-FR"/>
        </w:rPr>
        <w:t>sera initié courant 2018.</w:t>
      </w:r>
    </w:p>
    <w:p w14:paraId="0098CF2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travaille également entre autres sur les programmes précliniques suivants :</w:t>
      </w:r>
    </w:p>
    <w:p w14:paraId="015023CD" w14:textId="77777777" w:rsidR="009F21D3" w:rsidRPr="00E66FAB" w:rsidRDefault="009F21D3" w:rsidP="00434C49">
      <w:pPr>
        <w:pStyle w:val="Listepuces2"/>
        <w:numPr>
          <w:ilvl w:val="0"/>
          <w:numId w:val="57"/>
        </w:numPr>
        <w:rPr>
          <w:rFonts w:asciiTheme="minorHAnsi" w:hAnsiTheme="minorHAnsi" w:cstheme="minorHAnsi"/>
          <w:lang w:val="fr-FR"/>
        </w:rPr>
      </w:pPr>
      <w:r w:rsidRPr="00E66FAB">
        <w:rPr>
          <w:rFonts w:asciiTheme="minorHAnsi" w:hAnsiTheme="minorHAnsi" w:cstheme="minorHAnsi"/>
          <w:lang w:val="fr-FR"/>
        </w:rPr>
        <w:t>ABX544, candidat « lead » pour le traitement d’Ebola à partir d’anticorps polyclonaux ;</w:t>
      </w:r>
    </w:p>
    <w:p w14:paraId="7A7A2305" w14:textId="77777777" w:rsidR="00946B00" w:rsidRPr="00E66FAB" w:rsidRDefault="00946B00" w:rsidP="00434C49">
      <w:pPr>
        <w:pStyle w:val="Listepuces2"/>
        <w:numPr>
          <w:ilvl w:val="0"/>
          <w:numId w:val="57"/>
        </w:numPr>
        <w:rPr>
          <w:rFonts w:asciiTheme="minorHAnsi" w:hAnsiTheme="minorHAnsi" w:cstheme="minorHAnsi"/>
          <w:lang w:val="fr-FR"/>
        </w:rPr>
      </w:pPr>
      <w:r w:rsidRPr="00E66FAB">
        <w:rPr>
          <w:rFonts w:asciiTheme="minorHAnsi" w:hAnsiTheme="minorHAnsi" w:cstheme="minorHAnsi"/>
          <w:lang w:val="fr-FR"/>
        </w:rPr>
        <w:t>Molécules en cours de « lead optimization » dans d’autres indications virales (</w:t>
      </w:r>
      <w:r w:rsidR="00A3483A" w:rsidRPr="00E66FAB">
        <w:rPr>
          <w:rFonts w:asciiTheme="minorHAnsi" w:hAnsiTheme="minorHAnsi" w:cstheme="minorHAnsi"/>
          <w:lang w:val="fr-FR"/>
        </w:rPr>
        <w:t xml:space="preserve">Dengue, </w:t>
      </w:r>
      <w:r w:rsidRPr="00E66FAB">
        <w:rPr>
          <w:rFonts w:asciiTheme="minorHAnsi" w:hAnsiTheme="minorHAnsi" w:cstheme="minorHAnsi"/>
          <w:lang w:val="fr-FR"/>
        </w:rPr>
        <w:t>Virus Respiratoire Syncitial et Virus de la Grippe).</w:t>
      </w:r>
    </w:p>
    <w:p w14:paraId="3A9E815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développement d’un candidat médicament est un processus long et coûteux et à l’issue incertaine, se déroulant en plusieurs phases dont l’objectif est de démontrer le bénéfice thérapeutique apporté par le candidat médicament pour une ou plusieurs indications données. Tout échec lors d’une des différentes phases précliniques et cliniques pour une indication donnée pourrait retarder le développement, la production et la commercialisation du produit thérapeutique concerné voire entraîner l’arrêt de son développement. </w:t>
      </w:r>
    </w:p>
    <w:p w14:paraId="6DD3F3BD"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Lors des essais cliniques, la Société pourrait rencontrer des difficultés à déterminer et recruter le profil adéquat de patients. Ce profil pourrait également varier en fonction des différentes phases desdits essais cliniques. Le recrutement de patients pourrait alors ne pas être effectué selon un calendrier compatible avec les moyens financiers de la Société. </w:t>
      </w:r>
    </w:p>
    <w:p w14:paraId="773A8867" w14:textId="77777777" w:rsidR="00F46C7B" w:rsidRPr="00C73365" w:rsidRDefault="00F46C7B" w:rsidP="004572A0">
      <w:pPr>
        <w:pStyle w:val="Salutations"/>
        <w:rPr>
          <w:rFonts w:asciiTheme="minorHAnsi" w:hAnsiTheme="minorHAnsi" w:cstheme="minorHAnsi"/>
          <w:lang w:val="fr-FR"/>
        </w:rPr>
      </w:pPr>
      <w:r w:rsidRPr="00C73365">
        <w:rPr>
          <w:rFonts w:asciiTheme="minorHAnsi" w:hAnsiTheme="minorHAnsi" w:cstheme="minorHAnsi"/>
          <w:lang w:val="fr-FR"/>
        </w:rPr>
        <w:t xml:space="preserve">A chaque phase de développement clinique, la Société doit demander l’autorisation des autorités compétentes des différents pays selon son plan de développement pour effectuer les essais cliniques, puis présenter les résultats de ses études cliniques aux mêmes autorités. Les autorités peuvent refuser les autorisations nécessaires aux essais cliniques, avoir des exigences complémentaires, par exemple, relativement aux protocoles d’étude, aux caractéristiques des patients, aux durées de traitement, au suivi post traitement, à certaines divergences d’interprétation des résultats entre agences réglementaires locales et, le cas échéant, exiger des études supplémentaires. Tout refus ou décision des autorités sanitaires de demander des essais ou examens complémentaires serait de nature à interrompre ou retarder le développement des produits concernés. L’absence ou le retard de réponse thérapeutique pourrait également retarder, voire interrompre, le développement des candidats médicaments de la Société. </w:t>
      </w:r>
    </w:p>
    <w:p w14:paraId="1B8FC33E"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ne peut garantir que ses développements de candidats médicaments aboutiront un jour, ni a fortiori dans des délais compatibles avec ses ressources financières ou les besoins du marché. Tout échec ou retard dans le développement de ces produits aurait un effet défavorable très significatif sur l’activité de la Société, ses résultats, sa situation financière et ses perspectives. </w:t>
      </w:r>
    </w:p>
    <w:p w14:paraId="7541E3AF"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Enfin, l’apparition d’effets secondaires que les connaissances actuelles ne permettent pas d’identifier pourrait entrainer un retard dans le développement des candidats médicaments de la Société, voire son interruption. Au surplus, si, après leur autorisation de mise sur le marché (« </w:t>
      </w:r>
      <w:r w:rsidRPr="00C73365">
        <w:rPr>
          <w:rFonts w:asciiTheme="minorHAnsi" w:hAnsiTheme="minorHAnsi" w:cstheme="minorHAnsi"/>
          <w:b/>
          <w:lang w:val="fr-FR"/>
        </w:rPr>
        <w:t>AMM</w:t>
      </w:r>
      <w:r w:rsidRPr="00C73365">
        <w:rPr>
          <w:rFonts w:asciiTheme="minorHAnsi" w:hAnsiTheme="minorHAnsi" w:cstheme="minorHAnsi"/>
          <w:lang w:val="fr-FR"/>
        </w:rPr>
        <w:t xml:space="preserve"> ») obtenue par la Société ou ses partenaires ou licenciés, les produits de la Société entraînaient des effets secondaires inacceptables ou non repérés pendant la période d’essais cliniques, leur commercialisation et/ou leurs perspectives de marché seraient </w:t>
      </w:r>
      <w:r w:rsidR="00E66FAB" w:rsidRPr="00C73365">
        <w:rPr>
          <w:rFonts w:asciiTheme="minorHAnsi" w:hAnsiTheme="minorHAnsi" w:cstheme="minorHAnsi"/>
          <w:lang w:val="fr-FR"/>
        </w:rPr>
        <w:t>mises</w:t>
      </w:r>
      <w:r w:rsidRPr="00C73365">
        <w:rPr>
          <w:rFonts w:asciiTheme="minorHAnsi" w:hAnsiTheme="minorHAnsi" w:cstheme="minorHAnsi"/>
          <w:lang w:val="fr-FR"/>
        </w:rPr>
        <w:t xml:space="preserve"> en cause, ce qui aurait un effet défavorable très significatif sur son activité, ses perspectives, sa situation financière, ses résultats et son développement.</w:t>
      </w:r>
    </w:p>
    <w:p w14:paraId="7BC8995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C’est dans ce contexte que les plans de recherche et développement des projets et candidats médicaments constituant le portefeuille de R&amp;D de la Société ont évolué par rapport à ce qui avait été présenté dans le Document de Base enregistré le 19 Mai 2015 sous le numéro l.15-040 dans le cadre de l’introduction en bourse de la Société. Cette évolution est explicitée au chapitre 6 paragraphe 6.2.1. </w:t>
      </w:r>
      <w:r w:rsidR="00C32E9A" w:rsidRPr="00C73365">
        <w:rPr>
          <w:rFonts w:asciiTheme="minorHAnsi" w:hAnsiTheme="minorHAnsi" w:cstheme="minorHAnsi"/>
          <w:lang w:val="fr-FR"/>
        </w:rPr>
        <w:t>au sein</w:t>
      </w:r>
      <w:r w:rsidRPr="00C73365">
        <w:rPr>
          <w:rFonts w:asciiTheme="minorHAnsi" w:hAnsiTheme="minorHAnsi" w:cstheme="minorHAnsi"/>
          <w:lang w:val="fr-FR"/>
        </w:rPr>
        <w:t xml:space="preserve"> </w:t>
      </w:r>
      <w:r w:rsidR="00C32E9A" w:rsidRPr="00C73365">
        <w:rPr>
          <w:rFonts w:asciiTheme="minorHAnsi" w:hAnsiTheme="minorHAnsi" w:cstheme="minorHAnsi"/>
          <w:lang w:val="fr-FR"/>
        </w:rPr>
        <w:t>d’</w:t>
      </w:r>
      <w:r w:rsidRPr="00C73365">
        <w:rPr>
          <w:rFonts w:asciiTheme="minorHAnsi" w:hAnsiTheme="minorHAnsi" w:cstheme="minorHAnsi"/>
          <w:lang w:val="fr-FR"/>
        </w:rPr>
        <w:t>un tableau de passage entre la situation du portefeuille telle que présentée dans ce Document de Base et la situation actuelle à la date de l’enregistrement de ce Document de Référence.</w:t>
      </w:r>
    </w:p>
    <w:p w14:paraId="59AEDC98" w14:textId="77777777" w:rsidR="009F21D3" w:rsidRPr="00C73365" w:rsidRDefault="009F21D3" w:rsidP="004572A0">
      <w:pPr>
        <w:pStyle w:val="Corpsdetexte"/>
        <w:rPr>
          <w:rFonts w:asciiTheme="minorHAnsi" w:hAnsiTheme="minorHAnsi" w:cstheme="minorHAnsi"/>
          <w:b/>
          <w:lang w:val="fr-FR"/>
        </w:rPr>
      </w:pPr>
      <w:r w:rsidRPr="00C73365">
        <w:rPr>
          <w:rFonts w:asciiTheme="minorHAnsi" w:hAnsiTheme="minorHAnsi" w:cstheme="minorHAnsi"/>
          <w:b/>
          <w:lang w:val="fr-FR"/>
        </w:rPr>
        <w:t>L’absence de produits commercialisés sur le marché du même type pour le traitement des infections par le VIH, l’Ebola ou la Dengue génère de nombreuses inconnues</w:t>
      </w:r>
      <w:r w:rsidR="00946B00" w:rsidRPr="00C73365">
        <w:rPr>
          <w:rFonts w:asciiTheme="minorHAnsi" w:hAnsiTheme="minorHAnsi" w:cstheme="minorHAnsi"/>
          <w:b/>
          <w:lang w:val="fr-FR"/>
        </w:rPr>
        <w:t>.</w:t>
      </w:r>
    </w:p>
    <w:p w14:paraId="24518C29" w14:textId="77777777" w:rsidR="009F21D3" w:rsidRPr="00C73365" w:rsidRDefault="009F21D3"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La Société développe des candidats médicaments contre les infections par le VIH, l’Ebola</w:t>
      </w:r>
      <w:r w:rsidR="004F6A1E" w:rsidRPr="00C73365">
        <w:rPr>
          <w:rFonts w:asciiTheme="minorHAnsi" w:hAnsiTheme="minorHAnsi" w:cstheme="minorHAnsi"/>
          <w:lang w:val="fr-FR"/>
        </w:rPr>
        <w:t xml:space="preserve"> </w:t>
      </w:r>
      <w:r w:rsidRPr="00C73365">
        <w:rPr>
          <w:rFonts w:asciiTheme="minorHAnsi" w:hAnsiTheme="minorHAnsi" w:cstheme="minorHAnsi"/>
          <w:lang w:val="fr-FR"/>
        </w:rPr>
        <w:t>ou la Dengue, et vise d’autres infections virales. A date, il n’existe pas de traitements immunologiques ou d’antiviraux de ce type dont la mise sur le marché aurait été autorisée par les autorités règlementaires compétentes.</w:t>
      </w:r>
    </w:p>
    <w:p w14:paraId="677ACBAC" w14:textId="77777777" w:rsidR="009F21D3" w:rsidRPr="00C73365" w:rsidRDefault="009F21D3" w:rsidP="004572A0">
      <w:pPr>
        <w:pStyle w:val="Corpsdetexte"/>
        <w:rPr>
          <w:rFonts w:asciiTheme="minorHAnsi" w:hAnsiTheme="minorHAnsi" w:cstheme="minorHAnsi"/>
          <w:lang w:val="fr-FR"/>
        </w:rPr>
      </w:pPr>
      <w:r w:rsidRPr="00C73365">
        <w:rPr>
          <w:rFonts w:asciiTheme="minorHAnsi" w:hAnsiTheme="minorHAnsi" w:cstheme="minorHAnsi"/>
          <w:lang w:val="fr-FR"/>
        </w:rPr>
        <w:t>De ce fait, les perspectives de développement et de rentabilité d’ABX464,</w:t>
      </w:r>
      <w:r w:rsidR="0040340E" w:rsidRPr="00C73365">
        <w:rPr>
          <w:rFonts w:asciiTheme="minorHAnsi" w:hAnsiTheme="minorHAnsi" w:cstheme="minorHAnsi"/>
          <w:lang w:val="fr-FR"/>
        </w:rPr>
        <w:t xml:space="preserve"> </w:t>
      </w:r>
      <w:r w:rsidRPr="00C73365">
        <w:rPr>
          <w:rFonts w:asciiTheme="minorHAnsi" w:hAnsiTheme="minorHAnsi" w:cstheme="minorHAnsi"/>
          <w:lang w:val="fr-FR"/>
        </w:rPr>
        <w:t>et des candidats médicaments précliniques, leur in</w:t>
      </w:r>
      <w:r w:rsidR="00C32E9A" w:rsidRPr="00C73365">
        <w:rPr>
          <w:rFonts w:asciiTheme="minorHAnsi" w:hAnsiTheme="minorHAnsi" w:cstheme="minorHAnsi"/>
          <w:lang w:val="fr-FR"/>
        </w:rPr>
        <w:t>n</w:t>
      </w:r>
      <w:r w:rsidRPr="00C73365">
        <w:rPr>
          <w:rFonts w:asciiTheme="minorHAnsi" w:hAnsiTheme="minorHAnsi" w:cstheme="minorHAnsi"/>
          <w:lang w:val="fr-FR"/>
        </w:rPr>
        <w:t>ocuité, leur efficacité ainsi que leur acceptation par les patients, les médecins et les organismes payeurs, sont incertaines. Les tests sur les animaux ne sont pas nécessairement prédictifs des résultats qui seront obtenus chez l’homme. Les résultats positifs d’ABX464 dans le cadre d’études cliniques de Phase I ou de Phase IIa ou ceux de tous les produits du portefeuille lors de leur phases de recherche ou précliniques peuvent ne pas être confirmés par les phases ultérieures. Une telle situation aurait un impact défavorable très significatif sur l’activité, les résultats, la situation financière et le développement de la Société.</w:t>
      </w:r>
    </w:p>
    <w:p w14:paraId="6CE469F6" w14:textId="77777777" w:rsidR="00F46C7B" w:rsidRPr="00E66FAB" w:rsidRDefault="00F46C7B" w:rsidP="00A96CCA">
      <w:pPr>
        <w:pStyle w:val="ConmainL3"/>
        <w:numPr>
          <w:ilvl w:val="2"/>
          <w:numId w:val="9"/>
        </w:numPr>
        <w:spacing w:after="120"/>
        <w:ind w:hanging="1271"/>
        <w:rPr>
          <w:rFonts w:asciiTheme="minorHAnsi" w:hAnsiTheme="minorHAnsi" w:cstheme="minorHAnsi"/>
          <w:b/>
          <w:color w:val="7030A0"/>
          <w:lang w:val="fr-FR"/>
        </w:rPr>
      </w:pPr>
      <w:r w:rsidRPr="00E66FAB">
        <w:rPr>
          <w:rFonts w:asciiTheme="minorHAnsi" w:hAnsiTheme="minorHAnsi" w:cstheme="minorHAnsi"/>
          <w:b/>
          <w:color w:val="7030A0"/>
          <w:lang w:val="fr-FR"/>
        </w:rPr>
        <w:t>Risques liés aux technologies de la Société et des partenaires de la Société avec qui elle a conclu des accords de licence</w:t>
      </w:r>
    </w:p>
    <w:p w14:paraId="11C1F27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Les différents candidats médicaments développés par la Société sont issus de technologies propriétaires ou licenciées auprès de partenaires académiques de premier plan : Scripps Research Institute (La Jolla), Université de Chicago, Université Brigham Young (Salt Lake City), Institut Génétique Moléculaire de Montpellier (CNRS), Institut Curie. Si les études cliniques menées par la Société venaient à révéler des problèmes de sécurité et/ou d’efficacité thérapeutique ou si l’utilisation d’une des plateformes violait un droit de propriété intellectuelle détenu par un tiers, cela pourrait remettre en cause l’utilisation et le fonctionnement même de certaines plateformes technologiques de la Société et requérir de nouveaux efforts de recherche et développement ainsi que des délais et des coûts supplémentaires pour remédier à ces difficultés, sans garantie de succès. Le développement d’une partie du portefeuille produits de la Société en serait affecté ce qui aurait un effet défavorable significatif sur l’activité, les perspectives, le développement, la situation financière et les résultats de la Société.</w:t>
      </w:r>
    </w:p>
    <w:p w14:paraId="587F6884" w14:textId="77777777" w:rsidR="00F46C7B" w:rsidRPr="00E66FAB" w:rsidRDefault="00F46C7B" w:rsidP="00A96CCA">
      <w:pPr>
        <w:pStyle w:val="ConmainL3"/>
        <w:numPr>
          <w:ilvl w:val="2"/>
          <w:numId w:val="9"/>
        </w:numPr>
        <w:tabs>
          <w:tab w:val="num" w:pos="720"/>
        </w:tabs>
        <w:spacing w:after="120"/>
        <w:ind w:left="144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marché et à la concurrence</w:t>
      </w:r>
    </w:p>
    <w:p w14:paraId="2AD96D04"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 Société ne peut garantir le succès commercial des candidats médicaments qu’elle développe</w:t>
      </w:r>
      <w:r w:rsidR="004661C4" w:rsidRPr="00C73365">
        <w:rPr>
          <w:rFonts w:asciiTheme="minorHAnsi" w:hAnsiTheme="minorHAnsi" w:cstheme="minorHAnsi"/>
          <w:b/>
          <w:lang w:val="fr-FR"/>
        </w:rPr>
        <w:t xml:space="preserve"> </w:t>
      </w:r>
      <w:r w:rsidRPr="00C73365">
        <w:rPr>
          <w:rFonts w:asciiTheme="minorHAnsi" w:hAnsiTheme="minorHAnsi" w:cstheme="minorHAnsi"/>
          <w:b/>
          <w:lang w:val="fr-FR"/>
        </w:rPr>
        <w:t>:</w:t>
      </w:r>
    </w:p>
    <w:p w14:paraId="7237FCDB"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Si la Société et/ou l</w:t>
      </w:r>
      <w:r w:rsidR="004572A0" w:rsidRPr="00C73365">
        <w:rPr>
          <w:rFonts w:asciiTheme="minorHAnsi" w:hAnsiTheme="minorHAnsi" w:cstheme="minorHAnsi"/>
          <w:lang w:val="fr-FR"/>
        </w:rPr>
        <w:t>’</w:t>
      </w:r>
      <w:r w:rsidRPr="00C73365">
        <w:rPr>
          <w:rFonts w:asciiTheme="minorHAnsi" w:hAnsiTheme="minorHAnsi" w:cstheme="minorHAnsi"/>
          <w:lang w:val="fr-FR"/>
        </w:rPr>
        <w:t>un ou plusieurs de ses partenaires commerciaux réussissent à obtenir une AMM leur permettant de commercialiser les produits thérapeutiques développés par la Société, il pourrait néanmoins leur falloir du temps pour gagner l’adhésion de la communauté médicale, des prescripteurs de soins et des tiers payants.</w:t>
      </w:r>
    </w:p>
    <w:p w14:paraId="68EC458F"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degré d’acceptation par le marché de chaque produit de la Société dépendra de plusieurs facteurs, et notamment : </w:t>
      </w:r>
    </w:p>
    <w:p w14:paraId="4B355D49" w14:textId="77777777" w:rsidR="00F46C7B" w:rsidRPr="00E66FAB" w:rsidRDefault="00F46C7B" w:rsidP="00434C49">
      <w:pPr>
        <w:pStyle w:val="Listepuces2"/>
        <w:numPr>
          <w:ilvl w:val="0"/>
          <w:numId w:val="70"/>
        </w:numPr>
        <w:rPr>
          <w:rFonts w:asciiTheme="minorHAnsi" w:hAnsiTheme="minorHAnsi" w:cstheme="minorHAnsi"/>
          <w:lang w:val="fr-FR"/>
        </w:rPr>
      </w:pPr>
      <w:r w:rsidRPr="00E66FAB">
        <w:rPr>
          <w:rFonts w:asciiTheme="minorHAnsi" w:hAnsiTheme="minorHAnsi" w:cstheme="minorHAnsi"/>
          <w:lang w:val="fr-FR"/>
        </w:rPr>
        <w:t>de la perception du bénéfice thérapeutique du produit par les prescripteurs ;</w:t>
      </w:r>
    </w:p>
    <w:p w14:paraId="5948874B" w14:textId="77777777" w:rsidR="00F46C7B" w:rsidRPr="00E66FAB" w:rsidRDefault="00F46C7B" w:rsidP="00434C49">
      <w:pPr>
        <w:pStyle w:val="Listepuces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des politiques de soin mises en place par les différents états dans lesquels la Société envisage de commercialiser ses produits; </w:t>
      </w:r>
    </w:p>
    <w:p w14:paraId="4E7B36EA" w14:textId="77777777" w:rsidR="00F46C7B" w:rsidRPr="00E66FAB" w:rsidRDefault="00F46C7B" w:rsidP="00434C49">
      <w:pPr>
        <w:pStyle w:val="Listepuces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 la survenance éventuelle d’effets indésirables une fois l’AMM obtenue ; </w:t>
      </w:r>
    </w:p>
    <w:p w14:paraId="67F693B6" w14:textId="77777777" w:rsidR="00F46C7B" w:rsidRPr="00E66FAB" w:rsidRDefault="00F46C7B" w:rsidP="00434C49">
      <w:pPr>
        <w:pStyle w:val="Listepuces2"/>
        <w:numPr>
          <w:ilvl w:val="0"/>
          <w:numId w:val="70"/>
        </w:numPr>
        <w:rPr>
          <w:rFonts w:asciiTheme="minorHAnsi" w:hAnsiTheme="minorHAnsi" w:cstheme="minorHAnsi"/>
          <w:lang w:val="fr-FR"/>
        </w:rPr>
      </w:pPr>
      <w:r w:rsidRPr="00E66FAB">
        <w:rPr>
          <w:rFonts w:asciiTheme="minorHAnsi" w:hAnsiTheme="minorHAnsi" w:cstheme="minorHAnsi"/>
          <w:lang w:val="fr-FR"/>
        </w:rPr>
        <w:t>de la facilité d’utilisation du produit, liée notamment à son mode d’administration ;</w:t>
      </w:r>
    </w:p>
    <w:p w14:paraId="798D8BC0" w14:textId="77777777" w:rsidR="007358A1" w:rsidRPr="00C73365" w:rsidRDefault="007358A1" w:rsidP="00434C49">
      <w:pPr>
        <w:pStyle w:val="Paragraphedeliste"/>
        <w:numPr>
          <w:ilvl w:val="0"/>
          <w:numId w:val="70"/>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du coût du traitement ; </w:t>
      </w:r>
    </w:p>
    <w:p w14:paraId="46372E66" w14:textId="77777777" w:rsidR="00F46C7B" w:rsidRPr="00E66FAB" w:rsidRDefault="00F46C7B" w:rsidP="00434C49">
      <w:pPr>
        <w:pStyle w:val="Listepuces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des politiques de remboursement des gouvernements et autres tiers ; </w:t>
      </w:r>
    </w:p>
    <w:p w14:paraId="4DFBDD64" w14:textId="77777777" w:rsidR="00F46C7B" w:rsidRPr="00E66FAB" w:rsidRDefault="00F46C7B" w:rsidP="00434C49">
      <w:pPr>
        <w:pStyle w:val="Listepuces2"/>
        <w:numPr>
          <w:ilvl w:val="0"/>
          <w:numId w:val="70"/>
        </w:numPr>
        <w:rPr>
          <w:rFonts w:asciiTheme="minorHAnsi" w:hAnsiTheme="minorHAnsi" w:cstheme="minorHAnsi"/>
          <w:lang w:val="fr-FR"/>
        </w:rPr>
      </w:pPr>
      <w:r w:rsidRPr="00E66FAB">
        <w:rPr>
          <w:rFonts w:asciiTheme="minorHAnsi" w:hAnsiTheme="minorHAnsi" w:cstheme="minorHAnsi"/>
          <w:lang w:val="fr-FR"/>
        </w:rPr>
        <w:t>de la mise en œuvre efficace d’une stratégie de publication scientifique ; et</w:t>
      </w:r>
    </w:p>
    <w:p w14:paraId="5269131A" w14:textId="77777777" w:rsidR="00F46C7B" w:rsidRPr="00E66FAB" w:rsidRDefault="00F46C7B" w:rsidP="00434C49">
      <w:pPr>
        <w:pStyle w:val="Listepuces2"/>
        <w:numPr>
          <w:ilvl w:val="0"/>
          <w:numId w:val="70"/>
        </w:numPr>
        <w:rPr>
          <w:rFonts w:asciiTheme="minorHAnsi" w:hAnsiTheme="minorHAnsi" w:cstheme="minorHAnsi"/>
          <w:lang w:val="fr-FR"/>
        </w:rPr>
      </w:pPr>
      <w:r w:rsidRPr="00E66FAB">
        <w:rPr>
          <w:rFonts w:asciiTheme="minorHAnsi" w:hAnsiTheme="minorHAnsi" w:cstheme="minorHAnsi"/>
          <w:lang w:val="fr-FR"/>
        </w:rPr>
        <w:t xml:space="preserve">du développement d’un ou plusieurs produits concurrents pour la même indication. </w:t>
      </w:r>
    </w:p>
    <w:p w14:paraId="240EBB1E"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Même si les produits développés par la Société sont susceptibles d’apporter une réponse thérapeutique à un besoin non satisfait à ce jour, une mauvaise pénétration du marché, résultant d’un ou plusieurs des facteurs décrits ci-dessus, aurait un effet défavorable sur leur commercialisation et sur la capacité de la Société à générer des profits, ce qui aurait un impact négatif sur son activité, ses perspectives, sa situation financière, ses résultats et son développement. </w:t>
      </w:r>
    </w:p>
    <w:p w14:paraId="642D2C3D" w14:textId="77777777" w:rsidR="009F21D3" w:rsidRPr="00C73365" w:rsidRDefault="009F21D3" w:rsidP="004572A0">
      <w:pPr>
        <w:pStyle w:val="Corpsdetexte"/>
        <w:rPr>
          <w:rFonts w:asciiTheme="minorHAnsi" w:hAnsiTheme="minorHAnsi" w:cstheme="minorHAnsi"/>
          <w:b/>
          <w:lang w:val="fr-FR"/>
        </w:rPr>
      </w:pPr>
      <w:r w:rsidRPr="00C73365">
        <w:rPr>
          <w:rFonts w:asciiTheme="minorHAnsi" w:hAnsiTheme="minorHAnsi" w:cstheme="minorHAnsi"/>
          <w:b/>
          <w:lang w:val="fr-FR"/>
        </w:rPr>
        <w:lastRenderedPageBreak/>
        <w:t>L</w:t>
      </w:r>
      <w:r w:rsidR="00121CE3" w:rsidRPr="00C73365">
        <w:rPr>
          <w:rFonts w:asciiTheme="minorHAnsi" w:hAnsiTheme="minorHAnsi" w:cstheme="minorHAnsi"/>
          <w:b/>
          <w:lang w:val="fr-FR"/>
        </w:rPr>
        <w:t>’avenir de la</w:t>
      </w:r>
      <w:r w:rsidRPr="00C73365">
        <w:rPr>
          <w:rFonts w:asciiTheme="minorHAnsi" w:hAnsiTheme="minorHAnsi" w:cstheme="minorHAnsi"/>
          <w:b/>
          <w:lang w:val="fr-FR"/>
        </w:rPr>
        <w:t xml:space="preserve"> Société</w:t>
      </w:r>
      <w:r w:rsidR="00121CE3" w:rsidRPr="00C73365">
        <w:rPr>
          <w:rFonts w:asciiTheme="minorHAnsi" w:hAnsiTheme="minorHAnsi" w:cstheme="minorHAnsi"/>
          <w:b/>
          <w:lang w:val="fr-FR"/>
        </w:rPr>
        <w:t xml:space="preserve"> pourrait</w:t>
      </w:r>
      <w:r w:rsidRPr="00C73365">
        <w:rPr>
          <w:rFonts w:asciiTheme="minorHAnsi" w:hAnsiTheme="minorHAnsi" w:cstheme="minorHAnsi"/>
          <w:b/>
          <w:lang w:val="fr-FR"/>
        </w:rPr>
        <w:t xml:space="preserve"> dépend</w:t>
      </w:r>
      <w:r w:rsidR="00121CE3" w:rsidRPr="00C73365">
        <w:rPr>
          <w:rFonts w:asciiTheme="minorHAnsi" w:hAnsiTheme="minorHAnsi" w:cstheme="minorHAnsi"/>
          <w:b/>
          <w:lang w:val="fr-FR"/>
        </w:rPr>
        <w:t>re</w:t>
      </w:r>
      <w:r w:rsidRPr="00C73365">
        <w:rPr>
          <w:rFonts w:asciiTheme="minorHAnsi" w:hAnsiTheme="minorHAnsi" w:cstheme="minorHAnsi"/>
          <w:b/>
          <w:lang w:val="fr-FR"/>
        </w:rPr>
        <w:t xml:space="preserve"> d</w:t>
      </w:r>
      <w:r w:rsidR="00121CE3" w:rsidRPr="00C73365">
        <w:rPr>
          <w:rFonts w:asciiTheme="minorHAnsi" w:hAnsiTheme="minorHAnsi" w:cstheme="minorHAnsi"/>
          <w:b/>
          <w:lang w:val="fr-FR"/>
        </w:rPr>
        <w:t>e</w:t>
      </w:r>
      <w:r w:rsidRPr="00C73365">
        <w:rPr>
          <w:rFonts w:asciiTheme="minorHAnsi" w:hAnsiTheme="minorHAnsi" w:cstheme="minorHAnsi"/>
          <w:b/>
          <w:lang w:val="fr-FR"/>
        </w:rPr>
        <w:t xml:space="preserve"> ses programmes de développement clinique les plus avancés, </w:t>
      </w:r>
      <w:r w:rsidR="00EE75ED" w:rsidRPr="00C73365">
        <w:rPr>
          <w:rFonts w:asciiTheme="minorHAnsi" w:hAnsiTheme="minorHAnsi" w:cstheme="minorHAnsi"/>
          <w:b/>
          <w:lang w:val="fr-FR"/>
        </w:rPr>
        <w:t>notamment</w:t>
      </w:r>
      <w:r w:rsidRPr="00C73365">
        <w:rPr>
          <w:rFonts w:asciiTheme="minorHAnsi" w:hAnsiTheme="minorHAnsi" w:cstheme="minorHAnsi"/>
          <w:b/>
          <w:lang w:val="fr-FR"/>
        </w:rPr>
        <w:t xml:space="preserve"> </w:t>
      </w:r>
      <w:r w:rsidR="00E32CFE" w:rsidRPr="00C73365">
        <w:rPr>
          <w:rFonts w:asciiTheme="minorHAnsi" w:hAnsiTheme="minorHAnsi" w:cstheme="minorHAnsi"/>
          <w:b/>
          <w:lang w:val="fr-FR"/>
        </w:rPr>
        <w:t>ABX464</w:t>
      </w:r>
      <w:r w:rsidRPr="00C73365">
        <w:rPr>
          <w:rFonts w:asciiTheme="minorHAnsi" w:hAnsiTheme="minorHAnsi" w:cstheme="minorHAnsi"/>
          <w:b/>
          <w:lang w:val="fr-FR"/>
        </w:rPr>
        <w:t xml:space="preserve">, en comparaison </w:t>
      </w:r>
      <w:r w:rsidR="00121CE3" w:rsidRPr="00C73365">
        <w:rPr>
          <w:rFonts w:asciiTheme="minorHAnsi" w:hAnsiTheme="minorHAnsi" w:cstheme="minorHAnsi"/>
          <w:b/>
          <w:lang w:val="fr-FR"/>
        </w:rPr>
        <w:t>au</w:t>
      </w:r>
      <w:r w:rsidRPr="00C73365">
        <w:rPr>
          <w:rFonts w:asciiTheme="minorHAnsi" w:hAnsiTheme="minorHAnsi" w:cstheme="minorHAnsi"/>
          <w:b/>
          <w:lang w:val="fr-FR"/>
        </w:rPr>
        <w:t xml:space="preserve"> stade de développement moins avancé des autres produits</w:t>
      </w:r>
    </w:p>
    <w:p w14:paraId="3406FECC" w14:textId="77777777" w:rsidR="009F21D3" w:rsidRPr="00C73365" w:rsidRDefault="009F21D3" w:rsidP="004572A0">
      <w:pPr>
        <w:pStyle w:val="Corpsdetexte"/>
        <w:rPr>
          <w:rFonts w:asciiTheme="minorHAnsi" w:hAnsiTheme="minorHAnsi" w:cstheme="minorHAnsi"/>
          <w:lang w:val="fr-FR"/>
        </w:rPr>
      </w:pPr>
      <w:r w:rsidRPr="00C73365">
        <w:rPr>
          <w:rFonts w:asciiTheme="minorHAnsi" w:hAnsiTheme="minorHAnsi" w:cstheme="minorHAnsi"/>
          <w:lang w:val="fr-FR"/>
        </w:rPr>
        <w:t>ABX464, petite molécule antivirale contre le VIH et contre la maladie inflammatoire chronique de l’intestin, est le candidat médicament de la Société dont le processus de développement est le plus avancé.</w:t>
      </w:r>
    </w:p>
    <w:p w14:paraId="0B699B66" w14:textId="77777777" w:rsidR="009F21D3" w:rsidRPr="00C73365" w:rsidRDefault="00EE75ED" w:rsidP="004572A0">
      <w:pPr>
        <w:pStyle w:val="Corpsdetexte"/>
        <w:rPr>
          <w:rFonts w:asciiTheme="minorHAnsi" w:hAnsiTheme="minorHAnsi" w:cstheme="minorHAnsi"/>
          <w:lang w:val="fr-FR"/>
        </w:rPr>
      </w:pPr>
      <w:r w:rsidRPr="00C73365">
        <w:rPr>
          <w:rFonts w:asciiTheme="minorHAnsi" w:hAnsiTheme="minorHAnsi" w:cstheme="minorHAnsi"/>
          <w:lang w:val="fr-FR"/>
        </w:rPr>
        <w:t>L’ABX</w:t>
      </w:r>
      <w:r w:rsidR="009F21D3" w:rsidRPr="00C73365">
        <w:rPr>
          <w:rFonts w:asciiTheme="minorHAnsi" w:hAnsiTheme="minorHAnsi" w:cstheme="minorHAnsi"/>
          <w:lang w:val="fr-FR"/>
        </w:rPr>
        <w:t xml:space="preserve">464 a exigé et pourra continuer d’exiger de la Société des investissements conséquents en temps et en ressources financières, ainsi que l’attention toute particulière d’un personnel très qualifié. En conséquence, si la Société ne parvenait pas à obtenir des résultats probants lors des essais de phase II d’ABX464, ses perspectives et sa situation financière seraient affectées défavorablement de manière significative. </w:t>
      </w:r>
    </w:p>
    <w:p w14:paraId="6D7B4FE0" w14:textId="77777777" w:rsidR="009F21D3" w:rsidRPr="00C73365" w:rsidRDefault="009F21D3"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La Société ne peut garantir l’absence de concurrents sur les marchés </w:t>
      </w:r>
      <w:r w:rsidR="00121CE3" w:rsidRPr="00C73365">
        <w:rPr>
          <w:rFonts w:asciiTheme="minorHAnsi" w:hAnsiTheme="minorHAnsi" w:cstheme="minorHAnsi"/>
          <w:b/>
          <w:lang w:val="fr-FR"/>
        </w:rPr>
        <w:t>cibles</w:t>
      </w:r>
    </w:p>
    <w:p w14:paraId="2EB42A94" w14:textId="77777777" w:rsidR="009F21D3" w:rsidRPr="00C73365" w:rsidRDefault="009F21D3" w:rsidP="004572A0">
      <w:pPr>
        <w:pStyle w:val="Corpsdetexte"/>
        <w:rPr>
          <w:rFonts w:asciiTheme="minorHAnsi" w:hAnsiTheme="minorHAnsi" w:cstheme="minorHAnsi"/>
          <w:lang w:val="fr-FR"/>
        </w:rPr>
      </w:pPr>
      <w:r w:rsidRPr="00C73365">
        <w:rPr>
          <w:rFonts w:asciiTheme="minorHAnsi" w:hAnsiTheme="minorHAnsi" w:cstheme="minorHAnsi"/>
          <w:lang w:val="fr-FR"/>
        </w:rPr>
        <w:t>De nombreux laboratoires pharmaceutiques, sociétés de biotechnologie, institutions, universités et autres organismes de recherche sont activement engagés dans la recherche, la découverte, le développement et la commercialisation de réponses thérapeutiques au traitement des infections par le VIH, l’Ebola, la Dengue, autres infections virales, ainsi que la maladie inflammatoire chronique de l’intestin</w:t>
      </w:r>
      <w:r w:rsidR="00643D6F" w:rsidRPr="00C73365">
        <w:rPr>
          <w:rFonts w:asciiTheme="minorHAnsi" w:hAnsiTheme="minorHAnsi" w:cstheme="minorHAnsi"/>
          <w:lang w:val="fr-FR"/>
        </w:rPr>
        <w:t xml:space="preserve"> et le cancer hépatocellulaire.</w:t>
      </w:r>
    </w:p>
    <w:p w14:paraId="50D24050" w14:textId="77777777" w:rsidR="009F21D3" w:rsidRPr="00C73365" w:rsidRDefault="009F21D3" w:rsidP="004572A0">
      <w:pPr>
        <w:pStyle w:val="Corpsdetexte"/>
        <w:rPr>
          <w:rFonts w:asciiTheme="minorHAnsi" w:hAnsiTheme="minorHAnsi" w:cstheme="minorHAnsi"/>
          <w:lang w:val="fr-FR"/>
        </w:rPr>
      </w:pPr>
      <w:r w:rsidRPr="00C73365">
        <w:rPr>
          <w:rFonts w:asciiTheme="minorHAnsi" w:hAnsiTheme="minorHAnsi" w:cstheme="minorHAnsi"/>
          <w:lang w:val="fr-FR"/>
        </w:rPr>
        <w:t>Si les marchés du traitement du VIH</w:t>
      </w:r>
      <w:r w:rsidR="00643D6F" w:rsidRPr="00C73365">
        <w:rPr>
          <w:rFonts w:asciiTheme="minorHAnsi" w:hAnsiTheme="minorHAnsi" w:cstheme="minorHAnsi"/>
          <w:lang w:val="fr-FR"/>
        </w:rPr>
        <w:t xml:space="preserve">, </w:t>
      </w:r>
      <w:r w:rsidRPr="00C73365">
        <w:rPr>
          <w:rFonts w:asciiTheme="minorHAnsi" w:hAnsiTheme="minorHAnsi" w:cstheme="minorHAnsi"/>
          <w:lang w:val="fr-FR"/>
        </w:rPr>
        <w:t xml:space="preserve">de la maladie inflammatoire chronique de l’intestin </w:t>
      </w:r>
      <w:r w:rsidR="00643D6F" w:rsidRPr="00C73365">
        <w:rPr>
          <w:rFonts w:asciiTheme="minorHAnsi" w:hAnsiTheme="minorHAnsi" w:cstheme="minorHAnsi"/>
          <w:lang w:val="fr-FR"/>
        </w:rPr>
        <w:t xml:space="preserve">et du cancer hépatocellulaire </w:t>
      </w:r>
      <w:r w:rsidRPr="00C73365">
        <w:rPr>
          <w:rFonts w:asciiTheme="minorHAnsi" w:hAnsiTheme="minorHAnsi" w:cstheme="minorHAnsi"/>
          <w:lang w:val="fr-FR"/>
        </w:rPr>
        <w:t xml:space="preserve">se caractérisent par une concurrence intense, la concurrence est plus faible </w:t>
      </w:r>
      <w:r w:rsidR="00643D6F" w:rsidRPr="00C73365">
        <w:rPr>
          <w:rFonts w:asciiTheme="minorHAnsi" w:hAnsiTheme="minorHAnsi" w:cstheme="minorHAnsi"/>
          <w:lang w:val="fr-FR"/>
        </w:rPr>
        <w:t xml:space="preserve">à ce jour </w:t>
      </w:r>
      <w:r w:rsidRPr="00C73365">
        <w:rPr>
          <w:rFonts w:asciiTheme="minorHAnsi" w:hAnsiTheme="minorHAnsi" w:cstheme="minorHAnsi"/>
          <w:lang w:val="fr-FR"/>
        </w:rPr>
        <w:t>pour le développement de candidats médicaments pour le traitement de la Dengue</w:t>
      </w:r>
      <w:r w:rsidR="004F6A1E" w:rsidRPr="00C73365">
        <w:rPr>
          <w:rFonts w:asciiTheme="minorHAnsi" w:hAnsiTheme="minorHAnsi" w:cstheme="minorHAnsi"/>
          <w:lang w:val="fr-FR"/>
        </w:rPr>
        <w:t xml:space="preserve"> et</w:t>
      </w:r>
      <w:r w:rsidRPr="00C73365">
        <w:rPr>
          <w:rFonts w:asciiTheme="minorHAnsi" w:hAnsiTheme="minorHAnsi" w:cstheme="minorHAnsi"/>
          <w:lang w:val="fr-FR"/>
        </w:rPr>
        <w:t xml:space="preserve"> d’Ebola. Néanmoins pour ces derniers marchés, le potentiel de développement est tel que l</w:t>
      </w:r>
      <w:r w:rsidR="004572A0" w:rsidRPr="00C73365">
        <w:rPr>
          <w:rFonts w:asciiTheme="minorHAnsi" w:hAnsiTheme="minorHAnsi" w:cstheme="minorHAnsi"/>
          <w:lang w:val="fr-FR"/>
        </w:rPr>
        <w:t>’</w:t>
      </w:r>
      <w:r w:rsidRPr="00C73365">
        <w:rPr>
          <w:rFonts w:asciiTheme="minorHAnsi" w:hAnsiTheme="minorHAnsi" w:cstheme="minorHAnsi"/>
          <w:lang w:val="fr-FR"/>
        </w:rPr>
        <w:t>arrivée de nouveaux concurrents est fort probable. Certaines entreprises actives dans le secteur des vaccins thérapeutiques ou d’autres ayant une antériorité dans le développement d’antiviraux disposent de moyens beaucoup plus importants que ceux de la Société et pourront décider de développer des produits concurrents en y consacrant des ressources et une expérience en matière de développement clinique, gestion, fabrication, commercialisation et recherche beaucoup plus importantes que celles de la Société.</w:t>
      </w:r>
    </w:p>
    <w:p w14:paraId="2CFA2105" w14:textId="77777777" w:rsidR="009F21D3" w:rsidRPr="00C73365" w:rsidRDefault="009F21D3" w:rsidP="004572A0">
      <w:pPr>
        <w:pStyle w:val="Corpsdetexte"/>
        <w:rPr>
          <w:rFonts w:asciiTheme="minorHAnsi" w:hAnsiTheme="minorHAnsi" w:cstheme="minorHAnsi"/>
          <w:lang w:val="fr-FR"/>
        </w:rPr>
      </w:pPr>
      <w:r w:rsidRPr="00C73365">
        <w:rPr>
          <w:rFonts w:asciiTheme="minorHAnsi" w:hAnsiTheme="minorHAnsi" w:cstheme="minorHAnsi"/>
          <w:lang w:val="fr-FR"/>
        </w:rPr>
        <w:t>De tels événements auraient un effet défavorable significatif sur l’activité de la Société, ses résultats, sa situation financière et ses perspectives de développement.</w:t>
      </w:r>
    </w:p>
    <w:p w14:paraId="12D17C22" w14:textId="77777777" w:rsidR="00F46C7B" w:rsidRPr="00E66FAB" w:rsidRDefault="00F46C7B" w:rsidP="00A96CCA">
      <w:pPr>
        <w:pStyle w:val="ConmainL3"/>
        <w:keepLines/>
        <w:numPr>
          <w:ilvl w:val="2"/>
          <w:numId w:val="9"/>
        </w:numPr>
        <w:tabs>
          <w:tab w:val="num" w:pos="720"/>
        </w:tabs>
        <w:spacing w:after="120"/>
        <w:ind w:left="144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développement commercial et stratégique de la Société</w:t>
      </w:r>
    </w:p>
    <w:p w14:paraId="0993EA7D"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 Société pourrait ne pas trouver de partenaires industriels pour poursuivre le développement clinique et commercial d’ABX464</w:t>
      </w:r>
      <w:r w:rsidR="00121CE3" w:rsidRPr="00C73365">
        <w:rPr>
          <w:rFonts w:asciiTheme="minorHAnsi" w:hAnsiTheme="minorHAnsi" w:cstheme="minorHAnsi"/>
          <w:b/>
          <w:lang w:val="fr-FR"/>
        </w:rPr>
        <w:t xml:space="preserve"> ou d’ABX196</w:t>
      </w:r>
    </w:p>
    <w:p w14:paraId="0A97717D"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devra conclure des partenariats de licence et de distribution avec des établissements pharmaceutiques, afin de financer l’achèvement du développement clinique de son candidat stimulant immunitaire ABX196 </w:t>
      </w:r>
      <w:r w:rsidR="00643D6F" w:rsidRPr="00C73365">
        <w:rPr>
          <w:rFonts w:asciiTheme="minorHAnsi" w:hAnsiTheme="minorHAnsi" w:cstheme="minorHAnsi"/>
          <w:lang w:val="fr-FR"/>
        </w:rPr>
        <w:t xml:space="preserve">en combinaison oncologique, </w:t>
      </w:r>
      <w:r w:rsidRPr="00C73365">
        <w:rPr>
          <w:rFonts w:asciiTheme="minorHAnsi" w:hAnsiTheme="minorHAnsi" w:cstheme="minorHAnsi"/>
          <w:lang w:val="fr-FR"/>
        </w:rPr>
        <w:t>ou de son candidat antiviral ABX464 pour le traitement du VIH</w:t>
      </w:r>
      <w:r w:rsidR="009F21D3" w:rsidRPr="00C73365">
        <w:rPr>
          <w:rFonts w:asciiTheme="minorHAnsi" w:hAnsiTheme="minorHAnsi" w:cstheme="minorHAnsi"/>
          <w:lang w:val="fr-FR"/>
        </w:rPr>
        <w:t xml:space="preserve"> et de la maladie inflammatoire </w:t>
      </w:r>
      <w:r w:rsidR="008863E8" w:rsidRPr="00C73365">
        <w:rPr>
          <w:rFonts w:asciiTheme="minorHAnsi" w:hAnsiTheme="minorHAnsi" w:cstheme="minorHAnsi"/>
          <w:lang w:val="fr-FR"/>
        </w:rPr>
        <w:t xml:space="preserve">chronique </w:t>
      </w:r>
      <w:r w:rsidR="009F21D3" w:rsidRPr="00C73365">
        <w:rPr>
          <w:rFonts w:asciiTheme="minorHAnsi" w:hAnsiTheme="minorHAnsi" w:cstheme="minorHAnsi"/>
          <w:lang w:val="fr-FR"/>
        </w:rPr>
        <w:t>de l’intestin</w:t>
      </w:r>
      <w:r w:rsidRPr="00C73365">
        <w:rPr>
          <w:rFonts w:asciiTheme="minorHAnsi" w:hAnsiTheme="minorHAnsi" w:cstheme="minorHAnsi"/>
          <w:lang w:val="fr-FR"/>
        </w:rPr>
        <w:t>. La Société devra, par conséquent, trouver des partenaires ayant la capacité suffisante pour réaliser des essais cliniques de phases I et/ou II et/ou III à l’échelle nationale ou internationale, produire à l’échelle industrielle, distribuer et commercialiser les immunothérapies ou antiviraux comme ABX196 ou ABX464. Si la Société venait à conclure de tels partenariats, la commercialisation de ses produits dépendrait donc en partie des efforts de développements cliniques, industriels, marketing et commerciaux déployés par ses partenaire</w:t>
      </w:r>
      <w:r w:rsidR="009F21D3" w:rsidRPr="00C73365">
        <w:rPr>
          <w:rFonts w:asciiTheme="minorHAnsi" w:hAnsiTheme="minorHAnsi" w:cstheme="minorHAnsi"/>
          <w:lang w:val="fr-FR"/>
        </w:rPr>
        <w:t>s</w:t>
      </w:r>
      <w:r w:rsidRPr="00C73365">
        <w:rPr>
          <w:rFonts w:asciiTheme="minorHAnsi" w:hAnsiTheme="minorHAnsi" w:cstheme="minorHAnsi"/>
          <w:lang w:val="fr-FR"/>
        </w:rPr>
        <w:t xml:space="preserve"> commerciaux ainsi que de la capacité de ces partenaires à produire et vendre ABX196 ou ABX464. Toute défaillance de la part de ces partenaires aurait des conséquences défavorables pour la Société, son développement et ses perspectives. </w:t>
      </w:r>
    </w:p>
    <w:p w14:paraId="6EE9851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Il est possible également que la Société ne parvienne pas à conclure de partenariat à des conditions économiquement raisonnables. Ceci aurait un effet défavorable très significatif sur l’activité, les perspectives, la situation financière, les résultats et le développement de la Société.</w:t>
      </w:r>
    </w:p>
    <w:p w14:paraId="0FA4153C"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L’obtention des autorisations de mise sur le marché et autres certifications préalables à toute commercialisation peut s’avérer incertaine</w:t>
      </w:r>
    </w:p>
    <w:p w14:paraId="24CF49B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Europe, aux Etats-Unis et au Japon, ainsi que dans de nombreux autres pays, l</w:t>
      </w:r>
      <w:r w:rsidR="004572A0" w:rsidRPr="00C73365">
        <w:rPr>
          <w:rFonts w:asciiTheme="minorHAnsi" w:hAnsiTheme="minorHAnsi" w:cstheme="minorHAnsi"/>
          <w:lang w:val="fr-FR"/>
        </w:rPr>
        <w:t>’</w:t>
      </w:r>
      <w:r w:rsidRPr="00C73365">
        <w:rPr>
          <w:rFonts w:asciiTheme="minorHAnsi" w:hAnsiTheme="minorHAnsi" w:cstheme="minorHAnsi"/>
          <w:lang w:val="fr-FR"/>
        </w:rPr>
        <w:t>accès au marché des médicaments est contrôlé et la mise sur le marché doit être autorisée par une autorité de régulation. Ce dossier d’enregistrement est la plupart du temps déposé auprès d’une autorité nationale de santé sauf dans le cas de l’Union Européenne où il existe une procédure centralisée de revue des dossiers d’enregistrement (Agence Européenne du Médicament).</w:t>
      </w:r>
      <w:r w:rsidRPr="00C73365">
        <w:rPr>
          <w:rFonts w:asciiTheme="minorHAnsi" w:hAnsiTheme="minorHAnsi" w:cstheme="minorHAnsi"/>
          <w:color w:val="0070C0"/>
          <w:lang w:val="fr-FR"/>
        </w:rPr>
        <w:t xml:space="preserve">   </w:t>
      </w:r>
    </w:p>
    <w:p w14:paraId="3F4C67D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obtention de l</w:t>
      </w:r>
      <w:r w:rsidR="004572A0" w:rsidRPr="00C73365">
        <w:rPr>
          <w:rFonts w:asciiTheme="minorHAnsi" w:hAnsiTheme="minorHAnsi" w:cstheme="minorHAnsi"/>
          <w:lang w:val="fr-FR"/>
        </w:rPr>
        <w:t>’</w:t>
      </w:r>
      <w:r w:rsidRPr="00C73365">
        <w:rPr>
          <w:rFonts w:asciiTheme="minorHAnsi" w:hAnsiTheme="minorHAnsi" w:cstheme="minorHAnsi"/>
          <w:lang w:val="fr-FR"/>
        </w:rPr>
        <w:t>AMM (Autorisation de Mise sur le Marché), obtenue par pays ou zone géographique dans le cas de l’Union Européenne, suppose le respect des normes contraignantes imposées par les autorités réglementaires et la communication aux autorités de nombreuses informations concernant le nouveau produit, qu</w:t>
      </w:r>
      <w:r w:rsidR="004572A0" w:rsidRPr="00C73365">
        <w:rPr>
          <w:rFonts w:asciiTheme="minorHAnsi" w:hAnsiTheme="minorHAnsi" w:cstheme="minorHAnsi"/>
          <w:lang w:val="fr-FR"/>
        </w:rPr>
        <w:t>’</w:t>
      </w:r>
      <w:r w:rsidRPr="00C73365">
        <w:rPr>
          <w:rFonts w:asciiTheme="minorHAnsi" w:hAnsiTheme="minorHAnsi" w:cstheme="minorHAnsi"/>
          <w:lang w:val="fr-FR"/>
        </w:rPr>
        <w:t>il s</w:t>
      </w:r>
      <w:r w:rsidR="004572A0" w:rsidRPr="00C73365">
        <w:rPr>
          <w:rFonts w:asciiTheme="minorHAnsi" w:hAnsiTheme="minorHAnsi" w:cstheme="minorHAnsi"/>
          <w:lang w:val="fr-FR"/>
        </w:rPr>
        <w:t>’</w:t>
      </w:r>
      <w:r w:rsidRPr="00C73365">
        <w:rPr>
          <w:rFonts w:asciiTheme="minorHAnsi" w:hAnsiTheme="minorHAnsi" w:cstheme="minorHAnsi"/>
          <w:lang w:val="fr-FR"/>
        </w:rPr>
        <w:t>agisse de sa toxicité, son dosage, sa qualité, son efficacité et son innocuité. Le processus d</w:t>
      </w:r>
      <w:r w:rsidR="004572A0" w:rsidRPr="00C73365">
        <w:rPr>
          <w:rFonts w:asciiTheme="minorHAnsi" w:hAnsiTheme="minorHAnsi" w:cstheme="minorHAnsi"/>
          <w:lang w:val="fr-FR"/>
        </w:rPr>
        <w:t>’</w:t>
      </w:r>
      <w:r w:rsidRPr="00C73365">
        <w:rPr>
          <w:rFonts w:asciiTheme="minorHAnsi" w:hAnsiTheme="minorHAnsi" w:cstheme="minorHAnsi"/>
          <w:lang w:val="fr-FR"/>
        </w:rPr>
        <w:t>obtention est long et coûteux, le résultat de ce processus restant incertain. La Société veille donc à respecter en permanence les bonnes pratiques afin de ne pas hypothéquer ses chances, à terme, d’obtenir directement, ou par l</w:t>
      </w:r>
      <w:r w:rsidR="004572A0" w:rsidRPr="00C73365">
        <w:rPr>
          <w:rFonts w:asciiTheme="minorHAnsi" w:hAnsiTheme="minorHAnsi" w:cstheme="minorHAnsi"/>
          <w:lang w:val="fr-FR"/>
        </w:rPr>
        <w:t>’</w:t>
      </w:r>
      <w:r w:rsidRPr="00C73365">
        <w:rPr>
          <w:rFonts w:asciiTheme="minorHAnsi" w:hAnsiTheme="minorHAnsi" w:cstheme="minorHAnsi"/>
          <w:lang w:val="fr-FR"/>
        </w:rPr>
        <w:t>intermédiaire de ses partenaires commerciaux, une AMM pour les produits qu</w:t>
      </w:r>
      <w:r w:rsidR="004572A0" w:rsidRPr="00C73365">
        <w:rPr>
          <w:rFonts w:asciiTheme="minorHAnsi" w:hAnsiTheme="minorHAnsi" w:cstheme="minorHAnsi"/>
          <w:lang w:val="fr-FR"/>
        </w:rPr>
        <w:t>’</w:t>
      </w:r>
      <w:r w:rsidRPr="00C73365">
        <w:rPr>
          <w:rFonts w:asciiTheme="minorHAnsi" w:hAnsiTheme="minorHAnsi" w:cstheme="minorHAnsi"/>
          <w:lang w:val="fr-FR"/>
        </w:rPr>
        <w:t>elle développe. L’obtention d’une AMM dans un pays donné ou une zone géographique donnée ne conduit pas systématiquement ni immédiatement à l’obtention d’AMM dans d’autres pays.</w:t>
      </w:r>
    </w:p>
    <w:p w14:paraId="7138AC4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Pour obtenir l</w:t>
      </w:r>
      <w:r w:rsidR="004572A0" w:rsidRPr="00C73365">
        <w:rPr>
          <w:rFonts w:asciiTheme="minorHAnsi" w:hAnsiTheme="minorHAnsi" w:cstheme="minorHAnsi"/>
          <w:lang w:val="fr-FR"/>
        </w:rPr>
        <w:t>’</w:t>
      </w:r>
      <w:r w:rsidRPr="00C73365">
        <w:rPr>
          <w:rFonts w:asciiTheme="minorHAnsi" w:hAnsiTheme="minorHAnsi" w:cstheme="minorHAnsi"/>
          <w:lang w:val="fr-FR"/>
        </w:rPr>
        <w:t>AMM d</w:t>
      </w:r>
      <w:r w:rsidR="004572A0" w:rsidRPr="00C73365">
        <w:rPr>
          <w:rFonts w:asciiTheme="minorHAnsi" w:hAnsiTheme="minorHAnsi" w:cstheme="minorHAnsi"/>
          <w:lang w:val="fr-FR"/>
        </w:rPr>
        <w:t>’</w:t>
      </w:r>
      <w:r w:rsidRPr="00C73365">
        <w:rPr>
          <w:rFonts w:asciiTheme="minorHAnsi" w:hAnsiTheme="minorHAnsi" w:cstheme="minorHAnsi"/>
          <w:lang w:val="fr-FR"/>
        </w:rPr>
        <w:t>un produit de la Société, la Société et/ou le partenaire retenu pour le produit concerné pourrait être amené à réaliser des essais précliniques sur l</w:t>
      </w:r>
      <w:r w:rsidR="004572A0" w:rsidRPr="00C73365">
        <w:rPr>
          <w:rFonts w:asciiTheme="minorHAnsi" w:hAnsiTheme="minorHAnsi" w:cstheme="minorHAnsi"/>
          <w:lang w:val="fr-FR"/>
        </w:rPr>
        <w:t>’</w:t>
      </w:r>
      <w:r w:rsidRPr="00C73365">
        <w:rPr>
          <w:rFonts w:asciiTheme="minorHAnsi" w:hAnsiTheme="minorHAnsi" w:cstheme="minorHAnsi"/>
          <w:lang w:val="fr-FR"/>
        </w:rPr>
        <w:t>animal et des essais cliniques complets sur l</w:t>
      </w:r>
      <w:r w:rsidR="004572A0" w:rsidRPr="00C73365">
        <w:rPr>
          <w:rFonts w:asciiTheme="minorHAnsi" w:hAnsiTheme="minorHAnsi" w:cstheme="minorHAnsi"/>
          <w:lang w:val="fr-FR"/>
        </w:rPr>
        <w:t>’</w:t>
      </w:r>
      <w:r w:rsidRPr="00C73365">
        <w:rPr>
          <w:rFonts w:asciiTheme="minorHAnsi" w:hAnsiTheme="minorHAnsi" w:cstheme="minorHAnsi"/>
          <w:lang w:val="fr-FR"/>
        </w:rPr>
        <w:t>homme afin de démontrer la sécurité et l</w:t>
      </w:r>
      <w:r w:rsidR="004572A0" w:rsidRPr="00C73365">
        <w:rPr>
          <w:rFonts w:asciiTheme="minorHAnsi" w:hAnsiTheme="minorHAnsi" w:cstheme="minorHAnsi"/>
          <w:lang w:val="fr-FR"/>
        </w:rPr>
        <w:t>’</w:t>
      </w:r>
      <w:r w:rsidRPr="00C73365">
        <w:rPr>
          <w:rFonts w:asciiTheme="minorHAnsi" w:hAnsiTheme="minorHAnsi" w:cstheme="minorHAnsi"/>
          <w:lang w:val="fr-FR"/>
        </w:rPr>
        <w:t>efficacité du produit. Dans le cas où des patients viendraient à être exposés à des risques imprévus et graves, la Société, le partenaire concerné ou les autorités réglementaires pourraient choisir de suspendre ou de mettre fin à ces essais cliniques.</w:t>
      </w:r>
    </w:p>
    <w:p w14:paraId="2636CFDB"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maintien ou l’obtention d’un certificat de Bonnes Pratiques de Fabrication ou « </w:t>
      </w:r>
      <w:r w:rsidRPr="00C73365">
        <w:rPr>
          <w:rFonts w:asciiTheme="minorHAnsi" w:hAnsiTheme="minorHAnsi" w:cstheme="minorHAnsi"/>
          <w:i/>
          <w:lang w:val="fr-FR"/>
        </w:rPr>
        <w:t>Good Manufacturing Practices</w:t>
      </w:r>
      <w:r w:rsidRPr="00C73365">
        <w:rPr>
          <w:rFonts w:asciiTheme="minorHAnsi" w:hAnsiTheme="minorHAnsi" w:cstheme="minorHAnsi"/>
          <w:lang w:val="fr-FR"/>
        </w:rPr>
        <w:t xml:space="preserve"> » (« GMP ») par la Société et/ou ses futurs partenaires pourrai</w:t>
      </w:r>
      <w:r w:rsidR="00370D90" w:rsidRPr="00C73365">
        <w:rPr>
          <w:rFonts w:asciiTheme="minorHAnsi" w:hAnsiTheme="minorHAnsi" w:cstheme="minorHAnsi"/>
          <w:lang w:val="fr-FR"/>
        </w:rPr>
        <w:t>en</w:t>
      </w:r>
      <w:r w:rsidRPr="00C73365">
        <w:rPr>
          <w:rFonts w:asciiTheme="minorHAnsi" w:hAnsiTheme="minorHAnsi" w:cstheme="minorHAnsi"/>
          <w:lang w:val="fr-FR"/>
        </w:rPr>
        <w:t xml:space="preserve">t s’avérer nécessaire à la fabrication des immunothérapies ou antiviraux que la Société développe (à des fins d’essais cliniques ou dans la phase de commercialisation). La Société ne peut garantir qu’elle-même et/ou ses partenaires obtiendront ou parviendront à maintenir ce certificat, ni que certaines contraintes supplémentaires liées à ce certificat ne leur seront pas imposées à l’avenir. </w:t>
      </w:r>
    </w:p>
    <w:p w14:paraId="1FD0BBEF"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 défaut d’obtention d’AMM et/ou de certificat GMP, les produits concernés ne pourront être fabriqués ou commercialisés par la Société et/ou ses partenaires. En outre, un produit pourrait ne pas obtenir une AMM ou un certificat GMP sur une zone géographique donnée, ce qui pourrait en restreindre significativement la commercialisation. Enfin, bien que régulièrement obtenu, une AMM ou un certificat GMP peut être suspendu, notamment en cas de non-respect des règles de fabrication ou de découverte d’un effet indésirable. </w:t>
      </w:r>
    </w:p>
    <w:p w14:paraId="25C67C3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réalisation de l’un ou de plusieurs de ces événements auraient un effet défavorable significatif sur l’activité, les perspectives, la situation financière, les résultats et le développement de la Société.</w:t>
      </w:r>
    </w:p>
    <w:p w14:paraId="4A983341"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 Société dispose d’une expérience limitée dans la vente, le marketing et la distribution</w:t>
      </w:r>
    </w:p>
    <w:p w14:paraId="4BF3265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manque d’expérience dans les domaines de la vente, du marketing et de la distribution. Elle doit développer sa propre capacité de marketing et de vente, soit seule, soit avec des partenaires, une fois les AMM obtenues.</w:t>
      </w:r>
    </w:p>
    <w:p w14:paraId="4A11EC3C" w14:textId="77777777" w:rsidR="00610453"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Dans le cadre de la mise en place de son infrastructure de vente et de marketing, elle aura besoin d’engager des dépenses supplémentaires, de mobiliser des ressources de gestion, de mettre en œuvre de nouvelles compétences et de prendre le temps nécessaire pour mettre en place l’organisation et la structure appropriées pour supporter les produits, conformément à la législation en vigueur et, plus généralement, optimiser les efforts de commercialisation.</w:t>
      </w:r>
    </w:p>
    <w:p w14:paraId="2CA08879" w14:textId="77777777" w:rsidR="00F46C7B" w:rsidRPr="00E66FAB" w:rsidRDefault="00F46C7B" w:rsidP="00A96CCA">
      <w:pPr>
        <w:pStyle w:val="ConmainL2"/>
        <w:numPr>
          <w:ilvl w:val="1"/>
          <w:numId w:val="9"/>
        </w:numPr>
        <w:spacing w:after="120"/>
        <w:rPr>
          <w:rFonts w:asciiTheme="minorHAnsi" w:hAnsiTheme="minorHAnsi" w:cstheme="minorHAnsi"/>
          <w:sz w:val="22"/>
          <w:szCs w:val="22"/>
          <w:lang w:val="fr-FR"/>
        </w:rPr>
      </w:pPr>
      <w:bookmarkStart w:id="33" w:name="_Toc402884120"/>
      <w:bookmarkStart w:id="34" w:name="_Toc462673227"/>
      <w:bookmarkStart w:id="35" w:name="_Toc467835573"/>
      <w:bookmarkStart w:id="36" w:name="_Toc510548398"/>
      <w:r w:rsidRPr="00E66FAB">
        <w:rPr>
          <w:rFonts w:asciiTheme="minorHAnsi" w:hAnsiTheme="minorHAnsi" w:cstheme="minorHAnsi"/>
          <w:sz w:val="22"/>
          <w:szCs w:val="22"/>
          <w:lang w:val="fr-FR"/>
        </w:rPr>
        <w:t>Risques liés à l’organisation de la Société</w:t>
      </w:r>
      <w:bookmarkEnd w:id="33"/>
      <w:bookmarkEnd w:id="34"/>
      <w:bookmarkEnd w:id="35"/>
      <w:bookmarkEnd w:id="36"/>
    </w:p>
    <w:p w14:paraId="25A05928" w14:textId="77777777" w:rsidR="00F46C7B" w:rsidRPr="00C73365" w:rsidRDefault="00F46C7B" w:rsidP="00A96CCA">
      <w:pPr>
        <w:pStyle w:val="ConmainL3"/>
        <w:numPr>
          <w:ilvl w:val="2"/>
          <w:numId w:val="9"/>
        </w:numPr>
        <w:tabs>
          <w:tab w:val="num" w:pos="720"/>
        </w:tabs>
        <w:spacing w:after="120"/>
        <w:ind w:left="1440"/>
        <w:rPr>
          <w:rFonts w:asciiTheme="minorHAnsi" w:hAnsiTheme="minorHAnsi" w:cstheme="minorHAnsi"/>
          <w:b/>
          <w:color w:val="7030A0"/>
          <w:lang w:val="fr-FR"/>
        </w:rPr>
      </w:pPr>
      <w:r w:rsidRPr="00C73365">
        <w:rPr>
          <w:rFonts w:asciiTheme="minorHAnsi" w:hAnsiTheme="minorHAnsi" w:cstheme="minorHAnsi"/>
          <w:b/>
          <w:color w:val="7030A0"/>
          <w:lang w:val="fr-FR"/>
        </w:rPr>
        <w:t>Risques de dépendance vis-à-vis de tiers</w:t>
      </w:r>
    </w:p>
    <w:p w14:paraId="13892D26"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L’approvisionnement en matières premières spécifiques et produits nécessaires à la réalisation des essais cliniques et à la fabrication des produits de la Société n’est pas garanti</w:t>
      </w:r>
    </w:p>
    <w:p w14:paraId="1095C793"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est dépendante de tiers pour son approvisionnement en divers matériaux, produits chimiques ou biologiques qui sont nécessaires à la production des immunothérapies, d’adjuvants ou d’antiviraux expérimentaux destinés à la réalisation de ses essais cliniques et, à terme, des immunothérapies, adjuvants ou antiviraux développés par la Société. </w:t>
      </w:r>
    </w:p>
    <w:p w14:paraId="5D1611C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L’approvisionnement de la Société en l’un quelconque de ces matériaux et produits pourrait être réduit ou interrompu. Dans un tel cas, la Société pourrait ne pas être capable de trouver d’autres fournisseurs de matériaux ou produits chimiques ou biologiques de qualité et à un coût acceptable et dans des volumes appropriés. Si un fournisseur ou fabricant lui faisait défaut ou si son approvisionnement en produits et matériaux était réduit ou interrompu, la Société pourrait ne pas être capable de continuer à développer, faire produire, puis faire commercialiser ses produits à temps et de manière compétitive. De plus, les matériaux et produits de la Société sont soumis à des exigences de fabrication strictes et à des tests rigoureux. Des retards de fabrication de ces matériaux et produits chez les fournisseurs de la </w:t>
      </w:r>
      <w:r w:rsidRPr="00C73365">
        <w:rPr>
          <w:rFonts w:asciiTheme="minorHAnsi" w:hAnsiTheme="minorHAnsi" w:cstheme="minorHAnsi"/>
          <w:lang w:val="fr-FR"/>
        </w:rPr>
        <w:lastRenderedPageBreak/>
        <w:t xml:space="preserve">Société pourraient affecter sa capacité à terminer des essais cliniques et à faire commercialiser ses produits de manière rentable et dans des délais raisonnables. </w:t>
      </w:r>
    </w:p>
    <w:p w14:paraId="32B565D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Si la Société rencontrait des difficultés dans l’approvisionnement de ces matériaux, produits chimiques ou biologiques, si elle n’était pas en mesure de maintenir ses accords d’approvisionnement en vigueur ou de nouer de nouveaux accords pour développer et faire fabriquer ses produits dans le futur, son activité, ses perspectives, sa situation financière, ses résultats et son développement pourraient en être significativement affectés.</w:t>
      </w:r>
    </w:p>
    <w:p w14:paraId="74110C26"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 Société pourrait se retrouver en situation de dépendance vis-à-vis de ses sous-traitants</w:t>
      </w:r>
    </w:p>
    <w:p w14:paraId="4D0BF13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Dans le cadre de son développement, la Société a recours à des sous-traitants notamment pour la fabrication de lots de produits finis ou semi-finis destinés aux études précliniques et aux essais cliniques.</w:t>
      </w:r>
    </w:p>
    <w:p w14:paraId="5E32662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Par ailleurs, dans la mesure où elle ne dispose pas, à ce stade de son développement, des ressources humaines et expertises suffisantes pour assurer la réalisation de l’intégralité des essais précliniques réglementaires et cliniques indispensables au développement des vaccins, adjuvants ou antiviraux conçus par la Société, ceux-ci sont confiés à des établissements de soins spécialisés par l’intermédiaire d’entreprises spécialisées dans la gestion des essais cliniques (CRO – Clinical Research Organization) et dans la fourniture de prestations connexes, telles que Eurofins, Delpharm, PCAS, Citoxlab, Simbec Orion</w:t>
      </w:r>
      <w:r w:rsidR="00497FE0" w:rsidRPr="00C73365">
        <w:rPr>
          <w:rFonts w:asciiTheme="minorHAnsi" w:hAnsiTheme="minorHAnsi" w:cstheme="minorHAnsi"/>
          <w:lang w:val="fr-FR"/>
        </w:rPr>
        <w:t xml:space="preserve"> ou ExpreS2ion</w:t>
      </w:r>
      <w:r w:rsidR="000161A1" w:rsidRPr="00C73365">
        <w:rPr>
          <w:rFonts w:asciiTheme="minorHAnsi" w:hAnsiTheme="minorHAnsi" w:cstheme="minorHAnsi"/>
          <w:lang w:val="fr-FR"/>
        </w:rPr>
        <w:t>, Acobiom, Histalim</w:t>
      </w:r>
      <w:r w:rsidRPr="00C73365">
        <w:rPr>
          <w:rFonts w:asciiTheme="minorHAnsi" w:hAnsiTheme="minorHAnsi" w:cstheme="minorHAnsi"/>
          <w:lang w:val="fr-FR"/>
        </w:rPr>
        <w:t>. L’externalisation des essais cliniques engendre des risques et coûts liés à la sélection de ces établissements. Des difficultés opérationnelles pourraient également survenir, en raison notamment de l’éloignement ou de la dispersion géographique des centres d’études cliniques.</w:t>
      </w:r>
    </w:p>
    <w:p w14:paraId="4E85104D"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Toute défaillance de la part de ces sous-traitants pourrait avoir des conséquences sur le calendrier, voire la poursuite des études cliniques sur les candidats-médicaments ABX464 principalement et à terme sur ABX196</w:t>
      </w:r>
      <w:r w:rsidR="00A3483A" w:rsidRPr="00C73365">
        <w:rPr>
          <w:rFonts w:asciiTheme="minorHAnsi" w:hAnsiTheme="minorHAnsi" w:cstheme="minorHAnsi"/>
          <w:lang w:val="fr-FR"/>
        </w:rPr>
        <w:t xml:space="preserve"> et </w:t>
      </w:r>
      <w:r w:rsidRPr="00C73365">
        <w:rPr>
          <w:rFonts w:asciiTheme="minorHAnsi" w:hAnsiTheme="minorHAnsi" w:cstheme="minorHAnsi"/>
          <w:lang w:val="fr-FR"/>
        </w:rPr>
        <w:t xml:space="preserve">ABX544, ainsi que sur la qualité des données qui doit répondre à des normes strictes (Bonnes Pratiques Cliniques, Bonnes Pratiques de Fabrication ou l’« ICH Harmonised Tripartite Guideline for Good Clinical Practice ») imposées par les autorités de tutelle, et donc retarder la commercialisation des produits. </w:t>
      </w:r>
    </w:p>
    <w:p w14:paraId="61CF2DA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Par ailleurs, la Société ne peut garantir que le montant des dommages éventuels liés aux recherches cliniques des produits qu’elle développe ne seront pas supérieurs au plafond d’indemnisation prévus aux contrats conclus avec les CRO.</w:t>
      </w:r>
    </w:p>
    <w:p w14:paraId="6417CED6" w14:textId="77777777" w:rsidR="00610453"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De tels événements auraient un effet défavorable significatif sur l’activité, les perspectives, la situation financière, les résultats et le développement de la Société.</w:t>
      </w:r>
    </w:p>
    <w:p w14:paraId="0066E028" w14:textId="77777777" w:rsidR="00F46C7B" w:rsidRPr="00C73365" w:rsidRDefault="00F46C7B" w:rsidP="00A96CCA">
      <w:pPr>
        <w:pStyle w:val="ConmainL3"/>
        <w:keepNext w:val="0"/>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La Société pourrait perdre des collaborateurs clés et ne pas être en mesure d’attirer de nouvelles personnes qualifiées</w:t>
      </w:r>
    </w:p>
    <w:p w14:paraId="05B20E0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s</w:t>
      </w:r>
      <w:r w:rsidR="00370D90" w:rsidRPr="00C73365">
        <w:rPr>
          <w:rFonts w:asciiTheme="minorHAnsi" w:hAnsiTheme="minorHAnsi" w:cstheme="minorHAnsi"/>
          <w:lang w:val="fr-FR"/>
        </w:rPr>
        <w:t>u</w:t>
      </w:r>
      <w:r w:rsidR="00C056BB">
        <w:rPr>
          <w:rFonts w:asciiTheme="minorHAnsi" w:hAnsiTheme="minorHAnsi" w:cstheme="minorHAnsi"/>
          <w:lang w:val="fr-FR"/>
        </w:rPr>
        <w:t>c</w:t>
      </w:r>
      <w:r w:rsidRPr="00C73365">
        <w:rPr>
          <w:rFonts w:asciiTheme="minorHAnsi" w:hAnsiTheme="minorHAnsi" w:cstheme="minorHAnsi"/>
          <w:lang w:val="fr-FR"/>
        </w:rPr>
        <w:t>cès de la Société dépend largement de l</w:t>
      </w:r>
      <w:r w:rsidR="004572A0" w:rsidRPr="00C73365">
        <w:rPr>
          <w:rFonts w:asciiTheme="minorHAnsi" w:hAnsiTheme="minorHAnsi" w:cstheme="minorHAnsi"/>
          <w:lang w:val="fr-FR"/>
        </w:rPr>
        <w:t>’</w:t>
      </w:r>
      <w:r w:rsidRPr="00C73365">
        <w:rPr>
          <w:rFonts w:asciiTheme="minorHAnsi" w:hAnsiTheme="minorHAnsi" w:cstheme="minorHAnsi"/>
          <w:lang w:val="fr-FR"/>
        </w:rPr>
        <w:t>implication et de l</w:t>
      </w:r>
      <w:r w:rsidR="004572A0" w:rsidRPr="00C73365">
        <w:rPr>
          <w:rFonts w:asciiTheme="minorHAnsi" w:hAnsiTheme="minorHAnsi" w:cstheme="minorHAnsi"/>
          <w:lang w:val="fr-FR"/>
        </w:rPr>
        <w:t>’</w:t>
      </w:r>
      <w:r w:rsidRPr="00C73365">
        <w:rPr>
          <w:rFonts w:asciiTheme="minorHAnsi" w:hAnsiTheme="minorHAnsi" w:cstheme="minorHAnsi"/>
          <w:lang w:val="fr-FR"/>
        </w:rPr>
        <w:t>expertise de ses dirigeants et de son personnel scientifique qualifié. La Société n’a conclu à ce jour aucune assurance dite « homme clef » (police d’assurance invalidité permanente/décès). L’indisponibilité momentanée ou définitive de ces personnes pourrait entraîner</w:t>
      </w:r>
      <w:r w:rsidR="00370D90" w:rsidRPr="00C73365">
        <w:rPr>
          <w:rFonts w:asciiTheme="minorHAnsi" w:hAnsiTheme="minorHAnsi" w:cstheme="minorHAnsi"/>
          <w:lang w:val="fr-FR"/>
        </w:rPr>
        <w:t xml:space="preserve"> </w:t>
      </w:r>
      <w:r w:rsidRPr="00C73365">
        <w:rPr>
          <w:rFonts w:asciiTheme="minorHAnsi" w:hAnsiTheme="minorHAnsi" w:cstheme="minorHAnsi"/>
          <w:lang w:val="fr-FR"/>
        </w:rPr>
        <w:t>:</w:t>
      </w:r>
    </w:p>
    <w:p w14:paraId="1AD14F42" w14:textId="77777777" w:rsidR="00F46C7B" w:rsidRPr="00E66FAB" w:rsidRDefault="00F46C7B" w:rsidP="00434C49">
      <w:pPr>
        <w:pStyle w:val="Listepuces2"/>
        <w:numPr>
          <w:ilvl w:val="0"/>
          <w:numId w:val="58"/>
        </w:numPr>
        <w:rPr>
          <w:rFonts w:asciiTheme="minorHAnsi" w:hAnsiTheme="minorHAnsi" w:cstheme="minorHAnsi"/>
          <w:lang w:val="fr-FR"/>
        </w:rPr>
      </w:pPr>
      <w:r w:rsidRPr="00E66FAB">
        <w:rPr>
          <w:rFonts w:asciiTheme="minorHAnsi" w:hAnsiTheme="minorHAnsi" w:cstheme="minorHAnsi"/>
          <w:lang w:val="fr-FR"/>
        </w:rPr>
        <w:t>des pertes de savoir-faire et la fragilisation de certaines activités, d</w:t>
      </w:r>
      <w:r w:rsidR="004572A0" w:rsidRPr="00E66FAB">
        <w:rPr>
          <w:rFonts w:asciiTheme="minorHAnsi" w:hAnsiTheme="minorHAnsi" w:cstheme="minorHAnsi"/>
          <w:lang w:val="fr-FR"/>
        </w:rPr>
        <w:t>’</w:t>
      </w:r>
      <w:r w:rsidRPr="00E66FAB">
        <w:rPr>
          <w:rFonts w:asciiTheme="minorHAnsi" w:hAnsiTheme="minorHAnsi" w:cstheme="minorHAnsi"/>
          <w:lang w:val="fr-FR"/>
        </w:rPr>
        <w:t>autant plus forte en cas de transfert à la concurrence, ou</w:t>
      </w:r>
    </w:p>
    <w:p w14:paraId="6ADA4C9C" w14:textId="77777777" w:rsidR="00F46C7B" w:rsidRPr="00E66FAB" w:rsidRDefault="00F46C7B" w:rsidP="00434C49">
      <w:pPr>
        <w:pStyle w:val="Listepuces2"/>
        <w:numPr>
          <w:ilvl w:val="0"/>
          <w:numId w:val="58"/>
        </w:numPr>
        <w:rPr>
          <w:rFonts w:asciiTheme="minorHAnsi" w:hAnsiTheme="minorHAnsi" w:cstheme="minorHAnsi"/>
          <w:lang w:val="fr-FR"/>
        </w:rPr>
      </w:pPr>
      <w:r w:rsidRPr="00E66FAB">
        <w:rPr>
          <w:rFonts w:asciiTheme="minorHAnsi" w:hAnsiTheme="minorHAnsi" w:cstheme="minorHAnsi"/>
          <w:lang w:val="fr-FR"/>
        </w:rPr>
        <w:t>des carences en termes de compétences techniques pouvant ralentir l</w:t>
      </w:r>
      <w:r w:rsidR="004572A0" w:rsidRPr="00E66FAB">
        <w:rPr>
          <w:rFonts w:asciiTheme="minorHAnsi" w:hAnsiTheme="minorHAnsi" w:cstheme="minorHAnsi"/>
          <w:lang w:val="fr-FR"/>
        </w:rPr>
        <w:t>’</w:t>
      </w:r>
      <w:r w:rsidRPr="00E66FAB">
        <w:rPr>
          <w:rFonts w:asciiTheme="minorHAnsi" w:hAnsiTheme="minorHAnsi" w:cstheme="minorHAnsi"/>
          <w:lang w:val="fr-FR"/>
        </w:rPr>
        <w:t>activité et pouvant altérer, à terme, la capacité de la Société à atteindre ses objectifs.</w:t>
      </w:r>
    </w:p>
    <w:p w14:paraId="53B9E815"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aura par ailleurs besoin dans le futur de recruter de nouveaux cadres dirigeants et du personnel scientifique qualifié pour le développement de ses activités et au fur et à mesure que la Société s’étendra dans les domaines qui nécessiteront un surcroît de compétences, telles que le marketing ou la commercialisation. Elle est en concurrence avec d</w:t>
      </w:r>
      <w:r w:rsidR="004572A0" w:rsidRPr="00C73365">
        <w:rPr>
          <w:rFonts w:asciiTheme="minorHAnsi" w:hAnsiTheme="minorHAnsi" w:cstheme="minorHAnsi"/>
          <w:lang w:val="fr-FR"/>
        </w:rPr>
        <w:t>’</w:t>
      </w:r>
      <w:r w:rsidRPr="00C73365">
        <w:rPr>
          <w:rFonts w:asciiTheme="minorHAnsi" w:hAnsiTheme="minorHAnsi" w:cstheme="minorHAnsi"/>
          <w:lang w:val="fr-FR"/>
        </w:rPr>
        <w:t>autres sociétés, organismes de recherche et institutions académiques notamment pour recruter et fidéliser les personnels scientifiques, techniques et de gestion</w:t>
      </w:r>
      <w:r w:rsidR="00370D90" w:rsidRPr="00C73365">
        <w:rPr>
          <w:rFonts w:asciiTheme="minorHAnsi" w:hAnsiTheme="minorHAnsi" w:cstheme="minorHAnsi"/>
          <w:lang w:val="fr-FR"/>
        </w:rPr>
        <w:t>,</w:t>
      </w:r>
      <w:r w:rsidRPr="00C73365">
        <w:rPr>
          <w:rFonts w:asciiTheme="minorHAnsi" w:hAnsiTheme="minorHAnsi" w:cstheme="minorHAnsi"/>
          <w:lang w:val="fr-FR"/>
        </w:rPr>
        <w:t xml:space="preserve"> hautement qualifiés. Dans la mesure où cette concurrence est intense, la Société pourrait ne pas être en mesure d</w:t>
      </w:r>
      <w:r w:rsidR="004572A0" w:rsidRPr="00C73365">
        <w:rPr>
          <w:rFonts w:asciiTheme="minorHAnsi" w:hAnsiTheme="minorHAnsi" w:cstheme="minorHAnsi"/>
          <w:lang w:val="fr-FR"/>
        </w:rPr>
        <w:t>’</w:t>
      </w:r>
      <w:r w:rsidRPr="00C73365">
        <w:rPr>
          <w:rFonts w:asciiTheme="minorHAnsi" w:hAnsiTheme="minorHAnsi" w:cstheme="minorHAnsi"/>
          <w:lang w:val="fr-FR"/>
        </w:rPr>
        <w:t>attirer ou de retenir ces personnels clés à des conditions qui soient acceptables d</w:t>
      </w:r>
      <w:r w:rsidR="004572A0" w:rsidRPr="00C73365">
        <w:rPr>
          <w:rFonts w:asciiTheme="minorHAnsi" w:hAnsiTheme="minorHAnsi" w:cstheme="minorHAnsi"/>
          <w:lang w:val="fr-FR"/>
        </w:rPr>
        <w:t>’</w:t>
      </w:r>
      <w:r w:rsidRPr="00C73365">
        <w:rPr>
          <w:rFonts w:asciiTheme="minorHAnsi" w:hAnsiTheme="minorHAnsi" w:cstheme="minorHAnsi"/>
          <w:lang w:val="fr-FR"/>
        </w:rPr>
        <w:t>un point de vue économique.</w:t>
      </w:r>
    </w:p>
    <w:p w14:paraId="1E0942F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incapacité de la Société à attirer et retenir ces personnes clés pourrait l</w:t>
      </w:r>
      <w:r w:rsidR="004572A0" w:rsidRPr="00C73365">
        <w:rPr>
          <w:rFonts w:asciiTheme="minorHAnsi" w:hAnsiTheme="minorHAnsi" w:cstheme="minorHAnsi"/>
          <w:lang w:val="fr-FR"/>
        </w:rPr>
        <w:t>’</w:t>
      </w:r>
      <w:r w:rsidRPr="00C73365">
        <w:rPr>
          <w:rFonts w:asciiTheme="minorHAnsi" w:hAnsiTheme="minorHAnsi" w:cstheme="minorHAnsi"/>
          <w:lang w:val="fr-FR"/>
        </w:rPr>
        <w:t>empêcher globalement d</w:t>
      </w:r>
      <w:r w:rsidR="004572A0" w:rsidRPr="00C73365">
        <w:rPr>
          <w:rFonts w:asciiTheme="minorHAnsi" w:hAnsiTheme="minorHAnsi" w:cstheme="minorHAnsi"/>
          <w:lang w:val="fr-FR"/>
        </w:rPr>
        <w:t>’</w:t>
      </w:r>
      <w:r w:rsidRPr="00C73365">
        <w:rPr>
          <w:rFonts w:asciiTheme="minorHAnsi" w:hAnsiTheme="minorHAnsi" w:cstheme="minorHAnsi"/>
          <w:lang w:val="fr-FR"/>
        </w:rPr>
        <w:t>atteindre ses objectifs et ainsi avoir un effet défavorable significatif sur son activité, ses résultats, sa situation financière, son développement et ses perspectives.</w:t>
      </w:r>
    </w:p>
    <w:p w14:paraId="645B2006"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 gestion de la croissance de la Société</w:t>
      </w:r>
    </w:p>
    <w:p w14:paraId="16E870A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Dans le cadre de sa stratégie de développement, la Société va devoir recruter du personnel supplémentaire et développer ses capacités opérationnelles, ce qui pourrait fortement mobiliser ses ressources internes.</w:t>
      </w:r>
    </w:p>
    <w:p w14:paraId="6E3694C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A cet effet, la Société devra notamment :</w:t>
      </w:r>
    </w:p>
    <w:p w14:paraId="3EF67587" w14:textId="77777777" w:rsidR="00F46C7B" w:rsidRPr="00E66FAB" w:rsidRDefault="00F46C7B" w:rsidP="00434C49">
      <w:pPr>
        <w:pStyle w:val="Listepuces2"/>
        <w:numPr>
          <w:ilvl w:val="0"/>
          <w:numId w:val="59"/>
        </w:numPr>
        <w:rPr>
          <w:rFonts w:asciiTheme="minorHAnsi" w:hAnsiTheme="minorHAnsi" w:cstheme="minorHAnsi"/>
          <w:lang w:val="fr-FR"/>
        </w:rPr>
      </w:pPr>
      <w:r w:rsidRPr="00E66FAB">
        <w:rPr>
          <w:rFonts w:asciiTheme="minorHAnsi" w:hAnsiTheme="minorHAnsi" w:cstheme="minorHAnsi"/>
          <w:lang w:val="fr-FR"/>
        </w:rPr>
        <w:t>former, gérer, motiver et retenir un nombre d</w:t>
      </w:r>
      <w:r w:rsidR="004572A0" w:rsidRPr="00E66FAB">
        <w:rPr>
          <w:rFonts w:asciiTheme="minorHAnsi" w:hAnsiTheme="minorHAnsi" w:cstheme="minorHAnsi"/>
          <w:lang w:val="fr-FR"/>
        </w:rPr>
        <w:t>’</w:t>
      </w:r>
      <w:r w:rsidRPr="00E66FAB">
        <w:rPr>
          <w:rFonts w:asciiTheme="minorHAnsi" w:hAnsiTheme="minorHAnsi" w:cstheme="minorHAnsi"/>
          <w:lang w:val="fr-FR"/>
        </w:rPr>
        <w:t>employés croissant ;</w:t>
      </w:r>
    </w:p>
    <w:p w14:paraId="100790CA" w14:textId="77777777" w:rsidR="00F46C7B" w:rsidRPr="00E66FAB" w:rsidRDefault="00F46C7B" w:rsidP="00434C49">
      <w:pPr>
        <w:pStyle w:val="Listepuces2"/>
        <w:numPr>
          <w:ilvl w:val="0"/>
          <w:numId w:val="59"/>
        </w:numPr>
        <w:rPr>
          <w:rFonts w:asciiTheme="minorHAnsi" w:hAnsiTheme="minorHAnsi" w:cstheme="minorHAnsi"/>
          <w:lang w:val="fr-FR"/>
        </w:rPr>
      </w:pPr>
      <w:r w:rsidRPr="00E66FAB">
        <w:rPr>
          <w:rFonts w:asciiTheme="minorHAnsi" w:hAnsiTheme="minorHAnsi" w:cstheme="minorHAnsi"/>
          <w:lang w:val="fr-FR"/>
        </w:rPr>
        <w:t>anticiper les dépenses liées à cette croissance et les besoins de financement associés ;</w:t>
      </w:r>
    </w:p>
    <w:p w14:paraId="0D4A5992" w14:textId="77777777" w:rsidR="00F46C7B" w:rsidRPr="00E66FAB" w:rsidRDefault="00F46C7B" w:rsidP="00434C49">
      <w:pPr>
        <w:pStyle w:val="Listepuces2"/>
        <w:numPr>
          <w:ilvl w:val="0"/>
          <w:numId w:val="59"/>
        </w:numPr>
        <w:rPr>
          <w:rFonts w:asciiTheme="minorHAnsi" w:hAnsiTheme="minorHAnsi" w:cstheme="minorHAnsi"/>
          <w:lang w:val="fr-FR"/>
        </w:rPr>
      </w:pPr>
      <w:r w:rsidRPr="00E66FAB">
        <w:rPr>
          <w:rFonts w:asciiTheme="minorHAnsi" w:hAnsiTheme="minorHAnsi" w:cstheme="minorHAnsi"/>
          <w:lang w:val="fr-FR"/>
        </w:rPr>
        <w:t xml:space="preserve">gérer la sous-traitance de la production de ses médicaments développés ; </w:t>
      </w:r>
    </w:p>
    <w:p w14:paraId="785AF4C0" w14:textId="77777777" w:rsidR="00F46C7B" w:rsidRPr="00E66FAB" w:rsidRDefault="00F46C7B" w:rsidP="00434C49">
      <w:pPr>
        <w:pStyle w:val="Listepuces2"/>
        <w:numPr>
          <w:ilvl w:val="0"/>
          <w:numId w:val="59"/>
        </w:numPr>
        <w:rPr>
          <w:rFonts w:asciiTheme="minorHAnsi" w:hAnsiTheme="minorHAnsi" w:cstheme="minorHAnsi"/>
          <w:lang w:val="fr-FR"/>
        </w:rPr>
      </w:pPr>
      <w:r w:rsidRPr="00E66FAB">
        <w:rPr>
          <w:rFonts w:asciiTheme="minorHAnsi" w:hAnsiTheme="minorHAnsi" w:cstheme="minorHAnsi"/>
          <w:lang w:val="fr-FR"/>
        </w:rPr>
        <w:t xml:space="preserve">gérer des accords de partenariats avec les partenaires industriels de la Société en charge de poursuivre le développement clinique et la commercialisation des produits de la Société ; </w:t>
      </w:r>
    </w:p>
    <w:p w14:paraId="546C6B3A" w14:textId="77777777" w:rsidR="00F46C7B" w:rsidRPr="00E66FAB" w:rsidRDefault="00F46C7B" w:rsidP="00434C49">
      <w:pPr>
        <w:pStyle w:val="Listepuces2"/>
        <w:numPr>
          <w:ilvl w:val="0"/>
          <w:numId w:val="59"/>
        </w:numPr>
        <w:rPr>
          <w:rFonts w:asciiTheme="minorHAnsi" w:hAnsiTheme="minorHAnsi" w:cstheme="minorHAnsi"/>
          <w:lang w:val="fr-FR"/>
        </w:rPr>
      </w:pPr>
      <w:r w:rsidRPr="00E66FAB">
        <w:rPr>
          <w:rFonts w:asciiTheme="minorHAnsi" w:hAnsiTheme="minorHAnsi" w:cstheme="minorHAnsi"/>
          <w:lang w:val="fr-FR"/>
        </w:rPr>
        <w:t>anticiper la demande pour ses produits et les revenus qu</w:t>
      </w:r>
      <w:r w:rsidR="004572A0" w:rsidRPr="00E66FAB">
        <w:rPr>
          <w:rFonts w:asciiTheme="minorHAnsi" w:hAnsiTheme="minorHAnsi" w:cstheme="minorHAnsi"/>
          <w:lang w:val="fr-FR"/>
        </w:rPr>
        <w:t>’</w:t>
      </w:r>
      <w:r w:rsidRPr="00E66FAB">
        <w:rPr>
          <w:rFonts w:asciiTheme="minorHAnsi" w:hAnsiTheme="minorHAnsi" w:cstheme="minorHAnsi"/>
          <w:lang w:val="fr-FR"/>
        </w:rPr>
        <w:t>ils sont susceptibles de générer ; et</w:t>
      </w:r>
    </w:p>
    <w:p w14:paraId="5E5A651D" w14:textId="77777777" w:rsidR="00F46C7B" w:rsidRPr="00E66FAB" w:rsidRDefault="00F46C7B" w:rsidP="00434C49">
      <w:pPr>
        <w:pStyle w:val="Listepuces2"/>
        <w:numPr>
          <w:ilvl w:val="0"/>
          <w:numId w:val="59"/>
        </w:numPr>
        <w:rPr>
          <w:rFonts w:asciiTheme="minorHAnsi" w:hAnsiTheme="minorHAnsi" w:cstheme="minorHAnsi"/>
          <w:lang w:val="fr-FR"/>
        </w:rPr>
      </w:pPr>
      <w:r w:rsidRPr="00E66FAB">
        <w:rPr>
          <w:rFonts w:asciiTheme="minorHAnsi" w:hAnsiTheme="minorHAnsi" w:cstheme="minorHAnsi"/>
          <w:lang w:val="fr-FR"/>
        </w:rPr>
        <w:t>augmenter la capacité de ses systèmes informatiques opérationnels, financiers et de gestion existants.</w:t>
      </w:r>
    </w:p>
    <w:p w14:paraId="4CE5E99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Pour faire face à la demande dans le délai convenu avec ses futurs partenaires, la Société pourrait avoir besoin de conclure de nouveaux contrats de sous-traitance.</w:t>
      </w:r>
    </w:p>
    <w:p w14:paraId="2B3F40D0"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incapacité de la Société à gérer la croissance, ou des difficultés inattendues rencontrées pendant son expansion, pourrait avoir un effet défavorable significatif sur son activité, ses résultats, sa situation financière, son développement et ses perspectives</w:t>
      </w:r>
    </w:p>
    <w:p w14:paraId="34A6482D" w14:textId="77777777"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37" w:name="_Toc402884121"/>
      <w:bookmarkStart w:id="38" w:name="_Toc462673228"/>
      <w:bookmarkStart w:id="39" w:name="_Toc467835574"/>
      <w:bookmarkStart w:id="40" w:name="_Toc510548399"/>
      <w:r w:rsidRPr="00C93577">
        <w:rPr>
          <w:rFonts w:asciiTheme="minorHAnsi" w:hAnsiTheme="minorHAnsi" w:cstheme="minorHAnsi"/>
          <w:sz w:val="22"/>
          <w:szCs w:val="22"/>
          <w:lang w:val="fr-FR"/>
        </w:rPr>
        <w:t>Risques réglementaires et juridiques</w:t>
      </w:r>
      <w:bookmarkEnd w:id="37"/>
      <w:bookmarkEnd w:id="38"/>
      <w:bookmarkEnd w:id="39"/>
      <w:bookmarkEnd w:id="40"/>
    </w:p>
    <w:p w14:paraId="6A2BAD4D"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un cadre réglementaire contraignant et évolutif</w:t>
      </w:r>
    </w:p>
    <w:p w14:paraId="28A463B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Un des enjeux majeurs pour une société de croissance comme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de réussir à développer, seule ou avec l’aide de partenaires, des produits intégrant ses technologies dans le contexte d</w:t>
      </w:r>
      <w:r w:rsidR="004572A0" w:rsidRPr="00C73365">
        <w:rPr>
          <w:rFonts w:asciiTheme="minorHAnsi" w:hAnsiTheme="minorHAnsi" w:cstheme="minorHAnsi"/>
          <w:lang w:val="fr-FR"/>
        </w:rPr>
        <w:t>’</w:t>
      </w:r>
      <w:r w:rsidRPr="00C73365">
        <w:rPr>
          <w:rFonts w:asciiTheme="minorHAnsi" w:hAnsiTheme="minorHAnsi" w:cstheme="minorHAnsi"/>
          <w:lang w:val="fr-FR"/>
        </w:rPr>
        <w:t>un environnement réglementaire de plus en plus contraignant. En effet, l’industrie pharmaceutique est confrontée à une évolution permanente de son environnement légal et réglementaire et à la surveillance accrue de la part des autorités compétentes que sont notamment l’Agence Nationale de Sécurité du Médicament et des produits de santé (« ANSM ») en France, l’European Medicines Agency (« EMA ») en Europe ou la Food and Drug Administration (« FDA ») aux Etats-Unis ou d’autres autorités réglementaires dans le reste du monde. Corrélativement, le public exige davantage de garanties quant à la sécurité et l’efficacité des médicaments.</w:t>
      </w:r>
    </w:p>
    <w:p w14:paraId="4591A61D"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Les autorités de santé encadrent notamment les travaux de recherche et de développement, les études précliniques, les études cliniques, la réglementation des établissements pharmaceutiques, ainsi que la fabrication et la commercialisation des médicaments. Ce renforcement de l</w:t>
      </w:r>
      <w:r w:rsidR="004572A0" w:rsidRPr="00C73365">
        <w:rPr>
          <w:rFonts w:asciiTheme="minorHAnsi" w:hAnsiTheme="minorHAnsi" w:cstheme="minorHAnsi"/>
          <w:lang w:val="fr-FR"/>
        </w:rPr>
        <w:t>’</w:t>
      </w:r>
      <w:r w:rsidRPr="00C73365">
        <w:rPr>
          <w:rFonts w:asciiTheme="minorHAnsi" w:hAnsiTheme="minorHAnsi" w:cstheme="minorHAnsi"/>
          <w:lang w:val="fr-FR"/>
        </w:rPr>
        <w:t>encadrement législatif et réglementaire est commun au monde entier, les exigences variant toutefois d</w:t>
      </w:r>
      <w:r w:rsidR="004572A0" w:rsidRPr="00C73365">
        <w:rPr>
          <w:rFonts w:asciiTheme="minorHAnsi" w:hAnsiTheme="minorHAnsi" w:cstheme="minorHAnsi"/>
          <w:lang w:val="fr-FR"/>
        </w:rPr>
        <w:t>’</w:t>
      </w:r>
      <w:r w:rsidRPr="00C73365">
        <w:rPr>
          <w:rFonts w:asciiTheme="minorHAnsi" w:hAnsiTheme="minorHAnsi" w:cstheme="minorHAnsi"/>
          <w:lang w:val="fr-FR"/>
        </w:rPr>
        <w:t>un pays à l</w:t>
      </w:r>
      <w:r w:rsidR="004572A0" w:rsidRPr="00C73365">
        <w:rPr>
          <w:rFonts w:asciiTheme="minorHAnsi" w:hAnsiTheme="minorHAnsi" w:cstheme="minorHAnsi"/>
          <w:lang w:val="fr-FR"/>
        </w:rPr>
        <w:t>’</w:t>
      </w:r>
      <w:r w:rsidRPr="00C73365">
        <w:rPr>
          <w:rFonts w:asciiTheme="minorHAnsi" w:hAnsiTheme="minorHAnsi" w:cstheme="minorHAnsi"/>
          <w:lang w:val="fr-FR"/>
        </w:rPr>
        <w:t>autre. En particulier, les autorités de santé et notamment l’ANSM, l’EMA ou la FDA ont imposé des exigences de plus en plus lourdes en termes de volume de données demandées afin de démontrer l’efficacité et la sécurité d’un produit. Ces exigences accrues ont ainsi réduit le nombre de produits autorisés par rapport au nombre de dossiers déposés. Les produits commercialisés font en outre l’objet d’une réévaluation régulière du rapport bénéfice/risque après leur autorisation. La découverte tardive de problèmes non décelés au stade de la recherche peut conduire à des restrictions de commercialisation, à la suspension ou au retrait du produit et à un risque de contentieux accru.</w:t>
      </w:r>
    </w:p>
    <w:p w14:paraId="7F9E8970"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Ainsi le processus d</w:t>
      </w:r>
      <w:r w:rsidR="004572A0" w:rsidRPr="00C73365">
        <w:rPr>
          <w:rFonts w:asciiTheme="minorHAnsi" w:hAnsiTheme="minorHAnsi" w:cstheme="minorHAnsi"/>
          <w:lang w:val="fr-FR"/>
        </w:rPr>
        <w:t>’</w:t>
      </w:r>
      <w:r w:rsidRPr="00C73365">
        <w:rPr>
          <w:rFonts w:asciiTheme="minorHAnsi" w:hAnsiTheme="minorHAnsi" w:cstheme="minorHAnsi"/>
          <w:lang w:val="fr-FR"/>
        </w:rPr>
        <w:t>autorisation est dès lors long et coûteux, pouvant prendre plusieurs années, avec un résultat restant imprévisible.</w:t>
      </w:r>
    </w:p>
    <w:p w14:paraId="000B84E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 xml:space="preserve">Dans la mesure où de nouvelles dispositions légales ou réglementaires entraîneraient une augmentation des coûts d’obtention et de maintien des autorisations de commercialisation des produits, limiteraient les indications ciblées par un produit ou limiteraient la valeur économique d’un nouveau produit pour son inventeur, les perspectives de croissance de l’industrie pharmaceutique et de la Société pourraient s’en trouver réduites. </w:t>
      </w:r>
    </w:p>
    <w:p w14:paraId="54F6451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réalisation de l’un ou de plusieurs de ces risques pourrait avoir un effet défavorable significatif sur l’activité, les perspectives, la situation financière, les résultats et le développement de la Société.</w:t>
      </w:r>
    </w:p>
    <w:p w14:paraId="06C585E3"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spécifiques liés aux études précliniques et aux essais cliniques qui seront nécessaires à l’obtention des autorisations de mise sur le marché des produits thérapeutiques de la Société</w:t>
      </w:r>
    </w:p>
    <w:p w14:paraId="62AE003F"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organisation d’études précliniques sur l’animal et d’essais cliniques sur l’homme est indispensable à l’obtention de l’autorisation de mise sur le marché des produits développés par la Société. Leur réalisation s</w:t>
      </w:r>
      <w:r w:rsidR="004572A0" w:rsidRPr="00C73365">
        <w:rPr>
          <w:rFonts w:asciiTheme="minorHAnsi" w:hAnsiTheme="minorHAnsi" w:cstheme="minorHAnsi"/>
          <w:lang w:val="fr-FR"/>
        </w:rPr>
        <w:t>’</w:t>
      </w:r>
      <w:r w:rsidRPr="00C73365">
        <w:rPr>
          <w:rFonts w:asciiTheme="minorHAnsi" w:hAnsiTheme="minorHAnsi" w:cstheme="minorHAnsi"/>
          <w:lang w:val="fr-FR"/>
        </w:rPr>
        <w:t>échelonne généralement sur plusieurs années et s</w:t>
      </w:r>
      <w:r w:rsidR="004572A0" w:rsidRPr="00C73365">
        <w:rPr>
          <w:rFonts w:asciiTheme="minorHAnsi" w:hAnsiTheme="minorHAnsi" w:cstheme="minorHAnsi"/>
          <w:lang w:val="fr-FR"/>
        </w:rPr>
        <w:t>’</w:t>
      </w:r>
      <w:r w:rsidRPr="00C73365">
        <w:rPr>
          <w:rFonts w:asciiTheme="minorHAnsi" w:hAnsiTheme="minorHAnsi" w:cstheme="minorHAnsi"/>
          <w:lang w:val="fr-FR"/>
        </w:rPr>
        <w:t>avère très coûteuse.</w:t>
      </w:r>
    </w:p>
    <w:p w14:paraId="484C663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Ces études et essais devant être menés par des centres de recherche préclinique et clinique, leur qualité et l</w:t>
      </w:r>
      <w:r w:rsidR="004572A0" w:rsidRPr="00C73365">
        <w:rPr>
          <w:rFonts w:asciiTheme="minorHAnsi" w:hAnsiTheme="minorHAnsi" w:cstheme="minorHAnsi"/>
          <w:lang w:val="fr-FR"/>
        </w:rPr>
        <w:t>’</w:t>
      </w:r>
      <w:r w:rsidRPr="00C73365">
        <w:rPr>
          <w:rFonts w:asciiTheme="minorHAnsi" w:hAnsiTheme="minorHAnsi" w:cstheme="minorHAnsi"/>
          <w:lang w:val="fr-FR"/>
        </w:rPr>
        <w:t>intérêt qu</w:t>
      </w:r>
      <w:r w:rsidR="004572A0" w:rsidRPr="00C73365">
        <w:rPr>
          <w:rFonts w:asciiTheme="minorHAnsi" w:hAnsiTheme="minorHAnsi" w:cstheme="minorHAnsi"/>
          <w:lang w:val="fr-FR"/>
        </w:rPr>
        <w:t>’</w:t>
      </w:r>
      <w:r w:rsidRPr="00C73365">
        <w:rPr>
          <w:rFonts w:asciiTheme="minorHAnsi" w:hAnsiTheme="minorHAnsi" w:cstheme="minorHAnsi"/>
          <w:lang w:val="fr-FR"/>
        </w:rPr>
        <w:t>ils présenteront dépendra largement de la capacité de la Société et de ses partenaires à sélectionner les centres de recherche préclinique et clinique et, en ce qui concerne les essais sur l’homme, à recruter le nombre de patients nécessaire dans des délais relativement limités afin d</w:t>
      </w:r>
      <w:r w:rsidR="004572A0" w:rsidRPr="00C73365">
        <w:rPr>
          <w:rFonts w:asciiTheme="minorHAnsi" w:hAnsiTheme="minorHAnsi" w:cstheme="minorHAnsi"/>
          <w:lang w:val="fr-FR"/>
        </w:rPr>
        <w:t>’</w:t>
      </w:r>
      <w:r w:rsidRPr="00C73365">
        <w:rPr>
          <w:rFonts w:asciiTheme="minorHAnsi" w:hAnsiTheme="minorHAnsi" w:cstheme="minorHAnsi"/>
          <w:lang w:val="fr-FR"/>
        </w:rPr>
        <w:t>être en mesure de publier des résultats rapidement, ainsi qu</w:t>
      </w:r>
      <w:r w:rsidR="004572A0" w:rsidRPr="00C73365">
        <w:rPr>
          <w:rFonts w:asciiTheme="minorHAnsi" w:hAnsiTheme="minorHAnsi" w:cstheme="minorHAnsi"/>
          <w:lang w:val="fr-FR"/>
        </w:rPr>
        <w:t>’</w:t>
      </w:r>
      <w:r w:rsidRPr="00C73365">
        <w:rPr>
          <w:rFonts w:asciiTheme="minorHAnsi" w:hAnsiTheme="minorHAnsi" w:cstheme="minorHAnsi"/>
          <w:lang w:val="fr-FR"/>
        </w:rPr>
        <w:t>à choisir, le cas échéant, les bons prestataires chargés de la mise en œuvre du protocole d</w:t>
      </w:r>
      <w:r w:rsidR="004572A0" w:rsidRPr="00C73365">
        <w:rPr>
          <w:rFonts w:asciiTheme="minorHAnsi" w:hAnsiTheme="minorHAnsi" w:cstheme="minorHAnsi"/>
          <w:lang w:val="fr-FR"/>
        </w:rPr>
        <w:t>’</w:t>
      </w:r>
      <w:r w:rsidRPr="00C73365">
        <w:rPr>
          <w:rFonts w:asciiTheme="minorHAnsi" w:hAnsiTheme="minorHAnsi" w:cstheme="minorHAnsi"/>
          <w:lang w:val="fr-FR"/>
        </w:rPr>
        <w:t>étude défini par la Société ou ses partenaires. L</w:t>
      </w:r>
      <w:r w:rsidR="004572A0" w:rsidRPr="00C73365">
        <w:rPr>
          <w:rFonts w:asciiTheme="minorHAnsi" w:hAnsiTheme="minorHAnsi" w:cstheme="minorHAnsi"/>
          <w:lang w:val="fr-FR"/>
        </w:rPr>
        <w:t>’</w:t>
      </w:r>
      <w:r w:rsidRPr="00C73365">
        <w:rPr>
          <w:rFonts w:asciiTheme="minorHAnsi" w:hAnsiTheme="minorHAnsi" w:cstheme="minorHAnsi"/>
          <w:lang w:val="fr-FR"/>
        </w:rPr>
        <w:t>éloignement ou la dispersion géographique des centres d</w:t>
      </w:r>
      <w:r w:rsidR="004572A0" w:rsidRPr="00C73365">
        <w:rPr>
          <w:rFonts w:asciiTheme="minorHAnsi" w:hAnsiTheme="minorHAnsi" w:cstheme="minorHAnsi"/>
          <w:lang w:val="fr-FR"/>
        </w:rPr>
        <w:t>’</w:t>
      </w:r>
      <w:r w:rsidRPr="00C73365">
        <w:rPr>
          <w:rFonts w:asciiTheme="minorHAnsi" w:hAnsiTheme="minorHAnsi" w:cstheme="minorHAnsi"/>
          <w:lang w:val="fr-FR"/>
        </w:rPr>
        <w:t>études cliniques ou précliniques peut également soulever des difficultés opérationnelles et logistiques, susceptible d</w:t>
      </w:r>
      <w:r w:rsidR="004572A0" w:rsidRPr="00C73365">
        <w:rPr>
          <w:rFonts w:asciiTheme="minorHAnsi" w:hAnsiTheme="minorHAnsi" w:cstheme="minorHAnsi"/>
          <w:lang w:val="fr-FR"/>
        </w:rPr>
        <w:t>’</w:t>
      </w:r>
      <w:r w:rsidRPr="00C73365">
        <w:rPr>
          <w:rFonts w:asciiTheme="minorHAnsi" w:hAnsiTheme="minorHAnsi" w:cstheme="minorHAnsi"/>
          <w:lang w:val="fr-FR"/>
        </w:rPr>
        <w:t>entraîner des coûts et des délais supplémentaires.</w:t>
      </w:r>
    </w:p>
    <w:p w14:paraId="35FA83C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Dans le cas où la Société ou ses partenaires ne parviendraient pas à recruter les patients prévus, ce qui engendrerait des retards dans les études cliniques et la publication de leurs résultats, il en résulterait un décalage dans l</w:t>
      </w:r>
      <w:r w:rsidR="004572A0" w:rsidRPr="00C73365">
        <w:rPr>
          <w:rFonts w:asciiTheme="minorHAnsi" w:hAnsiTheme="minorHAnsi" w:cstheme="minorHAnsi"/>
          <w:lang w:val="fr-FR"/>
        </w:rPr>
        <w:t>’</w:t>
      </w:r>
      <w:r w:rsidRPr="00C73365">
        <w:rPr>
          <w:rFonts w:asciiTheme="minorHAnsi" w:hAnsiTheme="minorHAnsi" w:cstheme="minorHAnsi"/>
          <w:lang w:val="fr-FR"/>
        </w:rPr>
        <w:t>adhésion tant des sociétés savantes que des professionnels des domaines médicaux concernés, et la commercialisation des produits de la Société s</w:t>
      </w:r>
      <w:r w:rsidR="004572A0" w:rsidRPr="00C73365">
        <w:rPr>
          <w:rFonts w:asciiTheme="minorHAnsi" w:hAnsiTheme="minorHAnsi" w:cstheme="minorHAnsi"/>
          <w:lang w:val="fr-FR"/>
        </w:rPr>
        <w:t>’</w:t>
      </w:r>
      <w:r w:rsidRPr="00C73365">
        <w:rPr>
          <w:rFonts w:asciiTheme="minorHAnsi" w:hAnsiTheme="minorHAnsi" w:cstheme="minorHAnsi"/>
          <w:lang w:val="fr-FR"/>
        </w:rPr>
        <w:t>en trouverait affectée, ce qui serait susceptible d</w:t>
      </w:r>
      <w:r w:rsidR="004572A0" w:rsidRPr="00C73365">
        <w:rPr>
          <w:rFonts w:asciiTheme="minorHAnsi" w:hAnsiTheme="minorHAnsi" w:cstheme="minorHAnsi"/>
          <w:lang w:val="fr-FR"/>
        </w:rPr>
        <w:t>’</w:t>
      </w:r>
      <w:r w:rsidRPr="00C73365">
        <w:rPr>
          <w:rFonts w:asciiTheme="minorHAnsi" w:hAnsiTheme="minorHAnsi" w:cstheme="minorHAnsi"/>
          <w:lang w:val="fr-FR"/>
        </w:rPr>
        <w:t>avoir un effet défavorable significatif sur la Société, son activité, sa situation financière, ses résultats, son développement et ses perspectives.</w:t>
      </w:r>
    </w:p>
    <w:p w14:paraId="669E58C9"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remboursement et déremboursement des médicaments et traitements</w:t>
      </w:r>
    </w:p>
    <w:p w14:paraId="63C0FBA5"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A l</w:t>
      </w:r>
      <w:r w:rsidR="004572A0" w:rsidRPr="00C73365">
        <w:rPr>
          <w:rFonts w:asciiTheme="minorHAnsi" w:hAnsiTheme="minorHAnsi" w:cstheme="minorHAnsi"/>
          <w:lang w:val="fr-FR"/>
        </w:rPr>
        <w:t>’</w:t>
      </w:r>
      <w:r w:rsidRPr="00C73365">
        <w:rPr>
          <w:rFonts w:asciiTheme="minorHAnsi" w:hAnsiTheme="minorHAnsi" w:cstheme="minorHAnsi"/>
          <w:lang w:val="fr-FR"/>
        </w:rPr>
        <w:t>issue de l</w:t>
      </w:r>
      <w:r w:rsidR="004572A0" w:rsidRPr="00C73365">
        <w:rPr>
          <w:rFonts w:asciiTheme="minorHAnsi" w:hAnsiTheme="minorHAnsi" w:cstheme="minorHAnsi"/>
          <w:lang w:val="fr-FR"/>
        </w:rPr>
        <w:t>’</w:t>
      </w:r>
      <w:r w:rsidRPr="00C73365">
        <w:rPr>
          <w:rFonts w:asciiTheme="minorHAnsi" w:hAnsiTheme="minorHAnsi" w:cstheme="minorHAnsi"/>
          <w:lang w:val="fr-FR"/>
        </w:rPr>
        <w:t>étape d</w:t>
      </w:r>
      <w:r w:rsidR="004572A0" w:rsidRPr="00C73365">
        <w:rPr>
          <w:rFonts w:asciiTheme="minorHAnsi" w:hAnsiTheme="minorHAnsi" w:cstheme="minorHAnsi"/>
          <w:lang w:val="fr-FR"/>
        </w:rPr>
        <w:t>’</w:t>
      </w:r>
      <w:r w:rsidRPr="00C73365">
        <w:rPr>
          <w:rFonts w:asciiTheme="minorHAnsi" w:hAnsiTheme="minorHAnsi" w:cstheme="minorHAnsi"/>
          <w:lang w:val="fr-FR"/>
        </w:rPr>
        <w:t>autorisation réglementaire et une fois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autorisation de mise sur le marché délivrée, débute le processus de fixation du prix de vente des médicaments et de leur taux de remboursement. Les conditions de fixation du prix de vente de remboursement des médicaments échappent au contrôle des sociétés pharmaceutiques. Elles sont respectivement décidées par les commissions et organismes publics compétents ainsi que par les organismes sociaux ou les assurances privées. Dans le contexte actuel de maîtrise des dépenses de santé et de crise économique et financière, la pression sur les prix de vente et le niveau de remboursement s’intensifie du fait notamment des contrôles de prix imposés par de nombreux Etats et de la difficulté accrue à obtenir et maintenir pour les médicaments un taux de remboursement satisfaisant. </w:t>
      </w:r>
    </w:p>
    <w:p w14:paraId="7D82E6F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Dans ce cadre, il pourrait être demandé à la Société et/ou ses partenaires de réaliser des études supplémentaires sur leurs produits. Ces études engendreraient alors des coûts supplémentaires pour la Société et/ou ses partenaires, des retards de commercialisation et auraient de ce fait un impact sur la situation financière de la Société.</w:t>
      </w:r>
    </w:p>
    <w:p w14:paraId="21E3A5DE"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possibilité pour la Société de recevoir des royalties de son ou ses partenaires industriels sur la vente de certains ses produits et la capacité de la Société à dégager des profits suffisants sur la commercialisation de ses traitements ou de ceux pour lesquels elle a conclu des contrats de distribution dépendra de ces conditions de remboursement. Si les délais de la procédure de négociation de prix entrainent un décalage significatif de mise sur le marché, si un produit de la Société n’obtient pas un niveau de remboursement approprié ou si le niveau de prix et le taux de remboursement accepté des traitements commercialisés par la Société se trouvent modifiés, sa rentabilité s’en trouverait diminuée.</w:t>
      </w:r>
    </w:p>
    <w:p w14:paraId="355EED2C" w14:textId="77777777" w:rsidR="00F46C7B"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ne peut non plus garantir qu’elle réussira à maintenir dans le temps le niveau de prix de ses produits ou de ceux pour lesquels des licences lui ont été octroyées, ni le taux de remboursement accepté. Dans ces conditions, son chiffre d’affaires, sa rentabilité et ses perspectives pourraient s’en trouver significativement modifiés.</w:t>
      </w:r>
    </w:p>
    <w:p w14:paraId="2717CF52" w14:textId="77777777" w:rsidR="00E92A57" w:rsidRPr="00C73365" w:rsidRDefault="00E92A57" w:rsidP="004572A0">
      <w:pPr>
        <w:pStyle w:val="Corpsdetexte"/>
        <w:rPr>
          <w:rFonts w:asciiTheme="minorHAnsi" w:hAnsiTheme="minorHAnsi" w:cstheme="minorHAnsi"/>
          <w:lang w:val="fr-FR"/>
        </w:rPr>
      </w:pPr>
    </w:p>
    <w:p w14:paraId="15BD7B51"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aux portefeuilles de brevets et licences</w:t>
      </w:r>
    </w:p>
    <w:p w14:paraId="21308D19"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 protection des brevets et autres droits de propriété intellectuelle de la Société est incertaine</w:t>
      </w:r>
    </w:p>
    <w:p w14:paraId="5EA1B42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projet économique de la Société dépend notamment de sa capacité et de celles de ses partenaires à obtenir, maintenir et assurer, contre les tiers, la protection de ses brevets, marques et demandes y afférents ainsi que ses autres droits de propriété intellectuelle ou assimilés (tels que notamment ses secrets commerciaux, secrets d’affaires et son savoir-faire) ou ceux qu’elle est autorisée à exploiter dans le cadre de ses activités. Il est également important, pour la réussite de son activité, que la Société soit en mesure de disposer d’une protection similaire pour l’ensemble de ses autres droits de propriété intellectuelle en Europe, aux Etats-Unis, en Asie et dans d’autres pays clés. La Société, qui y consacre d’importants efforts financiers et humains, entend poursuivre sa politique de protection par de nouveaux dépôts de brevets dès lors qu’elle le jugera opportun. À sa connaissance, sa technologie est à ce jour efficacement protégée par les brevets et les demandes de brevets qu’elle a déposés ou sur lesquels elle dispose d’une licence exclusive.</w:t>
      </w:r>
    </w:p>
    <w:p w14:paraId="7C89EFBF"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Cependant, la Société ou ses partenaires pourraient ne pas être en mesure de maintenir la protection de ses droits de propriété intellectuelle et, par là-même, la Société perdrait son avantage technologique et concurrentiel.</w:t>
      </w:r>
    </w:p>
    <w:p w14:paraId="52BF649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premier lieu, les droits de propriété intellectuelle de la Société et de ses partenaires offrent une protection d’une durée qui peut varier d’un territoire à un autre (cette durée est par exemple, en matière de brevet, de 20 ans à compter de la date de dépôt des demandes de brevets en France et en Europe, étant précisé que cette durée peut être étendue jusqu’à cinq ans supplémentaires en cas de dépôt d’un certificat complémentaire de protection).</w:t>
      </w:r>
    </w:p>
    <w:p w14:paraId="138254B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deuxième lieu, la Société et/ou ses partenaires pourraient rencontrer des difficultés dans le cadre du dépôt et de l’examen de certaines de ses demandes de brevets, de marques ou d’autres droits de propriété intellectuelle actuellement en cours d’examen/d’enregistrement. En effet, au moment du dépôt d’une demande de brevet, d’autres brevets peuvent constituer une antériorité opposable mais ne pas être encore publiés. Malgré les recherches d’antériorités et la veille qu’elle effectue, la Société ne peut donc avoir la certitude d’être la première à avoir conçu une invention et à déposer une demande de brevet y afférent ; il convient notamment de rappeler que dans la plupart des pays, la publication des demandes de brevets a lieu 18 mois après le dépôt des demandes elles-mêmes et que les découvertes ne font parfois l’objet d’une publication ou d’une demande de brevet que des mois, voire souvent des années plus tard. De même, à l’occasion du dépôt de l’une de ses marques dans un pays où elle n’est pas couverte, la Société pourrait constater que la marque en question n’est pas disponible dans ce pays. Une nouvelle marque devrait alors être recherchée pour le pays donné ou un accord négocié avec le titulaire du signe antérieur. Il n’existe donc aucune certitude que les demandes actuelles et futures de brevets, marques et autres droits de propriété intellectuelle de la Société donneront lieu à des enregistrements.</w:t>
      </w:r>
    </w:p>
    <w:p w14:paraId="09F8A6E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troisième lieu, la seule délivrance d’un brevet, d’une marque ou d’autres droits de propriété intellectuelle n’en garantit pas la validité, ni l’opposabilité. En effet, les concurrents de la Société pourraient à tout moment contester la validité ou l’opposabilité des brevets, marques ou demandes y afférents de la Société ou de ses partenaires devant un tribunal ou dans le cadre d’autres procédures spécifiques, ce qui, selon l’issue desdites contestations, pourrait réduire leur portée, aboutir à leur invalidité ou permettre leur contournement par des concurrents. De plus, des évolutions, changements ou des divergences d’interprétation du cadre légal régissant la propriété intellectuelle en Europe, aux Etats-Unis ou dans d’autres pays pourraient permettre à des concurrents d’utiliser les inventions ou les droits de propriété intellectuelle de la Société ou de ses partenaires, de développer ou de commercialiser les produits de la Société ou ses technologies sans compensation financière. En outre, il existe encore certains pays qui ne protègent pas les droits de propriété intellectuelle de la même manière qu’en Europe ou aux Etats-Unis, et les procédures et règles efficaces nécessaires pour assurer la défense des droits de la Société peuvent ne pas exister dans ces pays. Il n’y a donc aucune certitude que les brevets, marques et autres droits de propriété intellectuelle de la Société, existants et futurs, ne seront pas contestés, invalidés ou contournés ou qu’ils procureront une protection efficace face à la concurrence et aux brevets de tiers couvrant des inventions similaires.</w:t>
      </w:r>
    </w:p>
    <w:p w14:paraId="2326DAA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conséquence, les droits de la Société sur ses brevets propriétaires ou licenciés, ses marques, les demandes y afférents et autres droits de propriété intellectuelle pourraient ne pas conférer la protection attendue contre la concurrence. La Société ne peut donc garantir de manière certaine</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w:t>
      </w:r>
    </w:p>
    <w:p w14:paraId="249E4AFA" w14:textId="77777777" w:rsidR="00F46C7B" w:rsidRPr="00E66FAB" w:rsidRDefault="00F46C7B" w:rsidP="00434C49">
      <w:pPr>
        <w:pStyle w:val="Listepuces2"/>
        <w:numPr>
          <w:ilvl w:val="0"/>
          <w:numId w:val="60"/>
        </w:numPr>
        <w:rPr>
          <w:rFonts w:asciiTheme="minorHAnsi" w:hAnsiTheme="minorHAnsi" w:cstheme="minorHAnsi"/>
          <w:lang w:val="fr-FR"/>
        </w:rPr>
      </w:pPr>
      <w:r w:rsidRPr="00E66FAB">
        <w:rPr>
          <w:rFonts w:asciiTheme="minorHAnsi" w:hAnsiTheme="minorHAnsi" w:cstheme="minorHAnsi"/>
          <w:lang w:val="fr-FR"/>
        </w:rPr>
        <w:t>qu’elle parviendra à développer de nouvelles inventions qui pourraient faire l’objet d’un dépôt ou d’une délivrance d’un brevet ;</w:t>
      </w:r>
    </w:p>
    <w:p w14:paraId="67AF0F4B" w14:textId="77777777" w:rsidR="00F46C7B" w:rsidRPr="00E66FAB" w:rsidRDefault="002D312D" w:rsidP="00434C49">
      <w:pPr>
        <w:pStyle w:val="Listepuces2"/>
        <w:numPr>
          <w:ilvl w:val="0"/>
          <w:numId w:val="60"/>
        </w:numPr>
        <w:rPr>
          <w:rFonts w:asciiTheme="minorHAnsi" w:hAnsiTheme="minorHAnsi" w:cstheme="minorHAnsi"/>
          <w:lang w:val="fr-FR"/>
        </w:rPr>
      </w:pPr>
      <w:r w:rsidRPr="00E66FAB">
        <w:rPr>
          <w:rFonts w:asciiTheme="minorHAnsi" w:hAnsiTheme="minorHAnsi" w:cstheme="minorHAnsi"/>
          <w:lang w:val="fr-FR"/>
        </w:rPr>
        <w:lastRenderedPageBreak/>
        <w:t>que</w:t>
      </w:r>
      <w:r w:rsidR="00CE77A2" w:rsidRPr="00E66FAB">
        <w:rPr>
          <w:rFonts w:asciiTheme="minorHAnsi" w:hAnsiTheme="minorHAnsi" w:cstheme="minorHAnsi"/>
          <w:lang w:val="fr-FR"/>
        </w:rPr>
        <w:t xml:space="preserve"> </w:t>
      </w:r>
      <w:r w:rsidR="00F46C7B" w:rsidRPr="00E66FAB">
        <w:rPr>
          <w:rFonts w:asciiTheme="minorHAnsi" w:hAnsiTheme="minorHAnsi" w:cstheme="minorHAnsi"/>
          <w:lang w:val="fr-FR"/>
        </w:rPr>
        <w:t>les demandes de brevets et autres droits en cours d’examen donneront effectivement lieu à la délivrance de brevets, marques ou autres droits de propriété intellectuelle enregistrés ;</w:t>
      </w:r>
    </w:p>
    <w:p w14:paraId="41EA8C1C" w14:textId="77777777" w:rsidR="00F46C7B" w:rsidRPr="00E66FAB" w:rsidRDefault="00F46C7B" w:rsidP="00434C49">
      <w:pPr>
        <w:pStyle w:val="Listepuces2"/>
        <w:numPr>
          <w:ilvl w:val="0"/>
          <w:numId w:val="60"/>
        </w:numPr>
        <w:rPr>
          <w:rFonts w:asciiTheme="minorHAnsi" w:hAnsiTheme="minorHAnsi" w:cstheme="minorHAnsi"/>
          <w:lang w:val="fr-FR"/>
        </w:rPr>
      </w:pPr>
      <w:r w:rsidRPr="00E66FAB">
        <w:rPr>
          <w:rFonts w:asciiTheme="minorHAnsi" w:hAnsiTheme="minorHAnsi" w:cstheme="minorHAnsi"/>
          <w:lang w:val="fr-FR"/>
        </w:rPr>
        <w:t>que les brevets ou autres droits de propriété intellectuelle délivrés à la Société ou ses partenaires ne seront pas contestés, invalidés ou contournés ;</w:t>
      </w:r>
    </w:p>
    <w:p w14:paraId="5E0DDC2C" w14:textId="77777777" w:rsidR="00F46C7B" w:rsidRPr="00E66FAB" w:rsidRDefault="00F46C7B" w:rsidP="00434C49">
      <w:pPr>
        <w:pStyle w:val="Listepuces2"/>
        <w:numPr>
          <w:ilvl w:val="0"/>
          <w:numId w:val="60"/>
        </w:numPr>
        <w:rPr>
          <w:rFonts w:asciiTheme="minorHAnsi" w:hAnsiTheme="minorHAnsi" w:cstheme="minorHAnsi"/>
          <w:lang w:val="fr-FR"/>
        </w:rPr>
      </w:pPr>
      <w:r w:rsidRPr="00E66FAB">
        <w:rPr>
          <w:rFonts w:asciiTheme="minorHAnsi" w:hAnsiTheme="minorHAnsi" w:cstheme="minorHAnsi"/>
          <w:lang w:val="fr-FR"/>
        </w:rPr>
        <w:t>que le champ de protection conféré par les brevets, les marques et les titres de propriété intellectuelle de la Société ou de ses partenaires est et restera suffisant pour la protéger face à la concurrence et aux brevets, marques et titres de propriété intellectuelle des tiers couvrant des dispositifs, produits, technologies ou développements similaires.</w:t>
      </w:r>
    </w:p>
    <w:p w14:paraId="54C4613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De telles éventualités, si elles devaient intervenir, pourraient avoir des effets négatifs sur la Société et son développement.</w:t>
      </w:r>
    </w:p>
    <w:p w14:paraId="0CD19382"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 faculté de la Société à poursuivre le développement de certains de ses candidats médicaments basés dépend du maintien en vigueur des licences conclues avec Scripps Research Institute, l’Université de Chicago, Brigham Young University, le CNRS, l’Institut Curie, l’Université de Montpellier 2</w:t>
      </w:r>
    </w:p>
    <w:p w14:paraId="5F149B9F"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bénéficie de licences consenties par :</w:t>
      </w:r>
    </w:p>
    <w:p w14:paraId="34A301D9" w14:textId="77777777" w:rsidR="00F46C7B" w:rsidRPr="00E66FAB" w:rsidRDefault="00F46C7B" w:rsidP="00434C49">
      <w:pPr>
        <w:pStyle w:val="Listepuces2"/>
        <w:numPr>
          <w:ilvl w:val="0"/>
          <w:numId w:val="61"/>
        </w:numPr>
        <w:rPr>
          <w:rFonts w:asciiTheme="minorHAnsi" w:hAnsiTheme="minorHAnsi" w:cstheme="minorHAnsi"/>
          <w:lang w:val="fr-FR"/>
        </w:rPr>
      </w:pPr>
      <w:r w:rsidRPr="00E66FAB">
        <w:rPr>
          <w:rFonts w:asciiTheme="minorHAnsi" w:hAnsiTheme="minorHAnsi" w:cstheme="minorHAnsi"/>
          <w:lang w:val="fr-FR"/>
        </w:rPr>
        <w:t xml:space="preserve">Scripps Research Institute, l’Université de Chicago et la Brigham Young University sur certains brevets pour le développement de la plateforme « Stimulation Immunitaire » ayant permis de développer </w:t>
      </w:r>
      <w:r w:rsidR="00E32CFE" w:rsidRPr="00E66FAB">
        <w:rPr>
          <w:rFonts w:asciiTheme="minorHAnsi" w:hAnsiTheme="minorHAnsi" w:cstheme="minorHAnsi"/>
          <w:lang w:val="fr-FR"/>
        </w:rPr>
        <w:t>ABX196</w:t>
      </w:r>
      <w:r w:rsidRPr="00E66FAB">
        <w:rPr>
          <w:rFonts w:asciiTheme="minorHAnsi" w:hAnsiTheme="minorHAnsi" w:cstheme="minorHAnsi"/>
          <w:lang w:val="fr-FR"/>
        </w:rPr>
        <w:t> ;</w:t>
      </w:r>
    </w:p>
    <w:p w14:paraId="6C8AA890" w14:textId="77777777" w:rsidR="00F46C7B" w:rsidRPr="00E66FAB" w:rsidRDefault="00F46C7B" w:rsidP="00434C49">
      <w:pPr>
        <w:pStyle w:val="Listepuces2"/>
        <w:numPr>
          <w:ilvl w:val="0"/>
          <w:numId w:val="61"/>
        </w:numPr>
        <w:rPr>
          <w:rFonts w:asciiTheme="minorHAnsi" w:hAnsiTheme="minorHAnsi" w:cstheme="minorHAnsi"/>
          <w:lang w:val="fr-FR"/>
        </w:rPr>
      </w:pPr>
      <w:r w:rsidRPr="00E66FAB">
        <w:rPr>
          <w:rFonts w:asciiTheme="minorHAnsi" w:hAnsiTheme="minorHAnsi" w:cstheme="minorHAnsi"/>
          <w:lang w:val="fr-FR"/>
        </w:rPr>
        <w:t xml:space="preserve">le CNRS, l’Université de Montpellier 2 et/ou l’Institut Curie sur certains brevets, ou droits de co-propriété sur des brevets issus des coopérations avec le CNRS, l’Université de Montpellier 2 et l’Institut Curie ayant permis de développer l’antiviral ABX464  et de générer une chimiothèque de plus de mille </w:t>
      </w:r>
      <w:r w:rsidR="00370D90" w:rsidRPr="00E66FAB">
        <w:rPr>
          <w:rFonts w:asciiTheme="minorHAnsi" w:hAnsiTheme="minorHAnsi" w:cstheme="minorHAnsi"/>
          <w:lang w:val="fr-FR"/>
        </w:rPr>
        <w:t xml:space="preserve">deux cent </w:t>
      </w:r>
      <w:r w:rsidRPr="00E66FAB">
        <w:rPr>
          <w:rFonts w:asciiTheme="minorHAnsi" w:hAnsiTheme="minorHAnsi" w:cstheme="minorHAnsi"/>
          <w:lang w:val="fr-FR"/>
        </w:rPr>
        <w:t>petites molécules;</w:t>
      </w:r>
    </w:p>
    <w:p w14:paraId="1E718823"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Ces contrats de licences prévoient notamment la possibilité pour le donneur de licence de mettre un terme à l’exclusivité consentie ou de résilier les contrats en cas notamment de non-paiement des redevances, de contestation de la validité des brevets donnés en licence, ou de violation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ses obligations. </w:t>
      </w:r>
    </w:p>
    <w:p w14:paraId="048068E1"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 Société ne peut garantir l’absence de violation de droits de propriété intellectuelle tant par elle que contre elle</w:t>
      </w:r>
    </w:p>
    <w:p w14:paraId="4D444220"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succès commercial de la Société dépendra également de sa capacité à développer des produits et technologies qui ne contrefont pas de brevets ou autres droits de tiers. Il est en effet important, pour la réussite de son activité, que la Société soit en mesure d’exploiter librement ses produits sans que ceux-ci ne portent atteinte à des brevets ou autres droits notamment les efforts de recherche et de développement dans ce domaine et de propriété intellectuelle de tiers, et sans que des tiers ne portent atteinte aux droits notamment de propriété intellectuelle de la Société.</w:t>
      </w:r>
    </w:p>
    <w:p w14:paraId="4EA99CE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continue de diligenter, comme elle l’a fait jusqu’à ce jour, les études préalables qui lui semblent nécessaires au regard des risques précités avant d’engager des investissements en vue de développer ses différents produits/technologies. Avec l’aide de ses cabinets conseils en propriété industrielle, elle maintient notamment une veille sur l’activité (notamment en termes de dépôts de brevets) de ses concurrents.</w:t>
      </w:r>
    </w:p>
    <w:p w14:paraId="5BF5AE4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revanche, surveiller l’utilisation non autorisée des produits et de la technologie de la Société et donc l’atteinte à ses propres droits notamment de propriété intellectuelle, est délicat. La Société ne peut donc garantir de manière certaine:</w:t>
      </w:r>
    </w:p>
    <w:p w14:paraId="7B2C8C06" w14:textId="77777777" w:rsidR="00F46C7B" w:rsidRPr="00E66FAB" w:rsidRDefault="00F46C7B" w:rsidP="00434C49">
      <w:pPr>
        <w:pStyle w:val="Listepuces2"/>
        <w:numPr>
          <w:ilvl w:val="0"/>
          <w:numId w:val="62"/>
        </w:numPr>
        <w:rPr>
          <w:rFonts w:asciiTheme="minorHAnsi" w:hAnsiTheme="minorHAnsi" w:cstheme="minorHAnsi"/>
          <w:lang w:val="fr-FR"/>
        </w:rPr>
      </w:pPr>
      <w:r w:rsidRPr="00E66FAB">
        <w:rPr>
          <w:rFonts w:asciiTheme="minorHAnsi" w:hAnsiTheme="minorHAnsi" w:cstheme="minorHAnsi"/>
          <w:lang w:val="fr-FR"/>
        </w:rPr>
        <w:t>qu’elle pourra éviter, sanctionner et obtenir réparation des détournements ou utilisations non autorisées de ses produits et de ses technologies, notamment dans des pays étrangers où ses droits seraient moins bien protégés en raison de la portée territoriale des droits de propriété industrielle ;</w:t>
      </w:r>
    </w:p>
    <w:p w14:paraId="7704AA07" w14:textId="77777777" w:rsidR="00F46C7B" w:rsidRPr="00E66FAB" w:rsidRDefault="00F46C7B" w:rsidP="00434C49">
      <w:pPr>
        <w:pStyle w:val="Listepuces2"/>
        <w:numPr>
          <w:ilvl w:val="0"/>
          <w:numId w:val="62"/>
        </w:numPr>
        <w:rPr>
          <w:rFonts w:asciiTheme="minorHAnsi" w:hAnsiTheme="minorHAnsi" w:cstheme="minorHAnsi"/>
          <w:lang w:val="fr-FR"/>
        </w:rPr>
      </w:pPr>
      <w:r w:rsidRPr="00E66FAB">
        <w:rPr>
          <w:rFonts w:asciiTheme="minorHAnsi" w:hAnsiTheme="minorHAnsi" w:cstheme="minorHAnsi"/>
          <w:lang w:val="fr-FR"/>
        </w:rPr>
        <w:t>qu’il n’existe pas des brevets ou autres droits antérieurs notamment de propriété intellectuelle de tiers susceptibles de couvrir certains produits, procédés, technologies, résultats ou activités de la Société et qu’en conséquence des tiers agissent en contrefaçon ou en violation de leurs droits à l’encontre de la Société en vue d’obtenir notamment des dommages-intérêts et/ou la cessation de ses activités de fabrication et/ou de commercialisation de produits, procédés et autres ainsi incriminés ;</w:t>
      </w:r>
    </w:p>
    <w:p w14:paraId="08FBC575" w14:textId="77777777" w:rsidR="00F46C7B" w:rsidRPr="00E66FAB" w:rsidRDefault="00F46C7B" w:rsidP="00434C49">
      <w:pPr>
        <w:pStyle w:val="Listepuces2"/>
        <w:numPr>
          <w:ilvl w:val="0"/>
          <w:numId w:val="62"/>
        </w:numPr>
        <w:rPr>
          <w:rFonts w:asciiTheme="minorHAnsi" w:hAnsiTheme="minorHAnsi" w:cstheme="minorHAnsi"/>
          <w:lang w:val="fr-FR"/>
        </w:rPr>
      </w:pPr>
      <w:r w:rsidRPr="00E66FAB">
        <w:rPr>
          <w:rFonts w:asciiTheme="minorHAnsi" w:hAnsiTheme="minorHAnsi" w:cstheme="minorHAnsi"/>
          <w:lang w:val="fr-FR"/>
        </w:rPr>
        <w:lastRenderedPageBreak/>
        <w:t>qu’il n’existe pas de droits de marques ou d’autres droits antérieurs de tiers susceptibles de fonder une action en contrefaçon ou en responsabilité à l’encontre de la Société ; et/ou</w:t>
      </w:r>
    </w:p>
    <w:p w14:paraId="3DD2D72C" w14:textId="77777777" w:rsidR="00F46C7B" w:rsidRPr="00E66FAB" w:rsidRDefault="00F46C7B" w:rsidP="00434C49">
      <w:pPr>
        <w:pStyle w:val="Listepuces2"/>
        <w:numPr>
          <w:ilvl w:val="0"/>
          <w:numId w:val="62"/>
        </w:numPr>
        <w:rPr>
          <w:rFonts w:asciiTheme="minorHAnsi" w:hAnsiTheme="minorHAnsi" w:cstheme="minorHAnsi"/>
          <w:lang w:val="fr-FR"/>
        </w:rPr>
      </w:pPr>
      <w:r w:rsidRPr="00E66FAB">
        <w:rPr>
          <w:rFonts w:asciiTheme="minorHAnsi" w:hAnsiTheme="minorHAnsi" w:cstheme="minorHAnsi"/>
          <w:lang w:val="fr-FR"/>
        </w:rPr>
        <w:t>que les noms de domaine de la Société ne feront pas l’objet, de la part d’un tiers qui disposerait de droits antérieurs (par exemple des droits de marques), d’une procédure UDRP (</w:t>
      </w:r>
      <w:r w:rsidRPr="00E66FAB">
        <w:rPr>
          <w:rFonts w:asciiTheme="minorHAnsi" w:hAnsiTheme="minorHAnsi" w:cstheme="minorHAnsi"/>
          <w:i/>
          <w:lang w:val="fr-FR"/>
        </w:rPr>
        <w:t>Uniform Dispute Resolution Policy</w:t>
      </w:r>
      <w:r w:rsidRPr="00E66FAB">
        <w:rPr>
          <w:rFonts w:asciiTheme="minorHAnsi" w:hAnsiTheme="minorHAnsi" w:cstheme="minorHAnsi"/>
          <w:lang w:val="fr-FR"/>
        </w:rPr>
        <w:t>) ou assimilée ou d’une action en contrefaçon.</w:t>
      </w:r>
    </w:p>
    <w:p w14:paraId="5C95794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cas de survenance de litiges sur la propriété intellectuelle, la Société pourrait être amenée à devoir :</w:t>
      </w:r>
    </w:p>
    <w:p w14:paraId="6D5A0E13" w14:textId="77777777" w:rsidR="00F46C7B" w:rsidRPr="00E66FAB" w:rsidRDefault="00F46C7B" w:rsidP="00434C49">
      <w:pPr>
        <w:pStyle w:val="Listepuces2"/>
        <w:numPr>
          <w:ilvl w:val="0"/>
          <w:numId w:val="63"/>
        </w:numPr>
        <w:rPr>
          <w:rFonts w:asciiTheme="minorHAnsi" w:hAnsiTheme="minorHAnsi" w:cstheme="minorHAnsi"/>
          <w:lang w:val="fr-FR"/>
        </w:rPr>
      </w:pPr>
      <w:r w:rsidRPr="00E66FAB">
        <w:rPr>
          <w:rFonts w:asciiTheme="minorHAnsi" w:hAnsiTheme="minorHAnsi" w:cstheme="minorHAnsi"/>
          <w:lang w:val="fr-FR"/>
        </w:rPr>
        <w:t>cesser de développer, vendre ou utiliser le ou les produits qui dépendraient de la propriété intellectuelle contestée ;</w:t>
      </w:r>
    </w:p>
    <w:p w14:paraId="32DAF014" w14:textId="77777777" w:rsidR="00F46C7B" w:rsidRPr="00E66FAB" w:rsidRDefault="00F46C7B" w:rsidP="00434C49">
      <w:pPr>
        <w:pStyle w:val="Listepuces2"/>
        <w:numPr>
          <w:ilvl w:val="0"/>
          <w:numId w:val="63"/>
        </w:numPr>
        <w:rPr>
          <w:rFonts w:asciiTheme="minorHAnsi" w:hAnsiTheme="minorHAnsi" w:cstheme="minorHAnsi"/>
          <w:lang w:val="fr-FR"/>
        </w:rPr>
      </w:pPr>
      <w:r w:rsidRPr="00E66FAB">
        <w:rPr>
          <w:rFonts w:asciiTheme="minorHAnsi" w:hAnsiTheme="minorHAnsi" w:cstheme="minorHAnsi"/>
          <w:lang w:val="fr-FR"/>
        </w:rPr>
        <w:t>obtenir une licence de la part du détenteur des droits de propriété intellectuelle, licence qui pourrait ne pas être obtenue ou seulement à des conditions économiquement défavorables pour la Société ;</w:t>
      </w:r>
    </w:p>
    <w:p w14:paraId="14390ECD" w14:textId="77777777" w:rsidR="00F46C7B" w:rsidRPr="00E66FAB" w:rsidRDefault="00F46C7B" w:rsidP="00434C49">
      <w:pPr>
        <w:pStyle w:val="Listepuces2"/>
        <w:numPr>
          <w:ilvl w:val="0"/>
          <w:numId w:val="63"/>
        </w:numPr>
        <w:rPr>
          <w:rFonts w:asciiTheme="minorHAnsi" w:hAnsiTheme="minorHAnsi" w:cstheme="minorHAnsi"/>
          <w:lang w:val="fr-FR"/>
        </w:rPr>
      </w:pPr>
      <w:r w:rsidRPr="00E66FAB">
        <w:rPr>
          <w:rFonts w:asciiTheme="minorHAnsi" w:hAnsiTheme="minorHAnsi" w:cstheme="minorHAnsi"/>
          <w:lang w:val="fr-FR"/>
        </w:rPr>
        <w:t>revoir la conception de certains de ses produits/technologies ou, dans le cas de demandes concernant des marques, renommer ses produits, afin d’éviter de porter atteinte aux droits de propriété intellectuelle de tiers, ce qui pourrait s’avérer impossible ou être long et coûteux, et pourrait, de fait, impacter ses efforts de commercialisation.</w:t>
      </w:r>
    </w:p>
    <w:p w14:paraId="6BF998A6"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D’autre part, des tiers (voire des employés de la Société) pourraient utiliser ou tenter d’utiliser les éléments des technologies de la Société protégés par un droit de propriété intellectuelle, ce qui créerait une situation dommageable pour la Société. La Société pourrait donc être contrainte d’intenter à l’encontre de ces tiers des contentieux judiciaire ou administratif afin de faire valoir ses droits notamment de propriété intellectuelle (ses brevets, marques, dessins et modèles ou noms de domaine) en justice.</w:t>
      </w:r>
    </w:p>
    <w:p w14:paraId="616211C3"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Tout litige ou contentieux, quelle qu’en soit l’issue, pourrait entraîner des coûts substantiels, affecter la réputation de la Société, influer négativement sur le résultat et la situation financière de la Société et éventuellement ne pas apporter la protection ou la sanction recherchée. Certains des concurrents disposant de ressources plus importantes que celles de la Société pourraient être capables de mieux supporter les coûts d’une procédure contentieuse.</w:t>
      </w:r>
    </w:p>
    <w:p w14:paraId="0A50509E"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Cependant, à ce jour, la Société n’a été confrontée à aucune de ces situations ni n’a été impliquée dans un quelconque litige, en demande ou en défense, relatif à ses droits notamment de propriété intellectuelle ou ceux d’un tiers.</w:t>
      </w:r>
    </w:p>
    <w:p w14:paraId="46316AA8"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 Société pourrait ne pas être en mesure de prévenir une divulgation d’informations à des tiers susceptibles d’avoir un impact sur ses futurs droits de propriété intellectuelle</w:t>
      </w:r>
    </w:p>
    <w:p w14:paraId="70D57DC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Il est également important pour la Société de se prémunir contre l’utilisation et la divulgation non autorisées de ses informations confidentielles, de son savoir-faire et de ses secrets commerciaux. En effet, les technologies, procédés, méthodes, savoir-faire et données propres non brevetés et/ou non brevetables sont considérés comme des secrets commerciaux que la Société tente en partie de protéger par des accords de confidentialité. </w:t>
      </w:r>
    </w:p>
    <w:p w14:paraId="494737D3"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Dans le cadre de contrats de collaboration, de partenariat, de recherche ou autre type de coopération conclus entre la Société avec des chercheurs d’institutions universitaires ainsi qu’avec d’autres entités publiques ou privées, des sous-traitants, ou tout tiers cocontractant, diverses informations et/ou des produits peuvent leur être confiés notamment afin de conduire certains tests et essais cliniques. Dans ces cas, la Société exige en principe la signature d’accords de confidentialité. Par ailleurs, en règle générale, la Société veille à ce que les contrats de collaboration ou de recherche qu’elle signe lui donnent accès à la pleine propriété, à la copropriété des résultats et/ou des inventions résultant de cette collaboration ou à une licence exclusive sur ces résultats et/ ou inventions résultant de cette collaboration.</w:t>
      </w:r>
    </w:p>
    <w:p w14:paraId="4C356F4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Il ne peut être exclu que les accords mis en place pour protéger la technologie et les secrets commerciaux de la Société et/ou les savoir-faire mis en place n’assurent pas la protection recherchée ou soient violés, que la Société n’ait pas de solutions appropriées contre de telles violations, que ses secrets commerciaux soient divulgués à ses concurrents ou développés indépendamment par eux. Dans le cadre des contrats qu’elle conclut avec des tiers, la Société prend parfois la précaution de prévoir que ces derniers ne sont pas autorisés à recourir aux services de tiers ou qu’ils ne peuvent le faire qu’avec l’accord préalable de la Société. Toutefois, il ne peut être exclu que certains de ses cocontractants aient néanmoins recours à des tiers. Dans cette hypothèse, la Société n’a aucun contrôle sur les conditions dans lesquelles </w:t>
      </w:r>
      <w:r w:rsidRPr="00C73365">
        <w:rPr>
          <w:rFonts w:asciiTheme="minorHAnsi" w:hAnsiTheme="minorHAnsi" w:cstheme="minorHAnsi"/>
          <w:lang w:val="fr-FR"/>
        </w:rPr>
        <w:lastRenderedPageBreak/>
        <w:t>les tiers avec lesquels elle contracte protègent ses informations confidentielles et ce indépendamment du fait que la Société prévoie dans ses accords avec ses cocontractants qu’ils s’engagent à répercuter sur leurs propres cocontractants ces obligations de confidentialité.</w:t>
      </w:r>
    </w:p>
    <w:p w14:paraId="38FB81B0"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De tels contrats exposent donc la Société au risque de voir les tiers concernés (i) revendiquer le bénéfice de droits de propriété intellectuelle sur les inventions ou autres droits de propriété intellectuelle de la Société, (ii) ne pas assurer la confidentialité des innovations ou perfectionnements non brevetés des informations confidentielles et du savoir-faire de la Société, (iii) divulguer les secrets commerciaux de la Société à ses concurrents ou développer indépendamment ces secrets commerciaux et/ou (iv) violer de tels accords, sans que la Société n’ait de solution appropriée contre de telles violations.</w:t>
      </w:r>
    </w:p>
    <w:p w14:paraId="23AB16EE"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conséquence, les droits de la Société sur ses informations confidentielles, ses secrets commerciaux et son savoir-faire pourraient ne pas conférer la protection attendue contre la concurrence et la Société ne peut pas garantir de manière certaine :</w:t>
      </w:r>
    </w:p>
    <w:p w14:paraId="759B61B4" w14:textId="77777777" w:rsidR="00F46C7B" w:rsidRPr="00E66FAB" w:rsidRDefault="00F46C7B" w:rsidP="00434C49">
      <w:pPr>
        <w:pStyle w:val="Listepuces2"/>
        <w:numPr>
          <w:ilvl w:val="0"/>
          <w:numId w:val="64"/>
        </w:numPr>
        <w:rPr>
          <w:rFonts w:asciiTheme="minorHAnsi" w:hAnsiTheme="minorHAnsi" w:cstheme="minorHAnsi"/>
          <w:lang w:val="fr-FR"/>
        </w:rPr>
      </w:pPr>
      <w:r w:rsidRPr="00E66FAB">
        <w:rPr>
          <w:rFonts w:asciiTheme="minorHAnsi" w:hAnsiTheme="minorHAnsi" w:cstheme="minorHAnsi"/>
          <w:lang w:val="fr-FR"/>
        </w:rPr>
        <w:t>que son savoir-faire et ses secrets commerciaux ne pourront être obtenus, usurpés, contournés, transmis sans son autorisation ou utilisés ;</w:t>
      </w:r>
    </w:p>
    <w:p w14:paraId="65002DE6" w14:textId="77777777" w:rsidR="00F46C7B" w:rsidRPr="00E66FAB" w:rsidRDefault="00F46C7B" w:rsidP="00434C49">
      <w:pPr>
        <w:pStyle w:val="Listepuces2"/>
        <w:numPr>
          <w:ilvl w:val="0"/>
          <w:numId w:val="64"/>
        </w:numPr>
        <w:rPr>
          <w:rFonts w:asciiTheme="minorHAnsi" w:hAnsiTheme="minorHAnsi" w:cstheme="minorHAnsi"/>
          <w:lang w:val="fr-FR"/>
        </w:rPr>
      </w:pPr>
      <w:r w:rsidRPr="00E66FAB">
        <w:rPr>
          <w:rFonts w:asciiTheme="minorHAnsi" w:hAnsiTheme="minorHAnsi" w:cstheme="minorHAnsi"/>
          <w:lang w:val="fr-FR"/>
        </w:rPr>
        <w:t>que les concurrents de la Société n’ont pas déjà développé des technologies ou des produits semblables ou similaires dans leur nature ou leur destination à ceux de la Société ; ou</w:t>
      </w:r>
    </w:p>
    <w:p w14:paraId="52EDC5F7" w14:textId="77777777" w:rsidR="00F46C7B" w:rsidRPr="00E66FAB" w:rsidRDefault="00F46C7B" w:rsidP="00434C49">
      <w:pPr>
        <w:pStyle w:val="Listepuces2"/>
        <w:numPr>
          <w:ilvl w:val="0"/>
          <w:numId w:val="64"/>
        </w:numPr>
        <w:rPr>
          <w:rFonts w:asciiTheme="minorHAnsi" w:hAnsiTheme="minorHAnsi" w:cstheme="minorHAnsi"/>
          <w:lang w:val="fr-FR"/>
        </w:rPr>
      </w:pPr>
      <w:r w:rsidRPr="00E66FAB">
        <w:rPr>
          <w:rFonts w:asciiTheme="minorHAnsi" w:hAnsiTheme="minorHAnsi" w:cstheme="minorHAnsi"/>
          <w:lang w:val="fr-FR"/>
        </w:rPr>
        <w:t>qu’aucun cocontractant ne revendiquera le bénéfice de tout ou partie de droits de propriété intellectuelle sur des inventions, connaissances ou résultats que la Société détient en propre ou en copropriété, ou sur lesquels elle serait amenée à bénéficier d’une licence ; ou</w:t>
      </w:r>
    </w:p>
    <w:p w14:paraId="06D086C6" w14:textId="77777777" w:rsidR="00F46C7B" w:rsidRPr="00E66FAB" w:rsidRDefault="00F46C7B" w:rsidP="00434C49">
      <w:pPr>
        <w:pStyle w:val="Listepuces2"/>
        <w:numPr>
          <w:ilvl w:val="0"/>
          <w:numId w:val="64"/>
        </w:numPr>
        <w:rPr>
          <w:rFonts w:asciiTheme="minorHAnsi" w:hAnsiTheme="minorHAnsi" w:cstheme="minorHAnsi"/>
          <w:lang w:val="fr-FR"/>
        </w:rPr>
      </w:pPr>
      <w:r w:rsidRPr="00E66FAB">
        <w:rPr>
          <w:rFonts w:asciiTheme="minorHAnsi" w:hAnsiTheme="minorHAnsi" w:cstheme="minorHAnsi"/>
          <w:lang w:val="fr-FR"/>
        </w:rPr>
        <w:t>que des salariés de la Société ne revendiqueront pas des droits ou le paiement d’un complément de rémunération ou d’un juste prix en contrepartie des inventions à la création desquelles ils ont participés.</w:t>
      </w:r>
    </w:p>
    <w:p w14:paraId="08CF1EF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réalisation de l’un ou de plusieurs de ces risques pourrait avoir un effet défavorable significatif sur l’activité, les perspectives, la situation financière, les résultats et le développement de la Société.</w:t>
      </w:r>
    </w:p>
    <w:p w14:paraId="0CE2C232"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 mise en jeu de la responsabilité du fait des produits</w:t>
      </w:r>
    </w:p>
    <w:p w14:paraId="7240A5F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pourrait être exposée à des risques de mise en jeu de sa responsabilité lors du développement clinique de ses produits, en particulier la responsabilité du fait des produits, liée aux essais et à la fabrication de produits thérapeutiques chez l’homme et chez l’animal. Sa responsabilité pourrait ainsi être engagée par des patients participant aux essais cliniques dans le cadre du développement des produits thérapeutiques testés et des effets secondaires inattendus résultant de l’administration de ces produits.</w:t>
      </w:r>
    </w:p>
    <w:p w14:paraId="352B0E1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responsabilité de la Société pourrait également être engagée dans la phase de commercialisation de ses produits. Des plaintes pénales ou des poursuites judiciaires pourraient être déposées ou engagées contre la Société par des patients, les agences réglementaires, des sociétés pharmaceutiques et tout autre tiers utilisant ou commercialisant ses produits. Ces actions peuvent inclure des réclamations résultant d’actes de ses partenaires, licenciés et sous-traitants, sur lesquels la Société n’exerce pas ou peu de contrôle.</w:t>
      </w:r>
    </w:p>
    <w:p w14:paraId="4FC7F51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ne peut garantir que les assurances souscrites (se référer au paragraphe ci-dessous « Assurances et couvertures des risques ») ou que les engagements d’indemnisation, le cas échéant contractuellement plafonnés, consentis par ses sous-traitants seront suffisants pour répondre aux actions en responsabilité qui pourraient être engagées contre elle.</w:t>
      </w:r>
    </w:p>
    <w:p w14:paraId="4512A62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Si sa responsabilité ou celle de ses partenaires, licenciés et sous-traitants était ainsi mise en cause, si elle-même ou si ses partenaires, licenciés et sous-traitants n’étaient pas en mesure d’obtenir et de maintenir une couverture d’assurance appropriée à un coût acceptable, ou de se prémunir d’une manière quelconque contre des actions en responsabilité, ceci aurait pour conséquence d’affecter gravement la commercialisation des produits de la Société et plus généralement de nuire à ses activités, ses résultats, sa situation financière et ses perspectives de développement.</w:t>
      </w:r>
    </w:p>
    <w:p w14:paraId="777C4F53"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à des conflits potentiels pouvant affecter les relations de la Société avec ses licenciés potentiels</w:t>
      </w:r>
    </w:p>
    <w:p w14:paraId="76FC0F5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stratégie de la Société pour certains de ses produits en développement, notamment ABX196 et ABX464 est de licencier ces derniers à des laboratoires pharmaceutiques. La conclusion de contrats de licence et leur devenir sont donc importants pour la Société.</w:t>
      </w:r>
    </w:p>
    <w:p w14:paraId="3EE5AE43"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Or, des conflits peuvent apparaître avec les licenciés durant l</w:t>
      </w:r>
      <w:r w:rsidR="004572A0" w:rsidRPr="00C73365">
        <w:rPr>
          <w:rFonts w:asciiTheme="minorHAnsi" w:hAnsiTheme="minorHAnsi" w:cstheme="minorHAnsi"/>
          <w:lang w:val="fr-FR"/>
        </w:rPr>
        <w:t>’</w:t>
      </w:r>
      <w:r w:rsidRPr="00C73365">
        <w:rPr>
          <w:rFonts w:asciiTheme="minorHAnsi" w:hAnsiTheme="minorHAnsi" w:cstheme="minorHAnsi"/>
          <w:lang w:val="fr-FR"/>
        </w:rPr>
        <w:t>exécution des contrats les liant à la Société, qui sont susceptibles d</w:t>
      </w:r>
      <w:r w:rsidR="004572A0" w:rsidRPr="00C73365">
        <w:rPr>
          <w:rFonts w:asciiTheme="minorHAnsi" w:hAnsiTheme="minorHAnsi" w:cstheme="minorHAnsi"/>
          <w:lang w:val="fr-FR"/>
        </w:rPr>
        <w:t>’</w:t>
      </w:r>
      <w:r w:rsidRPr="00C73365">
        <w:rPr>
          <w:rFonts w:asciiTheme="minorHAnsi" w:hAnsiTheme="minorHAnsi" w:cstheme="minorHAnsi"/>
          <w:lang w:val="fr-FR"/>
        </w:rPr>
        <w:t>affecter leur poursuite et par conséquent la fabrication et la commercialisation des produits développés par la Société. Il pourrait s</w:t>
      </w:r>
      <w:r w:rsidR="004572A0" w:rsidRPr="00C73365">
        <w:rPr>
          <w:rFonts w:asciiTheme="minorHAnsi" w:hAnsiTheme="minorHAnsi" w:cstheme="minorHAnsi"/>
          <w:lang w:val="fr-FR"/>
        </w:rPr>
        <w:t>’</w:t>
      </w:r>
      <w:r w:rsidRPr="00C73365">
        <w:rPr>
          <w:rFonts w:asciiTheme="minorHAnsi" w:hAnsiTheme="minorHAnsi" w:cstheme="minorHAnsi"/>
          <w:lang w:val="fr-FR"/>
        </w:rPr>
        <w:t>agir de conflits concernant les conditions de conclusion des contrats ou la bonne exécution, par l</w:t>
      </w:r>
      <w:r w:rsidR="004572A0" w:rsidRPr="00C73365">
        <w:rPr>
          <w:rFonts w:asciiTheme="minorHAnsi" w:hAnsiTheme="minorHAnsi" w:cstheme="minorHAnsi"/>
          <w:lang w:val="fr-FR"/>
        </w:rPr>
        <w:t>’</w:t>
      </w:r>
      <w:r w:rsidRPr="00C73365">
        <w:rPr>
          <w:rFonts w:asciiTheme="minorHAnsi" w:hAnsiTheme="minorHAnsi" w:cstheme="minorHAnsi"/>
          <w:lang w:val="fr-FR"/>
        </w:rPr>
        <w:t>une ou l</w:t>
      </w:r>
      <w:r w:rsidR="004572A0" w:rsidRPr="00C73365">
        <w:rPr>
          <w:rFonts w:asciiTheme="minorHAnsi" w:hAnsiTheme="minorHAnsi" w:cstheme="minorHAnsi"/>
          <w:lang w:val="fr-FR"/>
        </w:rPr>
        <w:t>’</w:t>
      </w:r>
      <w:r w:rsidRPr="00C73365">
        <w:rPr>
          <w:rFonts w:asciiTheme="minorHAnsi" w:hAnsiTheme="minorHAnsi" w:cstheme="minorHAnsi"/>
          <w:lang w:val="fr-FR"/>
        </w:rPr>
        <w:t>autre des parties, de ses obligations au titre de ces contrats. De tels conflits d’intérêt pourraient affecter significativement l’activité, la situation financière, les résultats, le développement et les perspectives de la Société.</w:t>
      </w:r>
    </w:p>
    <w:p w14:paraId="0C5B0D98"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statut d’établissement pharmaceutique de la Société ou de ses fabricants</w:t>
      </w:r>
    </w:p>
    <w:p w14:paraId="1C253E1D"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ne dispose pas à ce jour du statut d’établissement pharmaceutique et ne peut donc ni fabriquer les médicaments qu’elle développe ni envisager directement leur exploitation commerciale. L’obtention du statut d’établissement pharmaceutique nécessite la soumission d’un dossier de demande auprès de l’ANSM qui ne l’accorde qu’après examen de ce dossier et évaluation, généralement après vérification, que la Société dispose des locaux adéquats, du personnel nécessaire et d’une organisation adaptée avec des procédures satisfaisantes pour réaliser les activités pharmaceutiques envisagées.</w:t>
      </w:r>
    </w:p>
    <w:p w14:paraId="5BCC935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Il est à noter qu’il existe plusieurs types de statut d</w:t>
      </w:r>
      <w:r w:rsidR="004572A0" w:rsidRPr="00C73365">
        <w:rPr>
          <w:rFonts w:asciiTheme="minorHAnsi" w:hAnsiTheme="minorHAnsi" w:cstheme="minorHAnsi"/>
          <w:lang w:val="fr-FR"/>
        </w:rPr>
        <w:t>’</w:t>
      </w:r>
      <w:r w:rsidRPr="00C73365">
        <w:rPr>
          <w:rFonts w:asciiTheme="minorHAnsi" w:hAnsiTheme="minorHAnsi" w:cstheme="minorHAnsi"/>
          <w:lang w:val="fr-FR"/>
        </w:rPr>
        <w:t>établissement pharmaceutique :</w:t>
      </w:r>
    </w:p>
    <w:p w14:paraId="523E0C6F" w14:textId="77777777" w:rsidR="00F46C7B" w:rsidRPr="00E66FAB" w:rsidRDefault="00F46C7B" w:rsidP="00434C49">
      <w:pPr>
        <w:pStyle w:val="Listepuces2"/>
        <w:numPr>
          <w:ilvl w:val="0"/>
          <w:numId w:val="65"/>
        </w:numPr>
        <w:rPr>
          <w:rFonts w:asciiTheme="minorHAnsi" w:hAnsiTheme="minorHAnsi" w:cstheme="minorHAnsi"/>
          <w:lang w:val="fr-FR"/>
        </w:rPr>
      </w:pPr>
      <w:r w:rsidRPr="00E66FAB">
        <w:rPr>
          <w:rFonts w:asciiTheme="minorHAnsi" w:hAnsiTheme="minorHAnsi" w:cstheme="minorHAnsi"/>
          <w:lang w:val="fr-FR"/>
        </w:rPr>
        <w:t>le statut d</w:t>
      </w:r>
      <w:r w:rsidR="004572A0" w:rsidRPr="00E66FAB">
        <w:rPr>
          <w:rFonts w:asciiTheme="minorHAnsi" w:hAnsiTheme="minorHAnsi" w:cstheme="minorHAnsi"/>
          <w:lang w:val="fr-FR"/>
        </w:rPr>
        <w:t>’</w:t>
      </w:r>
      <w:r w:rsidRPr="00E66FAB">
        <w:rPr>
          <w:rFonts w:asciiTheme="minorHAnsi" w:hAnsiTheme="minorHAnsi" w:cstheme="minorHAnsi"/>
          <w:lang w:val="fr-FR"/>
        </w:rPr>
        <w:t>exploitant pouvant être obtenu dans un délai assez court - quelques mois - à partir du moment où la demande est déposée : ce statut d</w:t>
      </w:r>
      <w:r w:rsidR="004572A0" w:rsidRPr="00E66FAB">
        <w:rPr>
          <w:rFonts w:asciiTheme="minorHAnsi" w:hAnsiTheme="minorHAnsi" w:cstheme="minorHAnsi"/>
          <w:lang w:val="fr-FR"/>
        </w:rPr>
        <w:t>’</w:t>
      </w:r>
      <w:r w:rsidRPr="00E66FAB">
        <w:rPr>
          <w:rFonts w:asciiTheme="minorHAnsi" w:hAnsiTheme="minorHAnsi" w:cstheme="minorHAnsi"/>
          <w:lang w:val="fr-FR"/>
        </w:rPr>
        <w:t>établissement pharmaceutique exploitant qui nécessite la mise en place de procédures spécifiques de pharmacovigilance, de suivi des réclamations, de rappels de lots, et de contrôle de la publicité notamment, permet de commercialiser les médicaments et d</w:t>
      </w:r>
      <w:r w:rsidR="004572A0" w:rsidRPr="00E66FAB">
        <w:rPr>
          <w:rFonts w:asciiTheme="minorHAnsi" w:hAnsiTheme="minorHAnsi" w:cstheme="minorHAnsi"/>
          <w:lang w:val="fr-FR"/>
        </w:rPr>
        <w:t>’</w:t>
      </w:r>
      <w:r w:rsidRPr="00E66FAB">
        <w:rPr>
          <w:rFonts w:asciiTheme="minorHAnsi" w:hAnsiTheme="minorHAnsi" w:cstheme="minorHAnsi"/>
          <w:lang w:val="fr-FR"/>
        </w:rPr>
        <w:t>en assurer la promotion ;</w:t>
      </w:r>
    </w:p>
    <w:p w14:paraId="316FDA43" w14:textId="77777777" w:rsidR="00F46C7B" w:rsidRPr="00E66FAB" w:rsidRDefault="00F46C7B" w:rsidP="00434C49">
      <w:pPr>
        <w:pStyle w:val="Listepuces2"/>
        <w:numPr>
          <w:ilvl w:val="0"/>
          <w:numId w:val="65"/>
        </w:numPr>
        <w:rPr>
          <w:rFonts w:asciiTheme="minorHAnsi" w:hAnsiTheme="minorHAnsi" w:cstheme="minorHAnsi"/>
          <w:lang w:val="fr-FR"/>
        </w:rPr>
      </w:pPr>
      <w:r w:rsidRPr="00E66FAB">
        <w:rPr>
          <w:rFonts w:asciiTheme="minorHAnsi" w:hAnsiTheme="minorHAnsi" w:cstheme="minorHAnsi"/>
          <w:lang w:val="fr-FR"/>
        </w:rPr>
        <w:t xml:space="preserve">le statut de fabricant qui lui, nécessite de disposer de locaux adaptés de fabrication et de contrôle, de personnel habilité et de tout un système d’Assurance Qualité satisfaisant aux Bonnes Pratiques de Fabrication. </w:t>
      </w:r>
    </w:p>
    <w:p w14:paraId="2B15114F"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Si la Société n’obtenait pas le statut d’exploitant pharmaceutique, elle ne pourrait mener une approche commerciale directe du marché français et devrait donc conclure des accords de licences de commercialisation avec des sociétés pharmaceutiques. La non-obtention du statut d’établissement pharmaceutique aurait </w:t>
      </w:r>
      <w:r w:rsidR="004F6A1E" w:rsidRPr="00C73365">
        <w:rPr>
          <w:rFonts w:asciiTheme="minorHAnsi" w:hAnsiTheme="minorHAnsi" w:cstheme="minorHAnsi"/>
          <w:lang w:val="fr-FR"/>
        </w:rPr>
        <w:t>cependant à</w:t>
      </w:r>
      <w:r w:rsidRPr="00C73365">
        <w:rPr>
          <w:rFonts w:asciiTheme="minorHAnsi" w:hAnsiTheme="minorHAnsi" w:cstheme="minorHAnsi"/>
          <w:lang w:val="fr-FR"/>
        </w:rPr>
        <w:t xml:space="preserve"> court et moyen terme une conséquence limitée sur ses perspectives de développement, ses activités, ses résultats et sa situation financière.</w:t>
      </w:r>
    </w:p>
    <w:p w14:paraId="6245DCCA" w14:textId="77777777"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41" w:name="_Toc402884122"/>
      <w:bookmarkStart w:id="42" w:name="_Toc462673229"/>
      <w:bookmarkStart w:id="43" w:name="_Toc467835575"/>
      <w:bookmarkStart w:id="44" w:name="_Toc510548400"/>
      <w:r w:rsidRPr="00C93577">
        <w:rPr>
          <w:rFonts w:asciiTheme="minorHAnsi" w:hAnsiTheme="minorHAnsi" w:cstheme="minorHAnsi"/>
          <w:sz w:val="22"/>
          <w:szCs w:val="22"/>
          <w:lang w:val="fr-FR"/>
        </w:rPr>
        <w:t>Risques industriels</w:t>
      </w:r>
      <w:bookmarkEnd w:id="41"/>
      <w:bookmarkEnd w:id="42"/>
      <w:bookmarkEnd w:id="43"/>
      <w:bookmarkEnd w:id="44"/>
    </w:p>
    <w:p w14:paraId="2D340A19"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l’utilisation de produits dangereux pour la santé et/ou pour l’environnement</w:t>
      </w:r>
    </w:p>
    <w:p w14:paraId="40743D5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Les activités de la Société comportent l’entreposage, la manipulation, l’utilisation et le traitement contrôlés de matières dangereuses, de toxines, d’agents chimiques et biologiques. </w:t>
      </w:r>
    </w:p>
    <w:p w14:paraId="46613D45"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Il existe donc non seulement des risques environnementaux liés à la contamination de l’environnement mais aussi des risques en termes de santé (notamment maladies professionnelles) liés à la manipulation par les salariés de la Société de produits actifs ou de produits toxiques lors de la recherche et de la fabrication de produits. Ces risques existent aussi pour les tiers avec lesquels la Société travaille.</w:t>
      </w:r>
    </w:p>
    <w:p w14:paraId="1B7848AD" w14:textId="77777777" w:rsidR="00F46C7B" w:rsidRPr="00C73365" w:rsidRDefault="00F46C7B" w:rsidP="004572A0">
      <w:pPr>
        <w:pStyle w:val="Corpsdetexte"/>
        <w:rPr>
          <w:rFonts w:asciiTheme="minorHAnsi" w:hAnsiTheme="minorHAnsi" w:cstheme="minorHAnsi"/>
          <w:szCs w:val="22"/>
          <w:lang w:val="fr-FR"/>
        </w:rPr>
      </w:pPr>
      <w:r w:rsidRPr="00C73365">
        <w:rPr>
          <w:rFonts w:asciiTheme="minorHAnsi" w:hAnsiTheme="minorHAnsi" w:cstheme="minorHAnsi"/>
          <w:lang w:val="fr-FR"/>
        </w:rPr>
        <w:t>Bien que la Société estime que les mesures de sécurité qu’elle prend au titre de la manutention et du traitement des matières dangereuses satisfont aux normes en vigueur et permettent à ses salariés et sous-traitants d’exercer leur activité dans de bonnes conditions d’environnement, de santé et de sécurité, le risque de contamination accidentelle ou de maladies professionnelles lié à la manipulation de matières dangereuses ne peut être complètement éliminé. En cas d’accident, la Société pourrait être tenue responsable de tout dommage en résultant et la responsabilité encourue pourrait excéder le plafond des assurances souscrites par la Société, voire ne pas être couverte par les polices d’assurance souscrites.</w:t>
      </w:r>
    </w:p>
    <w:p w14:paraId="7088C8B2" w14:textId="77777777"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45" w:name="_Toc402884123"/>
      <w:bookmarkStart w:id="46" w:name="_Toc462673230"/>
      <w:bookmarkStart w:id="47" w:name="_Toc467835576"/>
      <w:bookmarkStart w:id="48" w:name="_Toc510548401"/>
      <w:r w:rsidRPr="00C73365">
        <w:rPr>
          <w:rFonts w:asciiTheme="minorHAnsi" w:hAnsiTheme="minorHAnsi" w:cstheme="minorHAnsi"/>
          <w:sz w:val="22"/>
          <w:szCs w:val="22"/>
          <w:lang w:val="fr-FR"/>
        </w:rPr>
        <w:lastRenderedPageBreak/>
        <w:t>Risques financiers</w:t>
      </w:r>
      <w:bookmarkEnd w:id="45"/>
      <w:bookmarkEnd w:id="46"/>
      <w:bookmarkEnd w:id="47"/>
      <w:bookmarkEnd w:id="48"/>
    </w:p>
    <w:p w14:paraId="4A88492D"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aux pertes historiques et futures</w:t>
      </w:r>
    </w:p>
    <w:p w14:paraId="696C2E91" w14:textId="77777777" w:rsidR="00F46C7B" w:rsidRPr="00C73365" w:rsidRDefault="007C607C" w:rsidP="004572A0">
      <w:pPr>
        <w:pStyle w:val="Corpsdetexte"/>
        <w:rPr>
          <w:rFonts w:asciiTheme="minorHAnsi" w:hAnsiTheme="minorHAnsi" w:cstheme="minorHAnsi"/>
          <w:lang w:val="fr-FR"/>
        </w:rPr>
      </w:pPr>
      <w:r w:rsidRPr="00C73365">
        <w:rPr>
          <w:rFonts w:asciiTheme="minorHAnsi" w:hAnsiTheme="minorHAnsi" w:cstheme="minorHAnsi"/>
          <w:lang w:val="fr-FR"/>
        </w:rPr>
        <w:t>Depuis sa création, la Société a enregistré des pertes</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r w:rsidR="00357A37" w:rsidRPr="00C73365">
        <w:rPr>
          <w:rFonts w:asciiTheme="minorHAnsi" w:hAnsiTheme="minorHAnsi" w:cstheme="minorHAnsi"/>
          <w:lang w:val="fr-FR"/>
        </w:rPr>
        <w:t>-</w:t>
      </w:r>
      <w:r w:rsidR="001B2A74" w:rsidRPr="00C73365">
        <w:rPr>
          <w:rFonts w:asciiTheme="minorHAnsi" w:hAnsiTheme="minorHAnsi" w:cstheme="minorHAnsi"/>
          <w:lang w:val="fr-FR"/>
        </w:rPr>
        <w:t>11 223</w:t>
      </w:r>
      <w:r w:rsidR="008E256B"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008E256B" w:rsidRPr="00C73365">
        <w:rPr>
          <w:rFonts w:asciiTheme="minorHAnsi" w:hAnsiTheme="minorHAnsi" w:cstheme="minorHAnsi"/>
          <w:lang w:val="fr-FR"/>
        </w:rPr>
        <w:t xml:space="preserve"> en 2017,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14 308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 ;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15 954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2015,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5 080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2014 et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2013.</w:t>
      </w:r>
    </w:p>
    <w:p w14:paraId="76436E1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devrait connaître, tant qu’elle ne génère pas des revenus provenant de son activité commerciale ou d’accords de licence avec des partenaires, des pertes opérationnelles plus importantes que par le passé du fait :</w:t>
      </w:r>
    </w:p>
    <w:p w14:paraId="13E3DE33" w14:textId="77777777" w:rsidR="00F46C7B" w:rsidRPr="00E66FAB" w:rsidRDefault="00F46C7B" w:rsidP="00434C49">
      <w:pPr>
        <w:pStyle w:val="Listepuces2"/>
        <w:numPr>
          <w:ilvl w:val="0"/>
          <w:numId w:val="66"/>
        </w:numPr>
        <w:rPr>
          <w:rFonts w:asciiTheme="minorHAnsi" w:hAnsiTheme="minorHAnsi" w:cstheme="minorHAnsi"/>
          <w:lang w:val="fr-FR"/>
        </w:rPr>
      </w:pPr>
      <w:r w:rsidRPr="00E66FAB">
        <w:rPr>
          <w:rFonts w:asciiTheme="minorHAnsi" w:hAnsiTheme="minorHAnsi" w:cstheme="minorHAnsi"/>
          <w:lang w:val="fr-FR"/>
        </w:rPr>
        <w:t>des programmes d’études précliniques et cliniques programmés ;</w:t>
      </w:r>
    </w:p>
    <w:p w14:paraId="27CFFCA8" w14:textId="77777777" w:rsidR="00F46C7B" w:rsidRPr="00E66FAB" w:rsidRDefault="00F46C7B" w:rsidP="00434C49">
      <w:pPr>
        <w:pStyle w:val="Listepuces2"/>
        <w:numPr>
          <w:ilvl w:val="0"/>
          <w:numId w:val="66"/>
        </w:numPr>
        <w:rPr>
          <w:rFonts w:asciiTheme="minorHAnsi" w:hAnsiTheme="minorHAnsi" w:cstheme="minorHAnsi"/>
          <w:lang w:val="fr-FR"/>
        </w:rPr>
      </w:pPr>
      <w:r w:rsidRPr="00E66FAB">
        <w:rPr>
          <w:rFonts w:asciiTheme="minorHAnsi" w:hAnsiTheme="minorHAnsi" w:cstheme="minorHAnsi"/>
          <w:lang w:val="fr-FR"/>
        </w:rPr>
        <w:t>de la nécessité d’entreprendre de nouveaux essais précliniques et cliniques pour aborder de nouveaux segments de marchés ;</w:t>
      </w:r>
    </w:p>
    <w:p w14:paraId="711C805C" w14:textId="77777777" w:rsidR="00F46C7B" w:rsidRPr="00E66FAB" w:rsidRDefault="00F46C7B" w:rsidP="00434C49">
      <w:pPr>
        <w:pStyle w:val="Listepuces2"/>
        <w:numPr>
          <w:ilvl w:val="0"/>
          <w:numId w:val="66"/>
        </w:numPr>
        <w:rPr>
          <w:rFonts w:asciiTheme="minorHAnsi" w:hAnsiTheme="minorHAnsi" w:cstheme="minorHAnsi"/>
          <w:lang w:val="fr-FR"/>
        </w:rPr>
      </w:pPr>
      <w:r w:rsidRPr="00E66FAB">
        <w:rPr>
          <w:rFonts w:asciiTheme="minorHAnsi" w:hAnsiTheme="minorHAnsi" w:cstheme="minorHAnsi"/>
          <w:lang w:val="fr-FR"/>
        </w:rPr>
        <w:t>de l’ensemble des démarches qu’il y aura lieu d’engager en vue de l’obtention des autorisations de mises sur le marché et de dossiers de demandes d’accès des produits au</w:t>
      </w:r>
      <w:r w:rsidR="00617B2C" w:rsidRPr="00E66FAB">
        <w:rPr>
          <w:rFonts w:asciiTheme="minorHAnsi" w:hAnsiTheme="minorHAnsi" w:cstheme="minorHAnsi"/>
          <w:lang w:val="fr-FR"/>
        </w:rPr>
        <w:t>x</w:t>
      </w:r>
      <w:r w:rsidRPr="00E66FAB">
        <w:rPr>
          <w:rFonts w:asciiTheme="minorHAnsi" w:hAnsiTheme="minorHAnsi" w:cstheme="minorHAnsi"/>
          <w:lang w:val="fr-FR"/>
        </w:rPr>
        <w:t xml:space="preserve"> remboursement</w:t>
      </w:r>
      <w:r w:rsidR="00617B2C" w:rsidRPr="00E66FAB">
        <w:rPr>
          <w:rFonts w:asciiTheme="minorHAnsi" w:hAnsiTheme="minorHAnsi" w:cstheme="minorHAnsi"/>
          <w:lang w:val="fr-FR"/>
        </w:rPr>
        <w:t>s</w:t>
      </w:r>
      <w:r w:rsidRPr="00E66FAB">
        <w:rPr>
          <w:rFonts w:asciiTheme="minorHAnsi" w:hAnsiTheme="minorHAnsi" w:cstheme="minorHAnsi"/>
          <w:lang w:val="fr-FR"/>
        </w:rPr>
        <w:t xml:space="preserve"> ;</w:t>
      </w:r>
    </w:p>
    <w:p w14:paraId="6D7546A0" w14:textId="77777777" w:rsidR="00F46C7B" w:rsidRPr="00E66FAB" w:rsidRDefault="00F46C7B" w:rsidP="00434C49">
      <w:pPr>
        <w:pStyle w:val="Listepuces2"/>
        <w:numPr>
          <w:ilvl w:val="0"/>
          <w:numId w:val="66"/>
        </w:numPr>
        <w:rPr>
          <w:rFonts w:asciiTheme="minorHAnsi" w:hAnsiTheme="minorHAnsi" w:cstheme="minorHAnsi"/>
          <w:lang w:val="fr-FR"/>
        </w:rPr>
      </w:pPr>
      <w:r w:rsidRPr="00E66FAB">
        <w:rPr>
          <w:rFonts w:asciiTheme="minorHAnsi" w:hAnsiTheme="minorHAnsi" w:cstheme="minorHAnsi"/>
          <w:lang w:val="fr-FR"/>
        </w:rPr>
        <w:t xml:space="preserve">de l’accroissement des exigences réglementaires encadrant la fabrication </w:t>
      </w:r>
      <w:r w:rsidR="00617B2C" w:rsidRPr="00E66FAB">
        <w:rPr>
          <w:rFonts w:asciiTheme="minorHAnsi" w:hAnsiTheme="minorHAnsi" w:cstheme="minorHAnsi"/>
          <w:lang w:val="fr-FR"/>
        </w:rPr>
        <w:t>des</w:t>
      </w:r>
      <w:r w:rsidRPr="00E66FAB">
        <w:rPr>
          <w:rFonts w:asciiTheme="minorHAnsi" w:hAnsiTheme="minorHAnsi" w:cstheme="minorHAnsi"/>
          <w:lang w:val="fr-FR"/>
        </w:rPr>
        <w:t xml:space="preserve"> produits ;</w:t>
      </w:r>
    </w:p>
    <w:p w14:paraId="4723560B" w14:textId="77777777" w:rsidR="00F46C7B" w:rsidRPr="00E66FAB" w:rsidRDefault="00F46C7B" w:rsidP="00434C49">
      <w:pPr>
        <w:pStyle w:val="Listepuces2"/>
        <w:numPr>
          <w:ilvl w:val="0"/>
          <w:numId w:val="66"/>
        </w:numPr>
        <w:rPr>
          <w:rFonts w:asciiTheme="minorHAnsi" w:hAnsiTheme="minorHAnsi" w:cstheme="minorHAnsi"/>
          <w:lang w:val="fr-FR"/>
        </w:rPr>
      </w:pPr>
      <w:r w:rsidRPr="00E66FAB">
        <w:rPr>
          <w:rFonts w:asciiTheme="minorHAnsi" w:hAnsiTheme="minorHAnsi" w:cstheme="minorHAnsi"/>
          <w:lang w:val="fr-FR"/>
        </w:rPr>
        <w:t>d</w:t>
      </w:r>
      <w:r w:rsidR="00617B2C" w:rsidRPr="00E66FAB">
        <w:rPr>
          <w:rFonts w:asciiTheme="minorHAnsi" w:hAnsiTheme="minorHAnsi" w:cstheme="minorHAnsi"/>
          <w:lang w:val="fr-FR"/>
        </w:rPr>
        <w:t>’</w:t>
      </w:r>
      <w:r w:rsidRPr="00E66FAB">
        <w:rPr>
          <w:rFonts w:asciiTheme="minorHAnsi" w:hAnsiTheme="minorHAnsi" w:cstheme="minorHAnsi"/>
          <w:lang w:val="fr-FR"/>
        </w:rPr>
        <w:t>éventuelles dépenses marketing et ventes à engager en fonction du degré d’avancement de développement des produits ;</w:t>
      </w:r>
    </w:p>
    <w:p w14:paraId="31A8CFD2" w14:textId="77777777" w:rsidR="00F46C7B" w:rsidRPr="00E66FAB" w:rsidRDefault="00F46C7B" w:rsidP="00434C49">
      <w:pPr>
        <w:pStyle w:val="Listepuces2"/>
        <w:numPr>
          <w:ilvl w:val="0"/>
          <w:numId w:val="66"/>
        </w:numPr>
        <w:rPr>
          <w:rFonts w:asciiTheme="minorHAnsi" w:hAnsiTheme="minorHAnsi" w:cstheme="minorHAnsi"/>
          <w:lang w:val="fr-FR"/>
        </w:rPr>
      </w:pPr>
      <w:r w:rsidRPr="00E66FAB">
        <w:rPr>
          <w:rFonts w:asciiTheme="minorHAnsi" w:hAnsiTheme="minorHAnsi" w:cstheme="minorHAnsi"/>
          <w:lang w:val="fr-FR"/>
        </w:rPr>
        <w:t>de la poursuite d’une politique de recherche et développement active pouvant passer par l’acquisition et/ou la mise au point de nouvelles technologies, produits ou licences.</w:t>
      </w:r>
    </w:p>
    <w:p w14:paraId="34396D60"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augmentation des pertes opérationnelles pourrait avoir un effet défavorable significatif sur la Société, son activité, sa situation financière, ses résultats, son développement et ses perspectives.</w:t>
      </w:r>
    </w:p>
    <w:p w14:paraId="1A25DDA9"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Ressources incertaines en capitaux et financements complémentaires incertains</w:t>
      </w:r>
    </w:p>
    <w:p w14:paraId="39B5517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continuera dans le futur d</w:t>
      </w:r>
      <w:r w:rsidR="004572A0" w:rsidRPr="00C73365">
        <w:rPr>
          <w:rFonts w:asciiTheme="minorHAnsi" w:hAnsiTheme="minorHAnsi" w:cstheme="minorHAnsi"/>
          <w:lang w:val="fr-FR"/>
        </w:rPr>
        <w:t>’</w:t>
      </w:r>
      <w:r w:rsidRPr="00C73365">
        <w:rPr>
          <w:rFonts w:asciiTheme="minorHAnsi" w:hAnsiTheme="minorHAnsi" w:cstheme="minorHAnsi"/>
          <w:lang w:val="fr-FR"/>
        </w:rPr>
        <w:t>avoir des besoins de financement importants pour le développement de ses technologies. Il se pourrait que la Société se trouve dans l</w:t>
      </w:r>
      <w:r w:rsidR="004572A0" w:rsidRPr="00C73365">
        <w:rPr>
          <w:rFonts w:asciiTheme="minorHAnsi" w:hAnsiTheme="minorHAnsi" w:cstheme="minorHAnsi"/>
          <w:lang w:val="fr-FR"/>
        </w:rPr>
        <w:t>’</w:t>
      </w:r>
      <w:r w:rsidRPr="00C73365">
        <w:rPr>
          <w:rFonts w:asciiTheme="minorHAnsi" w:hAnsiTheme="minorHAnsi" w:cstheme="minorHAnsi"/>
          <w:lang w:val="fr-FR"/>
        </w:rPr>
        <w:t>incapacité d</w:t>
      </w:r>
      <w:r w:rsidR="004572A0" w:rsidRPr="00C73365">
        <w:rPr>
          <w:rFonts w:asciiTheme="minorHAnsi" w:hAnsiTheme="minorHAnsi" w:cstheme="minorHAnsi"/>
          <w:lang w:val="fr-FR"/>
        </w:rPr>
        <w:t>’</w:t>
      </w:r>
      <w:r w:rsidRPr="00C73365">
        <w:rPr>
          <w:rFonts w:asciiTheme="minorHAnsi" w:hAnsiTheme="minorHAnsi" w:cstheme="minorHAnsi"/>
          <w:lang w:val="fr-FR"/>
        </w:rPr>
        <w:t>autofinancer sa croissance ce qui la conduirait à rechercher d</w:t>
      </w:r>
      <w:r w:rsidR="004572A0" w:rsidRPr="00C73365">
        <w:rPr>
          <w:rFonts w:asciiTheme="minorHAnsi" w:hAnsiTheme="minorHAnsi" w:cstheme="minorHAnsi"/>
          <w:lang w:val="fr-FR"/>
        </w:rPr>
        <w:t>’</w:t>
      </w:r>
      <w:r w:rsidRPr="00C73365">
        <w:rPr>
          <w:rFonts w:asciiTheme="minorHAnsi" w:hAnsiTheme="minorHAnsi" w:cstheme="minorHAnsi"/>
          <w:lang w:val="fr-FR"/>
        </w:rPr>
        <w:t>autres sources de financement, moyennant le renforcement de ses fonds propres par voie d’augmentation de capital et/ou souscription d’emprunts bancaires.</w:t>
      </w:r>
    </w:p>
    <w:p w14:paraId="7C024CF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niveau des besoins de financement de la Société et leur échelonnement dans le temps dépendent d</w:t>
      </w:r>
      <w:r w:rsidR="004572A0" w:rsidRPr="00C73365">
        <w:rPr>
          <w:rFonts w:asciiTheme="minorHAnsi" w:hAnsiTheme="minorHAnsi" w:cstheme="minorHAnsi"/>
          <w:lang w:val="fr-FR"/>
        </w:rPr>
        <w:t>’</w:t>
      </w:r>
      <w:r w:rsidRPr="00C73365">
        <w:rPr>
          <w:rFonts w:asciiTheme="minorHAnsi" w:hAnsiTheme="minorHAnsi" w:cstheme="minorHAnsi"/>
          <w:lang w:val="fr-FR"/>
        </w:rPr>
        <w:t>éléments qui échappent largement au contrôle de la Société tels que :</w:t>
      </w:r>
    </w:p>
    <w:p w14:paraId="7F4F95AA" w14:textId="77777777" w:rsidR="00F46C7B" w:rsidRPr="00E66FAB" w:rsidRDefault="00F46C7B" w:rsidP="00434C49">
      <w:pPr>
        <w:pStyle w:val="Listepuces2"/>
        <w:numPr>
          <w:ilvl w:val="0"/>
          <w:numId w:val="71"/>
        </w:numPr>
        <w:rPr>
          <w:rFonts w:asciiTheme="minorHAnsi" w:hAnsiTheme="minorHAnsi" w:cstheme="minorHAnsi"/>
          <w:lang w:val="fr-FR"/>
        </w:rPr>
      </w:pPr>
      <w:r w:rsidRPr="00E66FAB">
        <w:rPr>
          <w:rFonts w:asciiTheme="minorHAnsi" w:hAnsiTheme="minorHAnsi" w:cstheme="minorHAnsi"/>
          <w:lang w:val="fr-FR"/>
        </w:rPr>
        <w:t>des coûts plus élevés et des progrès plus lents que ceux escomptés pour ses programmes de recherche et de développement et d</w:t>
      </w:r>
      <w:r w:rsidR="004572A0" w:rsidRPr="00E66FAB">
        <w:rPr>
          <w:rFonts w:asciiTheme="minorHAnsi" w:hAnsiTheme="minorHAnsi" w:cstheme="minorHAnsi"/>
          <w:lang w:val="fr-FR"/>
        </w:rPr>
        <w:t>’</w:t>
      </w:r>
      <w:r w:rsidRPr="00E66FAB">
        <w:rPr>
          <w:rFonts w:asciiTheme="minorHAnsi" w:hAnsiTheme="minorHAnsi" w:cstheme="minorHAnsi"/>
          <w:lang w:val="fr-FR"/>
        </w:rPr>
        <w:t>études cliniques ;</w:t>
      </w:r>
    </w:p>
    <w:p w14:paraId="2B2D975D" w14:textId="77777777" w:rsidR="00F46C7B" w:rsidRPr="00E66FAB" w:rsidRDefault="00F46C7B" w:rsidP="00434C49">
      <w:pPr>
        <w:pStyle w:val="Listepuces2"/>
        <w:numPr>
          <w:ilvl w:val="0"/>
          <w:numId w:val="71"/>
        </w:numPr>
        <w:rPr>
          <w:rFonts w:asciiTheme="minorHAnsi" w:hAnsiTheme="minorHAnsi" w:cstheme="minorHAnsi"/>
          <w:lang w:val="fr-FR"/>
        </w:rPr>
      </w:pPr>
      <w:r w:rsidRPr="00E66FAB">
        <w:rPr>
          <w:rFonts w:asciiTheme="minorHAnsi" w:hAnsiTheme="minorHAnsi" w:cstheme="minorHAnsi"/>
          <w:lang w:val="fr-FR"/>
        </w:rPr>
        <w:t>des coûts de préparation, de dépôt, de défense et de maintenance de ses brevets et autres droits de propriété intellectuelle ;</w:t>
      </w:r>
    </w:p>
    <w:p w14:paraId="0F14A753" w14:textId="77777777" w:rsidR="00F46C7B" w:rsidRPr="00E66FAB" w:rsidRDefault="00F46C7B" w:rsidP="00434C49">
      <w:pPr>
        <w:pStyle w:val="Listepuces2"/>
        <w:numPr>
          <w:ilvl w:val="0"/>
          <w:numId w:val="71"/>
        </w:numPr>
        <w:rPr>
          <w:rFonts w:asciiTheme="minorHAnsi" w:hAnsiTheme="minorHAnsi" w:cstheme="minorHAnsi"/>
          <w:lang w:val="fr-FR"/>
        </w:rPr>
      </w:pPr>
      <w:r w:rsidRPr="00E66FAB">
        <w:rPr>
          <w:rFonts w:asciiTheme="minorHAnsi" w:hAnsiTheme="minorHAnsi" w:cstheme="minorHAnsi"/>
          <w:lang w:val="fr-FR"/>
        </w:rPr>
        <w:t>de l’ampleur des travaux de recherche préalables et des délais nécessaires à la signature d’accords de licences avec des partenaires industriels ;</w:t>
      </w:r>
    </w:p>
    <w:p w14:paraId="2663DB25" w14:textId="77777777" w:rsidR="00F46C7B" w:rsidRPr="00E66FAB" w:rsidRDefault="00F46C7B" w:rsidP="00434C49">
      <w:pPr>
        <w:pStyle w:val="Listepuces2"/>
        <w:numPr>
          <w:ilvl w:val="0"/>
          <w:numId w:val="71"/>
        </w:numPr>
        <w:rPr>
          <w:rFonts w:asciiTheme="minorHAnsi" w:hAnsiTheme="minorHAnsi" w:cstheme="minorHAnsi"/>
          <w:lang w:val="fr-FR"/>
        </w:rPr>
      </w:pPr>
      <w:r w:rsidRPr="00E66FAB">
        <w:rPr>
          <w:rFonts w:asciiTheme="minorHAnsi" w:hAnsiTheme="minorHAnsi" w:cstheme="minorHAnsi"/>
          <w:lang w:val="fr-FR"/>
        </w:rPr>
        <w:t>des coûts nécessaires pour répondre aux développements technologiques et des marchés ;</w:t>
      </w:r>
    </w:p>
    <w:p w14:paraId="5FDAD290" w14:textId="77777777" w:rsidR="00F46C7B" w:rsidRPr="00E66FAB" w:rsidRDefault="00F46C7B" w:rsidP="00434C49">
      <w:pPr>
        <w:pStyle w:val="Listepuces2"/>
        <w:numPr>
          <w:ilvl w:val="0"/>
          <w:numId w:val="71"/>
        </w:numPr>
        <w:rPr>
          <w:rFonts w:asciiTheme="minorHAnsi" w:hAnsiTheme="minorHAnsi" w:cstheme="minorHAnsi"/>
          <w:lang w:val="fr-FR"/>
        </w:rPr>
      </w:pPr>
      <w:r w:rsidRPr="00E66FAB">
        <w:rPr>
          <w:rFonts w:asciiTheme="minorHAnsi" w:hAnsiTheme="minorHAnsi" w:cstheme="minorHAnsi"/>
          <w:lang w:val="fr-FR"/>
        </w:rPr>
        <w:t>des coûts plus élevés et des délais plus longs que ceux escomptés pour l</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obtention des autorisations réglementaires, y compris le temps de préparation des dossiers de demandes auprès des autorités compétentes ; </w:t>
      </w:r>
    </w:p>
    <w:p w14:paraId="68CCBA06" w14:textId="77777777" w:rsidR="00F46C7B" w:rsidRPr="00E66FAB" w:rsidRDefault="00F46C7B" w:rsidP="00434C49">
      <w:pPr>
        <w:pStyle w:val="Listepuces2"/>
        <w:numPr>
          <w:ilvl w:val="0"/>
          <w:numId w:val="71"/>
        </w:numPr>
        <w:rPr>
          <w:rFonts w:asciiTheme="minorHAnsi" w:hAnsiTheme="minorHAnsi" w:cstheme="minorHAnsi"/>
          <w:lang w:val="fr-FR"/>
        </w:rPr>
      </w:pPr>
      <w:r w:rsidRPr="00E66FAB">
        <w:rPr>
          <w:rFonts w:asciiTheme="minorHAnsi" w:hAnsiTheme="minorHAnsi" w:cstheme="minorHAnsi"/>
          <w:lang w:val="fr-FR"/>
        </w:rPr>
        <w:t>des opportunités nouvelles de développement de nouveaux produits ou d</w:t>
      </w:r>
      <w:r w:rsidR="004572A0" w:rsidRPr="00E66FAB">
        <w:rPr>
          <w:rFonts w:asciiTheme="minorHAnsi" w:hAnsiTheme="minorHAnsi" w:cstheme="minorHAnsi"/>
          <w:lang w:val="fr-FR"/>
        </w:rPr>
        <w:t>’</w:t>
      </w:r>
      <w:r w:rsidRPr="00E66FAB">
        <w:rPr>
          <w:rFonts w:asciiTheme="minorHAnsi" w:hAnsiTheme="minorHAnsi" w:cstheme="minorHAnsi"/>
          <w:lang w:val="fr-FR"/>
        </w:rPr>
        <w:t>acquisition de technologies, de produits ou de sociétés.</w:t>
      </w:r>
    </w:p>
    <w:p w14:paraId="11095E9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 xml:space="preserve">Il se peut que la Société ne parvienne pas à se procurer des capitaux supplémentaires </w:t>
      </w:r>
      <w:r w:rsidR="00B77E34" w:rsidRPr="00C73365">
        <w:rPr>
          <w:rFonts w:asciiTheme="minorHAnsi" w:hAnsiTheme="minorHAnsi" w:cstheme="minorHAnsi"/>
          <w:lang w:val="fr-FR"/>
        </w:rPr>
        <w:t xml:space="preserve">au moment où elle en aura </w:t>
      </w:r>
      <w:r w:rsidRPr="00C73365">
        <w:rPr>
          <w:rFonts w:asciiTheme="minorHAnsi" w:hAnsiTheme="minorHAnsi" w:cstheme="minorHAnsi"/>
          <w:lang w:val="fr-FR"/>
        </w:rPr>
        <w:t>besoin, ou que ces capitaux ne soient pas disponibles à des conditions financières acceptables pour la Société. Si les fonds nécessaires n</w:t>
      </w:r>
      <w:r w:rsidR="004572A0" w:rsidRPr="00C73365">
        <w:rPr>
          <w:rFonts w:asciiTheme="minorHAnsi" w:hAnsiTheme="minorHAnsi" w:cstheme="minorHAnsi"/>
          <w:lang w:val="fr-FR"/>
        </w:rPr>
        <w:t>’</w:t>
      </w:r>
      <w:r w:rsidRPr="00C73365">
        <w:rPr>
          <w:rFonts w:asciiTheme="minorHAnsi" w:hAnsiTheme="minorHAnsi" w:cstheme="minorHAnsi"/>
          <w:lang w:val="fr-FR"/>
        </w:rPr>
        <w:t>étaient pas disponibles, la Société pourrait devoir :</w:t>
      </w:r>
    </w:p>
    <w:p w14:paraId="2F7F45C3" w14:textId="77777777" w:rsidR="00F46C7B" w:rsidRPr="00E66FAB" w:rsidRDefault="00F46C7B" w:rsidP="00434C49">
      <w:pPr>
        <w:pStyle w:val="Listepuces2"/>
        <w:numPr>
          <w:ilvl w:val="0"/>
          <w:numId w:val="67"/>
        </w:numPr>
        <w:rPr>
          <w:rFonts w:asciiTheme="minorHAnsi" w:hAnsiTheme="minorHAnsi" w:cstheme="minorHAnsi"/>
          <w:lang w:val="fr-FR"/>
        </w:rPr>
      </w:pPr>
      <w:r w:rsidRPr="00E66FAB">
        <w:rPr>
          <w:rFonts w:asciiTheme="minorHAnsi" w:hAnsiTheme="minorHAnsi" w:cstheme="minorHAnsi"/>
          <w:lang w:val="fr-FR"/>
        </w:rPr>
        <w:t>retarder, réduire ou supprimer des programmes de recherches ;</w:t>
      </w:r>
    </w:p>
    <w:p w14:paraId="40A4216E" w14:textId="77777777" w:rsidR="00F46C7B" w:rsidRPr="00E66FAB" w:rsidRDefault="00F46C7B" w:rsidP="00434C49">
      <w:pPr>
        <w:pStyle w:val="Listepuces2"/>
        <w:numPr>
          <w:ilvl w:val="0"/>
          <w:numId w:val="67"/>
        </w:numPr>
        <w:rPr>
          <w:rFonts w:asciiTheme="minorHAnsi" w:hAnsiTheme="minorHAnsi" w:cstheme="minorHAnsi"/>
          <w:lang w:val="fr-FR"/>
        </w:rPr>
      </w:pPr>
      <w:r w:rsidRPr="00E66FAB">
        <w:rPr>
          <w:rFonts w:asciiTheme="minorHAnsi" w:hAnsiTheme="minorHAnsi" w:cstheme="minorHAnsi"/>
          <w:lang w:val="fr-FR"/>
        </w:rPr>
        <w:t>obtenir des fonds par le biais d</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accords de partenariat qui pourraient la contraindre à renoncer à des droits sur certaines de ses technologies ou certains de ses produits ; </w:t>
      </w:r>
    </w:p>
    <w:p w14:paraId="73A35FC2" w14:textId="77777777" w:rsidR="00F46C7B" w:rsidRPr="00E66FAB" w:rsidRDefault="00F46C7B" w:rsidP="00434C49">
      <w:pPr>
        <w:pStyle w:val="Listepuces2"/>
        <w:numPr>
          <w:ilvl w:val="0"/>
          <w:numId w:val="67"/>
        </w:numPr>
        <w:rPr>
          <w:rFonts w:asciiTheme="minorHAnsi" w:hAnsiTheme="minorHAnsi" w:cstheme="minorHAnsi"/>
          <w:lang w:val="fr-FR"/>
        </w:rPr>
      </w:pPr>
      <w:r w:rsidRPr="00E66FAB">
        <w:rPr>
          <w:rFonts w:asciiTheme="minorHAnsi" w:hAnsiTheme="minorHAnsi" w:cstheme="minorHAnsi"/>
          <w:lang w:val="fr-FR"/>
        </w:rPr>
        <w:t>accorder des licences sur tout ou</w:t>
      </w:r>
      <w:r w:rsidR="00B77E34" w:rsidRPr="00E66FAB">
        <w:rPr>
          <w:rFonts w:asciiTheme="minorHAnsi" w:hAnsiTheme="minorHAnsi" w:cstheme="minorHAnsi"/>
          <w:lang w:val="fr-FR"/>
        </w:rPr>
        <w:t xml:space="preserve"> une</w:t>
      </w:r>
      <w:r w:rsidRPr="00E66FAB">
        <w:rPr>
          <w:rFonts w:asciiTheme="minorHAnsi" w:hAnsiTheme="minorHAnsi" w:cstheme="minorHAnsi"/>
          <w:lang w:val="fr-FR"/>
        </w:rPr>
        <w:t xml:space="preserve"> partie de ses technologies à des partenaires ou des tiers ;</w:t>
      </w:r>
    </w:p>
    <w:p w14:paraId="5D9D9DC5" w14:textId="77777777" w:rsidR="00F46C7B" w:rsidRPr="00E66FAB" w:rsidRDefault="00F46C7B" w:rsidP="00434C49">
      <w:pPr>
        <w:pStyle w:val="Listepuces2"/>
        <w:numPr>
          <w:ilvl w:val="0"/>
          <w:numId w:val="67"/>
        </w:numPr>
        <w:rPr>
          <w:rFonts w:asciiTheme="minorHAnsi" w:hAnsiTheme="minorHAnsi" w:cstheme="minorHAnsi"/>
          <w:lang w:val="fr-FR"/>
        </w:rPr>
      </w:pPr>
      <w:r w:rsidRPr="00E66FAB">
        <w:rPr>
          <w:rFonts w:asciiTheme="minorHAnsi" w:hAnsiTheme="minorHAnsi" w:cstheme="minorHAnsi"/>
          <w:lang w:val="fr-FR"/>
        </w:rPr>
        <w:t>conclure de nouveaux accords de collaboration qui pourraient être moins favorables pour elle que ceux qu</w:t>
      </w:r>
      <w:r w:rsidR="004572A0" w:rsidRPr="00E66FAB">
        <w:rPr>
          <w:rFonts w:asciiTheme="minorHAnsi" w:hAnsiTheme="minorHAnsi" w:cstheme="minorHAnsi"/>
          <w:lang w:val="fr-FR"/>
        </w:rPr>
        <w:t>’</w:t>
      </w:r>
      <w:r w:rsidRPr="00E66FAB">
        <w:rPr>
          <w:rFonts w:asciiTheme="minorHAnsi" w:hAnsiTheme="minorHAnsi" w:cstheme="minorHAnsi"/>
          <w:lang w:val="fr-FR"/>
        </w:rPr>
        <w:t>elle aurait pu obtenir dans un contexte différent.</w:t>
      </w:r>
    </w:p>
    <w:p w14:paraId="02BA77FF"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De plus, dans la mesure où la Société lèverait des capitaux par émission</w:t>
      </w:r>
      <w:r w:rsidR="00B77E34" w:rsidRPr="00C73365">
        <w:rPr>
          <w:rFonts w:asciiTheme="minorHAnsi" w:hAnsiTheme="minorHAnsi" w:cstheme="minorHAnsi"/>
          <w:lang w:val="fr-FR"/>
        </w:rPr>
        <w:t xml:space="preserve"> de nouvelles </w:t>
      </w:r>
      <w:r w:rsidRPr="00C73365">
        <w:rPr>
          <w:rFonts w:asciiTheme="minorHAnsi" w:hAnsiTheme="minorHAnsi" w:cstheme="minorHAnsi"/>
          <w:lang w:val="fr-FR"/>
        </w:rPr>
        <w:t>actions, la participation de ses actionnaires pourrait être diluée. Le financement par endettement, dans la mesure où il serait disponible, pourrait par ailleurs comprendre des conditions restrictives pour la Société et ses actionnaires.</w:t>
      </w:r>
    </w:p>
    <w:p w14:paraId="469A148E"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réalisation de l</w:t>
      </w:r>
      <w:r w:rsidR="004572A0" w:rsidRPr="00C73365">
        <w:rPr>
          <w:rFonts w:asciiTheme="minorHAnsi" w:hAnsiTheme="minorHAnsi" w:cstheme="minorHAnsi"/>
          <w:lang w:val="fr-FR"/>
        </w:rPr>
        <w:t>’</w:t>
      </w:r>
      <w:r w:rsidRPr="00C73365">
        <w:rPr>
          <w:rFonts w:asciiTheme="minorHAnsi" w:hAnsiTheme="minorHAnsi" w:cstheme="minorHAnsi"/>
          <w:lang w:val="fr-FR"/>
        </w:rPr>
        <w:t>un ou de plusieurs de ces risques pourrait avoir un effet défavorable significatif sur la Société, son activité, sa situation financière, ses résultats, son développement et ses perspectives.</w:t>
      </w:r>
    </w:p>
    <w:p w14:paraId="201357CB"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l’accès à des subventions et avances remboursables</w:t>
      </w:r>
      <w:r w:rsidR="0011727E" w:rsidRPr="00C73365">
        <w:rPr>
          <w:rFonts w:asciiTheme="minorHAnsi" w:hAnsiTheme="minorHAnsi" w:cstheme="minorHAnsi"/>
          <w:b/>
          <w:color w:val="7030A0"/>
          <w:lang w:val="fr-FR"/>
        </w:rPr>
        <w:t xml:space="preserve"> </w:t>
      </w:r>
    </w:p>
    <w:p w14:paraId="211BC6D0"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a bénéficié de diverses subventions et avances remboursables dans le cadre :</w:t>
      </w:r>
    </w:p>
    <w:p w14:paraId="41A6D8A7" w14:textId="77777777" w:rsidR="00F46C7B" w:rsidRPr="00C73365" w:rsidRDefault="00F46C7B" w:rsidP="00434C49">
      <w:pPr>
        <w:pStyle w:val="Liste2"/>
        <w:numPr>
          <w:ilvl w:val="0"/>
          <w:numId w:val="68"/>
        </w:numPr>
        <w:rPr>
          <w:rFonts w:asciiTheme="minorHAnsi" w:hAnsiTheme="minorHAnsi" w:cstheme="minorHAnsi"/>
          <w:lang w:val="fr-FR"/>
        </w:rPr>
      </w:pPr>
      <w:r w:rsidRPr="00C73365">
        <w:rPr>
          <w:rFonts w:asciiTheme="minorHAnsi" w:hAnsiTheme="minorHAnsi" w:cstheme="minorHAnsi"/>
          <w:lang w:val="fr-FR"/>
        </w:rPr>
        <w:t xml:space="preserve">du développement de nouveaux adjuvants vaccinaux et de leurs évaluations cliniques dans l’oncologie et </w:t>
      </w:r>
      <w:r w:rsidR="001A1286" w:rsidRPr="00C73365">
        <w:rPr>
          <w:rFonts w:asciiTheme="minorHAnsi" w:hAnsiTheme="minorHAnsi" w:cstheme="minorHAnsi"/>
          <w:lang w:val="fr-FR"/>
        </w:rPr>
        <w:t>l</w:t>
      </w:r>
      <w:r w:rsidRPr="00C73365">
        <w:rPr>
          <w:rFonts w:asciiTheme="minorHAnsi" w:hAnsiTheme="minorHAnsi" w:cstheme="minorHAnsi"/>
          <w:lang w:val="fr-FR"/>
        </w:rPr>
        <w:t xml:space="preserve">es maladies infectieuses en continuation avec l’aide A 08 05 001G (Aide à l’innovation A 10 06 002G </w:t>
      </w:r>
      <w:r w:rsidR="000A4880" w:rsidRPr="00C73365">
        <w:rPr>
          <w:rFonts w:asciiTheme="minorHAnsi" w:hAnsiTheme="minorHAnsi" w:cstheme="minorHAnsi"/>
          <w:lang w:val="fr-FR"/>
        </w:rPr>
        <w:t xml:space="preserve">de 800000 € </w:t>
      </w:r>
      <w:r w:rsidRPr="00C73365">
        <w:rPr>
          <w:rFonts w:asciiTheme="minorHAnsi" w:hAnsiTheme="minorHAnsi" w:cstheme="minorHAnsi"/>
          <w:lang w:val="fr-FR"/>
        </w:rPr>
        <w:t xml:space="preserve">sous forme d’avance remboursable financée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le fonds FEDER – </w:t>
      </w:r>
      <w:r w:rsidR="003002F9" w:rsidRPr="00C73365">
        <w:rPr>
          <w:rFonts w:asciiTheme="minorHAnsi" w:hAnsiTheme="minorHAnsi" w:cstheme="minorHAnsi"/>
          <w:lang w:val="fr-FR"/>
        </w:rPr>
        <w:t>A ce jour, r</w:t>
      </w:r>
      <w:r w:rsidRPr="00C73365">
        <w:rPr>
          <w:rFonts w:asciiTheme="minorHAnsi" w:hAnsiTheme="minorHAnsi" w:cstheme="minorHAnsi"/>
          <w:lang w:val="fr-FR"/>
        </w:rPr>
        <w:t xml:space="preserve">emboursement </w:t>
      </w:r>
      <w:r w:rsidR="000A4880" w:rsidRPr="00C73365">
        <w:rPr>
          <w:rFonts w:asciiTheme="minorHAnsi" w:hAnsiTheme="minorHAnsi" w:cstheme="minorHAnsi"/>
          <w:lang w:val="fr-FR"/>
        </w:rPr>
        <w:t>effectu</w:t>
      </w:r>
      <w:r w:rsidR="003002F9" w:rsidRPr="00C73365">
        <w:rPr>
          <w:rFonts w:asciiTheme="minorHAnsi" w:hAnsiTheme="minorHAnsi" w:cstheme="minorHAnsi"/>
          <w:lang w:val="fr-FR"/>
        </w:rPr>
        <w:t>é</w:t>
      </w:r>
      <w:r w:rsidR="000A4880" w:rsidRPr="00C73365">
        <w:rPr>
          <w:rFonts w:asciiTheme="minorHAnsi" w:hAnsiTheme="minorHAnsi" w:cstheme="minorHAnsi"/>
          <w:lang w:val="fr-FR"/>
        </w:rPr>
        <w:t xml:space="preserve"> </w:t>
      </w:r>
      <w:r w:rsidRPr="00C73365">
        <w:rPr>
          <w:rFonts w:asciiTheme="minorHAnsi" w:hAnsiTheme="minorHAnsi" w:cstheme="minorHAnsi"/>
          <w:lang w:val="fr-FR"/>
        </w:rPr>
        <w:t>en intégralité) ;</w:t>
      </w:r>
    </w:p>
    <w:p w14:paraId="38D25643" w14:textId="77777777" w:rsidR="00F46C7B" w:rsidRPr="00C73365" w:rsidRDefault="00F46C7B" w:rsidP="00434C49">
      <w:pPr>
        <w:pStyle w:val="Liste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de solutions thérapeutiques ciblant l’épissage alternatif de l’interférence de l’ARN dans le domaine de la virologie et du métabolisme</w:t>
      </w:r>
      <w:r w:rsidR="007D4DA8" w:rsidRPr="00C73365">
        <w:rPr>
          <w:rFonts w:asciiTheme="minorHAnsi" w:hAnsiTheme="minorHAnsi" w:cstheme="minorHAnsi"/>
          <w:lang w:val="fr-FR"/>
        </w:rPr>
        <w:t xml:space="preserve"> : </w:t>
      </w:r>
      <w:r w:rsidRPr="00C73365">
        <w:rPr>
          <w:rFonts w:asciiTheme="minorHAnsi" w:hAnsiTheme="minorHAnsi" w:cstheme="minorHAnsi"/>
          <w:lang w:val="fr-FR"/>
        </w:rPr>
        <w:t xml:space="preserve">projet ISI « CaReNA »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avec des subventions et d</w:t>
      </w:r>
      <w:r w:rsidR="007D4DA8" w:rsidRPr="00C73365">
        <w:rPr>
          <w:rFonts w:asciiTheme="minorHAnsi" w:hAnsiTheme="minorHAnsi" w:cstheme="minorHAnsi"/>
          <w:lang w:val="fr-FR"/>
        </w:rPr>
        <w:t xml:space="preserve">es </w:t>
      </w:r>
      <w:r w:rsidRPr="00C73365">
        <w:rPr>
          <w:rFonts w:asciiTheme="minorHAnsi" w:hAnsiTheme="minorHAnsi" w:cstheme="minorHAnsi"/>
          <w:lang w:val="fr-FR"/>
        </w:rPr>
        <w:t>avances remboursables – En cas de succès</w:t>
      </w:r>
      <w:r w:rsidR="007D4DA8" w:rsidRPr="00C73365">
        <w:rPr>
          <w:rFonts w:asciiTheme="minorHAnsi" w:hAnsiTheme="minorHAnsi" w:cstheme="minorHAnsi"/>
          <w:lang w:val="fr-FR"/>
        </w:rPr>
        <w:t>,</w:t>
      </w:r>
      <w:r w:rsidRPr="00C73365">
        <w:rPr>
          <w:rFonts w:asciiTheme="minorHAnsi" w:hAnsiTheme="minorHAnsi" w:cstheme="minorHAnsi"/>
          <w:lang w:val="fr-FR"/>
        </w:rPr>
        <w:t xml:space="preserve"> remboursement </w:t>
      </w:r>
      <w:r w:rsidR="00BC440C" w:rsidRPr="00C73365">
        <w:rPr>
          <w:rFonts w:asciiTheme="minorHAnsi" w:hAnsiTheme="minorHAnsi" w:cstheme="minorHAnsi"/>
          <w:lang w:val="fr-FR"/>
        </w:rPr>
        <w:t>des avances remboursables</w:t>
      </w:r>
      <w:r w:rsidRPr="00C73365">
        <w:rPr>
          <w:rFonts w:asciiTheme="minorHAnsi" w:hAnsiTheme="minorHAnsi" w:cstheme="minorHAnsi"/>
          <w:lang w:val="fr-FR"/>
        </w:rPr>
        <w:t xml:space="preserve"> pour un montant </w:t>
      </w:r>
      <w:r w:rsidR="00484456" w:rsidRPr="00C73365">
        <w:rPr>
          <w:rFonts w:asciiTheme="minorHAnsi" w:hAnsiTheme="minorHAnsi" w:cstheme="minorHAnsi"/>
          <w:lang w:val="fr-FR"/>
        </w:rPr>
        <w:t xml:space="preserve">initial </w:t>
      </w:r>
      <w:r w:rsidR="00BC440C" w:rsidRPr="00C73365">
        <w:rPr>
          <w:rFonts w:asciiTheme="minorHAnsi" w:hAnsiTheme="minorHAnsi" w:cstheme="minorHAnsi"/>
          <w:lang w:val="fr-FR"/>
        </w:rPr>
        <w:t xml:space="preserve">maximum </w:t>
      </w:r>
      <w:r w:rsidRPr="00C73365">
        <w:rPr>
          <w:rFonts w:asciiTheme="minorHAnsi" w:hAnsiTheme="minorHAnsi" w:cstheme="minorHAnsi"/>
          <w:lang w:val="fr-FR"/>
        </w:rPr>
        <w:t xml:space="preserve">de 4 397 000 € </w:t>
      </w:r>
      <w:r w:rsidR="00BC440C" w:rsidRPr="00C73365">
        <w:rPr>
          <w:rFonts w:asciiTheme="minorHAnsi" w:hAnsiTheme="minorHAnsi" w:cstheme="minorHAnsi"/>
          <w:lang w:val="fr-FR"/>
        </w:rPr>
        <w:t xml:space="preserve">(actuellement évalué à 3 473 984 €) </w:t>
      </w:r>
      <w:r w:rsidRPr="00C73365">
        <w:rPr>
          <w:rFonts w:asciiTheme="minorHAnsi" w:hAnsiTheme="minorHAnsi" w:cstheme="minorHAnsi"/>
          <w:lang w:val="fr-FR"/>
        </w:rPr>
        <w:t>et versements complémentaires plafonnés dans le temps et en montants, sur la base des chiffres d’affaires dégagés par le programme</w:t>
      </w:r>
      <w:r w:rsidR="00BC440C" w:rsidRPr="00C73365">
        <w:rPr>
          <w:rFonts w:asciiTheme="minorHAnsi" w:hAnsiTheme="minorHAnsi" w:cstheme="minorHAnsi"/>
          <w:lang w:val="fr-FR"/>
        </w:rPr>
        <w:t>.</w:t>
      </w:r>
      <w:r w:rsidRPr="00C73365">
        <w:rPr>
          <w:rFonts w:asciiTheme="minorHAnsi" w:hAnsiTheme="minorHAnsi" w:cstheme="minorHAnsi"/>
          <w:lang w:val="fr-FR"/>
        </w:rPr>
        <w:t> </w:t>
      </w:r>
    </w:p>
    <w:p w14:paraId="784408C6" w14:textId="77777777" w:rsidR="00F46C7B" w:rsidRPr="00C73365" w:rsidRDefault="00F46C7B" w:rsidP="00434C49">
      <w:pPr>
        <w:pStyle w:val="Liste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d’une plateforme destinée à l’identification de molécules antivirales par l’ajout de briques technologiques (robotisation du criblage phénotypique, mise en place de techniques d’imageries pour l’identification de la cible protéique, internalisation des analyses protéomiques/transcriptomiques, enrichissement de la chimiothèque) afin d’optimiser et d’accélérer la découverte de traitements antiviraux innovants</w:t>
      </w:r>
      <w:r w:rsidR="007D4DA8" w:rsidRPr="00C73365">
        <w:rPr>
          <w:rFonts w:asciiTheme="minorHAnsi" w:hAnsiTheme="minorHAnsi" w:cstheme="minorHAnsi"/>
          <w:lang w:val="fr-FR"/>
        </w:rPr>
        <w:t xml:space="preserve"> : </w:t>
      </w:r>
      <w:r w:rsidRPr="00C73365">
        <w:rPr>
          <w:rFonts w:asciiTheme="minorHAnsi" w:hAnsiTheme="minorHAnsi" w:cstheme="minorHAnsi"/>
          <w:lang w:val="fr-FR"/>
        </w:rPr>
        <w:t xml:space="preserve">projet </w:t>
      </w:r>
      <w:r w:rsidR="007E4584" w:rsidRPr="00C73365">
        <w:rPr>
          <w:rFonts w:asciiTheme="minorHAnsi" w:hAnsiTheme="minorHAnsi" w:cstheme="minorHAnsi"/>
          <w:lang w:val="fr-FR"/>
        </w:rPr>
        <w:t>P</w:t>
      </w:r>
      <w:r w:rsidR="000E5435" w:rsidRPr="00C73365">
        <w:rPr>
          <w:rFonts w:asciiTheme="minorHAnsi" w:hAnsiTheme="minorHAnsi" w:cstheme="minorHAnsi"/>
          <w:lang w:val="fr-FR"/>
        </w:rPr>
        <w:t>SPC</w:t>
      </w:r>
      <w:r w:rsidR="007E4584" w:rsidRPr="00C73365">
        <w:rPr>
          <w:rFonts w:asciiTheme="minorHAnsi" w:hAnsiTheme="minorHAnsi" w:cstheme="minorHAnsi"/>
          <w:lang w:val="fr-FR"/>
        </w:rPr>
        <w:t xml:space="preserve"> </w:t>
      </w:r>
      <w:r w:rsidRPr="00C73365">
        <w:rPr>
          <w:rFonts w:asciiTheme="minorHAnsi" w:hAnsiTheme="minorHAnsi" w:cstheme="minorHAnsi"/>
          <w:lang w:val="fr-FR"/>
        </w:rPr>
        <w:t xml:space="preserve">« RNP-VIR »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avec subventions et avances remboursables - En cas de succès remboursement de l’aide pour un montant </w:t>
      </w:r>
      <w:r w:rsidR="00484456" w:rsidRPr="00C73365">
        <w:rPr>
          <w:rFonts w:asciiTheme="minorHAnsi" w:hAnsiTheme="minorHAnsi" w:cstheme="minorHAnsi"/>
          <w:lang w:val="fr-FR"/>
        </w:rPr>
        <w:t xml:space="preserve">initial </w:t>
      </w:r>
      <w:r w:rsidR="00BC440C" w:rsidRPr="00C73365">
        <w:rPr>
          <w:rFonts w:asciiTheme="minorHAnsi" w:hAnsiTheme="minorHAnsi" w:cstheme="minorHAnsi"/>
          <w:lang w:val="fr-FR"/>
        </w:rPr>
        <w:t xml:space="preserve">maximum </w:t>
      </w:r>
      <w:r w:rsidRPr="00C73365">
        <w:rPr>
          <w:rFonts w:asciiTheme="minorHAnsi" w:hAnsiTheme="minorHAnsi" w:cstheme="minorHAnsi"/>
          <w:lang w:val="fr-FR"/>
        </w:rPr>
        <w:t xml:space="preserve">de 6 576 000 € </w:t>
      </w:r>
      <w:r w:rsidR="00BC440C" w:rsidRPr="00C73365">
        <w:rPr>
          <w:rFonts w:asciiTheme="minorHAnsi" w:hAnsiTheme="minorHAnsi" w:cstheme="minorHAnsi"/>
          <w:lang w:val="fr-FR"/>
        </w:rPr>
        <w:t xml:space="preserve">(actuellement évalué à 6 348 217 €) </w:t>
      </w:r>
      <w:r w:rsidRPr="00C73365">
        <w:rPr>
          <w:rFonts w:asciiTheme="minorHAnsi" w:hAnsiTheme="minorHAnsi" w:cstheme="minorHAnsi"/>
          <w:lang w:val="fr-FR"/>
        </w:rPr>
        <w:t>et versements complémentaires plafonnés dans le temps et en montants, sur la base des chiffres d’affaires dégagés par le programme.</w:t>
      </w:r>
    </w:p>
    <w:p w14:paraId="65119C39" w14:textId="77777777" w:rsidR="00CC4478" w:rsidRPr="00C73365" w:rsidRDefault="00CC4478" w:rsidP="00434C49">
      <w:pPr>
        <w:pStyle w:val="Liste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d’un traitement basé sur un cocktail d’anticorps polyclonaux contre le virus EBOLA (</w:t>
      </w:r>
      <w:r w:rsidR="00E32CFE" w:rsidRPr="00C73365">
        <w:rPr>
          <w:rFonts w:asciiTheme="minorHAnsi" w:hAnsiTheme="minorHAnsi" w:cstheme="minorHAnsi"/>
          <w:lang w:val="fr-FR"/>
        </w:rPr>
        <w:t>ABX544</w:t>
      </w:r>
      <w:r w:rsidRPr="00C73365">
        <w:rPr>
          <w:rFonts w:asciiTheme="minorHAnsi" w:hAnsiTheme="minorHAnsi" w:cstheme="minorHAnsi"/>
          <w:lang w:val="fr-FR"/>
        </w:rPr>
        <w:t xml:space="preserve">) - POC in vitro et in vivo (rongeur) des anticorps (projet conjointement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la région Occitanie avec des avances remboursables –</w:t>
      </w:r>
      <w:r w:rsidR="006D4CAC" w:rsidRPr="00C73365">
        <w:rPr>
          <w:rFonts w:asciiTheme="minorHAnsi" w:hAnsiTheme="minorHAnsi" w:cstheme="minorHAnsi"/>
          <w:lang w:val="fr-FR"/>
        </w:rPr>
        <w:t xml:space="preserve"> </w:t>
      </w:r>
      <w:r w:rsidRPr="00C73365">
        <w:rPr>
          <w:rFonts w:asciiTheme="minorHAnsi" w:hAnsiTheme="minorHAnsi" w:cstheme="minorHAnsi"/>
          <w:lang w:val="fr-FR"/>
        </w:rPr>
        <w:t xml:space="preserve">remboursement de l’aide pour un montant de </w:t>
      </w:r>
      <w:r w:rsidR="006D4CAC" w:rsidRPr="00C73365">
        <w:rPr>
          <w:rFonts w:asciiTheme="minorHAnsi" w:hAnsiTheme="minorHAnsi" w:cstheme="minorHAnsi"/>
          <w:lang w:val="fr-FR"/>
        </w:rPr>
        <w:t>390 000 €)</w:t>
      </w:r>
    </w:p>
    <w:p w14:paraId="362FD264" w14:textId="23F061BB" w:rsidR="00E92A57"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A l’avenir, la Société entend continuer à solliciter des subventions et des avances remboursables afin d’accélérer son développement.</w:t>
      </w:r>
    </w:p>
    <w:p w14:paraId="57E21667" w14:textId="77777777" w:rsidR="00E92A57" w:rsidRDefault="00E92A57">
      <w:pPr>
        <w:spacing w:after="160" w:line="259" w:lineRule="auto"/>
        <w:jc w:val="left"/>
        <w:rPr>
          <w:rFonts w:asciiTheme="minorHAnsi" w:hAnsiTheme="minorHAnsi" w:cstheme="minorHAnsi"/>
          <w:szCs w:val="20"/>
          <w:lang w:val="fr-FR"/>
        </w:rPr>
      </w:pPr>
      <w:r>
        <w:rPr>
          <w:rFonts w:asciiTheme="minorHAnsi" w:hAnsiTheme="minorHAnsi" w:cstheme="minorHAnsi"/>
          <w:lang w:val="fr-FR"/>
        </w:rPr>
        <w:br w:type="page"/>
      </w:r>
    </w:p>
    <w:p w14:paraId="1563779C" w14:textId="77777777" w:rsidR="00E92A57" w:rsidRPr="00C73365" w:rsidRDefault="00E92A57" w:rsidP="004572A0">
      <w:pPr>
        <w:pStyle w:val="Corpsdetexte"/>
        <w:rPr>
          <w:rFonts w:asciiTheme="minorHAnsi" w:hAnsiTheme="minorHAnsi" w:cstheme="minorHAnsi"/>
          <w:lang w:val="fr-FR"/>
        </w:rPr>
      </w:pPr>
    </w:p>
    <w:p w14:paraId="601481A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Au </w:t>
      </w:r>
      <w:r w:rsidR="007E4584" w:rsidRPr="00C73365">
        <w:rPr>
          <w:rFonts w:asciiTheme="minorHAnsi" w:hAnsiTheme="minorHAnsi" w:cstheme="minorHAnsi"/>
          <w:lang w:val="fr-FR"/>
        </w:rPr>
        <w:t>31 décembre</w:t>
      </w:r>
      <w:r w:rsidRPr="00C73365">
        <w:rPr>
          <w:rFonts w:asciiTheme="minorHAnsi" w:hAnsiTheme="minorHAnsi" w:cstheme="minorHAnsi"/>
          <w:lang w:val="fr-FR"/>
        </w:rPr>
        <w:t xml:space="preserve"> </w:t>
      </w:r>
      <w:r w:rsidR="006A5CED"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depuis sa création, la Société a bénéficié des aides suivantes, décrites au chapitre 22 : </w:t>
      </w:r>
    </w:p>
    <w:tbl>
      <w:tblPr>
        <w:tblW w:w="10314" w:type="dxa"/>
        <w:tblLook w:val="04A0" w:firstRow="1" w:lastRow="0" w:firstColumn="1" w:lastColumn="0" w:noHBand="0" w:noVBand="1"/>
      </w:tblPr>
      <w:tblGrid>
        <w:gridCol w:w="3227"/>
        <w:gridCol w:w="1408"/>
        <w:gridCol w:w="877"/>
        <w:gridCol w:w="1096"/>
        <w:gridCol w:w="1057"/>
        <w:gridCol w:w="1135"/>
        <w:gridCol w:w="1514"/>
      </w:tblGrid>
      <w:tr w:rsidR="0085274D" w:rsidRPr="0030056F" w14:paraId="60CC1521" w14:textId="77777777" w:rsidTr="00A96CCA">
        <w:trPr>
          <w:trHeight w:val="605"/>
        </w:trPr>
        <w:tc>
          <w:tcPr>
            <w:tcW w:w="3262" w:type="dxa"/>
            <w:tcBorders>
              <w:top w:val="single" w:sz="12" w:space="0" w:color="7030A0"/>
              <w:left w:val="nil"/>
              <w:bottom w:val="single" w:sz="6" w:space="0" w:color="7030A0"/>
              <w:right w:val="nil"/>
            </w:tcBorders>
            <w:shd w:val="clear" w:color="auto" w:fill="auto"/>
            <w:vAlign w:val="center"/>
            <w:hideMark/>
          </w:tcPr>
          <w:p w14:paraId="0DBDF035" w14:textId="77777777" w:rsidR="0085274D" w:rsidRPr="00C73365" w:rsidRDefault="0085274D" w:rsidP="00A96CCA">
            <w:pPr>
              <w:spacing w:after="0"/>
              <w:rPr>
                <w:rFonts w:asciiTheme="minorHAnsi" w:hAnsiTheme="minorHAnsi" w:cstheme="minorHAnsi"/>
                <w:b/>
                <w:bCs/>
                <w:color w:val="000000"/>
                <w:sz w:val="18"/>
                <w:szCs w:val="18"/>
                <w:lang w:val="fr-FR"/>
              </w:rPr>
            </w:pPr>
            <w:r w:rsidRPr="00C73365">
              <w:rPr>
                <w:rFonts w:asciiTheme="minorHAnsi" w:hAnsiTheme="minorHAnsi" w:cstheme="minorHAnsi"/>
                <w:b/>
                <w:bCs/>
                <w:color w:val="000000"/>
                <w:sz w:val="18"/>
                <w:szCs w:val="18"/>
                <w:lang w:val="fr-FR"/>
              </w:rPr>
              <w:t>Au 31 décembre 2017</w:t>
            </w:r>
          </w:p>
          <w:p w14:paraId="4AB4D840" w14:textId="77777777" w:rsidR="004554C2" w:rsidRPr="00C73365" w:rsidRDefault="004554C2" w:rsidP="00A96CCA">
            <w:pPr>
              <w:spacing w:after="0"/>
              <w:rPr>
                <w:rFonts w:asciiTheme="minorHAnsi" w:hAnsiTheme="minorHAnsi" w:cstheme="minorHAnsi"/>
                <w:bCs/>
                <w:color w:val="000000"/>
                <w:sz w:val="18"/>
                <w:szCs w:val="18"/>
                <w:lang w:val="fr-FR"/>
              </w:rPr>
            </w:pPr>
            <w:r w:rsidRPr="00C73365">
              <w:rPr>
                <w:rFonts w:asciiTheme="minorHAnsi" w:hAnsiTheme="minorHAnsi" w:cstheme="minorHAnsi"/>
                <w:bCs/>
                <w:color w:val="000000"/>
                <w:sz w:val="18"/>
                <w:szCs w:val="18"/>
                <w:lang w:val="fr-FR"/>
              </w:rPr>
              <w:t>En millieurs d’euros</w:t>
            </w:r>
          </w:p>
        </w:tc>
        <w:tc>
          <w:tcPr>
            <w:tcW w:w="1408" w:type="dxa"/>
            <w:tcBorders>
              <w:top w:val="single" w:sz="12" w:space="0" w:color="7030A0"/>
              <w:left w:val="nil"/>
              <w:bottom w:val="single" w:sz="6" w:space="0" w:color="7030A0"/>
              <w:right w:val="nil"/>
            </w:tcBorders>
            <w:shd w:val="clear" w:color="auto" w:fill="auto"/>
            <w:vAlign w:val="center"/>
            <w:hideMark/>
          </w:tcPr>
          <w:p w14:paraId="16D8F588" w14:textId="77777777" w:rsidR="0085274D" w:rsidRPr="00C73365" w:rsidRDefault="0085274D" w:rsidP="00A96CCA">
            <w:pPr>
              <w:spacing w:after="0"/>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Situation du contrat</w:t>
            </w:r>
          </w:p>
        </w:tc>
        <w:tc>
          <w:tcPr>
            <w:tcW w:w="877" w:type="dxa"/>
            <w:tcBorders>
              <w:top w:val="single" w:sz="12" w:space="0" w:color="7030A0"/>
              <w:left w:val="nil"/>
              <w:bottom w:val="single" w:sz="6" w:space="0" w:color="7030A0"/>
              <w:right w:val="nil"/>
            </w:tcBorders>
            <w:shd w:val="clear" w:color="auto" w:fill="auto"/>
            <w:vAlign w:val="center"/>
            <w:hideMark/>
          </w:tcPr>
          <w:p w14:paraId="1C501390" w14:textId="77777777"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 xml:space="preserve">Montant accordé </w:t>
            </w:r>
          </w:p>
        </w:tc>
        <w:tc>
          <w:tcPr>
            <w:tcW w:w="1100" w:type="dxa"/>
            <w:tcBorders>
              <w:top w:val="single" w:sz="12" w:space="0" w:color="7030A0"/>
              <w:left w:val="nil"/>
              <w:bottom w:val="single" w:sz="6" w:space="0" w:color="7030A0"/>
              <w:right w:val="nil"/>
            </w:tcBorders>
            <w:shd w:val="clear" w:color="auto" w:fill="auto"/>
            <w:vAlign w:val="center"/>
            <w:hideMark/>
          </w:tcPr>
          <w:p w14:paraId="470B34C8" w14:textId="77777777"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 xml:space="preserve">Montant encaissé </w:t>
            </w:r>
          </w:p>
        </w:tc>
        <w:tc>
          <w:tcPr>
            <w:tcW w:w="1008" w:type="dxa"/>
            <w:tcBorders>
              <w:top w:val="single" w:sz="12" w:space="0" w:color="7030A0"/>
              <w:left w:val="nil"/>
              <w:bottom w:val="single" w:sz="6" w:space="0" w:color="7030A0"/>
              <w:right w:val="nil"/>
            </w:tcBorders>
            <w:shd w:val="clear" w:color="auto" w:fill="auto"/>
            <w:vAlign w:val="center"/>
            <w:hideMark/>
          </w:tcPr>
          <w:p w14:paraId="13F4C2B6" w14:textId="77777777"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Montant restant à percevoir</w:t>
            </w:r>
            <w:r w:rsidRPr="00C73365">
              <w:rPr>
                <w:rFonts w:asciiTheme="minorHAnsi" w:hAnsiTheme="minorHAnsi" w:cstheme="minorHAnsi"/>
                <w:color w:val="7030A0"/>
                <w:sz w:val="18"/>
                <w:szCs w:val="18"/>
                <w:vertAlign w:val="superscript"/>
              </w:rPr>
              <w:t>(2)</w:t>
            </w:r>
          </w:p>
        </w:tc>
        <w:tc>
          <w:tcPr>
            <w:tcW w:w="1137" w:type="dxa"/>
            <w:tcBorders>
              <w:top w:val="single" w:sz="12" w:space="0" w:color="7030A0"/>
              <w:left w:val="nil"/>
              <w:bottom w:val="single" w:sz="6" w:space="0" w:color="7030A0"/>
              <w:right w:val="nil"/>
            </w:tcBorders>
            <w:shd w:val="clear" w:color="auto" w:fill="auto"/>
            <w:vAlign w:val="center"/>
            <w:hideMark/>
          </w:tcPr>
          <w:p w14:paraId="2FDE82BB" w14:textId="77777777"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Montant remboursé</w:t>
            </w:r>
          </w:p>
        </w:tc>
        <w:tc>
          <w:tcPr>
            <w:tcW w:w="1522" w:type="dxa"/>
            <w:tcBorders>
              <w:top w:val="single" w:sz="12" w:space="0" w:color="7030A0"/>
              <w:left w:val="nil"/>
              <w:bottom w:val="single" w:sz="6" w:space="0" w:color="7030A0"/>
              <w:right w:val="nil"/>
            </w:tcBorders>
            <w:shd w:val="clear" w:color="auto" w:fill="auto"/>
            <w:vAlign w:val="center"/>
            <w:hideMark/>
          </w:tcPr>
          <w:p w14:paraId="064A05C5" w14:textId="77777777" w:rsidR="0085274D" w:rsidRPr="00C73365" w:rsidRDefault="0085274D" w:rsidP="00A96CCA">
            <w:pPr>
              <w:spacing w:after="0"/>
              <w:jc w:val="center"/>
              <w:rPr>
                <w:rFonts w:asciiTheme="minorHAnsi" w:hAnsiTheme="minorHAnsi" w:cstheme="minorHAnsi"/>
                <w:b/>
                <w:bCs/>
                <w:color w:val="000000"/>
                <w:sz w:val="18"/>
                <w:szCs w:val="18"/>
                <w:lang w:val="fr-FR"/>
              </w:rPr>
            </w:pPr>
            <w:r w:rsidRPr="00C73365">
              <w:rPr>
                <w:rFonts w:asciiTheme="minorHAnsi" w:hAnsiTheme="minorHAnsi" w:cstheme="minorHAnsi"/>
                <w:b/>
                <w:bCs/>
                <w:color w:val="000000"/>
                <w:sz w:val="18"/>
                <w:szCs w:val="18"/>
                <w:lang w:val="fr-FR"/>
              </w:rPr>
              <w:t>Montant à rembourser sauf en cas d</w:t>
            </w:r>
            <w:r w:rsidR="004572A0" w:rsidRPr="00C73365">
              <w:rPr>
                <w:rFonts w:asciiTheme="minorHAnsi" w:hAnsiTheme="minorHAnsi" w:cstheme="minorHAnsi"/>
                <w:b/>
                <w:bCs/>
                <w:color w:val="000000"/>
                <w:sz w:val="18"/>
                <w:szCs w:val="18"/>
                <w:lang w:val="fr-FR"/>
              </w:rPr>
              <w:t>’</w:t>
            </w:r>
            <w:r w:rsidRPr="00C73365">
              <w:rPr>
                <w:rFonts w:asciiTheme="minorHAnsi" w:hAnsiTheme="minorHAnsi" w:cstheme="minorHAnsi"/>
                <w:b/>
                <w:bCs/>
                <w:color w:val="000000"/>
                <w:sz w:val="18"/>
                <w:szCs w:val="18"/>
                <w:lang w:val="fr-FR"/>
              </w:rPr>
              <w:t>échec constaté</w:t>
            </w:r>
            <w:r w:rsidR="000A4880" w:rsidRPr="00C73365">
              <w:rPr>
                <w:rFonts w:asciiTheme="minorHAnsi" w:hAnsiTheme="minorHAnsi" w:cstheme="minorHAnsi"/>
                <w:b/>
                <w:bCs/>
                <w:color w:val="000000"/>
                <w:sz w:val="18"/>
                <w:szCs w:val="18"/>
                <w:lang w:val="fr-FR"/>
              </w:rPr>
              <w:t xml:space="preserve"> </w:t>
            </w:r>
            <w:r w:rsidRPr="00C73365">
              <w:rPr>
                <w:rFonts w:asciiTheme="minorHAnsi" w:hAnsiTheme="minorHAnsi" w:cstheme="minorHAnsi"/>
                <w:color w:val="7030A0"/>
                <w:sz w:val="18"/>
                <w:szCs w:val="18"/>
                <w:vertAlign w:val="superscript"/>
                <w:lang w:val="fr-FR"/>
              </w:rPr>
              <w:t>(1)</w:t>
            </w:r>
          </w:p>
        </w:tc>
      </w:tr>
      <w:tr w:rsidR="0085274D" w:rsidRPr="00C73365" w14:paraId="5F5E376B" w14:textId="77777777" w:rsidTr="00A96CCA">
        <w:trPr>
          <w:trHeight w:val="553"/>
        </w:trPr>
        <w:tc>
          <w:tcPr>
            <w:tcW w:w="3262" w:type="dxa"/>
            <w:tcBorders>
              <w:top w:val="single" w:sz="6" w:space="0" w:color="7030A0"/>
              <w:left w:val="nil"/>
              <w:bottom w:val="nil"/>
              <w:right w:val="nil"/>
            </w:tcBorders>
            <w:shd w:val="clear" w:color="auto" w:fill="auto"/>
            <w:vAlign w:val="center"/>
            <w:hideMark/>
          </w:tcPr>
          <w:p w14:paraId="10538688" w14:textId="77777777"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Projet ISI-CaReNA (part Subventions)</w:t>
            </w:r>
          </w:p>
        </w:tc>
        <w:tc>
          <w:tcPr>
            <w:tcW w:w="1408" w:type="dxa"/>
            <w:tcBorders>
              <w:top w:val="single" w:sz="6" w:space="0" w:color="7030A0"/>
              <w:left w:val="nil"/>
              <w:bottom w:val="nil"/>
              <w:right w:val="nil"/>
            </w:tcBorders>
            <w:shd w:val="clear" w:color="auto" w:fill="auto"/>
            <w:vAlign w:val="center"/>
            <w:hideMark/>
          </w:tcPr>
          <w:p w14:paraId="6F5CC653" w14:textId="77777777"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d’exécution</w:t>
            </w:r>
          </w:p>
        </w:tc>
        <w:tc>
          <w:tcPr>
            <w:tcW w:w="877" w:type="dxa"/>
            <w:tcBorders>
              <w:top w:val="single" w:sz="6" w:space="0" w:color="7030A0"/>
              <w:left w:val="nil"/>
              <w:bottom w:val="nil"/>
              <w:right w:val="nil"/>
            </w:tcBorders>
            <w:shd w:val="clear" w:color="auto" w:fill="auto"/>
            <w:vAlign w:val="center"/>
            <w:hideMark/>
          </w:tcPr>
          <w:p w14:paraId="553163D3"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1 397</w:t>
            </w:r>
          </w:p>
        </w:tc>
        <w:tc>
          <w:tcPr>
            <w:tcW w:w="1100" w:type="dxa"/>
            <w:tcBorders>
              <w:top w:val="single" w:sz="6" w:space="0" w:color="7030A0"/>
              <w:left w:val="nil"/>
              <w:bottom w:val="nil"/>
              <w:right w:val="nil"/>
            </w:tcBorders>
            <w:shd w:val="clear" w:color="auto" w:fill="auto"/>
            <w:vAlign w:val="center"/>
            <w:hideMark/>
          </w:tcPr>
          <w:p w14:paraId="62CF714A" w14:textId="77777777" w:rsidR="0085274D" w:rsidRPr="00C73365" w:rsidRDefault="0011727E"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1008" w:type="dxa"/>
            <w:tcBorders>
              <w:top w:val="single" w:sz="6" w:space="0" w:color="7030A0"/>
              <w:left w:val="nil"/>
              <w:bottom w:val="nil"/>
              <w:right w:val="nil"/>
            </w:tcBorders>
            <w:shd w:val="clear" w:color="auto" w:fill="auto"/>
            <w:vAlign w:val="center"/>
            <w:hideMark/>
          </w:tcPr>
          <w:p w14:paraId="4B3A0357"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1137" w:type="dxa"/>
            <w:tcBorders>
              <w:top w:val="single" w:sz="6" w:space="0" w:color="7030A0"/>
              <w:left w:val="nil"/>
              <w:bottom w:val="nil"/>
              <w:right w:val="nil"/>
            </w:tcBorders>
            <w:shd w:val="clear" w:color="auto" w:fill="auto"/>
            <w:vAlign w:val="center"/>
            <w:hideMark/>
          </w:tcPr>
          <w:p w14:paraId="0B9F0A2F" w14:textId="77777777" w:rsidR="0085274D" w:rsidRPr="00C73365" w:rsidRDefault="0085274D" w:rsidP="00A96CCA">
            <w:pPr>
              <w:spacing w:after="0"/>
              <w:jc w:val="center"/>
              <w:rPr>
                <w:rFonts w:asciiTheme="minorHAnsi" w:hAnsiTheme="minorHAnsi" w:cstheme="minorHAnsi"/>
                <w:color w:val="000000"/>
                <w:szCs w:val="20"/>
              </w:rPr>
            </w:pPr>
          </w:p>
        </w:tc>
        <w:tc>
          <w:tcPr>
            <w:tcW w:w="1522" w:type="dxa"/>
            <w:tcBorders>
              <w:top w:val="single" w:sz="6" w:space="0" w:color="7030A0"/>
              <w:left w:val="nil"/>
              <w:bottom w:val="nil"/>
              <w:right w:val="nil"/>
            </w:tcBorders>
            <w:shd w:val="clear" w:color="auto" w:fill="auto"/>
            <w:vAlign w:val="center"/>
            <w:hideMark/>
          </w:tcPr>
          <w:p w14:paraId="6F565DED" w14:textId="77777777" w:rsidR="0085274D" w:rsidRPr="00C73365" w:rsidRDefault="0085274D" w:rsidP="00A96CCA">
            <w:pPr>
              <w:spacing w:after="0"/>
              <w:rPr>
                <w:rFonts w:asciiTheme="minorHAnsi" w:hAnsiTheme="minorHAnsi" w:cstheme="minorHAnsi"/>
                <w:szCs w:val="20"/>
              </w:rPr>
            </w:pPr>
          </w:p>
        </w:tc>
      </w:tr>
      <w:tr w:rsidR="0085274D" w:rsidRPr="00C73365" w14:paraId="2D76A98D" w14:textId="77777777" w:rsidTr="00A96CCA">
        <w:trPr>
          <w:trHeight w:val="181"/>
        </w:trPr>
        <w:tc>
          <w:tcPr>
            <w:tcW w:w="3262" w:type="dxa"/>
            <w:tcBorders>
              <w:top w:val="nil"/>
              <w:left w:val="nil"/>
              <w:bottom w:val="single" w:sz="8" w:space="0" w:color="7030A0"/>
              <w:right w:val="nil"/>
            </w:tcBorders>
            <w:shd w:val="clear" w:color="auto" w:fill="auto"/>
            <w:vAlign w:val="center"/>
            <w:hideMark/>
          </w:tcPr>
          <w:p w14:paraId="3C80FA7C" w14:textId="77777777"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Projet ISI-CaReNA (part Avances Remboursables)</w:t>
            </w:r>
          </w:p>
        </w:tc>
        <w:tc>
          <w:tcPr>
            <w:tcW w:w="1408" w:type="dxa"/>
            <w:tcBorders>
              <w:top w:val="nil"/>
              <w:left w:val="nil"/>
              <w:bottom w:val="single" w:sz="8" w:space="0" w:color="7030A0"/>
              <w:right w:val="nil"/>
            </w:tcBorders>
            <w:shd w:val="clear" w:color="auto" w:fill="auto"/>
            <w:vAlign w:val="center"/>
            <w:hideMark/>
          </w:tcPr>
          <w:p w14:paraId="3B162F21" w14:textId="77777777"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d’exécution</w:t>
            </w:r>
          </w:p>
        </w:tc>
        <w:tc>
          <w:tcPr>
            <w:tcW w:w="877" w:type="dxa"/>
            <w:tcBorders>
              <w:top w:val="nil"/>
              <w:left w:val="nil"/>
              <w:bottom w:val="single" w:sz="8" w:space="0" w:color="7030A0"/>
              <w:right w:val="nil"/>
            </w:tcBorders>
            <w:shd w:val="clear" w:color="auto" w:fill="auto"/>
            <w:vAlign w:val="center"/>
            <w:hideMark/>
          </w:tcPr>
          <w:p w14:paraId="5D1AD4C9"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p>
        </w:tc>
        <w:tc>
          <w:tcPr>
            <w:tcW w:w="1100" w:type="dxa"/>
            <w:tcBorders>
              <w:top w:val="nil"/>
              <w:left w:val="nil"/>
              <w:bottom w:val="single" w:sz="8" w:space="0" w:color="7030A0"/>
              <w:right w:val="nil"/>
            </w:tcBorders>
            <w:shd w:val="clear" w:color="auto" w:fill="auto"/>
            <w:vAlign w:val="center"/>
            <w:hideMark/>
          </w:tcPr>
          <w:p w14:paraId="69620E04"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008" w:type="dxa"/>
            <w:tcBorders>
              <w:top w:val="nil"/>
              <w:left w:val="nil"/>
              <w:bottom w:val="single" w:sz="8" w:space="0" w:color="7030A0"/>
              <w:right w:val="nil"/>
            </w:tcBorders>
            <w:shd w:val="clear" w:color="auto" w:fill="auto"/>
            <w:vAlign w:val="center"/>
            <w:hideMark/>
          </w:tcPr>
          <w:p w14:paraId="71C097FA" w14:textId="77777777" w:rsidR="0085274D" w:rsidRPr="00C73365" w:rsidRDefault="002A6E06"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1 643</w:t>
            </w:r>
          </w:p>
        </w:tc>
        <w:tc>
          <w:tcPr>
            <w:tcW w:w="1137" w:type="dxa"/>
            <w:tcBorders>
              <w:top w:val="nil"/>
              <w:left w:val="nil"/>
              <w:bottom w:val="single" w:sz="8" w:space="0" w:color="7030A0"/>
              <w:right w:val="nil"/>
            </w:tcBorders>
            <w:shd w:val="clear" w:color="auto" w:fill="auto"/>
            <w:vAlign w:val="center"/>
            <w:hideMark/>
          </w:tcPr>
          <w:p w14:paraId="04933A93" w14:textId="77777777" w:rsidR="0085274D" w:rsidRPr="00C73365" w:rsidRDefault="0085274D"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14:paraId="1F3ACA7C" w14:textId="77777777"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r w:rsidR="00D01236" w:rsidRPr="00C73365">
              <w:rPr>
                <w:rFonts w:asciiTheme="minorHAnsi" w:hAnsiTheme="minorHAnsi" w:cstheme="minorHAnsi"/>
                <w:color w:val="000000"/>
                <w:szCs w:val="20"/>
              </w:rPr>
              <w:t>*</w:t>
            </w:r>
          </w:p>
        </w:tc>
      </w:tr>
      <w:tr w:rsidR="0085274D" w:rsidRPr="00C73365" w14:paraId="1267C5EE" w14:textId="77777777" w:rsidTr="00A96CCA">
        <w:trPr>
          <w:trHeight w:val="553"/>
        </w:trPr>
        <w:tc>
          <w:tcPr>
            <w:tcW w:w="3262" w:type="dxa"/>
            <w:tcBorders>
              <w:top w:val="single" w:sz="8" w:space="0" w:color="7030A0"/>
              <w:left w:val="nil"/>
              <w:bottom w:val="single" w:sz="8" w:space="0" w:color="7030A0"/>
              <w:right w:val="nil"/>
            </w:tcBorders>
            <w:shd w:val="clear" w:color="auto" w:fill="auto"/>
            <w:vAlign w:val="center"/>
            <w:hideMark/>
          </w:tcPr>
          <w:p w14:paraId="3C534A09" w14:textId="77777777" w:rsidR="0085274D" w:rsidRPr="00C73365" w:rsidRDefault="0085274D" w:rsidP="00A96CCA">
            <w:pPr>
              <w:spacing w:after="0"/>
              <w:rPr>
                <w:rFonts w:asciiTheme="minorHAnsi" w:hAnsiTheme="minorHAnsi" w:cstheme="minorHAnsi"/>
                <w:color w:val="000000"/>
                <w:sz w:val="18"/>
                <w:szCs w:val="18"/>
                <w:lang w:val="fr-FR"/>
              </w:rPr>
            </w:pPr>
            <w:bookmarkStart w:id="49" w:name="_Hlk509938810"/>
            <w:r w:rsidRPr="00C73365">
              <w:rPr>
                <w:rFonts w:asciiTheme="minorHAnsi" w:hAnsiTheme="minorHAnsi" w:cstheme="minorHAnsi"/>
                <w:color w:val="000000"/>
                <w:sz w:val="18"/>
                <w:szCs w:val="18"/>
                <w:lang w:val="fr-FR"/>
              </w:rPr>
              <w:t xml:space="preserve">Aide conjointe </w:t>
            </w:r>
            <w:r w:rsidR="001479F8">
              <w:rPr>
                <w:rFonts w:asciiTheme="minorHAnsi" w:hAnsiTheme="minorHAnsi" w:cstheme="minorHAnsi"/>
                <w:color w:val="000000"/>
                <w:sz w:val="18"/>
                <w:szCs w:val="18"/>
                <w:lang w:val="fr-FR"/>
              </w:rPr>
              <w:t>Bpifrance</w:t>
            </w:r>
            <w:r w:rsidRPr="00C73365">
              <w:rPr>
                <w:rFonts w:asciiTheme="minorHAnsi" w:hAnsiTheme="minorHAnsi" w:cstheme="minorHAnsi"/>
                <w:color w:val="000000"/>
                <w:sz w:val="18"/>
                <w:szCs w:val="18"/>
                <w:lang w:val="fr-FR"/>
              </w:rPr>
              <w:t xml:space="preserve"> et Feder</w:t>
            </w:r>
            <w:r w:rsidR="004554C2" w:rsidRPr="00C73365">
              <w:rPr>
                <w:rFonts w:asciiTheme="minorHAnsi" w:hAnsiTheme="minorHAnsi" w:cstheme="minorHAnsi"/>
                <w:color w:val="000000"/>
                <w:sz w:val="18"/>
                <w:szCs w:val="18"/>
                <w:lang w:val="fr-FR"/>
              </w:rPr>
              <w:t xml:space="preserve">       (A 10 06 002G)</w:t>
            </w:r>
            <w:bookmarkEnd w:id="49"/>
          </w:p>
        </w:tc>
        <w:tc>
          <w:tcPr>
            <w:tcW w:w="1408" w:type="dxa"/>
            <w:tcBorders>
              <w:top w:val="single" w:sz="8" w:space="0" w:color="7030A0"/>
              <w:left w:val="nil"/>
              <w:bottom w:val="single" w:sz="8" w:space="0" w:color="7030A0"/>
              <w:right w:val="nil"/>
            </w:tcBorders>
            <w:shd w:val="clear" w:color="auto" w:fill="auto"/>
            <w:vAlign w:val="center"/>
            <w:hideMark/>
          </w:tcPr>
          <w:p w14:paraId="624BFD81" w14:textId="77777777"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 remboursement</w:t>
            </w:r>
          </w:p>
        </w:tc>
        <w:tc>
          <w:tcPr>
            <w:tcW w:w="877" w:type="dxa"/>
            <w:tcBorders>
              <w:top w:val="single" w:sz="8" w:space="0" w:color="7030A0"/>
              <w:left w:val="nil"/>
              <w:bottom w:val="single" w:sz="8" w:space="0" w:color="7030A0"/>
              <w:right w:val="nil"/>
            </w:tcBorders>
            <w:shd w:val="clear" w:color="auto" w:fill="auto"/>
            <w:vAlign w:val="center"/>
            <w:hideMark/>
          </w:tcPr>
          <w:p w14:paraId="18492D96"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100" w:type="dxa"/>
            <w:tcBorders>
              <w:top w:val="single" w:sz="8" w:space="0" w:color="7030A0"/>
              <w:left w:val="nil"/>
              <w:bottom w:val="single" w:sz="8" w:space="0" w:color="7030A0"/>
              <w:right w:val="nil"/>
            </w:tcBorders>
            <w:shd w:val="clear" w:color="auto" w:fill="auto"/>
            <w:vAlign w:val="center"/>
            <w:hideMark/>
          </w:tcPr>
          <w:p w14:paraId="4A66804D"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008" w:type="dxa"/>
            <w:tcBorders>
              <w:top w:val="single" w:sz="8" w:space="0" w:color="7030A0"/>
              <w:left w:val="nil"/>
              <w:bottom w:val="single" w:sz="8" w:space="0" w:color="7030A0"/>
              <w:right w:val="nil"/>
            </w:tcBorders>
            <w:shd w:val="clear" w:color="auto" w:fill="auto"/>
            <w:vAlign w:val="center"/>
            <w:hideMark/>
          </w:tcPr>
          <w:p w14:paraId="5954D546"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137" w:type="dxa"/>
            <w:tcBorders>
              <w:top w:val="single" w:sz="8" w:space="0" w:color="7030A0"/>
              <w:left w:val="nil"/>
              <w:bottom w:val="single" w:sz="8" w:space="0" w:color="7030A0"/>
              <w:right w:val="nil"/>
            </w:tcBorders>
            <w:shd w:val="clear" w:color="auto" w:fill="auto"/>
            <w:vAlign w:val="center"/>
            <w:hideMark/>
          </w:tcPr>
          <w:p w14:paraId="2686CD53"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630</w:t>
            </w:r>
          </w:p>
        </w:tc>
        <w:tc>
          <w:tcPr>
            <w:tcW w:w="1522" w:type="dxa"/>
            <w:tcBorders>
              <w:top w:val="single" w:sz="8" w:space="0" w:color="7030A0"/>
              <w:left w:val="nil"/>
              <w:bottom w:val="single" w:sz="8" w:space="0" w:color="7030A0"/>
              <w:right w:val="nil"/>
            </w:tcBorders>
            <w:shd w:val="clear" w:color="auto" w:fill="auto"/>
            <w:vAlign w:val="center"/>
            <w:hideMark/>
          </w:tcPr>
          <w:p w14:paraId="1C7FBC66"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r w:rsidR="00D01236" w:rsidRPr="00C73365">
              <w:rPr>
                <w:rFonts w:asciiTheme="minorHAnsi" w:hAnsiTheme="minorHAnsi" w:cstheme="minorHAnsi"/>
                <w:color w:val="000000"/>
                <w:szCs w:val="20"/>
              </w:rPr>
              <w:t>*</w:t>
            </w:r>
          </w:p>
          <w:p w14:paraId="6B6B6753" w14:textId="77777777" w:rsidR="004554C2" w:rsidRPr="00C73365" w:rsidRDefault="004554C2"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 w:val="16"/>
                <w:szCs w:val="16"/>
              </w:rPr>
              <w:t>(non conditionné au succès)</w:t>
            </w:r>
          </w:p>
        </w:tc>
      </w:tr>
      <w:tr w:rsidR="0085274D" w:rsidRPr="00C73365" w14:paraId="7D5A7365" w14:textId="77777777" w:rsidTr="00A96CCA">
        <w:trPr>
          <w:trHeight w:val="332"/>
        </w:trPr>
        <w:tc>
          <w:tcPr>
            <w:tcW w:w="3262" w:type="dxa"/>
            <w:tcBorders>
              <w:top w:val="single" w:sz="8" w:space="0" w:color="7030A0"/>
              <w:left w:val="nil"/>
              <w:bottom w:val="nil"/>
              <w:right w:val="nil"/>
            </w:tcBorders>
            <w:shd w:val="clear" w:color="auto" w:fill="auto"/>
            <w:vAlign w:val="center"/>
            <w:hideMark/>
          </w:tcPr>
          <w:p w14:paraId="3220E8CB" w14:textId="77777777" w:rsidR="0085274D" w:rsidRPr="00C73365" w:rsidRDefault="0085274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Projet RNP-VIR (Subventions)</w:t>
            </w:r>
          </w:p>
        </w:tc>
        <w:tc>
          <w:tcPr>
            <w:tcW w:w="1408" w:type="dxa"/>
            <w:tcBorders>
              <w:top w:val="single" w:sz="8" w:space="0" w:color="7030A0"/>
              <w:left w:val="nil"/>
              <w:bottom w:val="nil"/>
              <w:right w:val="nil"/>
            </w:tcBorders>
            <w:shd w:val="clear" w:color="auto" w:fill="auto"/>
            <w:vAlign w:val="center"/>
            <w:hideMark/>
          </w:tcPr>
          <w:p w14:paraId="338F8977" w14:textId="77777777"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single" w:sz="8" w:space="0" w:color="7030A0"/>
              <w:left w:val="nil"/>
              <w:bottom w:val="nil"/>
              <w:right w:val="nil"/>
            </w:tcBorders>
            <w:shd w:val="clear" w:color="auto" w:fill="auto"/>
            <w:vAlign w:val="center"/>
            <w:hideMark/>
          </w:tcPr>
          <w:p w14:paraId="24996C47"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2 112</w:t>
            </w:r>
          </w:p>
        </w:tc>
        <w:tc>
          <w:tcPr>
            <w:tcW w:w="1100" w:type="dxa"/>
            <w:tcBorders>
              <w:top w:val="single" w:sz="8" w:space="0" w:color="7030A0"/>
              <w:left w:val="nil"/>
              <w:bottom w:val="nil"/>
              <w:right w:val="nil"/>
            </w:tcBorders>
            <w:shd w:val="clear" w:color="auto" w:fill="auto"/>
            <w:vAlign w:val="center"/>
            <w:hideMark/>
          </w:tcPr>
          <w:p w14:paraId="2CDBB5AA"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347</w:t>
            </w:r>
          </w:p>
        </w:tc>
        <w:tc>
          <w:tcPr>
            <w:tcW w:w="1008" w:type="dxa"/>
            <w:tcBorders>
              <w:top w:val="single" w:sz="8" w:space="0" w:color="7030A0"/>
              <w:left w:val="nil"/>
              <w:bottom w:val="nil"/>
              <w:right w:val="nil"/>
            </w:tcBorders>
            <w:shd w:val="clear" w:color="auto" w:fill="auto"/>
            <w:vAlign w:val="center"/>
            <w:hideMark/>
          </w:tcPr>
          <w:p w14:paraId="03D4F462" w14:textId="77777777"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1 765</w:t>
            </w:r>
          </w:p>
        </w:tc>
        <w:tc>
          <w:tcPr>
            <w:tcW w:w="1137" w:type="dxa"/>
            <w:tcBorders>
              <w:top w:val="single" w:sz="8" w:space="0" w:color="7030A0"/>
              <w:left w:val="nil"/>
              <w:bottom w:val="nil"/>
              <w:right w:val="nil"/>
            </w:tcBorders>
            <w:shd w:val="clear" w:color="auto" w:fill="auto"/>
            <w:vAlign w:val="center"/>
            <w:hideMark/>
          </w:tcPr>
          <w:p w14:paraId="1BAFFADE" w14:textId="77777777" w:rsidR="0085274D" w:rsidRPr="00C73365" w:rsidRDefault="0085274D" w:rsidP="00A96CCA">
            <w:pPr>
              <w:spacing w:after="0"/>
              <w:jc w:val="center"/>
              <w:rPr>
                <w:rFonts w:asciiTheme="minorHAnsi" w:hAnsiTheme="minorHAnsi" w:cstheme="minorHAnsi"/>
                <w:color w:val="000000"/>
                <w:szCs w:val="20"/>
              </w:rPr>
            </w:pPr>
          </w:p>
        </w:tc>
        <w:tc>
          <w:tcPr>
            <w:tcW w:w="1522" w:type="dxa"/>
            <w:tcBorders>
              <w:top w:val="single" w:sz="8" w:space="0" w:color="7030A0"/>
              <w:left w:val="nil"/>
              <w:bottom w:val="nil"/>
              <w:right w:val="nil"/>
            </w:tcBorders>
            <w:shd w:val="clear" w:color="auto" w:fill="auto"/>
            <w:vAlign w:val="center"/>
            <w:hideMark/>
          </w:tcPr>
          <w:p w14:paraId="4937D104"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r>
      <w:tr w:rsidR="0085274D" w:rsidRPr="00C73365" w14:paraId="53D14231" w14:textId="77777777" w:rsidTr="00A96CCA">
        <w:trPr>
          <w:trHeight w:val="345"/>
        </w:trPr>
        <w:tc>
          <w:tcPr>
            <w:tcW w:w="3262" w:type="dxa"/>
            <w:tcBorders>
              <w:top w:val="nil"/>
              <w:left w:val="nil"/>
              <w:bottom w:val="single" w:sz="8" w:space="0" w:color="7030A0"/>
              <w:right w:val="nil"/>
            </w:tcBorders>
            <w:shd w:val="clear" w:color="auto" w:fill="auto"/>
            <w:vAlign w:val="center"/>
            <w:hideMark/>
          </w:tcPr>
          <w:p w14:paraId="1209EDF1" w14:textId="77777777" w:rsidR="0085274D" w:rsidRPr="00C73365" w:rsidRDefault="0085274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RNP-VIR (Avances Remboursables)</w:t>
            </w:r>
          </w:p>
        </w:tc>
        <w:tc>
          <w:tcPr>
            <w:tcW w:w="1408" w:type="dxa"/>
            <w:tcBorders>
              <w:top w:val="nil"/>
              <w:left w:val="nil"/>
              <w:bottom w:val="single" w:sz="8" w:space="0" w:color="7030A0"/>
              <w:right w:val="nil"/>
            </w:tcBorders>
            <w:shd w:val="clear" w:color="auto" w:fill="auto"/>
            <w:vAlign w:val="center"/>
            <w:hideMark/>
          </w:tcPr>
          <w:p w14:paraId="21FA00F5" w14:textId="77777777"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nil"/>
              <w:left w:val="nil"/>
              <w:bottom w:val="single" w:sz="8" w:space="0" w:color="7030A0"/>
              <w:right w:val="nil"/>
            </w:tcBorders>
            <w:shd w:val="clear" w:color="auto" w:fill="auto"/>
            <w:vAlign w:val="center"/>
            <w:hideMark/>
          </w:tcPr>
          <w:p w14:paraId="0F0378A5"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6 298</w:t>
            </w:r>
          </w:p>
        </w:tc>
        <w:tc>
          <w:tcPr>
            <w:tcW w:w="1100" w:type="dxa"/>
            <w:tcBorders>
              <w:top w:val="nil"/>
              <w:left w:val="nil"/>
              <w:bottom w:val="single" w:sz="8" w:space="0" w:color="7030A0"/>
              <w:right w:val="nil"/>
            </w:tcBorders>
            <w:shd w:val="clear" w:color="auto" w:fill="auto"/>
            <w:vAlign w:val="center"/>
            <w:hideMark/>
          </w:tcPr>
          <w:p w14:paraId="133809EA"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1756</w:t>
            </w:r>
          </w:p>
        </w:tc>
        <w:tc>
          <w:tcPr>
            <w:tcW w:w="1008" w:type="dxa"/>
            <w:tcBorders>
              <w:top w:val="nil"/>
              <w:left w:val="nil"/>
              <w:bottom w:val="single" w:sz="8" w:space="0" w:color="7030A0"/>
              <w:right w:val="nil"/>
            </w:tcBorders>
            <w:shd w:val="clear" w:color="auto" w:fill="auto"/>
            <w:vAlign w:val="center"/>
            <w:hideMark/>
          </w:tcPr>
          <w:p w14:paraId="67E123C8" w14:textId="77777777"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4 542</w:t>
            </w:r>
          </w:p>
        </w:tc>
        <w:tc>
          <w:tcPr>
            <w:tcW w:w="1137" w:type="dxa"/>
            <w:tcBorders>
              <w:top w:val="nil"/>
              <w:left w:val="nil"/>
              <w:bottom w:val="single" w:sz="8" w:space="0" w:color="7030A0"/>
              <w:right w:val="nil"/>
            </w:tcBorders>
            <w:shd w:val="clear" w:color="auto" w:fill="auto"/>
            <w:vAlign w:val="center"/>
            <w:hideMark/>
          </w:tcPr>
          <w:p w14:paraId="43269E53"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14:paraId="3B94BADB" w14:textId="77777777"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6 298</w:t>
            </w:r>
            <w:r w:rsidR="00D01236" w:rsidRPr="00C73365">
              <w:rPr>
                <w:rFonts w:asciiTheme="minorHAnsi" w:hAnsiTheme="minorHAnsi" w:cstheme="minorHAnsi"/>
                <w:color w:val="000000"/>
                <w:szCs w:val="20"/>
                <w:lang w:val="fr-FR"/>
              </w:rPr>
              <w:t>*</w:t>
            </w:r>
          </w:p>
        </w:tc>
      </w:tr>
      <w:tr w:rsidR="0085274D" w:rsidRPr="00C73365" w14:paraId="7A1FE4A1" w14:textId="77777777" w:rsidTr="00A96CCA">
        <w:trPr>
          <w:trHeight w:val="802"/>
        </w:trPr>
        <w:tc>
          <w:tcPr>
            <w:tcW w:w="3262" w:type="dxa"/>
            <w:tcBorders>
              <w:top w:val="nil"/>
              <w:left w:val="nil"/>
              <w:bottom w:val="single" w:sz="8" w:space="0" w:color="7030A0"/>
              <w:right w:val="nil"/>
            </w:tcBorders>
            <w:shd w:val="clear" w:color="auto" w:fill="auto"/>
            <w:vAlign w:val="center"/>
            <w:hideMark/>
          </w:tcPr>
          <w:p w14:paraId="1DE53B74" w14:textId="77777777"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 xml:space="preserve">Aide conjointe </w:t>
            </w:r>
            <w:r w:rsidR="001479F8">
              <w:rPr>
                <w:rFonts w:asciiTheme="minorHAnsi" w:hAnsiTheme="minorHAnsi" w:cstheme="minorHAnsi"/>
                <w:color w:val="000000"/>
                <w:sz w:val="18"/>
                <w:szCs w:val="18"/>
                <w:lang w:val="fr-FR"/>
              </w:rPr>
              <w:t>Bpifrance</w:t>
            </w:r>
            <w:r w:rsidRPr="00C73365">
              <w:rPr>
                <w:rFonts w:asciiTheme="minorHAnsi" w:hAnsiTheme="minorHAnsi" w:cstheme="minorHAnsi"/>
                <w:color w:val="000000"/>
                <w:sz w:val="18"/>
                <w:szCs w:val="18"/>
                <w:lang w:val="fr-FR"/>
              </w:rPr>
              <w:t xml:space="preserve"> et Région Occitanie </w:t>
            </w:r>
            <w:r w:rsidR="007974ED" w:rsidRPr="00C73365">
              <w:rPr>
                <w:rFonts w:asciiTheme="minorHAnsi" w:hAnsiTheme="minorHAnsi" w:cstheme="minorHAnsi"/>
                <w:color w:val="000000"/>
                <w:sz w:val="18"/>
                <w:szCs w:val="18"/>
                <w:lang w:val="fr-FR"/>
              </w:rPr>
              <w:t xml:space="preserve">Projet EBOLA </w:t>
            </w:r>
            <w:r w:rsidRPr="00C73365">
              <w:rPr>
                <w:rFonts w:asciiTheme="minorHAnsi" w:hAnsiTheme="minorHAnsi" w:cstheme="minorHAnsi"/>
                <w:color w:val="000000"/>
                <w:sz w:val="18"/>
                <w:szCs w:val="18"/>
                <w:lang w:val="fr-FR"/>
              </w:rPr>
              <w:t>(part Avances Remboursables)</w:t>
            </w:r>
          </w:p>
        </w:tc>
        <w:tc>
          <w:tcPr>
            <w:tcW w:w="1408" w:type="dxa"/>
            <w:tcBorders>
              <w:top w:val="nil"/>
              <w:left w:val="nil"/>
              <w:bottom w:val="single" w:sz="8" w:space="0" w:color="7030A0"/>
              <w:right w:val="nil"/>
            </w:tcBorders>
            <w:shd w:val="clear" w:color="auto" w:fill="auto"/>
            <w:vAlign w:val="center"/>
            <w:hideMark/>
          </w:tcPr>
          <w:p w14:paraId="7E2688F5" w14:textId="77777777"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nil"/>
              <w:left w:val="nil"/>
              <w:bottom w:val="single" w:sz="8" w:space="0" w:color="7030A0"/>
              <w:right w:val="nil"/>
            </w:tcBorders>
            <w:shd w:val="clear" w:color="auto" w:fill="auto"/>
            <w:vAlign w:val="center"/>
            <w:hideMark/>
          </w:tcPr>
          <w:p w14:paraId="27612B92"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c>
          <w:tcPr>
            <w:tcW w:w="1100" w:type="dxa"/>
            <w:tcBorders>
              <w:top w:val="nil"/>
              <w:left w:val="nil"/>
              <w:bottom w:val="single" w:sz="8" w:space="0" w:color="7030A0"/>
              <w:right w:val="nil"/>
            </w:tcBorders>
            <w:shd w:val="clear" w:color="auto" w:fill="auto"/>
            <w:vAlign w:val="center"/>
            <w:hideMark/>
          </w:tcPr>
          <w:p w14:paraId="55D15096" w14:textId="77777777" w:rsidR="0085274D" w:rsidRPr="00C73365" w:rsidRDefault="001B2A74"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300</w:t>
            </w:r>
          </w:p>
        </w:tc>
        <w:tc>
          <w:tcPr>
            <w:tcW w:w="1008" w:type="dxa"/>
            <w:tcBorders>
              <w:top w:val="nil"/>
              <w:left w:val="nil"/>
              <w:bottom w:val="single" w:sz="8" w:space="0" w:color="7030A0"/>
              <w:right w:val="nil"/>
            </w:tcBorders>
            <w:shd w:val="clear" w:color="auto" w:fill="auto"/>
            <w:vAlign w:val="center"/>
            <w:hideMark/>
          </w:tcPr>
          <w:p w14:paraId="5A0D6E72"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1137" w:type="dxa"/>
            <w:tcBorders>
              <w:top w:val="nil"/>
              <w:left w:val="nil"/>
              <w:bottom w:val="single" w:sz="8" w:space="0" w:color="7030A0"/>
              <w:right w:val="nil"/>
            </w:tcBorders>
            <w:shd w:val="clear" w:color="auto" w:fill="auto"/>
            <w:vAlign w:val="center"/>
            <w:hideMark/>
          </w:tcPr>
          <w:p w14:paraId="5052F117"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14:paraId="18F7EBDB" w14:textId="77777777"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r w:rsidR="00D01236" w:rsidRPr="00C73365">
              <w:rPr>
                <w:rFonts w:asciiTheme="minorHAnsi" w:hAnsiTheme="minorHAnsi" w:cstheme="minorHAnsi"/>
                <w:color w:val="000000"/>
                <w:szCs w:val="20"/>
              </w:rPr>
              <w:t>*</w:t>
            </w:r>
            <w:r w:rsidRPr="00C73365">
              <w:rPr>
                <w:rFonts w:asciiTheme="minorHAnsi" w:hAnsiTheme="minorHAnsi" w:cstheme="minorHAnsi"/>
                <w:color w:val="000000"/>
                <w:szCs w:val="20"/>
              </w:rPr>
              <w:t xml:space="preserve"> </w:t>
            </w:r>
            <w:r w:rsidRPr="00C73365">
              <w:rPr>
                <w:rFonts w:asciiTheme="minorHAnsi" w:hAnsiTheme="minorHAnsi" w:cstheme="minorHAnsi"/>
                <w:color w:val="000000"/>
                <w:szCs w:val="20"/>
              </w:rPr>
              <w:br/>
            </w:r>
            <w:r w:rsidR="00D10EEF" w:rsidRPr="00C73365">
              <w:rPr>
                <w:rFonts w:asciiTheme="minorHAnsi" w:hAnsiTheme="minorHAnsi" w:cstheme="minorHAnsi"/>
                <w:color w:val="000000"/>
                <w:sz w:val="16"/>
                <w:szCs w:val="16"/>
              </w:rPr>
              <w:t>(</w:t>
            </w:r>
            <w:r w:rsidRPr="00C73365">
              <w:rPr>
                <w:rFonts w:asciiTheme="minorHAnsi" w:hAnsiTheme="minorHAnsi" w:cstheme="minorHAnsi"/>
                <w:color w:val="000000"/>
                <w:sz w:val="16"/>
                <w:szCs w:val="16"/>
              </w:rPr>
              <w:t>conditionné au succès)</w:t>
            </w:r>
          </w:p>
        </w:tc>
      </w:tr>
    </w:tbl>
    <w:p w14:paraId="3492FDE8" w14:textId="77777777" w:rsidR="00F46C7B" w:rsidRPr="00C73365" w:rsidRDefault="00C079CB" w:rsidP="004572A0">
      <w:pPr>
        <w:pStyle w:val="Liste"/>
        <w:rPr>
          <w:rFonts w:asciiTheme="minorHAnsi" w:hAnsiTheme="minorHAnsi" w:cstheme="minorHAnsi"/>
          <w:lang w:val="fr-FR"/>
        </w:rPr>
      </w:pPr>
      <w:r w:rsidRPr="00C73365">
        <w:rPr>
          <w:rFonts w:asciiTheme="minorHAnsi" w:hAnsiTheme="minorHAnsi" w:cstheme="minorHAnsi"/>
          <w:vertAlign w:val="superscript"/>
          <w:lang w:val="fr-FR"/>
        </w:rPr>
        <w:t>(</w:t>
      </w:r>
      <w:r w:rsidR="00F46C7B" w:rsidRPr="00C73365">
        <w:rPr>
          <w:rFonts w:asciiTheme="minorHAnsi" w:hAnsiTheme="minorHAnsi" w:cstheme="minorHAnsi"/>
          <w:vertAlign w:val="superscript"/>
          <w:lang w:val="fr-FR"/>
        </w:rPr>
        <w:t>1)</w:t>
      </w:r>
      <w:r w:rsidR="004572A0" w:rsidRPr="00C73365">
        <w:rPr>
          <w:rFonts w:asciiTheme="minorHAnsi" w:hAnsiTheme="minorHAnsi" w:cstheme="minorHAnsi"/>
          <w:lang w:val="fr-FR"/>
        </w:rPr>
        <w:tab/>
      </w:r>
      <w:r w:rsidR="00F46C7B" w:rsidRPr="00C73365">
        <w:rPr>
          <w:rFonts w:asciiTheme="minorHAnsi" w:hAnsiTheme="minorHAnsi" w:cstheme="minorHAnsi"/>
          <w:lang w:val="fr-FR"/>
        </w:rPr>
        <w:t>Se référer au paragraphe 4.6.1, au paragraphe 10.3.2 et au chapitre 22 du présent document de référence pour le détail des échéanciers des sommes restant à percevoir et des sommes à rembourser</w:t>
      </w:r>
      <w:r w:rsidR="00F46C7B" w:rsidRPr="00C73365">
        <w:rPr>
          <w:rFonts w:asciiTheme="minorHAnsi" w:hAnsiTheme="minorHAnsi" w:cstheme="minorHAnsi"/>
          <w:vertAlign w:val="superscript"/>
          <w:lang w:val="fr-FR"/>
        </w:rPr>
        <w:t xml:space="preserve"> (2)</w:t>
      </w:r>
      <w:r w:rsidR="00F46C7B" w:rsidRPr="00C73365">
        <w:rPr>
          <w:rFonts w:asciiTheme="minorHAnsi" w:hAnsiTheme="minorHAnsi" w:cstheme="minorHAnsi"/>
          <w:lang w:val="fr-FR"/>
        </w:rPr>
        <w:t xml:space="preserve"> Versements maximaux</w:t>
      </w:r>
      <w:r w:rsidR="005471A1" w:rsidRPr="00C73365">
        <w:rPr>
          <w:rFonts w:asciiTheme="minorHAnsi" w:hAnsiTheme="minorHAnsi" w:cstheme="minorHAnsi"/>
          <w:lang w:val="fr-FR"/>
        </w:rPr>
        <w:t xml:space="preserve">. * : hors intérêts </w:t>
      </w:r>
      <w:r w:rsidR="00CF771F" w:rsidRPr="00C73365">
        <w:rPr>
          <w:rFonts w:asciiTheme="minorHAnsi" w:hAnsiTheme="minorHAnsi" w:cstheme="minorHAnsi"/>
          <w:lang w:val="fr-FR"/>
        </w:rPr>
        <w:t>courus</w:t>
      </w:r>
      <w:r w:rsidR="008F2F8F" w:rsidRPr="00C73365">
        <w:rPr>
          <w:rFonts w:asciiTheme="minorHAnsi" w:hAnsiTheme="minorHAnsi" w:cstheme="minorHAnsi"/>
          <w:lang w:val="fr-FR"/>
        </w:rPr>
        <w:t xml:space="preserve">, à date d’enregistrement du DDR, l’aide conjointe </w:t>
      </w:r>
      <w:r w:rsidR="001479F8">
        <w:rPr>
          <w:rFonts w:asciiTheme="minorHAnsi" w:hAnsiTheme="minorHAnsi" w:cstheme="minorHAnsi"/>
          <w:lang w:val="fr-FR"/>
        </w:rPr>
        <w:t>Bpifrance</w:t>
      </w:r>
      <w:r w:rsidR="008F2F8F" w:rsidRPr="00C73365">
        <w:rPr>
          <w:rFonts w:asciiTheme="minorHAnsi" w:hAnsiTheme="minorHAnsi" w:cstheme="minorHAnsi"/>
          <w:lang w:val="fr-FR"/>
        </w:rPr>
        <w:t xml:space="preserve"> et Feder est intégralement remboursée.</w:t>
      </w:r>
    </w:p>
    <w:p w14:paraId="06238C38" w14:textId="77777777" w:rsidR="00D01236" w:rsidRPr="00C73365" w:rsidRDefault="00D01236">
      <w:pPr>
        <w:autoSpaceDE w:val="0"/>
        <w:autoSpaceDN w:val="0"/>
        <w:adjustRightInd w:val="0"/>
        <w:rPr>
          <w:rFonts w:asciiTheme="minorHAnsi" w:hAnsiTheme="minorHAnsi" w:cstheme="minorHAnsi"/>
          <w:i/>
          <w:color w:val="7030A0"/>
          <w:sz w:val="18"/>
          <w:szCs w:val="20"/>
          <w:lang w:val="fr-FR"/>
        </w:rPr>
      </w:pPr>
    </w:p>
    <w:p w14:paraId="1CC6F92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Pour les avances remboursables </w:t>
      </w:r>
      <w:r w:rsidR="001479F8">
        <w:rPr>
          <w:rFonts w:asciiTheme="minorHAnsi" w:hAnsiTheme="minorHAnsi" w:cstheme="minorHAnsi"/>
          <w:lang w:val="fr-FR"/>
        </w:rPr>
        <w:t>Bpifrance</w:t>
      </w:r>
      <w:r w:rsidRPr="00C73365">
        <w:rPr>
          <w:rFonts w:asciiTheme="minorHAnsi" w:hAnsiTheme="minorHAnsi" w:cstheme="minorHAnsi"/>
          <w:lang w:val="fr-FR"/>
        </w:rPr>
        <w:t>, dans le cas où la Société ne respecterait pas les conditions contractuelles prévues dans les conventions d’aides conclues, elle pourrait être amenée à rembourser les sommes avancées de façon anticipée. Une telle situation pourrait priver la Société de moyens financiers nécessaires pour ses projets de recherche et développement et elle ne peut garantir qu’elle trouverait les moyens financiers supplémentaires nécessaires, le temps ou la possibilité de remplacer ces ressources financières par d’autres.</w:t>
      </w:r>
    </w:p>
    <w:p w14:paraId="1850A7C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Par ailleurs, le montant et la date de paiement des subventions et des aides actuelles et à venir dépendent de nombreux facteurs non maîtrisés par la Société, notamment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éventuelles décisions de non distribution ou de gel des crédits ainsi que de l’atteinte d’étapes-clés préalablement agréées avec </w:t>
      </w:r>
      <w:r w:rsidR="001479F8">
        <w:rPr>
          <w:rFonts w:asciiTheme="minorHAnsi" w:hAnsiTheme="minorHAnsi" w:cstheme="minorHAnsi"/>
          <w:lang w:val="fr-FR"/>
        </w:rPr>
        <w:t>Bpifrance</w:t>
      </w:r>
      <w:r w:rsidRPr="00C73365">
        <w:rPr>
          <w:rFonts w:asciiTheme="minorHAnsi" w:hAnsiTheme="minorHAnsi" w:cstheme="minorHAnsi"/>
          <w:lang w:val="fr-FR"/>
        </w:rPr>
        <w:t>. Le retard, voire l</w:t>
      </w:r>
      <w:r w:rsidR="004572A0" w:rsidRPr="00C73365">
        <w:rPr>
          <w:rFonts w:asciiTheme="minorHAnsi" w:hAnsiTheme="minorHAnsi" w:cstheme="minorHAnsi"/>
          <w:lang w:val="fr-FR"/>
        </w:rPr>
        <w:t>’</w:t>
      </w:r>
      <w:r w:rsidRPr="00C73365">
        <w:rPr>
          <w:rFonts w:asciiTheme="minorHAnsi" w:hAnsiTheme="minorHAnsi" w:cstheme="minorHAnsi"/>
          <w:lang w:val="fr-FR"/>
        </w:rPr>
        <w:t>absence, de ces paiements qui financent une partie de sa croissance pourrait affecter l</w:t>
      </w:r>
      <w:r w:rsidR="004572A0" w:rsidRPr="00C73365">
        <w:rPr>
          <w:rFonts w:asciiTheme="minorHAnsi" w:hAnsiTheme="minorHAnsi" w:cstheme="minorHAnsi"/>
          <w:lang w:val="fr-FR"/>
        </w:rPr>
        <w:t>’</w:t>
      </w:r>
      <w:r w:rsidRPr="00C73365">
        <w:rPr>
          <w:rFonts w:asciiTheme="minorHAnsi" w:hAnsiTheme="minorHAnsi" w:cstheme="minorHAnsi"/>
          <w:lang w:val="fr-FR"/>
        </w:rPr>
        <w:t>activité, la situation financière, les résultats, le développement et les perspectives de la Société.</w:t>
      </w:r>
    </w:p>
    <w:p w14:paraId="694164FE"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Crédit d’Impôt Recherche (« CIR »)</w:t>
      </w:r>
    </w:p>
    <w:p w14:paraId="0CCC4D1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Pour financer ses activités, la Société a également opté pour le Crédit d</w:t>
      </w:r>
      <w:r w:rsidR="004572A0" w:rsidRPr="00C73365">
        <w:rPr>
          <w:rFonts w:asciiTheme="minorHAnsi" w:hAnsiTheme="minorHAnsi" w:cstheme="minorHAnsi"/>
          <w:lang w:val="fr-FR"/>
        </w:rPr>
        <w:t>’</w:t>
      </w:r>
      <w:r w:rsidRPr="00C73365">
        <w:rPr>
          <w:rFonts w:asciiTheme="minorHAnsi" w:hAnsiTheme="minorHAnsi" w:cstheme="minorHAnsi"/>
          <w:lang w:val="fr-FR"/>
        </w:rPr>
        <w:t>Impôt Recherche (« CIR »), qui consiste pour l</w:t>
      </w:r>
      <w:r w:rsidR="004572A0" w:rsidRPr="00C73365">
        <w:rPr>
          <w:rFonts w:asciiTheme="minorHAnsi" w:hAnsiTheme="minorHAnsi" w:cstheme="minorHAnsi"/>
          <w:lang w:val="fr-FR"/>
        </w:rPr>
        <w:t>’</w:t>
      </w:r>
      <w:r w:rsidRPr="00C73365">
        <w:rPr>
          <w:rFonts w:asciiTheme="minorHAnsi" w:hAnsiTheme="minorHAnsi" w:cstheme="minorHAnsi"/>
          <w:lang w:val="fr-FR"/>
        </w:rPr>
        <w:t>Etat à offrir un crédit d</w:t>
      </w:r>
      <w:r w:rsidR="004572A0" w:rsidRPr="00C73365">
        <w:rPr>
          <w:rFonts w:asciiTheme="minorHAnsi" w:hAnsiTheme="minorHAnsi" w:cstheme="minorHAnsi"/>
          <w:lang w:val="fr-FR"/>
        </w:rPr>
        <w:t>’</w:t>
      </w:r>
      <w:r w:rsidRPr="00C73365">
        <w:rPr>
          <w:rFonts w:asciiTheme="minorHAnsi" w:hAnsiTheme="minorHAnsi" w:cstheme="minorHAnsi"/>
          <w:lang w:val="fr-FR"/>
        </w:rPr>
        <w:t>impôt aux entreprises investissant significativement en recherche et développement. Les dépenses de recherche éligibles au CIR incluent, notamment, les salaires et traitements, les amortissements du matériel de recherche, les prestations de services sous-traitées à des organismes de recherche agréés (publics ou privés) et les frais de propriété intellectuelle.</w:t>
      </w:r>
    </w:p>
    <w:p w14:paraId="14B69658" w14:textId="77777777" w:rsidR="00563A47" w:rsidRPr="00C73365" w:rsidRDefault="007E4584" w:rsidP="004572A0">
      <w:pPr>
        <w:pStyle w:val="Corpsdetexte"/>
        <w:rPr>
          <w:rFonts w:asciiTheme="minorHAnsi" w:hAnsiTheme="minorHAnsi" w:cstheme="minorHAnsi"/>
          <w:lang w:val="fr-FR"/>
        </w:rPr>
      </w:pPr>
      <w:r w:rsidRPr="00C73365">
        <w:rPr>
          <w:rFonts w:asciiTheme="minorHAnsi" w:hAnsiTheme="minorHAnsi" w:cstheme="minorHAnsi"/>
          <w:lang w:val="fr-FR"/>
        </w:rPr>
        <w:t>Au 31/12/</w:t>
      </w:r>
      <w:r w:rsidR="00FF64AB" w:rsidRPr="00C73365">
        <w:rPr>
          <w:rFonts w:asciiTheme="minorHAnsi" w:hAnsiTheme="minorHAnsi" w:cstheme="minorHAnsi"/>
          <w:lang w:val="fr-FR"/>
        </w:rPr>
        <w:t>2017</w:t>
      </w:r>
      <w:r w:rsidRPr="00C73365">
        <w:rPr>
          <w:rFonts w:asciiTheme="minorHAnsi" w:hAnsiTheme="minorHAnsi" w:cstheme="minorHAnsi"/>
          <w:lang w:val="fr-FR"/>
        </w:rPr>
        <w:t xml:space="preserve">, la Société a comptabilisé un CIR d’un montant de </w:t>
      </w:r>
      <w:r w:rsidR="00E30413" w:rsidRPr="00C73365">
        <w:rPr>
          <w:rFonts w:asciiTheme="minorHAnsi" w:hAnsiTheme="minorHAnsi" w:cstheme="minorHAnsi"/>
          <w:lang w:val="fr-FR"/>
        </w:rPr>
        <w:t>2 632</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des dépenses de R&amp;D éligibles générées en </w:t>
      </w:r>
      <w:r w:rsidR="00FF64AB" w:rsidRPr="00C73365">
        <w:rPr>
          <w:rFonts w:asciiTheme="minorHAnsi" w:hAnsiTheme="minorHAnsi" w:cstheme="minorHAnsi"/>
          <w:lang w:val="fr-FR"/>
        </w:rPr>
        <w:t>2017</w:t>
      </w:r>
      <w:r w:rsidRPr="00C73365">
        <w:rPr>
          <w:rFonts w:asciiTheme="minorHAnsi" w:hAnsiTheme="minorHAnsi" w:cstheme="minorHAnsi"/>
          <w:lang w:val="fr-FR"/>
        </w:rPr>
        <w:t xml:space="preserve">. </w:t>
      </w:r>
    </w:p>
    <w:p w14:paraId="3BB274C7" w14:textId="77777777" w:rsidR="007E4584" w:rsidRPr="00C73365" w:rsidRDefault="00563A47" w:rsidP="004572A0">
      <w:pPr>
        <w:pStyle w:val="Corpsdetexte"/>
        <w:rPr>
          <w:rFonts w:asciiTheme="minorHAnsi" w:hAnsiTheme="minorHAnsi" w:cstheme="minorHAnsi"/>
          <w:lang w:val="fr-FR"/>
        </w:rPr>
      </w:pPr>
      <w:r w:rsidRPr="00C73365">
        <w:rPr>
          <w:rFonts w:asciiTheme="minorHAnsi" w:hAnsiTheme="minorHAnsi" w:cstheme="minorHAnsi"/>
          <w:lang w:val="fr-FR"/>
        </w:rPr>
        <w:t>Le CIR d’un montant de</w:t>
      </w:r>
      <w:r w:rsidR="00AD059B" w:rsidRPr="00C73365">
        <w:rPr>
          <w:rFonts w:asciiTheme="minorHAnsi" w:hAnsiTheme="minorHAnsi" w:cstheme="minorHAnsi"/>
          <w:lang w:val="fr-FR"/>
        </w:rPr>
        <w:t xml:space="preserve"> </w:t>
      </w:r>
      <w:r w:rsidR="00FF64AB" w:rsidRPr="00C73365">
        <w:rPr>
          <w:rFonts w:asciiTheme="minorHAnsi" w:hAnsiTheme="minorHAnsi" w:cstheme="minorHAnsi"/>
          <w:lang w:val="fr-FR"/>
        </w:rPr>
        <w:t>3</w:t>
      </w:r>
      <w:r w:rsidRPr="00C73365">
        <w:rPr>
          <w:rFonts w:asciiTheme="minorHAnsi" w:hAnsiTheme="minorHAnsi" w:cstheme="minorHAnsi"/>
          <w:lang w:val="fr-FR"/>
        </w:rPr>
        <w:t xml:space="preserve"> </w:t>
      </w:r>
      <w:r w:rsidR="00FF64AB" w:rsidRPr="00C73365">
        <w:rPr>
          <w:rFonts w:asciiTheme="minorHAnsi" w:hAnsiTheme="minorHAnsi" w:cstheme="minorHAnsi"/>
          <w:lang w:val="fr-FR"/>
        </w:rPr>
        <w:t xml:space="preserve">578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des dépenses de R&amp;D éligibles générées en </w:t>
      </w:r>
      <w:r w:rsidR="00FF64AB" w:rsidRPr="00C73365">
        <w:rPr>
          <w:rFonts w:asciiTheme="minorHAnsi" w:hAnsiTheme="minorHAnsi" w:cstheme="minorHAnsi"/>
          <w:lang w:val="fr-FR"/>
        </w:rPr>
        <w:t xml:space="preserve">2016 </w:t>
      </w:r>
      <w:r w:rsidRPr="00C73365">
        <w:rPr>
          <w:rFonts w:asciiTheme="minorHAnsi" w:hAnsiTheme="minorHAnsi" w:cstheme="minorHAnsi"/>
          <w:lang w:val="fr-FR"/>
        </w:rPr>
        <w:t xml:space="preserve">a été encaissé dans son intégralité le </w:t>
      </w:r>
      <w:r w:rsidR="004801C8" w:rsidRPr="00C73365">
        <w:rPr>
          <w:rFonts w:asciiTheme="minorHAnsi" w:hAnsiTheme="minorHAnsi" w:cstheme="minorHAnsi"/>
          <w:lang w:val="fr-FR"/>
        </w:rPr>
        <w:t xml:space="preserve">30 </w:t>
      </w:r>
      <w:r w:rsidRPr="00C73365">
        <w:rPr>
          <w:rFonts w:asciiTheme="minorHAnsi" w:hAnsiTheme="minorHAnsi" w:cstheme="minorHAnsi"/>
          <w:lang w:val="fr-FR"/>
        </w:rPr>
        <w:t xml:space="preserve">Août </w:t>
      </w:r>
      <w:r w:rsidR="004801C8" w:rsidRPr="00C73365">
        <w:rPr>
          <w:rFonts w:asciiTheme="minorHAnsi" w:hAnsiTheme="minorHAnsi" w:cstheme="minorHAnsi"/>
          <w:lang w:val="fr-FR"/>
        </w:rPr>
        <w:t>2017</w:t>
      </w:r>
      <w:r w:rsidRPr="00C73365">
        <w:rPr>
          <w:rFonts w:asciiTheme="minorHAnsi" w:hAnsiTheme="minorHAnsi" w:cstheme="minorHAnsi"/>
          <w:lang w:val="fr-FR"/>
        </w:rPr>
        <w:t>.</w:t>
      </w:r>
    </w:p>
    <w:p w14:paraId="4836C2B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Concernant 2017 et les années à venir, il ne peut être exclu que les services fiscaux remettent en cause les modes de calcul des dépenses de recherche et développement retenus par la Société ou que le CIR soit remis en cause par un changement de réglementation ou par une contestation des services fiscaux alors même que la Société estime se </w:t>
      </w:r>
      <w:r w:rsidRPr="00C73365">
        <w:rPr>
          <w:rFonts w:asciiTheme="minorHAnsi" w:hAnsiTheme="minorHAnsi" w:cstheme="minorHAnsi"/>
          <w:lang w:val="fr-FR"/>
        </w:rPr>
        <w:lastRenderedPageBreak/>
        <w:t>conformer aux exigences de documentation et d</w:t>
      </w:r>
      <w:r w:rsidR="004572A0" w:rsidRPr="00C73365">
        <w:rPr>
          <w:rFonts w:asciiTheme="minorHAnsi" w:hAnsiTheme="minorHAnsi" w:cstheme="minorHAnsi"/>
          <w:lang w:val="fr-FR"/>
        </w:rPr>
        <w:t>’</w:t>
      </w:r>
      <w:r w:rsidRPr="00C73365">
        <w:rPr>
          <w:rFonts w:asciiTheme="minorHAnsi" w:hAnsiTheme="minorHAnsi" w:cstheme="minorHAnsi"/>
          <w:lang w:val="fr-FR"/>
        </w:rPr>
        <w:t>éligibilité des dépenses. Si une telle situation devait se produire, cela pourrait avoir un effet défavorable sur les résultats, la situation financière et les perspectives de la Société.</w:t>
      </w:r>
    </w:p>
    <w:p w14:paraId="77D8F12B"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l’utilisation future des déficits reportables</w:t>
      </w:r>
    </w:p>
    <w:p w14:paraId="58A90724" w14:textId="77777777" w:rsidR="00755C0C" w:rsidRPr="00C73365" w:rsidRDefault="00755C0C" w:rsidP="00755C0C">
      <w:pPr>
        <w:spacing w:after="0"/>
        <w:ind w:right="-2"/>
        <w:rPr>
          <w:rFonts w:asciiTheme="minorHAnsi" w:eastAsia="MS Mincho" w:hAnsiTheme="minorHAnsi" w:cstheme="minorHAnsi"/>
          <w:szCs w:val="20"/>
          <w:lang w:val="fr-FR" w:eastAsia="fr-FR"/>
        </w:rPr>
      </w:pPr>
    </w:p>
    <w:p w14:paraId="6783C81E" w14:textId="77777777" w:rsidR="00A94114" w:rsidRPr="00C73365" w:rsidRDefault="00755C0C"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fiscaux et amortissements reportables dont dispose la société s’établissent à </w:t>
      </w:r>
      <w:r w:rsidRPr="00C73365">
        <w:rPr>
          <w:rFonts w:asciiTheme="minorHAnsi" w:hAnsiTheme="minorHAnsi" w:cstheme="minorHAnsi"/>
          <w:szCs w:val="22"/>
          <w:lang w:val="fr-FR"/>
        </w:rPr>
        <w:t xml:space="preserve">87 289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w:t>
      </w:r>
      <w:r w:rsidRPr="00C73365">
        <w:rPr>
          <w:rFonts w:asciiTheme="minorHAnsi" w:eastAsia="MS Mincho" w:hAnsiTheme="minorHAnsi" w:cstheme="minorHAnsi"/>
          <w:lang w:val="fr-FR" w:eastAsia="fr-FR"/>
        </w:rPr>
        <w:t xml:space="preserve">au 31 décembre 2017. Les déficits existants chez les trois sociétés confondues (SPLICOS, WITTYCELL et ZOPHIS), qui s’élevaient à 26 021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à la date de réalisation des opérations de dissolutions-confusions ont fait l’objet de demandes d’agrément auprès de l’administration fiscale post-opérations.  Le total des agréments obtenus s’élève à 22 531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A ceci s’ajoute, les déficits d’</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w:t>
      </w:r>
    </w:p>
    <w:p w14:paraId="45A11126"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Conformément à l’article 209 du Code Général des Impôts, la possibilité d’imputer ces déficits est suspendue à la poursuite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l</w:t>
      </w:r>
      <w:r w:rsidR="004572A0" w:rsidRPr="00C73365">
        <w:rPr>
          <w:rFonts w:asciiTheme="minorHAnsi" w:hAnsiTheme="minorHAnsi" w:cstheme="minorHAnsi"/>
          <w:lang w:val="fr-FR"/>
        </w:rPr>
        <w:t>’</w:t>
      </w:r>
      <w:r w:rsidRPr="00C73365">
        <w:rPr>
          <w:rFonts w:asciiTheme="minorHAnsi" w:hAnsiTheme="minorHAnsi" w:cstheme="minorHAnsi"/>
          <w:lang w:val="fr-FR"/>
        </w:rPr>
        <w:t>activité à l</w:t>
      </w:r>
      <w:r w:rsidR="004572A0" w:rsidRPr="00C73365">
        <w:rPr>
          <w:rFonts w:asciiTheme="minorHAnsi" w:hAnsiTheme="minorHAnsi" w:cstheme="minorHAnsi"/>
          <w:lang w:val="fr-FR"/>
        </w:rPr>
        <w:t>’</w:t>
      </w:r>
      <w:r w:rsidRPr="00C73365">
        <w:rPr>
          <w:rFonts w:asciiTheme="minorHAnsi" w:hAnsiTheme="minorHAnsi" w:cstheme="minorHAnsi"/>
          <w:lang w:val="fr-FR"/>
        </w:rPr>
        <w:t>origine des déficits pendant un délai minimal de trois ans, sans faire l</w:t>
      </w:r>
      <w:r w:rsidR="004572A0" w:rsidRPr="00C73365">
        <w:rPr>
          <w:rFonts w:asciiTheme="minorHAnsi" w:hAnsiTheme="minorHAnsi" w:cstheme="minorHAnsi"/>
          <w:lang w:val="fr-FR"/>
        </w:rPr>
        <w:t>’</w:t>
      </w:r>
      <w:r w:rsidRPr="00C73365">
        <w:rPr>
          <w:rFonts w:asciiTheme="minorHAnsi" w:hAnsiTheme="minorHAnsi" w:cstheme="minorHAnsi"/>
          <w:lang w:val="fr-FR"/>
        </w:rPr>
        <w:t>objet, pendant cette période, de changement significatif.</w:t>
      </w:r>
    </w:p>
    <w:p w14:paraId="4F1BA80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France, l’imputation de ces déficits est plafonnée à 50% du bénéfice imposable de l’exercice, cette limitation est applicable à la fraction des bénéfices qui excède 1 million d’euros. Le solde non utilisé du déficit reste reportable sur les exercices suivants, et est imputable dans les mêmes conditions sans limitation dans le temps.</w:t>
      </w:r>
    </w:p>
    <w:p w14:paraId="7309405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Il ne peut par ailleurs être exclu que des évolutions réglementaires ou législatives en matière de fiscalité des sociétés viennent à remettre en cause, pour toute ou partie, la possible imputation de ces déficits antérieurs sur les bénéfices futurs ou à limiter dans le temps, leur imputation.</w:t>
      </w:r>
    </w:p>
    <w:p w14:paraId="44F583B3"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dilution</w:t>
      </w:r>
    </w:p>
    <w:p w14:paraId="19CA31E3" w14:textId="77777777" w:rsidR="00277D7C" w:rsidRPr="00C73365" w:rsidRDefault="00277D7C" w:rsidP="004572A0">
      <w:pPr>
        <w:pStyle w:val="Corpsdetexte"/>
        <w:rPr>
          <w:rFonts w:asciiTheme="minorHAnsi" w:hAnsiTheme="minorHAnsi" w:cstheme="minorHAnsi"/>
          <w:lang w:val="fr-FR"/>
        </w:rPr>
      </w:pPr>
      <w:r w:rsidRPr="00C73365">
        <w:rPr>
          <w:rFonts w:asciiTheme="minorHAnsi" w:hAnsiTheme="minorHAnsi" w:cstheme="minorHAnsi"/>
          <w:lang w:val="fr-FR"/>
        </w:rPr>
        <w:t>Depuis sa création, la Société a émis et attribué des bons de souscription d’actions (BSA) et des bons de souscription de parts de créateur d’entreprise (BSPCE). L’exercice intégral de l’ensemble des instruments donnant accès au capital attribués et en circulation à ce jour permettrait la souscription de 1.659.365 actions ordinaires nouvelles, générant alors une dilution égale à 16,69% sur la base du capital social de la Société au 31 mars 2018.</w:t>
      </w:r>
    </w:p>
    <w:p w14:paraId="7CE88C5B" w14:textId="58D8A393" w:rsidR="00F46C7B" w:rsidRDefault="00277D7C" w:rsidP="004572A0">
      <w:pPr>
        <w:pStyle w:val="Corpsdetexte"/>
        <w:rPr>
          <w:rFonts w:asciiTheme="minorHAnsi" w:hAnsiTheme="minorHAnsi" w:cstheme="minorHAnsi"/>
          <w:lang w:val="fr-FR"/>
        </w:rPr>
      </w:pPr>
      <w:r w:rsidRPr="00C73365">
        <w:rPr>
          <w:rFonts w:asciiTheme="minorHAnsi" w:hAnsiTheme="minorHAnsi" w:cstheme="minorHAnsi"/>
          <w:lang w:val="fr-FR"/>
        </w:rPr>
        <w:t>Par ailleurs, les assemblées générales du 24 juin 2016 et 23 juin 2017 ont consenti au conseil d’administration des délégations en vue de réaliser une ou plusieurs augmentations de capital et/ou émissions de valeurs mobilières donnant accès au capital, dont le détail figure au paragraphe 21.1.6 « Capital autorisé non émis » du présent document de référence.</w:t>
      </w:r>
    </w:p>
    <w:p w14:paraId="17697B75" w14:textId="56C4EA89" w:rsidR="00F366D6" w:rsidRPr="00C73365" w:rsidRDefault="00F366D6" w:rsidP="00F366D6">
      <w:pPr>
        <w:pStyle w:val="Corpsdetexte"/>
        <w:rPr>
          <w:rFonts w:asciiTheme="minorHAnsi" w:hAnsiTheme="minorHAnsi" w:cstheme="minorHAnsi"/>
          <w:lang w:val="fr-FR"/>
        </w:rPr>
      </w:pPr>
      <w:r w:rsidRPr="00F366D6">
        <w:rPr>
          <w:rFonts w:asciiTheme="minorHAnsi" w:hAnsiTheme="minorHAnsi" w:cstheme="minorHAnsi"/>
          <w:lang w:val="fr-FR"/>
        </w:rPr>
        <w:t>Equity Line ou ligne de financement en fonds propres</w:t>
      </w:r>
      <w:r>
        <w:rPr>
          <w:rFonts w:asciiTheme="minorHAnsi" w:hAnsiTheme="minorHAnsi" w:cstheme="minorHAnsi"/>
          <w:lang w:val="fr-FR"/>
        </w:rPr>
        <w:t> : l</w:t>
      </w:r>
      <w:r w:rsidRPr="00C73365">
        <w:rPr>
          <w:rFonts w:asciiTheme="minorHAnsi" w:hAnsiTheme="minorHAnsi" w:cstheme="minorHAnsi"/>
          <w:lang w:val="fr-FR"/>
        </w:rPr>
        <w:t>e Directeur Général de la Société, agissant sur délégation du Conseil d’Administration, qui s’est tenu le 18 septembre 2017, et conformément à la 10</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résolution de l’Assemblée Générale Mixte des actionnaires du 24 juin 2016</w:t>
      </w: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 décidé la mise en place de cette ligne de financement.</w:t>
      </w:r>
      <w:r>
        <w:rPr>
          <w:rFonts w:asciiTheme="minorHAnsi" w:hAnsiTheme="minorHAnsi" w:cstheme="minorHAnsi"/>
          <w:lang w:val="fr-FR"/>
        </w:rPr>
        <w:t xml:space="preserve"> </w:t>
      </w:r>
      <w:r w:rsidRPr="00C73365">
        <w:rPr>
          <w:rFonts w:asciiTheme="minorHAnsi" w:hAnsiTheme="minorHAnsi" w:cstheme="minorHAnsi"/>
          <w:lang w:val="fr-FR"/>
        </w:rPr>
        <w:t>Conformément aux termes de l’accord, Kepler Cheuvreux intervenant à titre d’intermédiaire financier et garant de la transaction, s’est engagé à souscrire 970 000 actions, à sa propre initiative suivant un calendrier d’une durée maximale de 24 mois. Les actions seront émises sur la base d’une moyenne des cours de bourse pondérée par les volumes sur les deux jours de bourse précédant chaque émission, diminuée d’une décote maximale de 7,0%.</w:t>
      </w:r>
      <w:r>
        <w:rPr>
          <w:rFonts w:asciiTheme="minorHAnsi" w:hAnsiTheme="minorHAnsi" w:cstheme="minorHAnsi"/>
          <w:lang w:val="fr-FR"/>
        </w:rPr>
        <w:t xml:space="preserve"> </w:t>
      </w:r>
      <w:r w:rsidRPr="00C73365">
        <w:rPr>
          <w:rFonts w:asciiTheme="minorHAnsi" w:hAnsiTheme="minorHAnsi" w:cstheme="minorHAnsi"/>
          <w:lang w:val="fr-FR"/>
        </w:rPr>
        <w:t>Dans l’hypothèse d’une utilisation en totalité de cette ligne de financement</w:t>
      </w:r>
      <w:r w:rsidRPr="00C73365">
        <w:rPr>
          <w:rFonts w:asciiTheme="minorHAnsi" w:hAnsiTheme="minorHAnsi" w:cstheme="minorHAnsi"/>
          <w:vertAlign w:val="superscript"/>
          <w:lang w:val="fr-FR"/>
        </w:rPr>
        <w:t xml:space="preserve"> [2],</w:t>
      </w:r>
      <w:r w:rsidRPr="00C73365">
        <w:rPr>
          <w:rFonts w:asciiTheme="minorHAnsi" w:hAnsiTheme="minorHAnsi" w:cstheme="minorHAnsi"/>
          <w:lang w:val="fr-FR"/>
        </w:rPr>
        <w:t xml:space="preserve"> elle permettrait à la Société de lever 12 millions d’euros au prix de l’action</w:t>
      </w:r>
      <w:r w:rsidRPr="00C73365">
        <w:rPr>
          <w:rFonts w:asciiTheme="minorHAnsi" w:hAnsiTheme="minorHAnsi" w:cstheme="minorHAnsi"/>
          <w:vertAlign w:val="superscript"/>
          <w:lang w:val="fr-FR"/>
        </w:rPr>
        <w:t>[3]</w:t>
      </w:r>
      <w:r w:rsidRPr="00C73365">
        <w:rPr>
          <w:rFonts w:asciiTheme="minorHAnsi" w:hAnsiTheme="minorHAnsi" w:cstheme="minorHAnsi"/>
          <w:lang w:val="fr-FR"/>
        </w:rPr>
        <w:t xml:space="preserve"> en septembre 2017.Sous réserve que les conditions contractuelles soient remplies, un actionnaire détenant 1,00% du capital d’ABIVAX avant sa mise en place, verrait sa participation passer à 0.91%</w:t>
      </w:r>
      <w:r w:rsidRPr="00C73365">
        <w:rPr>
          <w:rFonts w:asciiTheme="minorHAnsi" w:hAnsiTheme="minorHAnsi" w:cstheme="minorHAnsi"/>
          <w:vertAlign w:val="superscript"/>
          <w:lang w:val="fr-FR"/>
        </w:rPr>
        <w:t xml:space="preserve">[4] </w:t>
      </w:r>
      <w:r w:rsidRPr="00C73365">
        <w:rPr>
          <w:rFonts w:asciiTheme="minorHAnsi" w:hAnsiTheme="minorHAnsi" w:cstheme="minorHAnsi"/>
          <w:lang w:val="fr-FR"/>
        </w:rPr>
        <w:t>du capital. ABIVAX conserve la possibilité de suspendre ou mettre fin à cet accord à tout moment.</w:t>
      </w:r>
      <w:r w:rsidR="00484647">
        <w:rPr>
          <w:rFonts w:asciiTheme="minorHAnsi" w:hAnsiTheme="minorHAnsi" w:cstheme="minorHAnsi"/>
          <w:lang w:val="fr-FR"/>
        </w:rPr>
        <w:t xml:space="preserve"> </w:t>
      </w:r>
      <w:r w:rsidRPr="00C73365">
        <w:rPr>
          <w:rFonts w:asciiTheme="minorHAnsi" w:hAnsiTheme="minorHAnsi" w:cstheme="minorHAnsi"/>
          <w:lang w:val="fr-FR"/>
        </w:rPr>
        <w:t>Depuis la signature de l’accord, l’exercice de 60 000 bons par Kepler Cheuvreux a été réalisé en septembre 2017 (40 000 titres émis) et en octobre 2017 (20 000 titres émis) et a permis de libérer un montant de 0.6 M€. Le montant résiduel de la ligne de financement en fond propre de Kepler Cheuvreux au 31 mars 2017 est ainsi de 910 000 titres.</w:t>
      </w:r>
    </w:p>
    <w:p w14:paraId="44B20714" w14:textId="77777777" w:rsidR="00F366D6" w:rsidRPr="00C73365" w:rsidRDefault="00F366D6" w:rsidP="00F366D6">
      <w:pPr>
        <w:pStyle w:val="Corpsdetexte"/>
        <w:rPr>
          <w:rFonts w:asciiTheme="minorHAnsi" w:hAnsiTheme="minorHAnsi" w:cstheme="minorHAnsi"/>
          <w:lang w:val="fr-FR"/>
        </w:rPr>
      </w:pP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Augmentation de capital réalisée avec suppression du droit préférentiel de souscription par placement privé dans la limite de 20% du capital social par an conformément aux dispositions de l’article L. 225-136 (1° et 3°) du code de commerce.</w:t>
      </w:r>
    </w:p>
    <w:p w14:paraId="7CC6605B" w14:textId="77777777" w:rsidR="00F366D6" w:rsidRPr="00C73365" w:rsidRDefault="00F366D6" w:rsidP="00F366D6">
      <w:pPr>
        <w:rPr>
          <w:rFonts w:asciiTheme="minorHAnsi" w:hAnsiTheme="minorHAnsi" w:cstheme="minorHAnsi"/>
          <w:lang w:val="fr-FR"/>
        </w:rPr>
      </w:pPr>
      <w:r w:rsidRPr="00C73365">
        <w:rPr>
          <w:rFonts w:asciiTheme="minorHAnsi" w:hAnsiTheme="minorHAnsi" w:cstheme="minorHAnsi"/>
          <w:vertAlign w:val="superscript"/>
          <w:lang w:val="fr-FR"/>
        </w:rPr>
        <w:t>[2]</w:t>
      </w:r>
      <w:r w:rsidRPr="00C73365">
        <w:rPr>
          <w:rFonts w:asciiTheme="minorHAnsi" w:hAnsiTheme="minorHAnsi" w:cstheme="minorHAnsi"/>
          <w:lang w:val="fr-FR"/>
        </w:rPr>
        <w:t xml:space="preserve"> Dans ce cas, 970 000 nouveaux titres seraient émis.</w:t>
      </w:r>
    </w:p>
    <w:p w14:paraId="616B77F2" w14:textId="77777777" w:rsidR="00F366D6" w:rsidRPr="00C73365" w:rsidRDefault="00F366D6" w:rsidP="00F366D6">
      <w:pPr>
        <w:rPr>
          <w:rFonts w:asciiTheme="minorHAnsi" w:hAnsiTheme="minorHAnsi" w:cstheme="minorHAnsi"/>
          <w:lang w:val="fr-FR"/>
        </w:rPr>
      </w:pPr>
      <w:r w:rsidRPr="00C73365">
        <w:rPr>
          <w:rFonts w:asciiTheme="minorHAnsi" w:hAnsiTheme="minorHAnsi" w:cstheme="minorHAnsi"/>
          <w:vertAlign w:val="superscript"/>
          <w:lang w:val="fr-FR"/>
        </w:rPr>
        <w:t>[3]</w:t>
      </w:r>
      <w:r w:rsidRPr="00C73365">
        <w:rPr>
          <w:rFonts w:asciiTheme="minorHAnsi" w:hAnsiTheme="minorHAnsi" w:cstheme="minorHAnsi"/>
          <w:lang w:val="fr-FR"/>
        </w:rPr>
        <w:t xml:space="preserve"> Sur la base indicative de la moyenne des cours des vingt dernières séances de l’action ABIVAX.</w:t>
      </w:r>
    </w:p>
    <w:p w14:paraId="72E56689" w14:textId="77777777" w:rsidR="00F366D6" w:rsidRPr="00C73365" w:rsidRDefault="00F366D6" w:rsidP="00F366D6">
      <w:pPr>
        <w:rPr>
          <w:rFonts w:asciiTheme="minorHAnsi" w:hAnsiTheme="minorHAnsi" w:cstheme="minorHAnsi"/>
          <w:lang w:val="fr-FR"/>
        </w:rPr>
      </w:pPr>
      <w:r w:rsidRPr="00C73365">
        <w:rPr>
          <w:rFonts w:asciiTheme="minorHAnsi" w:hAnsiTheme="minorHAnsi" w:cstheme="minorHAnsi"/>
          <w:vertAlign w:val="superscript"/>
          <w:lang w:val="fr-FR"/>
        </w:rPr>
        <w:t>[4]</w:t>
      </w:r>
      <w:r w:rsidRPr="00C73365">
        <w:rPr>
          <w:rFonts w:asciiTheme="minorHAnsi" w:hAnsiTheme="minorHAnsi" w:cstheme="minorHAnsi"/>
          <w:lang w:val="fr-FR"/>
        </w:rPr>
        <w:t xml:space="preserve"> Sur la base des 9 741 489 actions composant le capital social d’ABIVAX au 31 juillet 2017.</w:t>
      </w:r>
    </w:p>
    <w:p w14:paraId="0A0834CB" w14:textId="77777777" w:rsidR="00ED7C40" w:rsidRPr="00C73365" w:rsidRDefault="00ED7C40" w:rsidP="004572A0">
      <w:pPr>
        <w:pStyle w:val="Corpsdetexte"/>
        <w:rPr>
          <w:rFonts w:asciiTheme="minorHAnsi" w:hAnsiTheme="minorHAnsi" w:cstheme="minorHAnsi"/>
          <w:lang w:val="fr-FR"/>
        </w:rPr>
      </w:pPr>
    </w:p>
    <w:p w14:paraId="005D766C"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sur les actifs incorporels</w:t>
      </w:r>
    </w:p>
    <w:p w14:paraId="1C94CE5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L’Assemblée Générale Extraordinaire du 25 avril 2014 a constaté l’apport à la Société de la totalité des titres de trois sociétés (WITTYCELL, ZOPHIS et SPLICOS) détenus par plusieurs fonds d’investissement. Ces apports en nature ont entrainé l’inscription à l’actif de l’intégralité des titres des trois sociétés apportées pour un total de 29 494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w:t>
      </w:r>
    </w:p>
    <w:p w14:paraId="13BD004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Au cours du second semestre de l’exercice 2014, trois transmissions universelles de patrimoine ont été réalisées</w:t>
      </w:r>
      <w:r w:rsidR="009414F6" w:rsidRPr="00C73365">
        <w:rPr>
          <w:rFonts w:asciiTheme="minorHAnsi" w:hAnsiTheme="minorHAnsi" w:cstheme="minorHAnsi"/>
          <w:lang w:val="fr-FR"/>
        </w:rPr>
        <w:t xml:space="preserve"> </w:t>
      </w:r>
      <w:r w:rsidRPr="00C73365">
        <w:rPr>
          <w:rFonts w:asciiTheme="minorHAnsi" w:hAnsiTheme="minorHAnsi" w:cstheme="minorHAnsi"/>
          <w:lang w:val="fr-FR"/>
        </w:rPr>
        <w:t xml:space="preserve">: les sociétés WITTYCELL et ZOPHIS ont été absorbées au 31 juillet 2014 et la société SPLICOS a été absorbée au 31 octobre 2014. Ces trois opérations ont donné lieu à la constatation de mali techniques se substituant à l’actif aux titres de participation reçus en apport pour un montant global de 32 745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L’abandon d’un projet de la société ZOPHIS avec l’INRA avait conduit fin 2014 à la dépréciation du mali technique généré par la transmission universelle de patrimoine de la société ZOPHIS (pour 740 </w:t>
      </w:r>
      <w:r w:rsidR="00EF089C" w:rsidRPr="00C73365">
        <w:rPr>
          <w:rFonts w:asciiTheme="minorHAnsi" w:hAnsiTheme="minorHAnsi" w:cstheme="minorHAnsi"/>
          <w:lang w:val="fr-FR"/>
        </w:rPr>
        <w:t>K€</w:t>
      </w:r>
      <w:r w:rsidRPr="00C73365">
        <w:rPr>
          <w:rFonts w:asciiTheme="minorHAnsi" w:hAnsiTheme="minorHAnsi" w:cstheme="minorHAnsi"/>
          <w:lang w:val="fr-FR"/>
        </w:rPr>
        <w:t>).</w:t>
      </w:r>
    </w:p>
    <w:p w14:paraId="54BF904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Ces mali de fusion classés en immobilisations incorporelles représentaient donc au 31/12/2014 32 005 </w:t>
      </w:r>
      <w:r w:rsidR="00EF089C" w:rsidRPr="00C73365">
        <w:rPr>
          <w:rFonts w:asciiTheme="minorHAnsi" w:hAnsiTheme="minorHAnsi" w:cstheme="minorHAnsi"/>
          <w:lang w:val="fr-FR"/>
        </w:rPr>
        <w:t>K€</w:t>
      </w:r>
      <w:r w:rsidRPr="00C73365">
        <w:rPr>
          <w:rFonts w:asciiTheme="minorHAnsi" w:hAnsiTheme="minorHAnsi" w:cstheme="minorHAnsi"/>
          <w:lang w:val="fr-FR"/>
        </w:rPr>
        <w:t>.</w:t>
      </w:r>
    </w:p>
    <w:p w14:paraId="540E1B3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 chaque clôture, les mali techniques qui découlent des fusions absorptions de SPLICOS et de WITTYCELL sont comparés aux valeurs de marché des produits issus des plateformes technologiques qui leur sont rattachées, respectivement la plateforme technologique antivirale pour SPLICOS et la plateforme technologique adjuvants pour WITTYCELL. Si la valeur de marché des produits est inférieure au mali technique lui correspondant, une dépréciation est pratiquée afin de ramener le montant du mali technique figurant dans les comptes à la valeur de marché des produits. </w:t>
      </w:r>
    </w:p>
    <w:p w14:paraId="17825499" w14:textId="77777777" w:rsidR="00E92A57" w:rsidRDefault="00E92A57" w:rsidP="004572A0">
      <w:pPr>
        <w:pStyle w:val="Corpsdetexte"/>
        <w:rPr>
          <w:rFonts w:asciiTheme="minorHAnsi" w:hAnsiTheme="minorHAnsi" w:cstheme="minorHAnsi"/>
          <w:lang w:val="fr-FR"/>
        </w:rPr>
      </w:pPr>
    </w:p>
    <w:p w14:paraId="3C376573"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Afin de calculer la valeur de marché d</w:t>
      </w:r>
      <w:r w:rsidR="004572A0" w:rsidRPr="00C73365">
        <w:rPr>
          <w:rFonts w:asciiTheme="minorHAnsi" w:hAnsiTheme="minorHAnsi" w:cstheme="minorHAnsi"/>
          <w:lang w:val="fr-FR"/>
        </w:rPr>
        <w:t>’</w:t>
      </w:r>
      <w:r w:rsidRPr="00C73365">
        <w:rPr>
          <w:rFonts w:asciiTheme="minorHAnsi" w:hAnsiTheme="minorHAnsi" w:cstheme="minorHAnsi"/>
          <w:lang w:val="fr-FR"/>
        </w:rPr>
        <w:t>un produit, deux références sont prises en compte :</w:t>
      </w:r>
    </w:p>
    <w:p w14:paraId="343BBD67" w14:textId="77777777" w:rsidR="00F46C7B" w:rsidRPr="00E66FAB" w:rsidRDefault="00F46C7B" w:rsidP="00434C49">
      <w:pPr>
        <w:pStyle w:val="Listepuces2"/>
        <w:numPr>
          <w:ilvl w:val="0"/>
          <w:numId w:val="69"/>
        </w:numPr>
        <w:rPr>
          <w:rFonts w:asciiTheme="minorHAnsi" w:hAnsiTheme="minorHAnsi" w:cstheme="minorHAnsi"/>
          <w:lang w:val="fr-FR"/>
        </w:rPr>
      </w:pPr>
      <w:r w:rsidRPr="00E66FAB">
        <w:rPr>
          <w:rFonts w:asciiTheme="minorHAnsi" w:hAnsiTheme="minorHAnsi" w:cstheme="minorHAnsi"/>
          <w:lang w:val="fr-FR"/>
        </w:rPr>
        <w:t>la valeur actuelle nette ajustée du risque des flux de caisse attendus de l</w:t>
      </w:r>
      <w:r w:rsidR="004572A0" w:rsidRPr="00E66FAB">
        <w:rPr>
          <w:rFonts w:asciiTheme="minorHAnsi" w:hAnsiTheme="minorHAnsi" w:cstheme="minorHAnsi"/>
          <w:lang w:val="fr-FR"/>
        </w:rPr>
        <w:t>’</w:t>
      </w:r>
      <w:r w:rsidRPr="00E66FAB">
        <w:rPr>
          <w:rFonts w:asciiTheme="minorHAnsi" w:hAnsiTheme="minorHAnsi" w:cstheme="minorHAnsi"/>
          <w:lang w:val="fr-FR"/>
        </w:rPr>
        <w:t>exploitation du produit jusqu</w:t>
      </w:r>
      <w:r w:rsidR="004572A0" w:rsidRPr="00E66FAB">
        <w:rPr>
          <w:rFonts w:asciiTheme="minorHAnsi" w:hAnsiTheme="minorHAnsi" w:cstheme="minorHAnsi"/>
          <w:lang w:val="fr-FR"/>
        </w:rPr>
        <w:t>’</w:t>
      </w:r>
      <w:r w:rsidRPr="00E66FAB">
        <w:rPr>
          <w:rFonts w:asciiTheme="minorHAnsi" w:hAnsiTheme="minorHAnsi" w:cstheme="minorHAnsi"/>
          <w:lang w:val="fr-FR"/>
        </w:rPr>
        <w:t>à expiration des brevets ;</w:t>
      </w:r>
    </w:p>
    <w:p w14:paraId="72DDDCF9" w14:textId="77777777" w:rsidR="00F46C7B" w:rsidRPr="00E66FAB" w:rsidRDefault="00F46C7B" w:rsidP="00434C49">
      <w:pPr>
        <w:pStyle w:val="Listepuces2"/>
        <w:numPr>
          <w:ilvl w:val="0"/>
          <w:numId w:val="69"/>
        </w:numPr>
        <w:rPr>
          <w:rFonts w:asciiTheme="minorHAnsi" w:hAnsiTheme="minorHAnsi" w:cstheme="minorHAnsi"/>
          <w:lang w:val="fr-FR"/>
        </w:rPr>
      </w:pPr>
      <w:r w:rsidRPr="00E66FAB">
        <w:rPr>
          <w:rFonts w:asciiTheme="minorHAnsi" w:hAnsiTheme="minorHAnsi" w:cstheme="minorHAnsi"/>
          <w:lang w:val="fr-FR"/>
        </w:rPr>
        <w:t>les prix de transactions récentes portant sur l</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acquisition ou des accords de licence pour des produits comparables (indication thérapeutique, stade de développement, taille du marché…). </w:t>
      </w:r>
    </w:p>
    <w:p w14:paraId="4473446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Si les conclusions entre ces deux méthodes sont discordantes, la valeur actuelle nette ajustée du risque prime.</w:t>
      </w:r>
    </w:p>
    <w:p w14:paraId="151303E6"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accident dans le développement de la plateforme technologique et des produits y afférant qui remettrait en cause leur exploitation, une dépréciation totale du mali technique concerné serait alors pratiquée. </w:t>
      </w:r>
    </w:p>
    <w:p w14:paraId="15894D0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Dans le cas d</w:t>
      </w:r>
      <w:r w:rsidR="004572A0" w:rsidRPr="00C73365">
        <w:rPr>
          <w:rFonts w:asciiTheme="minorHAnsi" w:hAnsiTheme="minorHAnsi" w:cstheme="minorHAnsi"/>
          <w:lang w:val="fr-FR"/>
        </w:rPr>
        <w:t>’</w:t>
      </w:r>
      <w:r w:rsidRPr="00C73365">
        <w:rPr>
          <w:rFonts w:asciiTheme="minorHAnsi" w:hAnsiTheme="minorHAnsi" w:cstheme="minorHAnsi"/>
          <w:lang w:val="fr-FR"/>
        </w:rPr>
        <w:t>une provision pour dépréciation, cette dernière peut être reprise en partie ou en totalité en cas d</w:t>
      </w:r>
      <w:r w:rsidR="004572A0" w:rsidRPr="00C73365">
        <w:rPr>
          <w:rFonts w:asciiTheme="minorHAnsi" w:hAnsiTheme="minorHAnsi" w:cstheme="minorHAnsi"/>
          <w:lang w:val="fr-FR"/>
        </w:rPr>
        <w:t>’</w:t>
      </w:r>
      <w:r w:rsidRPr="00C73365">
        <w:rPr>
          <w:rFonts w:asciiTheme="minorHAnsi" w:hAnsiTheme="minorHAnsi" w:cstheme="minorHAnsi"/>
          <w:lang w:val="fr-FR"/>
        </w:rPr>
        <w:t>amélioration ultérieure de la valeur de marché des produits.</w:t>
      </w:r>
    </w:p>
    <w:p w14:paraId="4F5D8B9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Du fait </w:t>
      </w:r>
      <w:r w:rsidR="00FB7F4D" w:rsidRPr="00C73365">
        <w:rPr>
          <w:rFonts w:asciiTheme="minorHAnsi" w:hAnsiTheme="minorHAnsi" w:cstheme="minorHAnsi"/>
          <w:lang w:val="fr-FR"/>
        </w:rPr>
        <w:t>du potentiel de valorisation de la molécule de tête de chaque plateforme</w:t>
      </w:r>
      <w:r w:rsidRPr="00C73365">
        <w:rPr>
          <w:rFonts w:asciiTheme="minorHAnsi" w:hAnsiTheme="minorHAnsi" w:cstheme="minorHAnsi"/>
          <w:lang w:val="fr-FR"/>
        </w:rPr>
        <w:t xml:space="preserve"> </w:t>
      </w:r>
      <w:r w:rsidR="00FB7F4D" w:rsidRPr="00C73365">
        <w:rPr>
          <w:rFonts w:asciiTheme="minorHAnsi" w:hAnsiTheme="minorHAnsi" w:cstheme="minorHAnsi"/>
          <w:lang w:val="fr-FR"/>
        </w:rPr>
        <w:t>(</w:t>
      </w:r>
      <w:r w:rsidRPr="00C73365">
        <w:rPr>
          <w:rFonts w:asciiTheme="minorHAnsi" w:hAnsiTheme="minorHAnsi" w:cstheme="minorHAnsi"/>
          <w:lang w:val="fr-FR"/>
        </w:rPr>
        <w:t xml:space="preserve">ABX464 </w:t>
      </w:r>
      <w:r w:rsidR="00FB7F4D" w:rsidRPr="00C73365">
        <w:rPr>
          <w:rFonts w:asciiTheme="minorHAnsi" w:hAnsiTheme="minorHAnsi" w:cstheme="minorHAnsi"/>
          <w:lang w:val="fr-FR"/>
        </w:rPr>
        <w:t>pour la plateforme antivirale, et</w:t>
      </w:r>
      <w:r w:rsidRPr="00C73365">
        <w:rPr>
          <w:rFonts w:asciiTheme="minorHAnsi" w:hAnsiTheme="minorHAnsi" w:cstheme="minorHAnsi"/>
          <w:lang w:val="fr-FR"/>
        </w:rPr>
        <w:t xml:space="preserve"> ABX196</w:t>
      </w:r>
      <w:r w:rsidR="00FB7F4D" w:rsidRPr="00C73365">
        <w:rPr>
          <w:rFonts w:asciiTheme="minorHAnsi" w:hAnsiTheme="minorHAnsi" w:cstheme="minorHAnsi"/>
          <w:lang w:val="fr-FR"/>
        </w:rPr>
        <w:t xml:space="preserve"> pour la plateforme de stimulation immunitaire)</w:t>
      </w:r>
      <w:r w:rsidRPr="00C73365">
        <w:rPr>
          <w:rFonts w:asciiTheme="minorHAnsi" w:hAnsiTheme="minorHAnsi" w:cstheme="minorHAnsi"/>
          <w:lang w:val="fr-FR"/>
        </w:rPr>
        <w:t xml:space="preserve">, et après avoir réalisé les tests tels que décrits ci-dessus, la société a évalué qu’il n’y avait pas lieu de procéder à une dépréciation de ces actifs et la valeur de ces immobilisations incorporelles est donc restée inchangée à 32 005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w:t>
      </w:r>
      <w:r w:rsidR="00CE77A2" w:rsidRPr="00C73365">
        <w:rPr>
          <w:rFonts w:asciiTheme="minorHAnsi" w:hAnsiTheme="minorHAnsi" w:cstheme="minorHAnsi"/>
          <w:lang w:val="fr-FR"/>
        </w:rPr>
        <w:t>31</w:t>
      </w:r>
      <w:r w:rsidRPr="00C73365">
        <w:rPr>
          <w:rFonts w:asciiTheme="minorHAnsi" w:hAnsiTheme="minorHAnsi" w:cstheme="minorHAnsi"/>
          <w:lang w:val="fr-FR"/>
        </w:rPr>
        <w:t>/</w:t>
      </w:r>
      <w:r w:rsidR="00CE77A2" w:rsidRPr="00C73365">
        <w:rPr>
          <w:rFonts w:asciiTheme="minorHAnsi" w:hAnsiTheme="minorHAnsi" w:cstheme="minorHAnsi"/>
          <w:lang w:val="fr-FR"/>
        </w:rPr>
        <w:t>12</w:t>
      </w:r>
      <w:r w:rsidRPr="00C73365">
        <w:rPr>
          <w:rFonts w:asciiTheme="minorHAnsi" w:hAnsiTheme="minorHAnsi" w:cstheme="minorHAnsi"/>
          <w:lang w:val="fr-FR"/>
        </w:rPr>
        <w:t>/201</w:t>
      </w:r>
      <w:r w:rsidR="00FF64AB" w:rsidRPr="00C73365">
        <w:rPr>
          <w:rFonts w:asciiTheme="minorHAnsi" w:hAnsiTheme="minorHAnsi" w:cstheme="minorHAnsi"/>
          <w:lang w:val="fr-FR"/>
        </w:rPr>
        <w:t>7</w:t>
      </w:r>
      <w:r w:rsidRPr="00C73365">
        <w:rPr>
          <w:rFonts w:asciiTheme="minorHAnsi" w:hAnsiTheme="minorHAnsi" w:cstheme="minorHAnsi"/>
          <w:lang w:val="fr-FR"/>
        </w:rPr>
        <w:t>.</w:t>
      </w:r>
    </w:p>
    <w:p w14:paraId="52C01B15" w14:textId="77777777"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50" w:name="_Toc402884124"/>
      <w:bookmarkStart w:id="51" w:name="_Toc462673231"/>
      <w:bookmarkStart w:id="52" w:name="_Toc467835577"/>
      <w:bookmarkStart w:id="53" w:name="_Toc510548402"/>
      <w:r w:rsidRPr="00C73365">
        <w:rPr>
          <w:rFonts w:asciiTheme="minorHAnsi" w:hAnsiTheme="minorHAnsi" w:cstheme="minorHAnsi"/>
          <w:sz w:val="22"/>
          <w:szCs w:val="22"/>
          <w:lang w:val="fr-FR"/>
        </w:rPr>
        <w:t>Risques de marché</w:t>
      </w:r>
      <w:bookmarkEnd w:id="50"/>
      <w:bookmarkEnd w:id="51"/>
      <w:bookmarkEnd w:id="52"/>
      <w:bookmarkEnd w:id="53"/>
    </w:p>
    <w:p w14:paraId="2EDBD390" w14:textId="5B665EF6" w:rsidR="00F46C7B" w:rsidRPr="00C73365" w:rsidRDefault="00484647"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Pr>
          <w:rFonts w:asciiTheme="minorHAnsi" w:hAnsiTheme="minorHAnsi" w:cstheme="minorHAnsi"/>
          <w:b/>
          <w:color w:val="7030A0"/>
          <w:lang w:val="fr-FR"/>
        </w:rPr>
        <w:t xml:space="preserve"> </w:t>
      </w:r>
      <w:r w:rsidR="00F46C7B" w:rsidRPr="00C73365">
        <w:rPr>
          <w:rFonts w:asciiTheme="minorHAnsi" w:hAnsiTheme="minorHAnsi" w:cstheme="minorHAnsi"/>
          <w:b/>
          <w:color w:val="7030A0"/>
          <w:lang w:val="fr-FR"/>
        </w:rPr>
        <w:t>Risques de liquidité</w:t>
      </w:r>
    </w:p>
    <w:p w14:paraId="42501A79" w14:textId="77777777" w:rsidR="009414F6" w:rsidRPr="00C73365" w:rsidRDefault="007E4584">
      <w:pPr>
        <w:pStyle w:val="Paragraphedeliste"/>
        <w:ind w:left="0"/>
        <w:rPr>
          <w:rFonts w:asciiTheme="minorHAnsi" w:hAnsiTheme="minorHAnsi" w:cstheme="minorHAnsi"/>
          <w:szCs w:val="22"/>
          <w:lang w:val="fr-FR"/>
        </w:rPr>
      </w:pPr>
      <w:r w:rsidRPr="00C73365">
        <w:rPr>
          <w:rFonts w:asciiTheme="minorHAnsi" w:hAnsiTheme="minorHAnsi" w:cstheme="minorHAnsi"/>
          <w:szCs w:val="22"/>
          <w:lang w:val="fr-FR"/>
        </w:rPr>
        <w:t>Au 31/12/</w:t>
      </w:r>
      <w:r w:rsidR="00FF64AB" w:rsidRPr="00C73365">
        <w:rPr>
          <w:rFonts w:asciiTheme="minorHAnsi" w:hAnsiTheme="minorHAnsi" w:cstheme="minorHAnsi"/>
          <w:szCs w:val="22"/>
          <w:lang w:val="fr-FR"/>
        </w:rPr>
        <w:t>2017</w:t>
      </w:r>
      <w:r w:rsidRPr="00C73365">
        <w:rPr>
          <w:rFonts w:asciiTheme="minorHAnsi" w:hAnsiTheme="minorHAnsi" w:cstheme="minorHAnsi"/>
          <w:szCs w:val="22"/>
          <w:lang w:val="fr-FR"/>
        </w:rPr>
        <w:t xml:space="preserve">, la </w:t>
      </w:r>
      <w:r w:rsidR="00A375B4" w:rsidRPr="00C73365">
        <w:rPr>
          <w:rFonts w:asciiTheme="minorHAnsi" w:hAnsiTheme="minorHAnsi" w:cstheme="minorHAnsi"/>
          <w:szCs w:val="22"/>
          <w:lang w:val="fr-FR"/>
        </w:rPr>
        <w:t xml:space="preserve">trésorerie </w:t>
      </w:r>
      <w:r w:rsidRPr="00C73365">
        <w:rPr>
          <w:rFonts w:asciiTheme="minorHAnsi" w:hAnsiTheme="minorHAnsi" w:cstheme="minorHAnsi"/>
          <w:szCs w:val="22"/>
          <w:lang w:val="fr-FR"/>
        </w:rPr>
        <w:t xml:space="preserve">financière nette, (déduction faite des dettes financières de </w:t>
      </w:r>
      <w:r w:rsidR="0085274D" w:rsidRPr="00C73365">
        <w:rPr>
          <w:rFonts w:asciiTheme="minorHAnsi" w:hAnsiTheme="minorHAnsi" w:cstheme="minorHAnsi"/>
          <w:szCs w:val="22"/>
          <w:lang w:val="fr-FR"/>
        </w:rPr>
        <w:t xml:space="preserve">170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de la Société se montait à </w:t>
      </w:r>
      <w:r w:rsidR="0085274D" w:rsidRPr="00C73365">
        <w:rPr>
          <w:rFonts w:asciiTheme="minorHAnsi" w:hAnsiTheme="minorHAnsi" w:cstheme="minorHAnsi"/>
          <w:szCs w:val="22"/>
          <w:lang w:val="fr-FR"/>
        </w:rPr>
        <w:t xml:space="preserve">16 </w:t>
      </w:r>
      <w:r w:rsidR="00E30413" w:rsidRPr="00C73365">
        <w:rPr>
          <w:rFonts w:asciiTheme="minorHAnsi" w:hAnsiTheme="minorHAnsi" w:cstheme="minorHAnsi"/>
          <w:szCs w:val="22"/>
          <w:lang w:val="fr-FR"/>
        </w:rPr>
        <w:t>862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w:t>
      </w:r>
    </w:p>
    <w:p w14:paraId="161461A9" w14:textId="77777777" w:rsidR="00383252" w:rsidRPr="00C73365" w:rsidRDefault="007E4584">
      <w:pPr>
        <w:pStyle w:val="Paragraphedeliste"/>
        <w:ind w:left="0"/>
        <w:rPr>
          <w:rFonts w:asciiTheme="minorHAnsi" w:hAnsiTheme="minorHAnsi" w:cstheme="minorHAnsi"/>
          <w:szCs w:val="22"/>
          <w:lang w:val="fr-FR"/>
        </w:rPr>
      </w:pPr>
      <w:r w:rsidRPr="00C73365">
        <w:rPr>
          <w:rFonts w:asciiTheme="minorHAnsi" w:hAnsiTheme="minorHAnsi" w:cstheme="minorHAnsi"/>
          <w:szCs w:val="22"/>
          <w:lang w:val="fr-FR"/>
        </w:rPr>
        <w:t xml:space="preserve">La Société a procédé à une revue spécifique de son risque de liquidité </w:t>
      </w:r>
      <w:r w:rsidR="002C1577" w:rsidRPr="00C73365">
        <w:rPr>
          <w:rFonts w:asciiTheme="minorHAnsi" w:hAnsiTheme="minorHAnsi" w:cstheme="minorHAnsi"/>
          <w:szCs w:val="22"/>
          <w:lang w:val="fr-FR"/>
        </w:rPr>
        <w:t xml:space="preserve">à la date d’enregistrement du présent document de </w:t>
      </w:r>
      <w:r w:rsidR="00B92C72" w:rsidRPr="00C73365">
        <w:rPr>
          <w:rFonts w:asciiTheme="minorHAnsi" w:hAnsiTheme="minorHAnsi" w:cstheme="minorHAnsi"/>
          <w:szCs w:val="22"/>
          <w:lang w:val="fr-FR"/>
        </w:rPr>
        <w:t>référence ;</w:t>
      </w:r>
      <w:r w:rsidR="009414F6" w:rsidRPr="00C73365">
        <w:rPr>
          <w:rFonts w:asciiTheme="minorHAnsi" w:hAnsiTheme="minorHAnsi" w:cstheme="minorHAnsi"/>
          <w:szCs w:val="22"/>
          <w:lang w:val="fr-FR"/>
        </w:rPr>
        <w:t xml:space="preserve"> elle </w:t>
      </w:r>
      <w:r w:rsidRPr="00C73365">
        <w:rPr>
          <w:rFonts w:asciiTheme="minorHAnsi" w:hAnsiTheme="minorHAnsi" w:cstheme="minorHAnsi"/>
          <w:szCs w:val="22"/>
          <w:lang w:val="fr-FR"/>
        </w:rPr>
        <w:t xml:space="preserve">considère qu’avec </w:t>
      </w:r>
      <w:r w:rsidR="00400B24" w:rsidRPr="00C73365">
        <w:rPr>
          <w:rFonts w:asciiTheme="minorHAnsi" w:hAnsiTheme="minorHAnsi" w:cstheme="minorHAnsi"/>
          <w:szCs w:val="22"/>
          <w:lang w:val="fr-FR"/>
        </w:rPr>
        <w:t>s</w:t>
      </w:r>
      <w:r w:rsidRPr="00C73365">
        <w:rPr>
          <w:rFonts w:asciiTheme="minorHAnsi" w:hAnsiTheme="minorHAnsi" w:cstheme="minorHAnsi"/>
          <w:szCs w:val="22"/>
          <w:lang w:val="fr-FR"/>
        </w:rPr>
        <w:t>es ressources</w:t>
      </w:r>
      <w:r w:rsidR="009414F6" w:rsidRPr="00C73365">
        <w:rPr>
          <w:rFonts w:asciiTheme="minorHAnsi" w:hAnsiTheme="minorHAnsi" w:cstheme="minorHAnsi"/>
          <w:szCs w:val="22"/>
          <w:lang w:val="fr-FR"/>
        </w:rPr>
        <w:t xml:space="preserve"> disponibles,</w:t>
      </w:r>
      <w:r w:rsidRPr="00C73365">
        <w:rPr>
          <w:rFonts w:asciiTheme="minorHAnsi" w:hAnsiTheme="minorHAnsi" w:cstheme="minorHAnsi"/>
          <w:szCs w:val="22"/>
          <w:lang w:val="fr-FR"/>
        </w:rPr>
        <w:t xml:space="preserve"> auxquelles viendront </w:t>
      </w:r>
      <w:r w:rsidR="00400B24" w:rsidRPr="00C73365">
        <w:rPr>
          <w:rFonts w:asciiTheme="minorHAnsi" w:hAnsiTheme="minorHAnsi" w:cstheme="minorHAnsi"/>
          <w:szCs w:val="22"/>
          <w:lang w:val="fr-FR"/>
        </w:rPr>
        <w:t>s’</w:t>
      </w:r>
      <w:r w:rsidRPr="00C73365">
        <w:rPr>
          <w:rFonts w:asciiTheme="minorHAnsi" w:hAnsiTheme="minorHAnsi" w:cstheme="minorHAnsi"/>
          <w:szCs w:val="22"/>
          <w:lang w:val="fr-FR"/>
        </w:rPr>
        <w:t>ajouter les subventions</w:t>
      </w:r>
      <w:r w:rsidR="00D473BF" w:rsidRPr="00C73365">
        <w:rPr>
          <w:rFonts w:asciiTheme="minorHAnsi" w:hAnsiTheme="minorHAnsi" w:cstheme="minorHAnsi"/>
          <w:szCs w:val="22"/>
          <w:lang w:val="fr-FR"/>
        </w:rPr>
        <w:t xml:space="preserve"> et avances remboursables</w:t>
      </w:r>
      <w:r w:rsidRPr="00C73365">
        <w:rPr>
          <w:rFonts w:asciiTheme="minorHAnsi" w:hAnsiTheme="minorHAnsi" w:cstheme="minorHAnsi"/>
          <w:szCs w:val="22"/>
          <w:lang w:val="fr-FR"/>
        </w:rPr>
        <w:t xml:space="preserve"> BPI (</w:t>
      </w:r>
      <w:r w:rsidR="003002F9" w:rsidRPr="00C73365">
        <w:rPr>
          <w:rFonts w:asciiTheme="minorHAnsi" w:hAnsiTheme="minorHAnsi" w:cstheme="minorHAnsi"/>
          <w:szCs w:val="22"/>
          <w:lang w:val="fr-FR"/>
        </w:rPr>
        <w:t xml:space="preserve">estimées à </w:t>
      </w:r>
      <w:r w:rsidR="004E7D26" w:rsidRPr="00C73365">
        <w:rPr>
          <w:rFonts w:asciiTheme="minorHAnsi" w:hAnsiTheme="minorHAnsi" w:cstheme="minorHAnsi"/>
          <w:szCs w:val="22"/>
          <w:lang w:val="fr-FR"/>
        </w:rPr>
        <w:t>1 191</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RNP Vir + 1 </w:t>
      </w:r>
      <w:r w:rsidR="002835FB" w:rsidRPr="00C73365">
        <w:rPr>
          <w:rFonts w:asciiTheme="minorHAnsi" w:hAnsiTheme="minorHAnsi" w:cstheme="minorHAnsi"/>
          <w:szCs w:val="22"/>
          <w:lang w:val="fr-FR"/>
        </w:rPr>
        <w:t>852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de CaReNA</w:t>
      </w:r>
      <w:r w:rsidR="00D563DE" w:rsidRPr="00C73365">
        <w:rPr>
          <w:rFonts w:asciiTheme="minorHAnsi" w:hAnsiTheme="minorHAnsi" w:cstheme="minorHAnsi"/>
          <w:szCs w:val="22"/>
          <w:lang w:val="fr-FR"/>
        </w:rPr>
        <w:t xml:space="preserve"> + 90 </w:t>
      </w:r>
      <w:r w:rsidR="00EF089C" w:rsidRPr="00C73365">
        <w:rPr>
          <w:rFonts w:asciiTheme="minorHAnsi" w:hAnsiTheme="minorHAnsi" w:cstheme="minorHAnsi"/>
          <w:szCs w:val="22"/>
          <w:lang w:val="fr-FR"/>
        </w:rPr>
        <w:t>K€</w:t>
      </w:r>
      <w:r w:rsidR="00D563DE" w:rsidRPr="00C73365">
        <w:rPr>
          <w:rFonts w:asciiTheme="minorHAnsi" w:hAnsiTheme="minorHAnsi" w:cstheme="minorHAnsi"/>
          <w:szCs w:val="22"/>
          <w:lang w:val="fr-FR"/>
        </w:rPr>
        <w:t xml:space="preserve"> Ebola</w:t>
      </w:r>
      <w:r w:rsidRPr="00C73365">
        <w:rPr>
          <w:rFonts w:asciiTheme="minorHAnsi" w:hAnsiTheme="minorHAnsi" w:cstheme="minorHAnsi"/>
          <w:szCs w:val="22"/>
          <w:lang w:val="fr-FR"/>
        </w:rPr>
        <w:t>)</w:t>
      </w:r>
      <w:r w:rsidR="009414F6"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 le Crédit d’Impôt Recherche (estimé à </w:t>
      </w:r>
      <w:r w:rsidR="00D563DE" w:rsidRPr="00C73365">
        <w:rPr>
          <w:rFonts w:asciiTheme="minorHAnsi" w:hAnsiTheme="minorHAnsi" w:cstheme="minorHAnsi"/>
          <w:szCs w:val="22"/>
          <w:lang w:val="fr-FR"/>
        </w:rPr>
        <w:t>2 632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en </w:t>
      </w:r>
      <w:r w:rsidR="00D563DE" w:rsidRPr="00C73365">
        <w:rPr>
          <w:rFonts w:asciiTheme="minorHAnsi" w:hAnsiTheme="minorHAnsi" w:cstheme="minorHAnsi"/>
          <w:szCs w:val="22"/>
          <w:lang w:val="fr-FR"/>
        </w:rPr>
        <w:t>2017</w:t>
      </w:r>
      <w:r w:rsidRPr="00C73365">
        <w:rPr>
          <w:rFonts w:asciiTheme="minorHAnsi" w:hAnsiTheme="minorHAnsi" w:cstheme="minorHAnsi"/>
          <w:szCs w:val="22"/>
          <w:lang w:val="fr-FR"/>
        </w:rPr>
        <w:t>)</w:t>
      </w:r>
      <w:r w:rsidR="009414F6"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 </w:t>
      </w:r>
      <w:r w:rsidR="00D563DE" w:rsidRPr="00C73365">
        <w:rPr>
          <w:rFonts w:asciiTheme="minorHAnsi" w:hAnsiTheme="minorHAnsi" w:cstheme="minorHAnsi"/>
          <w:szCs w:val="22"/>
          <w:lang w:val="fr-FR"/>
        </w:rPr>
        <w:t>et la ligne de financement en fonds propres</w:t>
      </w:r>
      <w:r w:rsidR="002869F0" w:rsidRPr="00C73365">
        <w:rPr>
          <w:rFonts w:asciiTheme="minorHAnsi" w:hAnsiTheme="minorHAnsi" w:cstheme="minorHAnsi"/>
          <w:szCs w:val="22"/>
          <w:lang w:val="fr-FR"/>
        </w:rPr>
        <w:t xml:space="preserve"> souscrite auprès de Kepler Cheuvreux</w:t>
      </w:r>
      <w:r w:rsidR="00D563DE" w:rsidRPr="00C73365">
        <w:rPr>
          <w:rFonts w:asciiTheme="minorHAnsi" w:hAnsiTheme="minorHAnsi" w:cstheme="minorHAnsi"/>
          <w:szCs w:val="22"/>
          <w:lang w:val="fr-FR"/>
        </w:rPr>
        <w:t xml:space="preserve">, </w:t>
      </w:r>
      <w:r w:rsidRPr="00C73365">
        <w:rPr>
          <w:rFonts w:asciiTheme="minorHAnsi" w:hAnsiTheme="minorHAnsi" w:cstheme="minorHAnsi"/>
          <w:szCs w:val="22"/>
          <w:lang w:val="fr-FR"/>
        </w:rPr>
        <w:t xml:space="preserve">elle est en mesure de faire face à ses échéances à venir jusqu’à </w:t>
      </w:r>
      <w:r w:rsidR="00DE07BE" w:rsidRPr="00C73365">
        <w:rPr>
          <w:rFonts w:asciiTheme="minorHAnsi" w:hAnsiTheme="minorHAnsi" w:cstheme="minorHAnsi"/>
          <w:szCs w:val="22"/>
          <w:lang w:val="fr-FR"/>
        </w:rPr>
        <w:t xml:space="preserve">mi </w:t>
      </w:r>
      <w:r w:rsidR="00D563DE" w:rsidRPr="00C73365">
        <w:rPr>
          <w:rFonts w:asciiTheme="minorHAnsi" w:hAnsiTheme="minorHAnsi" w:cstheme="minorHAnsi"/>
          <w:szCs w:val="22"/>
          <w:lang w:val="fr-FR"/>
        </w:rPr>
        <w:t>2019</w:t>
      </w:r>
      <w:r w:rsidR="00DE07BE" w:rsidRPr="00C73365">
        <w:rPr>
          <w:rFonts w:asciiTheme="minorHAnsi" w:hAnsiTheme="minorHAnsi" w:cstheme="minorHAnsi"/>
          <w:szCs w:val="22"/>
          <w:lang w:val="fr-FR"/>
        </w:rPr>
        <w:t>.</w:t>
      </w:r>
    </w:p>
    <w:tbl>
      <w:tblPr>
        <w:tblpPr w:leftFromText="180" w:rightFromText="180" w:vertAnchor="text" w:horzAnchor="page" w:tblpX="565" w:tblpY="1067"/>
        <w:tblW w:w="10801" w:type="dxa"/>
        <w:tblLook w:val="04A0" w:firstRow="1" w:lastRow="0" w:firstColumn="1" w:lastColumn="0" w:noHBand="0" w:noVBand="1"/>
      </w:tblPr>
      <w:tblGrid>
        <w:gridCol w:w="3544"/>
        <w:gridCol w:w="1276"/>
        <w:gridCol w:w="709"/>
        <w:gridCol w:w="708"/>
        <w:gridCol w:w="709"/>
        <w:gridCol w:w="709"/>
        <w:gridCol w:w="850"/>
        <w:gridCol w:w="737"/>
        <w:gridCol w:w="794"/>
        <w:gridCol w:w="765"/>
      </w:tblGrid>
      <w:tr w:rsidR="008E256B" w:rsidRPr="00C73365" w14:paraId="4FFB0ECF" w14:textId="77777777" w:rsidTr="00F27E62">
        <w:trPr>
          <w:trHeight w:val="456"/>
        </w:trPr>
        <w:tc>
          <w:tcPr>
            <w:tcW w:w="3544" w:type="dxa"/>
            <w:tcBorders>
              <w:top w:val="single" w:sz="12" w:space="0" w:color="7030A0"/>
              <w:left w:val="nil"/>
              <w:bottom w:val="nil"/>
              <w:right w:val="nil"/>
            </w:tcBorders>
            <w:shd w:val="clear" w:color="auto" w:fill="auto"/>
            <w:vAlign w:val="center"/>
            <w:hideMark/>
          </w:tcPr>
          <w:p w14:paraId="26F351BC" w14:textId="77777777" w:rsidR="008E256B" w:rsidRPr="00C73365" w:rsidRDefault="008E256B" w:rsidP="00A96CCA">
            <w:pPr>
              <w:spacing w:after="0"/>
              <w:rPr>
                <w:rFonts w:asciiTheme="minorHAnsi" w:hAnsiTheme="minorHAnsi" w:cstheme="minorHAnsi"/>
                <w:b/>
                <w:bCs/>
                <w:color w:val="000000"/>
                <w:szCs w:val="20"/>
              </w:rPr>
            </w:pPr>
            <w:bookmarkStart w:id="54" w:name="_Hlk509998820"/>
            <w:r w:rsidRPr="00C73365">
              <w:rPr>
                <w:rFonts w:asciiTheme="minorHAnsi" w:hAnsiTheme="minorHAnsi" w:cstheme="minorHAnsi"/>
                <w:b/>
                <w:bCs/>
                <w:color w:val="000000"/>
                <w:szCs w:val="20"/>
              </w:rPr>
              <w:lastRenderedPageBreak/>
              <w:t>au 31 décembre 2017</w:t>
            </w:r>
          </w:p>
        </w:tc>
        <w:tc>
          <w:tcPr>
            <w:tcW w:w="1276" w:type="dxa"/>
            <w:vMerge w:val="restart"/>
            <w:tcBorders>
              <w:top w:val="single" w:sz="12" w:space="0" w:color="7030A0"/>
              <w:left w:val="nil"/>
              <w:bottom w:val="single" w:sz="8" w:space="0" w:color="7030A0"/>
              <w:right w:val="nil"/>
            </w:tcBorders>
            <w:shd w:val="clear" w:color="auto" w:fill="auto"/>
            <w:vAlign w:val="center"/>
            <w:hideMark/>
          </w:tcPr>
          <w:p w14:paraId="5F935BC2" w14:textId="77777777" w:rsidR="008E256B" w:rsidRPr="00C73365" w:rsidRDefault="008E256B" w:rsidP="00F27E6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Solde au 31 décembre 2017</w:t>
            </w:r>
          </w:p>
        </w:tc>
        <w:tc>
          <w:tcPr>
            <w:tcW w:w="709" w:type="dxa"/>
            <w:vMerge w:val="restart"/>
            <w:tcBorders>
              <w:top w:val="single" w:sz="12" w:space="0" w:color="7030A0"/>
              <w:left w:val="nil"/>
              <w:bottom w:val="single" w:sz="8" w:space="0" w:color="7030A0"/>
              <w:right w:val="nil"/>
            </w:tcBorders>
            <w:shd w:val="clear" w:color="auto" w:fill="auto"/>
            <w:vAlign w:val="center"/>
            <w:hideMark/>
          </w:tcPr>
          <w:p w14:paraId="3333FFBD" w14:textId="77777777" w:rsidR="008E256B" w:rsidRPr="00C73365" w:rsidRDefault="008E256B" w:rsidP="00F27E6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2018</w:t>
            </w:r>
          </w:p>
        </w:tc>
        <w:tc>
          <w:tcPr>
            <w:tcW w:w="708" w:type="dxa"/>
            <w:vMerge w:val="restart"/>
            <w:tcBorders>
              <w:top w:val="single" w:sz="12" w:space="0" w:color="7030A0"/>
              <w:left w:val="nil"/>
              <w:bottom w:val="single" w:sz="8" w:space="0" w:color="7030A0"/>
              <w:right w:val="nil"/>
            </w:tcBorders>
            <w:shd w:val="clear" w:color="auto" w:fill="auto"/>
            <w:vAlign w:val="center"/>
            <w:hideMark/>
          </w:tcPr>
          <w:p w14:paraId="6CE6BC77" w14:textId="77777777" w:rsidR="008E256B" w:rsidRPr="00C73365" w:rsidRDefault="008E256B" w:rsidP="00F27E6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2019</w:t>
            </w:r>
          </w:p>
        </w:tc>
        <w:tc>
          <w:tcPr>
            <w:tcW w:w="709" w:type="dxa"/>
            <w:vMerge w:val="restart"/>
            <w:tcBorders>
              <w:top w:val="single" w:sz="12" w:space="0" w:color="7030A0"/>
              <w:left w:val="nil"/>
              <w:bottom w:val="single" w:sz="8" w:space="0" w:color="7030A0"/>
              <w:right w:val="nil"/>
            </w:tcBorders>
            <w:shd w:val="clear" w:color="auto" w:fill="auto"/>
            <w:vAlign w:val="center"/>
            <w:hideMark/>
          </w:tcPr>
          <w:p w14:paraId="6AD91405" w14:textId="77777777" w:rsidR="008E256B" w:rsidRPr="00C73365" w:rsidRDefault="008E256B" w:rsidP="00F27E6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2020</w:t>
            </w:r>
          </w:p>
        </w:tc>
        <w:tc>
          <w:tcPr>
            <w:tcW w:w="709" w:type="dxa"/>
            <w:vMerge w:val="restart"/>
            <w:tcBorders>
              <w:top w:val="single" w:sz="12" w:space="0" w:color="7030A0"/>
              <w:left w:val="nil"/>
              <w:bottom w:val="single" w:sz="8" w:space="0" w:color="7030A0"/>
              <w:right w:val="nil"/>
            </w:tcBorders>
            <w:shd w:val="clear" w:color="auto" w:fill="auto"/>
            <w:vAlign w:val="center"/>
            <w:hideMark/>
          </w:tcPr>
          <w:p w14:paraId="24E1E826" w14:textId="77777777" w:rsidR="008E256B" w:rsidRPr="00C73365" w:rsidRDefault="008E256B" w:rsidP="00F27E6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2021</w:t>
            </w:r>
          </w:p>
        </w:tc>
        <w:tc>
          <w:tcPr>
            <w:tcW w:w="850" w:type="dxa"/>
            <w:vMerge w:val="restart"/>
            <w:tcBorders>
              <w:top w:val="single" w:sz="12" w:space="0" w:color="7030A0"/>
              <w:left w:val="nil"/>
              <w:bottom w:val="single" w:sz="8" w:space="0" w:color="7030A0"/>
              <w:right w:val="nil"/>
            </w:tcBorders>
            <w:shd w:val="clear" w:color="auto" w:fill="auto"/>
            <w:vAlign w:val="center"/>
            <w:hideMark/>
          </w:tcPr>
          <w:p w14:paraId="0993B5AD" w14:textId="77777777" w:rsidR="008E256B" w:rsidRPr="00C73365" w:rsidRDefault="008E256B" w:rsidP="00F27E6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2022</w:t>
            </w:r>
          </w:p>
        </w:tc>
        <w:tc>
          <w:tcPr>
            <w:tcW w:w="737" w:type="dxa"/>
            <w:vMerge w:val="restart"/>
            <w:tcBorders>
              <w:top w:val="single" w:sz="12" w:space="0" w:color="7030A0"/>
              <w:left w:val="nil"/>
              <w:bottom w:val="single" w:sz="8" w:space="0" w:color="7030A0"/>
              <w:right w:val="nil"/>
            </w:tcBorders>
            <w:shd w:val="clear" w:color="auto" w:fill="auto"/>
            <w:vAlign w:val="center"/>
            <w:hideMark/>
          </w:tcPr>
          <w:p w14:paraId="02AD6659" w14:textId="77777777" w:rsidR="008E256B" w:rsidRPr="00C73365" w:rsidRDefault="008E256B" w:rsidP="00F27E6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2023</w:t>
            </w:r>
          </w:p>
        </w:tc>
        <w:tc>
          <w:tcPr>
            <w:tcW w:w="794" w:type="dxa"/>
            <w:vMerge w:val="restart"/>
            <w:tcBorders>
              <w:top w:val="single" w:sz="12" w:space="0" w:color="7030A0"/>
              <w:left w:val="nil"/>
              <w:bottom w:val="single" w:sz="8" w:space="0" w:color="7030A0"/>
              <w:right w:val="nil"/>
            </w:tcBorders>
            <w:shd w:val="clear" w:color="auto" w:fill="auto"/>
            <w:vAlign w:val="center"/>
            <w:hideMark/>
          </w:tcPr>
          <w:p w14:paraId="513C1629" w14:textId="77777777" w:rsidR="008E256B" w:rsidRPr="00C73365" w:rsidRDefault="008E256B" w:rsidP="00F27E6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2024</w:t>
            </w:r>
          </w:p>
        </w:tc>
        <w:tc>
          <w:tcPr>
            <w:tcW w:w="765" w:type="dxa"/>
            <w:vMerge w:val="restart"/>
            <w:tcBorders>
              <w:top w:val="single" w:sz="12" w:space="0" w:color="7030A0"/>
              <w:left w:val="nil"/>
              <w:bottom w:val="single" w:sz="8" w:space="0" w:color="7030A0"/>
              <w:right w:val="nil"/>
            </w:tcBorders>
            <w:shd w:val="clear" w:color="auto" w:fill="auto"/>
            <w:vAlign w:val="center"/>
            <w:hideMark/>
          </w:tcPr>
          <w:p w14:paraId="092AF4B9" w14:textId="77777777" w:rsidR="008E256B" w:rsidRPr="00C73365" w:rsidRDefault="008E256B" w:rsidP="00F27E6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2025</w:t>
            </w:r>
          </w:p>
        </w:tc>
      </w:tr>
      <w:tr w:rsidR="008E256B" w:rsidRPr="00C73365" w14:paraId="1E8DECA5" w14:textId="77777777" w:rsidTr="00F27E62">
        <w:trPr>
          <w:trHeight w:val="300"/>
        </w:trPr>
        <w:tc>
          <w:tcPr>
            <w:tcW w:w="3544" w:type="dxa"/>
            <w:tcBorders>
              <w:top w:val="nil"/>
              <w:left w:val="nil"/>
              <w:bottom w:val="single" w:sz="8" w:space="0" w:color="7030A0"/>
              <w:right w:val="nil"/>
            </w:tcBorders>
            <w:shd w:val="clear" w:color="auto" w:fill="auto"/>
            <w:vAlign w:val="center"/>
            <w:hideMark/>
          </w:tcPr>
          <w:p w14:paraId="6D73FE7A" w14:textId="77777777" w:rsidR="008E256B" w:rsidRPr="00C73365" w:rsidRDefault="008E256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76" w:type="dxa"/>
            <w:vMerge/>
            <w:tcBorders>
              <w:top w:val="single" w:sz="12" w:space="0" w:color="7030A0"/>
              <w:left w:val="nil"/>
              <w:bottom w:val="single" w:sz="8" w:space="0" w:color="7030A0"/>
              <w:right w:val="nil"/>
            </w:tcBorders>
            <w:vAlign w:val="center"/>
            <w:hideMark/>
          </w:tcPr>
          <w:p w14:paraId="15F68203" w14:textId="77777777" w:rsidR="008E256B" w:rsidRPr="00C73365" w:rsidRDefault="008E256B" w:rsidP="00F27E62">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14:paraId="2CE671F3" w14:textId="77777777" w:rsidR="008E256B" w:rsidRPr="00C73365" w:rsidRDefault="008E256B" w:rsidP="00F27E62">
            <w:pPr>
              <w:spacing w:after="0"/>
              <w:jc w:val="center"/>
              <w:rPr>
                <w:rFonts w:asciiTheme="minorHAnsi" w:hAnsiTheme="minorHAnsi" w:cstheme="minorHAnsi"/>
                <w:b/>
                <w:bCs/>
                <w:color w:val="000000"/>
                <w:szCs w:val="20"/>
              </w:rPr>
            </w:pPr>
          </w:p>
        </w:tc>
        <w:tc>
          <w:tcPr>
            <w:tcW w:w="708" w:type="dxa"/>
            <w:vMerge/>
            <w:tcBorders>
              <w:top w:val="single" w:sz="12" w:space="0" w:color="7030A0"/>
              <w:left w:val="nil"/>
              <w:bottom w:val="single" w:sz="8" w:space="0" w:color="7030A0"/>
              <w:right w:val="nil"/>
            </w:tcBorders>
            <w:vAlign w:val="center"/>
            <w:hideMark/>
          </w:tcPr>
          <w:p w14:paraId="1FAE4E59" w14:textId="77777777" w:rsidR="008E256B" w:rsidRPr="00C73365" w:rsidRDefault="008E256B" w:rsidP="00F27E62">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14:paraId="7D00625A" w14:textId="77777777" w:rsidR="008E256B" w:rsidRPr="00C73365" w:rsidRDefault="008E256B" w:rsidP="00F27E62">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14:paraId="12CA157A" w14:textId="77777777" w:rsidR="008E256B" w:rsidRPr="00C73365" w:rsidRDefault="008E256B" w:rsidP="00F27E62">
            <w:pPr>
              <w:spacing w:after="0"/>
              <w:jc w:val="center"/>
              <w:rPr>
                <w:rFonts w:asciiTheme="minorHAnsi" w:hAnsiTheme="minorHAnsi" w:cstheme="minorHAnsi"/>
                <w:b/>
                <w:bCs/>
                <w:color w:val="000000"/>
                <w:szCs w:val="20"/>
              </w:rPr>
            </w:pPr>
          </w:p>
        </w:tc>
        <w:tc>
          <w:tcPr>
            <w:tcW w:w="850" w:type="dxa"/>
            <w:vMerge/>
            <w:tcBorders>
              <w:top w:val="single" w:sz="12" w:space="0" w:color="7030A0"/>
              <w:left w:val="nil"/>
              <w:bottom w:val="single" w:sz="8" w:space="0" w:color="7030A0"/>
              <w:right w:val="nil"/>
            </w:tcBorders>
            <w:vAlign w:val="center"/>
            <w:hideMark/>
          </w:tcPr>
          <w:p w14:paraId="6DA6A9AE" w14:textId="77777777" w:rsidR="008E256B" w:rsidRPr="00C73365" w:rsidRDefault="008E256B" w:rsidP="00F27E62">
            <w:pPr>
              <w:spacing w:after="0"/>
              <w:jc w:val="center"/>
              <w:rPr>
                <w:rFonts w:asciiTheme="minorHAnsi" w:hAnsiTheme="minorHAnsi" w:cstheme="minorHAnsi"/>
                <w:b/>
                <w:bCs/>
                <w:color w:val="000000"/>
                <w:szCs w:val="20"/>
              </w:rPr>
            </w:pPr>
          </w:p>
        </w:tc>
        <w:tc>
          <w:tcPr>
            <w:tcW w:w="737" w:type="dxa"/>
            <w:vMerge/>
            <w:tcBorders>
              <w:top w:val="single" w:sz="12" w:space="0" w:color="7030A0"/>
              <w:left w:val="nil"/>
              <w:bottom w:val="single" w:sz="8" w:space="0" w:color="7030A0"/>
              <w:right w:val="nil"/>
            </w:tcBorders>
            <w:vAlign w:val="center"/>
            <w:hideMark/>
          </w:tcPr>
          <w:p w14:paraId="2DC8798A" w14:textId="77777777" w:rsidR="008E256B" w:rsidRPr="00C73365" w:rsidRDefault="008E256B" w:rsidP="00F27E62">
            <w:pPr>
              <w:spacing w:after="0"/>
              <w:jc w:val="center"/>
              <w:rPr>
                <w:rFonts w:asciiTheme="minorHAnsi" w:hAnsiTheme="minorHAnsi" w:cstheme="minorHAnsi"/>
                <w:b/>
                <w:bCs/>
                <w:color w:val="000000"/>
                <w:szCs w:val="20"/>
              </w:rPr>
            </w:pPr>
          </w:p>
        </w:tc>
        <w:tc>
          <w:tcPr>
            <w:tcW w:w="794" w:type="dxa"/>
            <w:vMerge/>
            <w:tcBorders>
              <w:top w:val="single" w:sz="12" w:space="0" w:color="7030A0"/>
              <w:left w:val="nil"/>
              <w:bottom w:val="single" w:sz="8" w:space="0" w:color="7030A0"/>
              <w:right w:val="nil"/>
            </w:tcBorders>
            <w:vAlign w:val="center"/>
            <w:hideMark/>
          </w:tcPr>
          <w:p w14:paraId="7EEB6A63" w14:textId="77777777" w:rsidR="008E256B" w:rsidRPr="00C73365" w:rsidRDefault="008E256B" w:rsidP="00F27E62">
            <w:pPr>
              <w:spacing w:after="0"/>
              <w:jc w:val="center"/>
              <w:rPr>
                <w:rFonts w:asciiTheme="minorHAnsi" w:hAnsiTheme="minorHAnsi" w:cstheme="minorHAnsi"/>
                <w:b/>
                <w:bCs/>
                <w:color w:val="000000"/>
                <w:szCs w:val="20"/>
              </w:rPr>
            </w:pPr>
          </w:p>
        </w:tc>
        <w:tc>
          <w:tcPr>
            <w:tcW w:w="765" w:type="dxa"/>
            <w:vMerge/>
            <w:tcBorders>
              <w:top w:val="single" w:sz="12" w:space="0" w:color="7030A0"/>
              <w:left w:val="nil"/>
              <w:bottom w:val="single" w:sz="8" w:space="0" w:color="7030A0"/>
              <w:right w:val="nil"/>
            </w:tcBorders>
            <w:vAlign w:val="center"/>
            <w:hideMark/>
          </w:tcPr>
          <w:p w14:paraId="285D4E34" w14:textId="77777777" w:rsidR="008E256B" w:rsidRPr="00C73365" w:rsidRDefault="008E256B" w:rsidP="00F27E62">
            <w:pPr>
              <w:spacing w:after="0"/>
              <w:jc w:val="center"/>
              <w:rPr>
                <w:rFonts w:asciiTheme="minorHAnsi" w:hAnsiTheme="minorHAnsi" w:cstheme="minorHAnsi"/>
                <w:b/>
                <w:bCs/>
                <w:color w:val="000000"/>
                <w:szCs w:val="20"/>
              </w:rPr>
            </w:pPr>
          </w:p>
        </w:tc>
      </w:tr>
      <w:tr w:rsidR="008E256B" w:rsidRPr="00C73365" w14:paraId="393F89BB" w14:textId="77777777" w:rsidTr="00F27E62">
        <w:trPr>
          <w:trHeight w:val="288"/>
        </w:trPr>
        <w:tc>
          <w:tcPr>
            <w:tcW w:w="3544" w:type="dxa"/>
            <w:tcBorders>
              <w:top w:val="nil"/>
              <w:left w:val="nil"/>
              <w:bottom w:val="nil"/>
              <w:right w:val="nil"/>
            </w:tcBorders>
            <w:shd w:val="clear" w:color="auto" w:fill="auto"/>
            <w:vAlign w:val="center"/>
            <w:hideMark/>
          </w:tcPr>
          <w:p w14:paraId="45BC41EB" w14:textId="77777777" w:rsidR="008E256B" w:rsidRPr="00C73365" w:rsidRDefault="008E256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r w:rsidRPr="00C73365">
              <w:rPr>
                <w:rFonts w:asciiTheme="minorHAnsi" w:hAnsiTheme="minorHAnsi" w:cstheme="minorHAnsi"/>
                <w:color w:val="7030A0"/>
                <w:szCs w:val="20"/>
                <w:lang w:val="fr-FR"/>
              </w:rPr>
              <w:t>*</w:t>
            </w:r>
          </w:p>
        </w:tc>
        <w:tc>
          <w:tcPr>
            <w:tcW w:w="1276" w:type="dxa"/>
            <w:tcBorders>
              <w:top w:val="nil"/>
              <w:left w:val="nil"/>
              <w:bottom w:val="nil"/>
              <w:right w:val="nil"/>
            </w:tcBorders>
            <w:shd w:val="clear" w:color="auto" w:fill="auto"/>
            <w:vAlign w:val="center"/>
            <w:hideMark/>
          </w:tcPr>
          <w:p w14:paraId="6239B540" w14:textId="77777777" w:rsidR="008E256B" w:rsidRPr="00C73365" w:rsidRDefault="007076E4"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709" w:type="dxa"/>
            <w:tcBorders>
              <w:top w:val="nil"/>
              <w:left w:val="nil"/>
              <w:bottom w:val="nil"/>
              <w:right w:val="nil"/>
            </w:tcBorders>
            <w:shd w:val="clear" w:color="auto" w:fill="auto"/>
            <w:vAlign w:val="center"/>
            <w:hideMark/>
          </w:tcPr>
          <w:p w14:paraId="5AEB5322" w14:textId="77777777" w:rsidR="008E256B" w:rsidRPr="00C73365" w:rsidRDefault="00822A7C"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708" w:type="dxa"/>
            <w:tcBorders>
              <w:top w:val="nil"/>
              <w:left w:val="nil"/>
              <w:bottom w:val="nil"/>
              <w:right w:val="nil"/>
            </w:tcBorders>
            <w:shd w:val="clear" w:color="auto" w:fill="auto"/>
            <w:vAlign w:val="center"/>
            <w:hideMark/>
          </w:tcPr>
          <w:p w14:paraId="10E114FF" w14:textId="77777777" w:rsidR="008E256B" w:rsidRPr="00C73365" w:rsidRDefault="008E256B" w:rsidP="00F27E62">
            <w:pPr>
              <w:spacing w:after="0"/>
              <w:jc w:val="center"/>
              <w:rPr>
                <w:rFonts w:asciiTheme="minorHAnsi" w:hAnsiTheme="minorHAnsi" w:cstheme="minorHAnsi"/>
                <w:color w:val="000000"/>
                <w:szCs w:val="20"/>
              </w:rPr>
            </w:pPr>
          </w:p>
        </w:tc>
        <w:tc>
          <w:tcPr>
            <w:tcW w:w="709" w:type="dxa"/>
            <w:tcBorders>
              <w:top w:val="nil"/>
              <w:left w:val="nil"/>
              <w:bottom w:val="nil"/>
              <w:right w:val="nil"/>
            </w:tcBorders>
            <w:shd w:val="clear" w:color="auto" w:fill="auto"/>
            <w:vAlign w:val="center"/>
            <w:hideMark/>
          </w:tcPr>
          <w:p w14:paraId="25EF45B7" w14:textId="77777777" w:rsidR="008E256B" w:rsidRPr="00C73365" w:rsidRDefault="008E256B" w:rsidP="00F27E62">
            <w:pPr>
              <w:spacing w:after="0"/>
              <w:jc w:val="center"/>
              <w:rPr>
                <w:rFonts w:asciiTheme="minorHAnsi" w:hAnsiTheme="minorHAnsi" w:cstheme="minorHAnsi"/>
                <w:color w:val="000000"/>
                <w:szCs w:val="20"/>
              </w:rPr>
            </w:pPr>
          </w:p>
        </w:tc>
        <w:tc>
          <w:tcPr>
            <w:tcW w:w="709" w:type="dxa"/>
            <w:tcBorders>
              <w:top w:val="nil"/>
              <w:left w:val="nil"/>
              <w:bottom w:val="nil"/>
              <w:right w:val="nil"/>
            </w:tcBorders>
            <w:shd w:val="clear" w:color="auto" w:fill="auto"/>
            <w:vAlign w:val="center"/>
            <w:hideMark/>
          </w:tcPr>
          <w:p w14:paraId="67525778" w14:textId="77777777" w:rsidR="008E256B" w:rsidRPr="00C73365" w:rsidRDefault="008E256B" w:rsidP="00F27E62">
            <w:pPr>
              <w:spacing w:after="0"/>
              <w:jc w:val="center"/>
              <w:rPr>
                <w:rFonts w:asciiTheme="minorHAnsi" w:hAnsiTheme="minorHAnsi" w:cstheme="minorHAnsi"/>
                <w:szCs w:val="20"/>
              </w:rPr>
            </w:pPr>
          </w:p>
        </w:tc>
        <w:tc>
          <w:tcPr>
            <w:tcW w:w="850" w:type="dxa"/>
            <w:tcBorders>
              <w:top w:val="nil"/>
              <w:left w:val="nil"/>
              <w:bottom w:val="nil"/>
              <w:right w:val="nil"/>
            </w:tcBorders>
            <w:shd w:val="clear" w:color="auto" w:fill="auto"/>
            <w:vAlign w:val="center"/>
            <w:hideMark/>
          </w:tcPr>
          <w:p w14:paraId="5CF27633" w14:textId="77777777" w:rsidR="008E256B" w:rsidRPr="00C73365" w:rsidRDefault="008E256B" w:rsidP="00F27E62">
            <w:pPr>
              <w:spacing w:after="0"/>
              <w:jc w:val="center"/>
              <w:rPr>
                <w:rFonts w:asciiTheme="minorHAnsi" w:hAnsiTheme="minorHAnsi" w:cstheme="minorHAnsi"/>
                <w:szCs w:val="20"/>
              </w:rPr>
            </w:pPr>
          </w:p>
        </w:tc>
        <w:tc>
          <w:tcPr>
            <w:tcW w:w="737" w:type="dxa"/>
            <w:tcBorders>
              <w:top w:val="nil"/>
              <w:left w:val="nil"/>
              <w:bottom w:val="nil"/>
              <w:right w:val="nil"/>
            </w:tcBorders>
            <w:shd w:val="clear" w:color="auto" w:fill="auto"/>
            <w:vAlign w:val="center"/>
            <w:hideMark/>
          </w:tcPr>
          <w:p w14:paraId="5CAD7A09" w14:textId="77777777" w:rsidR="008E256B" w:rsidRPr="00C73365" w:rsidRDefault="008E256B" w:rsidP="00F27E62">
            <w:pPr>
              <w:spacing w:after="0"/>
              <w:jc w:val="center"/>
              <w:rPr>
                <w:rFonts w:asciiTheme="minorHAnsi" w:hAnsiTheme="minorHAnsi" w:cstheme="minorHAnsi"/>
                <w:szCs w:val="20"/>
              </w:rPr>
            </w:pPr>
          </w:p>
        </w:tc>
        <w:tc>
          <w:tcPr>
            <w:tcW w:w="794" w:type="dxa"/>
            <w:tcBorders>
              <w:top w:val="nil"/>
              <w:left w:val="nil"/>
              <w:bottom w:val="nil"/>
              <w:right w:val="nil"/>
            </w:tcBorders>
            <w:shd w:val="clear" w:color="auto" w:fill="auto"/>
            <w:vAlign w:val="center"/>
            <w:hideMark/>
          </w:tcPr>
          <w:p w14:paraId="062FA09C" w14:textId="77777777" w:rsidR="008E256B" w:rsidRPr="00C73365" w:rsidRDefault="008E256B" w:rsidP="00F27E62">
            <w:pPr>
              <w:spacing w:after="0"/>
              <w:jc w:val="center"/>
              <w:rPr>
                <w:rFonts w:asciiTheme="minorHAnsi" w:hAnsiTheme="minorHAnsi" w:cstheme="minorHAnsi"/>
                <w:szCs w:val="20"/>
              </w:rPr>
            </w:pPr>
          </w:p>
        </w:tc>
        <w:tc>
          <w:tcPr>
            <w:tcW w:w="765" w:type="dxa"/>
            <w:tcBorders>
              <w:top w:val="nil"/>
              <w:left w:val="nil"/>
              <w:bottom w:val="nil"/>
              <w:right w:val="nil"/>
            </w:tcBorders>
            <w:shd w:val="clear" w:color="auto" w:fill="auto"/>
            <w:vAlign w:val="center"/>
            <w:hideMark/>
          </w:tcPr>
          <w:p w14:paraId="6C314561" w14:textId="77777777" w:rsidR="008E256B" w:rsidRPr="00C73365" w:rsidRDefault="008E256B" w:rsidP="00F27E62">
            <w:pPr>
              <w:spacing w:after="0"/>
              <w:jc w:val="center"/>
              <w:rPr>
                <w:rFonts w:asciiTheme="minorHAnsi" w:hAnsiTheme="minorHAnsi" w:cstheme="minorHAnsi"/>
                <w:szCs w:val="20"/>
              </w:rPr>
            </w:pPr>
          </w:p>
        </w:tc>
      </w:tr>
      <w:tr w:rsidR="008E256B" w:rsidRPr="00C73365" w14:paraId="467CDF5E" w14:textId="77777777" w:rsidTr="00C93577">
        <w:trPr>
          <w:trHeight w:val="300"/>
        </w:trPr>
        <w:tc>
          <w:tcPr>
            <w:tcW w:w="3544" w:type="dxa"/>
            <w:tcBorders>
              <w:top w:val="nil"/>
              <w:left w:val="nil"/>
              <w:bottom w:val="single" w:sz="8" w:space="0" w:color="7030A0"/>
              <w:right w:val="nil"/>
            </w:tcBorders>
            <w:shd w:val="clear" w:color="auto" w:fill="auto"/>
            <w:vAlign w:val="center"/>
            <w:hideMark/>
          </w:tcPr>
          <w:p w14:paraId="5593AF90" w14:textId="77777777" w:rsidR="008E256B" w:rsidRPr="00C73365" w:rsidRDefault="008E256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Avances Remboursables)</w:t>
            </w:r>
            <w:r w:rsidRPr="00C73365">
              <w:rPr>
                <w:rFonts w:asciiTheme="minorHAnsi" w:hAnsiTheme="minorHAnsi" w:cstheme="minorHAnsi"/>
                <w:color w:val="7030A0"/>
                <w:szCs w:val="20"/>
                <w:lang w:val="fr-FR"/>
              </w:rPr>
              <w:t>*</w:t>
            </w:r>
          </w:p>
        </w:tc>
        <w:tc>
          <w:tcPr>
            <w:tcW w:w="1276" w:type="dxa"/>
            <w:tcBorders>
              <w:top w:val="nil"/>
              <w:left w:val="nil"/>
              <w:bottom w:val="single" w:sz="8" w:space="0" w:color="7030A0"/>
              <w:right w:val="nil"/>
            </w:tcBorders>
            <w:shd w:val="clear" w:color="auto" w:fill="auto"/>
            <w:vAlign w:val="center"/>
            <w:hideMark/>
          </w:tcPr>
          <w:p w14:paraId="1DC2FEFB"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709" w:type="dxa"/>
            <w:tcBorders>
              <w:top w:val="nil"/>
              <w:left w:val="nil"/>
              <w:bottom w:val="single" w:sz="8" w:space="0" w:color="7030A0"/>
              <w:right w:val="nil"/>
            </w:tcBorders>
            <w:shd w:val="clear" w:color="auto" w:fill="auto"/>
            <w:vAlign w:val="center"/>
          </w:tcPr>
          <w:p w14:paraId="5CBCAA97" w14:textId="77777777" w:rsidR="008E256B" w:rsidRPr="00C73365" w:rsidRDefault="00C93577" w:rsidP="00F27E62">
            <w:pPr>
              <w:spacing w:after="0"/>
              <w:jc w:val="center"/>
              <w:rPr>
                <w:rFonts w:asciiTheme="minorHAnsi" w:hAnsiTheme="minorHAnsi" w:cstheme="minorHAnsi"/>
                <w:color w:val="000000"/>
                <w:szCs w:val="20"/>
              </w:rPr>
            </w:pPr>
            <w:r>
              <w:rPr>
                <w:rFonts w:asciiTheme="minorHAnsi" w:hAnsiTheme="minorHAnsi" w:cstheme="minorHAnsi"/>
                <w:color w:val="000000"/>
                <w:szCs w:val="20"/>
              </w:rPr>
              <w:t>1 643</w:t>
            </w:r>
          </w:p>
        </w:tc>
        <w:tc>
          <w:tcPr>
            <w:tcW w:w="708" w:type="dxa"/>
            <w:tcBorders>
              <w:top w:val="nil"/>
              <w:left w:val="nil"/>
              <w:bottom w:val="single" w:sz="8" w:space="0" w:color="7030A0"/>
              <w:right w:val="nil"/>
            </w:tcBorders>
            <w:shd w:val="clear" w:color="auto" w:fill="auto"/>
            <w:vAlign w:val="center"/>
            <w:hideMark/>
          </w:tcPr>
          <w:p w14:paraId="4CE940AA" w14:textId="77777777" w:rsidR="008E256B" w:rsidRPr="00C73365" w:rsidRDefault="008E256B" w:rsidP="00F27E62">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14:paraId="2B62A37C" w14:textId="77777777" w:rsidR="008E256B" w:rsidRPr="00C73365" w:rsidRDefault="00807C3E"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09" w:type="dxa"/>
            <w:tcBorders>
              <w:top w:val="nil"/>
              <w:left w:val="nil"/>
              <w:bottom w:val="single" w:sz="8" w:space="0" w:color="7030A0"/>
              <w:right w:val="nil"/>
            </w:tcBorders>
            <w:shd w:val="clear" w:color="auto" w:fill="auto"/>
            <w:vAlign w:val="center"/>
          </w:tcPr>
          <w:p w14:paraId="02268AD7" w14:textId="77777777" w:rsidR="008E256B" w:rsidRPr="00C73365" w:rsidRDefault="00807C3E"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-500</w:t>
            </w:r>
          </w:p>
        </w:tc>
        <w:tc>
          <w:tcPr>
            <w:tcW w:w="850" w:type="dxa"/>
            <w:tcBorders>
              <w:top w:val="nil"/>
              <w:left w:val="nil"/>
              <w:bottom w:val="single" w:sz="8" w:space="0" w:color="7030A0"/>
              <w:right w:val="nil"/>
            </w:tcBorders>
            <w:shd w:val="clear" w:color="auto" w:fill="auto"/>
            <w:vAlign w:val="center"/>
          </w:tcPr>
          <w:p w14:paraId="1BA915D3" w14:textId="77777777" w:rsidR="008E256B" w:rsidRPr="00C73365" w:rsidRDefault="00807C3E"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-750</w:t>
            </w:r>
          </w:p>
        </w:tc>
        <w:tc>
          <w:tcPr>
            <w:tcW w:w="737" w:type="dxa"/>
            <w:tcBorders>
              <w:top w:val="nil"/>
              <w:left w:val="nil"/>
              <w:bottom w:val="single" w:sz="8" w:space="0" w:color="7030A0"/>
              <w:right w:val="nil"/>
            </w:tcBorders>
            <w:shd w:val="clear" w:color="auto" w:fill="auto"/>
            <w:vAlign w:val="center"/>
          </w:tcPr>
          <w:p w14:paraId="40B71094" w14:textId="77777777" w:rsidR="008E256B" w:rsidRPr="00C73365" w:rsidRDefault="00807C3E"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-1 100</w:t>
            </w:r>
          </w:p>
        </w:tc>
        <w:tc>
          <w:tcPr>
            <w:tcW w:w="794" w:type="dxa"/>
            <w:tcBorders>
              <w:top w:val="nil"/>
              <w:left w:val="nil"/>
              <w:bottom w:val="single" w:sz="8" w:space="0" w:color="7030A0"/>
              <w:right w:val="nil"/>
            </w:tcBorders>
            <w:shd w:val="clear" w:color="auto" w:fill="auto"/>
            <w:vAlign w:val="center"/>
          </w:tcPr>
          <w:p w14:paraId="4A03CED6" w14:textId="77777777" w:rsidR="008E256B" w:rsidRPr="00C73365" w:rsidRDefault="00807C3E"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- 1747</w:t>
            </w:r>
          </w:p>
        </w:tc>
        <w:tc>
          <w:tcPr>
            <w:tcW w:w="765" w:type="dxa"/>
            <w:tcBorders>
              <w:top w:val="nil"/>
              <w:left w:val="nil"/>
              <w:bottom w:val="single" w:sz="8" w:space="0" w:color="7030A0"/>
              <w:right w:val="nil"/>
            </w:tcBorders>
            <w:shd w:val="clear" w:color="auto" w:fill="auto"/>
            <w:vAlign w:val="center"/>
          </w:tcPr>
          <w:p w14:paraId="0F22D61D" w14:textId="77777777" w:rsidR="008E256B" w:rsidRPr="00C73365" w:rsidRDefault="008E256B" w:rsidP="00F27E62">
            <w:pPr>
              <w:spacing w:after="0"/>
              <w:jc w:val="center"/>
              <w:rPr>
                <w:rFonts w:asciiTheme="minorHAnsi" w:hAnsiTheme="minorHAnsi" w:cstheme="minorHAnsi"/>
                <w:color w:val="000000"/>
                <w:szCs w:val="20"/>
              </w:rPr>
            </w:pPr>
          </w:p>
        </w:tc>
      </w:tr>
      <w:tr w:rsidR="008E256B" w:rsidRPr="00C73365" w14:paraId="3DE484F2" w14:textId="77777777" w:rsidTr="00F27E62">
        <w:trPr>
          <w:trHeight w:val="288"/>
        </w:trPr>
        <w:tc>
          <w:tcPr>
            <w:tcW w:w="3544" w:type="dxa"/>
            <w:tcBorders>
              <w:top w:val="nil"/>
              <w:left w:val="nil"/>
              <w:bottom w:val="nil"/>
              <w:right w:val="nil"/>
            </w:tcBorders>
            <w:shd w:val="clear" w:color="auto" w:fill="auto"/>
            <w:vAlign w:val="center"/>
            <w:hideMark/>
          </w:tcPr>
          <w:p w14:paraId="3F91E1E7" w14:textId="77777777" w:rsidR="008E256B" w:rsidRPr="00C73365" w:rsidRDefault="008E256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PSCPC- RNP Vir (part Subventions)</w:t>
            </w:r>
            <w:r w:rsidRPr="00C73365">
              <w:rPr>
                <w:rFonts w:asciiTheme="minorHAnsi" w:hAnsiTheme="minorHAnsi" w:cstheme="minorHAnsi"/>
                <w:color w:val="7030A0"/>
                <w:szCs w:val="20"/>
                <w:lang w:val="fr-FR"/>
              </w:rPr>
              <w:t>*</w:t>
            </w:r>
          </w:p>
        </w:tc>
        <w:tc>
          <w:tcPr>
            <w:tcW w:w="1276" w:type="dxa"/>
            <w:tcBorders>
              <w:top w:val="nil"/>
              <w:left w:val="nil"/>
              <w:bottom w:val="nil"/>
              <w:right w:val="nil"/>
            </w:tcBorders>
            <w:shd w:val="clear" w:color="auto" w:fill="auto"/>
            <w:vAlign w:val="center"/>
            <w:hideMark/>
          </w:tcPr>
          <w:p w14:paraId="5A944311"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709" w:type="dxa"/>
            <w:tcBorders>
              <w:top w:val="nil"/>
              <w:left w:val="nil"/>
              <w:bottom w:val="nil"/>
              <w:right w:val="nil"/>
            </w:tcBorders>
            <w:shd w:val="clear" w:color="auto" w:fill="auto"/>
            <w:vAlign w:val="center"/>
            <w:hideMark/>
          </w:tcPr>
          <w:p w14:paraId="04DDCF73" w14:textId="739E7E15" w:rsidR="008E256B" w:rsidRPr="00C73365" w:rsidRDefault="00FB7E16" w:rsidP="00F27E62">
            <w:pPr>
              <w:spacing w:after="0"/>
              <w:jc w:val="center"/>
              <w:rPr>
                <w:rFonts w:asciiTheme="minorHAnsi" w:hAnsiTheme="minorHAnsi" w:cstheme="minorHAnsi"/>
                <w:color w:val="000000"/>
                <w:szCs w:val="20"/>
              </w:rPr>
            </w:pPr>
            <w:r>
              <w:rPr>
                <w:rFonts w:asciiTheme="minorHAnsi" w:hAnsiTheme="minorHAnsi" w:cstheme="minorHAnsi"/>
                <w:color w:val="000000"/>
                <w:szCs w:val="20"/>
              </w:rPr>
              <w:t>309</w:t>
            </w:r>
          </w:p>
        </w:tc>
        <w:tc>
          <w:tcPr>
            <w:tcW w:w="708" w:type="dxa"/>
            <w:tcBorders>
              <w:top w:val="nil"/>
              <w:left w:val="nil"/>
              <w:bottom w:val="nil"/>
              <w:right w:val="nil"/>
            </w:tcBorders>
            <w:shd w:val="clear" w:color="auto" w:fill="auto"/>
            <w:vAlign w:val="center"/>
            <w:hideMark/>
          </w:tcPr>
          <w:p w14:paraId="4C6C344F" w14:textId="513F549F" w:rsidR="008E256B" w:rsidRPr="00C73365" w:rsidRDefault="00650763"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r w:rsidR="00FB7E16">
              <w:rPr>
                <w:rFonts w:asciiTheme="minorHAnsi" w:hAnsiTheme="minorHAnsi" w:cstheme="minorHAnsi"/>
                <w:color w:val="000000"/>
                <w:szCs w:val="20"/>
              </w:rPr>
              <w:t>28</w:t>
            </w:r>
          </w:p>
        </w:tc>
        <w:tc>
          <w:tcPr>
            <w:tcW w:w="709" w:type="dxa"/>
            <w:tcBorders>
              <w:top w:val="nil"/>
              <w:left w:val="nil"/>
              <w:bottom w:val="nil"/>
              <w:right w:val="nil"/>
            </w:tcBorders>
            <w:shd w:val="clear" w:color="auto" w:fill="auto"/>
            <w:vAlign w:val="center"/>
            <w:hideMark/>
          </w:tcPr>
          <w:p w14:paraId="6E1FAA1D"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414</w:t>
            </w:r>
          </w:p>
        </w:tc>
        <w:tc>
          <w:tcPr>
            <w:tcW w:w="709" w:type="dxa"/>
            <w:tcBorders>
              <w:top w:val="nil"/>
              <w:left w:val="nil"/>
              <w:bottom w:val="nil"/>
              <w:right w:val="nil"/>
            </w:tcBorders>
            <w:shd w:val="clear" w:color="auto" w:fill="auto"/>
            <w:vAlign w:val="center"/>
            <w:hideMark/>
          </w:tcPr>
          <w:p w14:paraId="4FCE1E8F"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96</w:t>
            </w:r>
          </w:p>
        </w:tc>
        <w:tc>
          <w:tcPr>
            <w:tcW w:w="850" w:type="dxa"/>
            <w:tcBorders>
              <w:top w:val="nil"/>
              <w:left w:val="nil"/>
              <w:bottom w:val="nil"/>
              <w:right w:val="nil"/>
            </w:tcBorders>
            <w:shd w:val="clear" w:color="auto" w:fill="auto"/>
            <w:vAlign w:val="center"/>
            <w:hideMark/>
          </w:tcPr>
          <w:p w14:paraId="31772FE3"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318</w:t>
            </w:r>
          </w:p>
        </w:tc>
        <w:tc>
          <w:tcPr>
            <w:tcW w:w="737" w:type="dxa"/>
            <w:tcBorders>
              <w:top w:val="nil"/>
              <w:left w:val="nil"/>
              <w:bottom w:val="nil"/>
              <w:right w:val="nil"/>
            </w:tcBorders>
            <w:shd w:val="clear" w:color="auto" w:fill="auto"/>
            <w:vAlign w:val="center"/>
            <w:hideMark/>
          </w:tcPr>
          <w:p w14:paraId="4474EC6F" w14:textId="77777777" w:rsidR="008E256B" w:rsidRPr="00C73365" w:rsidRDefault="008E256B" w:rsidP="00F27E62">
            <w:pPr>
              <w:spacing w:after="0"/>
              <w:jc w:val="center"/>
              <w:rPr>
                <w:rFonts w:asciiTheme="minorHAnsi" w:hAnsiTheme="minorHAnsi" w:cstheme="minorHAnsi"/>
                <w:color w:val="000000"/>
                <w:szCs w:val="20"/>
              </w:rPr>
            </w:pPr>
          </w:p>
        </w:tc>
        <w:tc>
          <w:tcPr>
            <w:tcW w:w="794" w:type="dxa"/>
            <w:tcBorders>
              <w:top w:val="nil"/>
              <w:left w:val="nil"/>
              <w:bottom w:val="nil"/>
              <w:right w:val="nil"/>
            </w:tcBorders>
            <w:shd w:val="clear" w:color="auto" w:fill="auto"/>
            <w:vAlign w:val="center"/>
            <w:hideMark/>
          </w:tcPr>
          <w:p w14:paraId="549F376A" w14:textId="77777777" w:rsidR="008E256B" w:rsidRPr="00C73365" w:rsidRDefault="008E256B" w:rsidP="00F27E62">
            <w:pPr>
              <w:spacing w:after="0"/>
              <w:jc w:val="center"/>
              <w:rPr>
                <w:rFonts w:asciiTheme="minorHAnsi" w:hAnsiTheme="minorHAnsi" w:cstheme="minorHAnsi"/>
                <w:szCs w:val="20"/>
              </w:rPr>
            </w:pPr>
          </w:p>
        </w:tc>
        <w:tc>
          <w:tcPr>
            <w:tcW w:w="765" w:type="dxa"/>
            <w:tcBorders>
              <w:top w:val="nil"/>
              <w:left w:val="nil"/>
              <w:bottom w:val="nil"/>
              <w:right w:val="nil"/>
            </w:tcBorders>
            <w:shd w:val="clear" w:color="auto" w:fill="auto"/>
            <w:vAlign w:val="center"/>
            <w:hideMark/>
          </w:tcPr>
          <w:p w14:paraId="7B1DB638" w14:textId="77777777" w:rsidR="008E256B" w:rsidRPr="00C73365" w:rsidRDefault="008E256B" w:rsidP="00F27E62">
            <w:pPr>
              <w:spacing w:after="0"/>
              <w:jc w:val="center"/>
              <w:rPr>
                <w:rFonts w:asciiTheme="minorHAnsi" w:hAnsiTheme="minorHAnsi" w:cstheme="minorHAnsi"/>
                <w:szCs w:val="20"/>
              </w:rPr>
            </w:pPr>
          </w:p>
        </w:tc>
      </w:tr>
      <w:tr w:rsidR="008E256B" w:rsidRPr="00C73365" w14:paraId="6159A207" w14:textId="77777777" w:rsidTr="00F27E62">
        <w:trPr>
          <w:trHeight w:val="300"/>
        </w:trPr>
        <w:tc>
          <w:tcPr>
            <w:tcW w:w="3544" w:type="dxa"/>
            <w:tcBorders>
              <w:top w:val="nil"/>
              <w:left w:val="nil"/>
              <w:bottom w:val="single" w:sz="8" w:space="0" w:color="7030A0"/>
              <w:right w:val="nil"/>
            </w:tcBorders>
            <w:shd w:val="clear" w:color="auto" w:fill="auto"/>
            <w:vAlign w:val="center"/>
            <w:hideMark/>
          </w:tcPr>
          <w:p w14:paraId="02CD0279" w14:textId="77777777" w:rsidR="008E256B" w:rsidRPr="00C73365" w:rsidRDefault="008E256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PSPC- RNP Vir (part Avances Remboursables)</w:t>
            </w:r>
            <w:r w:rsidRPr="00C73365">
              <w:rPr>
                <w:rFonts w:asciiTheme="minorHAnsi" w:hAnsiTheme="minorHAnsi" w:cstheme="minorHAnsi"/>
                <w:color w:val="7030A0"/>
                <w:szCs w:val="20"/>
                <w:lang w:val="fr-FR"/>
              </w:rPr>
              <w:t>*</w:t>
            </w:r>
          </w:p>
        </w:tc>
        <w:tc>
          <w:tcPr>
            <w:tcW w:w="1276" w:type="dxa"/>
            <w:tcBorders>
              <w:top w:val="nil"/>
              <w:left w:val="nil"/>
              <w:bottom w:val="single" w:sz="8" w:space="0" w:color="7030A0"/>
              <w:right w:val="nil"/>
            </w:tcBorders>
            <w:shd w:val="clear" w:color="auto" w:fill="auto"/>
            <w:vAlign w:val="center"/>
            <w:hideMark/>
          </w:tcPr>
          <w:p w14:paraId="0DE4852C"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709" w:type="dxa"/>
            <w:tcBorders>
              <w:top w:val="nil"/>
              <w:left w:val="nil"/>
              <w:bottom w:val="single" w:sz="8" w:space="0" w:color="7030A0"/>
              <w:right w:val="nil"/>
            </w:tcBorders>
            <w:shd w:val="clear" w:color="auto" w:fill="auto"/>
            <w:vAlign w:val="center"/>
            <w:hideMark/>
          </w:tcPr>
          <w:p w14:paraId="12D598B8" w14:textId="79375933" w:rsidR="008E256B" w:rsidRPr="00C73365" w:rsidRDefault="00FB7E16" w:rsidP="00F27E62">
            <w:pPr>
              <w:spacing w:after="0"/>
              <w:jc w:val="center"/>
              <w:rPr>
                <w:rFonts w:asciiTheme="minorHAnsi" w:hAnsiTheme="minorHAnsi" w:cstheme="minorHAnsi"/>
                <w:color w:val="000000"/>
                <w:szCs w:val="20"/>
              </w:rPr>
            </w:pPr>
            <w:r>
              <w:rPr>
                <w:rFonts w:asciiTheme="minorHAnsi" w:hAnsiTheme="minorHAnsi" w:cstheme="minorHAnsi"/>
                <w:color w:val="000000"/>
                <w:szCs w:val="20"/>
              </w:rPr>
              <w:t>979</w:t>
            </w:r>
          </w:p>
        </w:tc>
        <w:tc>
          <w:tcPr>
            <w:tcW w:w="708" w:type="dxa"/>
            <w:tcBorders>
              <w:top w:val="nil"/>
              <w:left w:val="nil"/>
              <w:bottom w:val="single" w:sz="8" w:space="0" w:color="7030A0"/>
              <w:right w:val="nil"/>
            </w:tcBorders>
            <w:shd w:val="clear" w:color="auto" w:fill="auto"/>
            <w:vAlign w:val="center"/>
            <w:hideMark/>
          </w:tcPr>
          <w:p w14:paraId="27508A03" w14:textId="31E209E6" w:rsidR="008E256B" w:rsidRPr="00C73365" w:rsidRDefault="00650763"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sidR="00FB7E16">
              <w:rPr>
                <w:rFonts w:asciiTheme="minorHAnsi" w:hAnsiTheme="minorHAnsi" w:cstheme="minorHAnsi"/>
                <w:color w:val="000000"/>
                <w:szCs w:val="20"/>
              </w:rPr>
              <w:t>297</w:t>
            </w:r>
          </w:p>
        </w:tc>
        <w:tc>
          <w:tcPr>
            <w:tcW w:w="709" w:type="dxa"/>
            <w:tcBorders>
              <w:top w:val="nil"/>
              <w:left w:val="nil"/>
              <w:bottom w:val="single" w:sz="8" w:space="0" w:color="7030A0"/>
              <w:right w:val="nil"/>
            </w:tcBorders>
            <w:shd w:val="clear" w:color="auto" w:fill="auto"/>
            <w:vAlign w:val="center"/>
            <w:hideMark/>
          </w:tcPr>
          <w:p w14:paraId="57CB4D49"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1 154</w:t>
            </w:r>
          </w:p>
        </w:tc>
        <w:tc>
          <w:tcPr>
            <w:tcW w:w="709" w:type="dxa"/>
            <w:tcBorders>
              <w:top w:val="nil"/>
              <w:left w:val="nil"/>
              <w:bottom w:val="single" w:sz="8" w:space="0" w:color="7030A0"/>
              <w:right w:val="nil"/>
            </w:tcBorders>
            <w:shd w:val="clear" w:color="auto" w:fill="auto"/>
            <w:vAlign w:val="center"/>
            <w:hideMark/>
          </w:tcPr>
          <w:p w14:paraId="2D60CC34"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167</w:t>
            </w:r>
          </w:p>
        </w:tc>
        <w:tc>
          <w:tcPr>
            <w:tcW w:w="850" w:type="dxa"/>
            <w:tcBorders>
              <w:top w:val="nil"/>
              <w:left w:val="nil"/>
              <w:bottom w:val="single" w:sz="8" w:space="0" w:color="7030A0"/>
              <w:right w:val="nil"/>
            </w:tcBorders>
            <w:shd w:val="clear" w:color="auto" w:fill="auto"/>
            <w:vAlign w:val="center"/>
            <w:hideMark/>
          </w:tcPr>
          <w:p w14:paraId="7586A2D5" w14:textId="77777777" w:rsidR="008E256B" w:rsidRPr="00C73365" w:rsidRDefault="00650763"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-700</w:t>
            </w:r>
          </w:p>
        </w:tc>
        <w:tc>
          <w:tcPr>
            <w:tcW w:w="737" w:type="dxa"/>
            <w:tcBorders>
              <w:top w:val="nil"/>
              <w:left w:val="nil"/>
              <w:bottom w:val="single" w:sz="8" w:space="0" w:color="7030A0"/>
              <w:right w:val="nil"/>
            </w:tcBorders>
            <w:shd w:val="clear" w:color="auto" w:fill="auto"/>
            <w:vAlign w:val="center"/>
            <w:hideMark/>
          </w:tcPr>
          <w:p w14:paraId="4921AB35"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sidR="00650763" w:rsidRPr="00C73365">
              <w:rPr>
                <w:rFonts w:asciiTheme="minorHAnsi" w:hAnsiTheme="minorHAnsi" w:cstheme="minorHAnsi"/>
                <w:color w:val="000000"/>
                <w:szCs w:val="20"/>
              </w:rPr>
              <w:t>644</w:t>
            </w:r>
          </w:p>
        </w:tc>
        <w:tc>
          <w:tcPr>
            <w:tcW w:w="794" w:type="dxa"/>
            <w:tcBorders>
              <w:top w:val="nil"/>
              <w:left w:val="nil"/>
              <w:bottom w:val="single" w:sz="8" w:space="0" w:color="7030A0"/>
              <w:right w:val="nil"/>
            </w:tcBorders>
            <w:shd w:val="clear" w:color="auto" w:fill="auto"/>
            <w:vAlign w:val="center"/>
            <w:hideMark/>
          </w:tcPr>
          <w:p w14:paraId="2BB1E466"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sidR="00650763" w:rsidRPr="00C73365">
              <w:rPr>
                <w:rFonts w:asciiTheme="minorHAnsi" w:hAnsiTheme="minorHAnsi" w:cstheme="minorHAnsi"/>
                <w:color w:val="000000"/>
                <w:szCs w:val="20"/>
              </w:rPr>
              <w:t>644</w:t>
            </w:r>
          </w:p>
        </w:tc>
        <w:tc>
          <w:tcPr>
            <w:tcW w:w="765" w:type="dxa"/>
            <w:tcBorders>
              <w:top w:val="nil"/>
              <w:left w:val="nil"/>
              <w:bottom w:val="single" w:sz="8" w:space="0" w:color="7030A0"/>
              <w:right w:val="nil"/>
            </w:tcBorders>
            <w:shd w:val="clear" w:color="auto" w:fill="auto"/>
            <w:vAlign w:val="center"/>
            <w:hideMark/>
          </w:tcPr>
          <w:p w14:paraId="6293F638"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sidR="00650763" w:rsidRPr="00C73365">
              <w:rPr>
                <w:rFonts w:asciiTheme="minorHAnsi" w:hAnsiTheme="minorHAnsi" w:cstheme="minorHAnsi"/>
                <w:color w:val="000000"/>
                <w:szCs w:val="20"/>
              </w:rPr>
              <w:t>644</w:t>
            </w:r>
          </w:p>
        </w:tc>
      </w:tr>
      <w:tr w:rsidR="008E256B" w:rsidRPr="00C73365" w14:paraId="5E378785" w14:textId="77777777" w:rsidTr="00F27E62">
        <w:trPr>
          <w:trHeight w:val="564"/>
        </w:trPr>
        <w:tc>
          <w:tcPr>
            <w:tcW w:w="3544" w:type="dxa"/>
            <w:tcBorders>
              <w:top w:val="nil"/>
              <w:left w:val="nil"/>
              <w:bottom w:val="single" w:sz="8" w:space="0" w:color="7030A0"/>
              <w:right w:val="nil"/>
            </w:tcBorders>
            <w:shd w:val="clear" w:color="auto" w:fill="auto"/>
            <w:vAlign w:val="center"/>
            <w:hideMark/>
          </w:tcPr>
          <w:p w14:paraId="46A9BEA9" w14:textId="77777777" w:rsidR="008E256B" w:rsidRPr="00C73365" w:rsidRDefault="008E256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(part Avances Remboursables)</w:t>
            </w:r>
          </w:p>
        </w:tc>
        <w:tc>
          <w:tcPr>
            <w:tcW w:w="1276" w:type="dxa"/>
            <w:tcBorders>
              <w:top w:val="nil"/>
              <w:left w:val="nil"/>
              <w:bottom w:val="single" w:sz="8" w:space="0" w:color="7030A0"/>
              <w:right w:val="nil"/>
            </w:tcBorders>
            <w:shd w:val="clear" w:color="auto" w:fill="auto"/>
            <w:vAlign w:val="center"/>
            <w:hideMark/>
          </w:tcPr>
          <w:p w14:paraId="7904243F" w14:textId="77777777" w:rsidR="008E256B" w:rsidRPr="00C73365" w:rsidRDefault="00E30413"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09" w:type="dxa"/>
            <w:tcBorders>
              <w:top w:val="nil"/>
              <w:left w:val="nil"/>
              <w:bottom w:val="single" w:sz="8" w:space="0" w:color="7030A0"/>
              <w:right w:val="nil"/>
            </w:tcBorders>
            <w:shd w:val="clear" w:color="auto" w:fill="auto"/>
            <w:vAlign w:val="center"/>
            <w:hideMark/>
          </w:tcPr>
          <w:p w14:paraId="2EEF7056"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708" w:type="dxa"/>
            <w:tcBorders>
              <w:top w:val="nil"/>
              <w:left w:val="nil"/>
              <w:bottom w:val="single" w:sz="8" w:space="0" w:color="7030A0"/>
              <w:right w:val="nil"/>
            </w:tcBorders>
            <w:shd w:val="clear" w:color="auto" w:fill="auto"/>
            <w:vAlign w:val="center"/>
            <w:hideMark/>
          </w:tcPr>
          <w:p w14:paraId="32B55900"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-40</w:t>
            </w:r>
          </w:p>
        </w:tc>
        <w:tc>
          <w:tcPr>
            <w:tcW w:w="709" w:type="dxa"/>
            <w:tcBorders>
              <w:top w:val="nil"/>
              <w:left w:val="nil"/>
              <w:bottom w:val="single" w:sz="8" w:space="0" w:color="7030A0"/>
              <w:right w:val="nil"/>
            </w:tcBorders>
            <w:shd w:val="clear" w:color="auto" w:fill="auto"/>
            <w:vAlign w:val="center"/>
            <w:hideMark/>
          </w:tcPr>
          <w:p w14:paraId="722432F5"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-60</w:t>
            </w:r>
          </w:p>
        </w:tc>
        <w:tc>
          <w:tcPr>
            <w:tcW w:w="709" w:type="dxa"/>
            <w:tcBorders>
              <w:top w:val="nil"/>
              <w:left w:val="nil"/>
              <w:bottom w:val="single" w:sz="8" w:space="0" w:color="7030A0"/>
              <w:right w:val="nil"/>
            </w:tcBorders>
            <w:shd w:val="clear" w:color="auto" w:fill="auto"/>
            <w:vAlign w:val="center"/>
            <w:hideMark/>
          </w:tcPr>
          <w:p w14:paraId="71C3D8A9"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w:t>
            </w:r>
          </w:p>
        </w:tc>
        <w:tc>
          <w:tcPr>
            <w:tcW w:w="850" w:type="dxa"/>
            <w:tcBorders>
              <w:top w:val="nil"/>
              <w:left w:val="nil"/>
              <w:bottom w:val="single" w:sz="8" w:space="0" w:color="7030A0"/>
              <w:right w:val="nil"/>
            </w:tcBorders>
            <w:shd w:val="clear" w:color="auto" w:fill="auto"/>
            <w:vAlign w:val="center"/>
            <w:hideMark/>
          </w:tcPr>
          <w:p w14:paraId="015BCEBF"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-100</w:t>
            </w:r>
          </w:p>
        </w:tc>
        <w:tc>
          <w:tcPr>
            <w:tcW w:w="737" w:type="dxa"/>
            <w:tcBorders>
              <w:top w:val="nil"/>
              <w:left w:val="nil"/>
              <w:bottom w:val="single" w:sz="8" w:space="0" w:color="7030A0"/>
              <w:right w:val="nil"/>
            </w:tcBorders>
            <w:shd w:val="clear" w:color="auto" w:fill="auto"/>
            <w:vAlign w:val="center"/>
            <w:hideMark/>
          </w:tcPr>
          <w:p w14:paraId="3A1738E6"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-110</w:t>
            </w:r>
          </w:p>
        </w:tc>
        <w:tc>
          <w:tcPr>
            <w:tcW w:w="794" w:type="dxa"/>
            <w:tcBorders>
              <w:top w:val="nil"/>
              <w:left w:val="nil"/>
              <w:bottom w:val="single" w:sz="8" w:space="0" w:color="7030A0"/>
              <w:right w:val="nil"/>
            </w:tcBorders>
            <w:shd w:val="clear" w:color="auto" w:fill="auto"/>
            <w:vAlign w:val="center"/>
            <w:hideMark/>
          </w:tcPr>
          <w:p w14:paraId="27EE9C49"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765" w:type="dxa"/>
            <w:tcBorders>
              <w:top w:val="nil"/>
              <w:left w:val="nil"/>
              <w:bottom w:val="single" w:sz="8" w:space="0" w:color="7030A0"/>
              <w:right w:val="nil"/>
            </w:tcBorders>
            <w:shd w:val="clear" w:color="auto" w:fill="auto"/>
            <w:vAlign w:val="center"/>
            <w:hideMark/>
          </w:tcPr>
          <w:p w14:paraId="07EE5B77"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8E256B" w:rsidRPr="00C73365" w14:paraId="033242FC" w14:textId="77777777" w:rsidTr="00F27E62">
        <w:trPr>
          <w:trHeight w:val="300"/>
        </w:trPr>
        <w:tc>
          <w:tcPr>
            <w:tcW w:w="3544" w:type="dxa"/>
            <w:tcBorders>
              <w:top w:val="nil"/>
              <w:left w:val="nil"/>
              <w:bottom w:val="single" w:sz="8" w:space="0" w:color="7030A0"/>
              <w:right w:val="nil"/>
            </w:tcBorders>
            <w:shd w:val="clear" w:color="auto" w:fill="auto"/>
            <w:vAlign w:val="center"/>
            <w:hideMark/>
          </w:tcPr>
          <w:p w14:paraId="1356E85D" w14:textId="77777777" w:rsidR="008E256B" w:rsidRPr="00C73365" w:rsidRDefault="008E256B"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xml:space="preserve">Sous-Total autres fonds propres </w:t>
            </w:r>
            <w:r w:rsidRPr="00C73365">
              <w:rPr>
                <w:rFonts w:asciiTheme="minorHAnsi" w:hAnsiTheme="minorHAnsi" w:cstheme="minorHAnsi"/>
                <w:b/>
                <w:bCs/>
                <w:color w:val="7030A0"/>
                <w:szCs w:val="20"/>
                <w:lang w:val="fr-FR"/>
              </w:rPr>
              <w:t>(hors intérêts courus)</w:t>
            </w:r>
          </w:p>
        </w:tc>
        <w:tc>
          <w:tcPr>
            <w:tcW w:w="1276" w:type="dxa"/>
            <w:tcBorders>
              <w:top w:val="nil"/>
              <w:left w:val="nil"/>
              <w:bottom w:val="single" w:sz="8" w:space="0" w:color="7030A0"/>
              <w:right w:val="nil"/>
            </w:tcBorders>
            <w:shd w:val="clear" w:color="auto" w:fill="auto"/>
            <w:vAlign w:val="center"/>
          </w:tcPr>
          <w:p w14:paraId="081CF29C" w14:textId="77777777" w:rsidR="008E256B" w:rsidRPr="00C73365" w:rsidRDefault="00650763" w:rsidP="00F27E6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5 777</w:t>
            </w:r>
          </w:p>
        </w:tc>
        <w:tc>
          <w:tcPr>
            <w:tcW w:w="709" w:type="dxa"/>
            <w:tcBorders>
              <w:top w:val="nil"/>
              <w:left w:val="nil"/>
              <w:bottom w:val="single" w:sz="8" w:space="0" w:color="7030A0"/>
              <w:right w:val="nil"/>
            </w:tcBorders>
            <w:shd w:val="clear" w:color="auto" w:fill="auto"/>
            <w:vAlign w:val="center"/>
          </w:tcPr>
          <w:p w14:paraId="5993EE56" w14:textId="71C1B979" w:rsidR="008E256B" w:rsidRPr="00C73365" w:rsidRDefault="00FB7E16" w:rsidP="00F27E62">
            <w:pPr>
              <w:spacing w:after="0"/>
              <w:jc w:val="center"/>
              <w:rPr>
                <w:rFonts w:asciiTheme="minorHAnsi" w:hAnsiTheme="minorHAnsi" w:cstheme="minorHAnsi"/>
                <w:color w:val="7030A0"/>
                <w:szCs w:val="20"/>
              </w:rPr>
            </w:pPr>
            <w:r>
              <w:rPr>
                <w:rFonts w:asciiTheme="minorHAnsi" w:hAnsiTheme="minorHAnsi" w:cstheme="minorHAnsi"/>
                <w:color w:val="7030A0"/>
                <w:szCs w:val="20"/>
              </w:rPr>
              <w:t>3 231</w:t>
            </w:r>
          </w:p>
        </w:tc>
        <w:tc>
          <w:tcPr>
            <w:tcW w:w="708" w:type="dxa"/>
            <w:tcBorders>
              <w:top w:val="nil"/>
              <w:left w:val="nil"/>
              <w:bottom w:val="single" w:sz="8" w:space="0" w:color="7030A0"/>
              <w:right w:val="nil"/>
            </w:tcBorders>
            <w:shd w:val="clear" w:color="auto" w:fill="auto"/>
            <w:vAlign w:val="center"/>
          </w:tcPr>
          <w:p w14:paraId="1B2B44C4" w14:textId="14B530C8" w:rsidR="008E256B" w:rsidRPr="00C73365" w:rsidRDefault="00FB7E16" w:rsidP="00F27E62">
            <w:pPr>
              <w:spacing w:after="0"/>
              <w:jc w:val="center"/>
              <w:rPr>
                <w:rFonts w:asciiTheme="minorHAnsi" w:hAnsiTheme="minorHAnsi" w:cstheme="minorHAnsi"/>
                <w:color w:val="7030A0"/>
                <w:szCs w:val="20"/>
              </w:rPr>
            </w:pPr>
            <w:r>
              <w:rPr>
                <w:rFonts w:asciiTheme="minorHAnsi" w:hAnsiTheme="minorHAnsi" w:cstheme="minorHAnsi"/>
                <w:color w:val="7030A0"/>
                <w:szCs w:val="20"/>
              </w:rPr>
              <w:t>1 885</w:t>
            </w:r>
          </w:p>
        </w:tc>
        <w:tc>
          <w:tcPr>
            <w:tcW w:w="709" w:type="dxa"/>
            <w:tcBorders>
              <w:top w:val="nil"/>
              <w:left w:val="nil"/>
              <w:bottom w:val="single" w:sz="8" w:space="0" w:color="7030A0"/>
              <w:right w:val="nil"/>
            </w:tcBorders>
            <w:shd w:val="clear" w:color="auto" w:fill="auto"/>
            <w:vAlign w:val="center"/>
          </w:tcPr>
          <w:p w14:paraId="65F9DFC7" w14:textId="77777777" w:rsidR="008E256B" w:rsidRPr="00C73365" w:rsidRDefault="00650763" w:rsidP="00F27E6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1 208</w:t>
            </w:r>
          </w:p>
        </w:tc>
        <w:tc>
          <w:tcPr>
            <w:tcW w:w="709" w:type="dxa"/>
            <w:tcBorders>
              <w:top w:val="nil"/>
              <w:left w:val="nil"/>
              <w:bottom w:val="single" w:sz="8" w:space="0" w:color="7030A0"/>
              <w:right w:val="nil"/>
            </w:tcBorders>
            <w:shd w:val="clear" w:color="auto" w:fill="auto"/>
            <w:vAlign w:val="center"/>
          </w:tcPr>
          <w:p w14:paraId="3E0AC78F" w14:textId="77777777" w:rsidR="008E256B" w:rsidRPr="00C73365" w:rsidRDefault="00650763" w:rsidP="00F27E6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-317</w:t>
            </w:r>
          </w:p>
        </w:tc>
        <w:tc>
          <w:tcPr>
            <w:tcW w:w="850" w:type="dxa"/>
            <w:tcBorders>
              <w:top w:val="nil"/>
              <w:left w:val="nil"/>
              <w:bottom w:val="single" w:sz="8" w:space="0" w:color="7030A0"/>
              <w:right w:val="nil"/>
            </w:tcBorders>
            <w:shd w:val="clear" w:color="auto" w:fill="auto"/>
            <w:vAlign w:val="center"/>
          </w:tcPr>
          <w:p w14:paraId="3E9692DD" w14:textId="77777777" w:rsidR="008E256B" w:rsidRPr="00C73365" w:rsidRDefault="00650763" w:rsidP="00F27E6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-1 232</w:t>
            </w:r>
          </w:p>
        </w:tc>
        <w:tc>
          <w:tcPr>
            <w:tcW w:w="737" w:type="dxa"/>
            <w:tcBorders>
              <w:top w:val="nil"/>
              <w:left w:val="nil"/>
              <w:bottom w:val="single" w:sz="8" w:space="0" w:color="7030A0"/>
              <w:right w:val="nil"/>
            </w:tcBorders>
            <w:shd w:val="clear" w:color="auto" w:fill="auto"/>
            <w:vAlign w:val="center"/>
          </w:tcPr>
          <w:p w14:paraId="318D00ED" w14:textId="77777777" w:rsidR="008E256B" w:rsidRPr="00C73365" w:rsidRDefault="00650763" w:rsidP="00F27E6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-2 854</w:t>
            </w:r>
          </w:p>
        </w:tc>
        <w:tc>
          <w:tcPr>
            <w:tcW w:w="794" w:type="dxa"/>
            <w:tcBorders>
              <w:top w:val="nil"/>
              <w:left w:val="nil"/>
              <w:bottom w:val="single" w:sz="8" w:space="0" w:color="7030A0"/>
              <w:right w:val="nil"/>
            </w:tcBorders>
            <w:shd w:val="clear" w:color="auto" w:fill="auto"/>
            <w:vAlign w:val="center"/>
          </w:tcPr>
          <w:p w14:paraId="0969595F" w14:textId="77777777" w:rsidR="008E256B" w:rsidRPr="00C73365" w:rsidRDefault="00650763" w:rsidP="00F27E6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-3 391</w:t>
            </w:r>
          </w:p>
        </w:tc>
        <w:tc>
          <w:tcPr>
            <w:tcW w:w="765" w:type="dxa"/>
            <w:tcBorders>
              <w:top w:val="nil"/>
              <w:left w:val="nil"/>
              <w:bottom w:val="single" w:sz="8" w:space="0" w:color="7030A0"/>
              <w:right w:val="nil"/>
            </w:tcBorders>
            <w:shd w:val="clear" w:color="auto" w:fill="auto"/>
            <w:vAlign w:val="center"/>
          </w:tcPr>
          <w:p w14:paraId="299639C0" w14:textId="77777777" w:rsidR="008E256B" w:rsidRPr="00C73365" w:rsidRDefault="00650763" w:rsidP="00F27E6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-1 644</w:t>
            </w:r>
          </w:p>
        </w:tc>
      </w:tr>
      <w:tr w:rsidR="008E256B" w:rsidRPr="00C73365" w14:paraId="433B0F1D" w14:textId="77777777" w:rsidTr="00F27E62">
        <w:trPr>
          <w:trHeight w:val="300"/>
        </w:trPr>
        <w:tc>
          <w:tcPr>
            <w:tcW w:w="3544" w:type="dxa"/>
            <w:tcBorders>
              <w:top w:val="nil"/>
              <w:left w:val="nil"/>
              <w:bottom w:val="single" w:sz="8" w:space="0" w:color="7030A0"/>
              <w:right w:val="nil"/>
            </w:tcBorders>
            <w:shd w:val="clear" w:color="auto" w:fill="auto"/>
            <w:vAlign w:val="center"/>
            <w:hideMark/>
          </w:tcPr>
          <w:p w14:paraId="3A4074EB" w14:textId="77777777" w:rsidR="008E256B" w:rsidRPr="00C73365" w:rsidRDefault="008E256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Feder (A 10 06 002G)</w:t>
            </w:r>
            <w:r w:rsidR="008F2F8F" w:rsidRPr="00C73365">
              <w:rPr>
                <w:rFonts w:asciiTheme="minorHAnsi" w:hAnsiTheme="minorHAnsi" w:cstheme="minorHAnsi"/>
                <w:color w:val="000000"/>
                <w:szCs w:val="20"/>
                <w:lang w:val="fr-FR"/>
              </w:rPr>
              <w:t>**</w:t>
            </w:r>
          </w:p>
        </w:tc>
        <w:tc>
          <w:tcPr>
            <w:tcW w:w="1276" w:type="dxa"/>
            <w:tcBorders>
              <w:top w:val="nil"/>
              <w:left w:val="nil"/>
              <w:bottom w:val="single" w:sz="8" w:space="0" w:color="7030A0"/>
              <w:right w:val="nil"/>
            </w:tcBorders>
            <w:shd w:val="clear" w:color="auto" w:fill="auto"/>
            <w:vAlign w:val="center"/>
            <w:hideMark/>
          </w:tcPr>
          <w:p w14:paraId="55D23E21"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709" w:type="dxa"/>
            <w:tcBorders>
              <w:top w:val="nil"/>
              <w:left w:val="nil"/>
              <w:bottom w:val="single" w:sz="8" w:space="0" w:color="7030A0"/>
              <w:right w:val="nil"/>
            </w:tcBorders>
            <w:shd w:val="clear" w:color="auto" w:fill="auto"/>
            <w:vAlign w:val="center"/>
            <w:hideMark/>
          </w:tcPr>
          <w:p w14:paraId="7DA651E6" w14:textId="77777777" w:rsidR="008E256B" w:rsidRPr="00C73365" w:rsidRDefault="008E256B" w:rsidP="00F27E6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708" w:type="dxa"/>
            <w:tcBorders>
              <w:top w:val="nil"/>
              <w:left w:val="nil"/>
              <w:bottom w:val="single" w:sz="8" w:space="0" w:color="7030A0"/>
              <w:right w:val="nil"/>
            </w:tcBorders>
            <w:shd w:val="clear" w:color="auto" w:fill="auto"/>
            <w:vAlign w:val="center"/>
            <w:hideMark/>
          </w:tcPr>
          <w:p w14:paraId="70A0E38E" w14:textId="77777777" w:rsidR="008E256B" w:rsidRPr="00C73365" w:rsidRDefault="008E256B" w:rsidP="00F27E62">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14:paraId="6746BA4A" w14:textId="77777777" w:rsidR="008E256B" w:rsidRPr="00C73365" w:rsidRDefault="008E256B" w:rsidP="00F27E62">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14:paraId="1F65A4E4" w14:textId="77777777" w:rsidR="008E256B" w:rsidRPr="00C73365" w:rsidRDefault="008E256B" w:rsidP="00F27E62">
            <w:pPr>
              <w:spacing w:after="0"/>
              <w:jc w:val="center"/>
              <w:rPr>
                <w:rFonts w:asciiTheme="minorHAnsi" w:hAnsiTheme="minorHAnsi" w:cstheme="minorHAnsi"/>
                <w:color w:val="000000"/>
                <w:szCs w:val="20"/>
              </w:rPr>
            </w:pPr>
          </w:p>
        </w:tc>
        <w:tc>
          <w:tcPr>
            <w:tcW w:w="850" w:type="dxa"/>
            <w:tcBorders>
              <w:top w:val="nil"/>
              <w:left w:val="nil"/>
              <w:bottom w:val="single" w:sz="8" w:space="0" w:color="7030A0"/>
              <w:right w:val="nil"/>
            </w:tcBorders>
            <w:shd w:val="clear" w:color="auto" w:fill="auto"/>
            <w:vAlign w:val="center"/>
            <w:hideMark/>
          </w:tcPr>
          <w:p w14:paraId="197389E9" w14:textId="77777777" w:rsidR="008E256B" w:rsidRPr="00C73365" w:rsidRDefault="008E256B" w:rsidP="00F27E62">
            <w:pPr>
              <w:spacing w:after="0"/>
              <w:jc w:val="center"/>
              <w:rPr>
                <w:rFonts w:asciiTheme="minorHAnsi" w:hAnsiTheme="minorHAnsi" w:cstheme="minorHAnsi"/>
                <w:color w:val="000000"/>
                <w:szCs w:val="20"/>
              </w:rPr>
            </w:pPr>
          </w:p>
        </w:tc>
        <w:tc>
          <w:tcPr>
            <w:tcW w:w="737" w:type="dxa"/>
            <w:tcBorders>
              <w:top w:val="nil"/>
              <w:left w:val="nil"/>
              <w:bottom w:val="single" w:sz="8" w:space="0" w:color="7030A0"/>
              <w:right w:val="nil"/>
            </w:tcBorders>
            <w:shd w:val="clear" w:color="auto" w:fill="auto"/>
            <w:vAlign w:val="center"/>
            <w:hideMark/>
          </w:tcPr>
          <w:p w14:paraId="007E6346" w14:textId="77777777" w:rsidR="008E256B" w:rsidRPr="00C73365" w:rsidRDefault="008E256B" w:rsidP="00F27E62">
            <w:pPr>
              <w:spacing w:after="0"/>
              <w:jc w:val="center"/>
              <w:rPr>
                <w:rFonts w:asciiTheme="minorHAnsi" w:hAnsiTheme="minorHAnsi" w:cstheme="minorHAnsi"/>
                <w:color w:val="000000"/>
                <w:szCs w:val="20"/>
              </w:rPr>
            </w:pPr>
          </w:p>
        </w:tc>
        <w:tc>
          <w:tcPr>
            <w:tcW w:w="794" w:type="dxa"/>
            <w:tcBorders>
              <w:top w:val="nil"/>
              <w:left w:val="nil"/>
              <w:bottom w:val="single" w:sz="8" w:space="0" w:color="7030A0"/>
              <w:right w:val="nil"/>
            </w:tcBorders>
            <w:shd w:val="clear" w:color="auto" w:fill="auto"/>
            <w:vAlign w:val="center"/>
            <w:hideMark/>
          </w:tcPr>
          <w:p w14:paraId="0BB32DAE" w14:textId="77777777" w:rsidR="008E256B" w:rsidRPr="00C73365" w:rsidRDefault="008E256B" w:rsidP="00F27E62">
            <w:pPr>
              <w:spacing w:after="0"/>
              <w:jc w:val="center"/>
              <w:rPr>
                <w:rFonts w:asciiTheme="minorHAnsi" w:hAnsiTheme="minorHAnsi" w:cstheme="minorHAnsi"/>
                <w:color w:val="000000"/>
                <w:szCs w:val="20"/>
              </w:rPr>
            </w:pPr>
          </w:p>
        </w:tc>
        <w:tc>
          <w:tcPr>
            <w:tcW w:w="765" w:type="dxa"/>
            <w:tcBorders>
              <w:top w:val="nil"/>
              <w:left w:val="nil"/>
              <w:bottom w:val="single" w:sz="8" w:space="0" w:color="7030A0"/>
              <w:right w:val="nil"/>
            </w:tcBorders>
            <w:shd w:val="clear" w:color="auto" w:fill="auto"/>
            <w:vAlign w:val="center"/>
            <w:hideMark/>
          </w:tcPr>
          <w:p w14:paraId="73EC16FE" w14:textId="77777777" w:rsidR="008E256B" w:rsidRPr="00C73365" w:rsidRDefault="008E256B" w:rsidP="00F27E62">
            <w:pPr>
              <w:spacing w:after="0"/>
              <w:jc w:val="center"/>
              <w:rPr>
                <w:rFonts w:asciiTheme="minorHAnsi" w:hAnsiTheme="minorHAnsi" w:cstheme="minorHAnsi"/>
                <w:color w:val="000000"/>
                <w:szCs w:val="20"/>
              </w:rPr>
            </w:pPr>
          </w:p>
        </w:tc>
      </w:tr>
      <w:tr w:rsidR="008E256B" w:rsidRPr="00C73365" w14:paraId="7DF858AE" w14:textId="77777777" w:rsidTr="00F27E62">
        <w:trPr>
          <w:trHeight w:val="300"/>
        </w:trPr>
        <w:tc>
          <w:tcPr>
            <w:tcW w:w="3544" w:type="dxa"/>
            <w:tcBorders>
              <w:top w:val="nil"/>
              <w:left w:val="nil"/>
              <w:bottom w:val="single" w:sz="8" w:space="0" w:color="7030A0"/>
              <w:right w:val="nil"/>
            </w:tcBorders>
            <w:shd w:val="clear" w:color="auto" w:fill="auto"/>
            <w:vAlign w:val="center"/>
            <w:hideMark/>
          </w:tcPr>
          <w:p w14:paraId="4BBF9EEE" w14:textId="77777777" w:rsidR="008E256B" w:rsidRPr="00C73365" w:rsidRDefault="008E256B"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Sous-Total emprunts et dettes financières</w:t>
            </w:r>
          </w:p>
        </w:tc>
        <w:tc>
          <w:tcPr>
            <w:tcW w:w="1276" w:type="dxa"/>
            <w:tcBorders>
              <w:top w:val="nil"/>
              <w:left w:val="nil"/>
              <w:bottom w:val="single" w:sz="8" w:space="0" w:color="7030A0"/>
              <w:right w:val="nil"/>
            </w:tcBorders>
            <w:shd w:val="clear" w:color="auto" w:fill="auto"/>
            <w:vAlign w:val="center"/>
            <w:hideMark/>
          </w:tcPr>
          <w:p w14:paraId="1140F0AC" w14:textId="77777777" w:rsidR="008E256B" w:rsidRPr="00C73365" w:rsidRDefault="008E256B" w:rsidP="00F27E6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-170</w:t>
            </w:r>
          </w:p>
        </w:tc>
        <w:tc>
          <w:tcPr>
            <w:tcW w:w="709" w:type="dxa"/>
            <w:tcBorders>
              <w:top w:val="nil"/>
              <w:left w:val="nil"/>
              <w:bottom w:val="single" w:sz="8" w:space="0" w:color="7030A0"/>
              <w:right w:val="nil"/>
            </w:tcBorders>
            <w:shd w:val="clear" w:color="auto" w:fill="auto"/>
            <w:vAlign w:val="center"/>
            <w:hideMark/>
          </w:tcPr>
          <w:p w14:paraId="035DB2A8" w14:textId="77777777" w:rsidR="008E256B" w:rsidRPr="00C73365" w:rsidRDefault="008E256B" w:rsidP="00F27E6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-170</w:t>
            </w:r>
          </w:p>
        </w:tc>
        <w:tc>
          <w:tcPr>
            <w:tcW w:w="708" w:type="dxa"/>
            <w:tcBorders>
              <w:top w:val="nil"/>
              <w:left w:val="nil"/>
              <w:bottom w:val="single" w:sz="8" w:space="0" w:color="7030A0"/>
              <w:right w:val="nil"/>
            </w:tcBorders>
            <w:shd w:val="clear" w:color="auto" w:fill="auto"/>
            <w:vAlign w:val="center"/>
            <w:hideMark/>
          </w:tcPr>
          <w:p w14:paraId="3C9B850A" w14:textId="77777777" w:rsidR="008E256B" w:rsidRPr="00C73365" w:rsidRDefault="008E256B" w:rsidP="00F27E62">
            <w:pPr>
              <w:spacing w:after="0"/>
              <w:jc w:val="center"/>
              <w:rPr>
                <w:rFonts w:asciiTheme="minorHAnsi" w:hAnsiTheme="minorHAnsi" w:cstheme="minorHAnsi"/>
                <w:color w:val="7030A0"/>
                <w:szCs w:val="20"/>
              </w:rPr>
            </w:pPr>
          </w:p>
        </w:tc>
        <w:tc>
          <w:tcPr>
            <w:tcW w:w="709" w:type="dxa"/>
            <w:tcBorders>
              <w:top w:val="nil"/>
              <w:left w:val="nil"/>
              <w:bottom w:val="single" w:sz="8" w:space="0" w:color="7030A0"/>
              <w:right w:val="nil"/>
            </w:tcBorders>
            <w:shd w:val="clear" w:color="auto" w:fill="auto"/>
            <w:vAlign w:val="center"/>
            <w:hideMark/>
          </w:tcPr>
          <w:p w14:paraId="354B9857" w14:textId="77777777" w:rsidR="008E256B" w:rsidRPr="00C73365" w:rsidRDefault="008E256B" w:rsidP="00F27E62">
            <w:pPr>
              <w:spacing w:after="0"/>
              <w:jc w:val="center"/>
              <w:rPr>
                <w:rFonts w:asciiTheme="minorHAnsi" w:hAnsiTheme="minorHAnsi" w:cstheme="minorHAnsi"/>
                <w:color w:val="7030A0"/>
                <w:szCs w:val="20"/>
              </w:rPr>
            </w:pPr>
          </w:p>
        </w:tc>
        <w:tc>
          <w:tcPr>
            <w:tcW w:w="709" w:type="dxa"/>
            <w:tcBorders>
              <w:top w:val="nil"/>
              <w:left w:val="nil"/>
              <w:bottom w:val="single" w:sz="8" w:space="0" w:color="7030A0"/>
              <w:right w:val="nil"/>
            </w:tcBorders>
            <w:shd w:val="clear" w:color="auto" w:fill="auto"/>
            <w:vAlign w:val="center"/>
            <w:hideMark/>
          </w:tcPr>
          <w:p w14:paraId="302014ED" w14:textId="77777777" w:rsidR="008E256B" w:rsidRPr="00C73365" w:rsidRDefault="008E256B" w:rsidP="00F27E62">
            <w:pPr>
              <w:spacing w:after="0"/>
              <w:jc w:val="center"/>
              <w:rPr>
                <w:rFonts w:asciiTheme="minorHAnsi" w:hAnsiTheme="minorHAnsi" w:cstheme="minorHAnsi"/>
                <w:color w:val="7030A0"/>
                <w:szCs w:val="20"/>
              </w:rPr>
            </w:pPr>
          </w:p>
        </w:tc>
        <w:tc>
          <w:tcPr>
            <w:tcW w:w="850" w:type="dxa"/>
            <w:tcBorders>
              <w:top w:val="nil"/>
              <w:left w:val="nil"/>
              <w:bottom w:val="single" w:sz="8" w:space="0" w:color="7030A0"/>
              <w:right w:val="nil"/>
            </w:tcBorders>
            <w:shd w:val="clear" w:color="auto" w:fill="auto"/>
            <w:vAlign w:val="center"/>
            <w:hideMark/>
          </w:tcPr>
          <w:p w14:paraId="59CFA156" w14:textId="77777777" w:rsidR="008E256B" w:rsidRPr="00C73365" w:rsidRDefault="008E256B" w:rsidP="00F27E62">
            <w:pPr>
              <w:spacing w:after="0"/>
              <w:jc w:val="center"/>
              <w:rPr>
                <w:rFonts w:asciiTheme="minorHAnsi" w:hAnsiTheme="minorHAnsi" w:cstheme="minorHAnsi"/>
                <w:color w:val="7030A0"/>
                <w:szCs w:val="20"/>
              </w:rPr>
            </w:pPr>
          </w:p>
        </w:tc>
        <w:tc>
          <w:tcPr>
            <w:tcW w:w="737" w:type="dxa"/>
            <w:tcBorders>
              <w:top w:val="nil"/>
              <w:left w:val="nil"/>
              <w:bottom w:val="single" w:sz="8" w:space="0" w:color="7030A0"/>
              <w:right w:val="nil"/>
            </w:tcBorders>
            <w:shd w:val="clear" w:color="auto" w:fill="auto"/>
            <w:vAlign w:val="center"/>
            <w:hideMark/>
          </w:tcPr>
          <w:p w14:paraId="0D6D46E6" w14:textId="77777777" w:rsidR="008E256B" w:rsidRPr="00C73365" w:rsidRDefault="008E256B" w:rsidP="00F27E62">
            <w:pPr>
              <w:spacing w:after="0"/>
              <w:jc w:val="center"/>
              <w:rPr>
                <w:rFonts w:asciiTheme="minorHAnsi" w:hAnsiTheme="minorHAnsi" w:cstheme="minorHAnsi"/>
                <w:color w:val="7030A0"/>
                <w:szCs w:val="20"/>
              </w:rPr>
            </w:pPr>
          </w:p>
        </w:tc>
        <w:tc>
          <w:tcPr>
            <w:tcW w:w="794" w:type="dxa"/>
            <w:tcBorders>
              <w:top w:val="nil"/>
              <w:left w:val="nil"/>
              <w:bottom w:val="single" w:sz="8" w:space="0" w:color="7030A0"/>
              <w:right w:val="nil"/>
            </w:tcBorders>
            <w:shd w:val="clear" w:color="auto" w:fill="auto"/>
            <w:vAlign w:val="center"/>
            <w:hideMark/>
          </w:tcPr>
          <w:p w14:paraId="34459330" w14:textId="77777777" w:rsidR="008E256B" w:rsidRPr="00C73365" w:rsidRDefault="008E256B" w:rsidP="00F27E62">
            <w:pPr>
              <w:spacing w:after="0"/>
              <w:jc w:val="center"/>
              <w:rPr>
                <w:rFonts w:asciiTheme="minorHAnsi" w:hAnsiTheme="minorHAnsi" w:cstheme="minorHAnsi"/>
                <w:color w:val="7030A0"/>
                <w:szCs w:val="20"/>
              </w:rPr>
            </w:pPr>
          </w:p>
        </w:tc>
        <w:tc>
          <w:tcPr>
            <w:tcW w:w="765" w:type="dxa"/>
            <w:tcBorders>
              <w:top w:val="nil"/>
              <w:left w:val="nil"/>
              <w:bottom w:val="single" w:sz="8" w:space="0" w:color="7030A0"/>
              <w:right w:val="nil"/>
            </w:tcBorders>
            <w:shd w:val="clear" w:color="auto" w:fill="auto"/>
            <w:vAlign w:val="center"/>
            <w:hideMark/>
          </w:tcPr>
          <w:p w14:paraId="6C2C63AA" w14:textId="77777777" w:rsidR="008E256B" w:rsidRPr="00C73365" w:rsidRDefault="008E256B" w:rsidP="00F27E62">
            <w:pPr>
              <w:spacing w:after="0"/>
              <w:jc w:val="center"/>
              <w:rPr>
                <w:rFonts w:asciiTheme="minorHAnsi" w:hAnsiTheme="minorHAnsi" w:cstheme="minorHAnsi"/>
                <w:color w:val="7030A0"/>
                <w:szCs w:val="20"/>
              </w:rPr>
            </w:pPr>
          </w:p>
        </w:tc>
      </w:tr>
      <w:tr w:rsidR="008E256B" w:rsidRPr="00C73365" w14:paraId="5DABAD7B" w14:textId="77777777" w:rsidTr="00F27E62">
        <w:trPr>
          <w:trHeight w:val="300"/>
        </w:trPr>
        <w:tc>
          <w:tcPr>
            <w:tcW w:w="3544" w:type="dxa"/>
            <w:tcBorders>
              <w:top w:val="nil"/>
              <w:left w:val="nil"/>
              <w:bottom w:val="single" w:sz="8" w:space="0" w:color="7030A0"/>
              <w:right w:val="nil"/>
            </w:tcBorders>
            <w:shd w:val="clear" w:color="auto" w:fill="auto"/>
            <w:vAlign w:val="center"/>
            <w:hideMark/>
          </w:tcPr>
          <w:p w14:paraId="3B6F0904" w14:textId="77777777" w:rsidR="008E256B" w:rsidRPr="00C73365" w:rsidRDefault="008E256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276" w:type="dxa"/>
            <w:tcBorders>
              <w:top w:val="nil"/>
              <w:left w:val="nil"/>
              <w:bottom w:val="single" w:sz="8" w:space="0" w:color="7030A0"/>
              <w:right w:val="nil"/>
            </w:tcBorders>
            <w:shd w:val="clear" w:color="auto" w:fill="auto"/>
            <w:vAlign w:val="center"/>
          </w:tcPr>
          <w:p w14:paraId="2DB9B765" w14:textId="77777777" w:rsidR="008E256B" w:rsidRPr="00C73365" w:rsidRDefault="00650763" w:rsidP="00F27E6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5 607</w:t>
            </w:r>
          </w:p>
        </w:tc>
        <w:tc>
          <w:tcPr>
            <w:tcW w:w="709" w:type="dxa"/>
            <w:tcBorders>
              <w:top w:val="nil"/>
              <w:left w:val="nil"/>
              <w:bottom w:val="single" w:sz="8" w:space="0" w:color="7030A0"/>
              <w:right w:val="nil"/>
            </w:tcBorders>
            <w:shd w:val="clear" w:color="auto" w:fill="auto"/>
            <w:vAlign w:val="center"/>
          </w:tcPr>
          <w:p w14:paraId="48BD6878" w14:textId="363D55EC" w:rsidR="008E256B" w:rsidRPr="00C73365" w:rsidRDefault="00FB7E16" w:rsidP="00F27E62">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3 061</w:t>
            </w:r>
          </w:p>
        </w:tc>
        <w:tc>
          <w:tcPr>
            <w:tcW w:w="708" w:type="dxa"/>
            <w:tcBorders>
              <w:top w:val="nil"/>
              <w:left w:val="nil"/>
              <w:bottom w:val="single" w:sz="8" w:space="0" w:color="7030A0"/>
              <w:right w:val="nil"/>
            </w:tcBorders>
            <w:shd w:val="clear" w:color="auto" w:fill="auto"/>
            <w:vAlign w:val="center"/>
          </w:tcPr>
          <w:p w14:paraId="255DA813" w14:textId="3A212618" w:rsidR="008E256B" w:rsidRPr="00C73365" w:rsidRDefault="00FB7E16" w:rsidP="00F27E62">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1 885</w:t>
            </w:r>
          </w:p>
        </w:tc>
        <w:tc>
          <w:tcPr>
            <w:tcW w:w="709" w:type="dxa"/>
            <w:tcBorders>
              <w:top w:val="nil"/>
              <w:left w:val="nil"/>
              <w:bottom w:val="single" w:sz="8" w:space="0" w:color="7030A0"/>
              <w:right w:val="nil"/>
            </w:tcBorders>
            <w:shd w:val="clear" w:color="auto" w:fill="auto"/>
            <w:vAlign w:val="center"/>
          </w:tcPr>
          <w:p w14:paraId="1505AAA2" w14:textId="77777777" w:rsidR="008E256B" w:rsidRPr="00C73365" w:rsidRDefault="008F376F" w:rsidP="00F27E6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1 208</w:t>
            </w:r>
          </w:p>
        </w:tc>
        <w:tc>
          <w:tcPr>
            <w:tcW w:w="709" w:type="dxa"/>
            <w:tcBorders>
              <w:top w:val="nil"/>
              <w:left w:val="nil"/>
              <w:bottom w:val="single" w:sz="8" w:space="0" w:color="7030A0"/>
              <w:right w:val="nil"/>
            </w:tcBorders>
            <w:shd w:val="clear" w:color="auto" w:fill="auto"/>
            <w:vAlign w:val="center"/>
          </w:tcPr>
          <w:p w14:paraId="156FD881" w14:textId="77777777" w:rsidR="008E256B" w:rsidRPr="00C73365" w:rsidRDefault="008F376F" w:rsidP="00F27E6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-317</w:t>
            </w:r>
          </w:p>
        </w:tc>
        <w:tc>
          <w:tcPr>
            <w:tcW w:w="850" w:type="dxa"/>
            <w:tcBorders>
              <w:top w:val="nil"/>
              <w:left w:val="nil"/>
              <w:bottom w:val="single" w:sz="8" w:space="0" w:color="7030A0"/>
              <w:right w:val="nil"/>
            </w:tcBorders>
            <w:shd w:val="clear" w:color="auto" w:fill="auto"/>
            <w:vAlign w:val="center"/>
          </w:tcPr>
          <w:p w14:paraId="7ED1838F" w14:textId="77777777" w:rsidR="008E256B" w:rsidRPr="00C73365" w:rsidRDefault="008F376F" w:rsidP="00F27E6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- 1 232</w:t>
            </w:r>
          </w:p>
        </w:tc>
        <w:tc>
          <w:tcPr>
            <w:tcW w:w="737" w:type="dxa"/>
            <w:tcBorders>
              <w:top w:val="nil"/>
              <w:left w:val="nil"/>
              <w:bottom w:val="single" w:sz="8" w:space="0" w:color="7030A0"/>
              <w:right w:val="nil"/>
            </w:tcBorders>
            <w:shd w:val="clear" w:color="auto" w:fill="auto"/>
            <w:vAlign w:val="center"/>
          </w:tcPr>
          <w:p w14:paraId="46B0F5B7" w14:textId="77777777" w:rsidR="008E256B" w:rsidRPr="00C73365" w:rsidRDefault="008F376F" w:rsidP="00F27E6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-2 854</w:t>
            </w:r>
          </w:p>
        </w:tc>
        <w:tc>
          <w:tcPr>
            <w:tcW w:w="794" w:type="dxa"/>
            <w:tcBorders>
              <w:top w:val="nil"/>
              <w:left w:val="nil"/>
              <w:bottom w:val="single" w:sz="8" w:space="0" w:color="7030A0"/>
              <w:right w:val="nil"/>
            </w:tcBorders>
            <w:shd w:val="clear" w:color="auto" w:fill="auto"/>
            <w:vAlign w:val="center"/>
          </w:tcPr>
          <w:p w14:paraId="0DCF558F" w14:textId="77777777" w:rsidR="008E256B" w:rsidRPr="00C73365" w:rsidRDefault="008F376F" w:rsidP="00F27E6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-3 391</w:t>
            </w:r>
          </w:p>
        </w:tc>
        <w:tc>
          <w:tcPr>
            <w:tcW w:w="765" w:type="dxa"/>
            <w:tcBorders>
              <w:top w:val="nil"/>
              <w:left w:val="nil"/>
              <w:bottom w:val="single" w:sz="8" w:space="0" w:color="7030A0"/>
              <w:right w:val="nil"/>
            </w:tcBorders>
            <w:shd w:val="clear" w:color="auto" w:fill="auto"/>
            <w:vAlign w:val="center"/>
          </w:tcPr>
          <w:p w14:paraId="66120DE3" w14:textId="77777777" w:rsidR="008E256B" w:rsidRPr="00C73365" w:rsidRDefault="008F376F" w:rsidP="00F27E6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-1 644</w:t>
            </w:r>
          </w:p>
        </w:tc>
      </w:tr>
    </w:tbl>
    <w:bookmarkEnd w:id="54"/>
    <w:p w14:paraId="1E2B36BB"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n’est pas exposée à un risque immédiat de liquidité sur les contrats d’aide à l’innovation au titre des avances remboursables dans la mesure où ces derniers ne prévoient pas la mise en œuvre de clause de remboursement anticipé. Le tableau ci-dessous illustre le risque de liquidité sur les engagements de remboursement des avances remboursables pris par la Société :</w:t>
      </w:r>
    </w:p>
    <w:p w14:paraId="7ADF5EC0" w14:textId="77777777" w:rsidR="007E4584" w:rsidRPr="00E66FAB" w:rsidRDefault="00C056BB" w:rsidP="00C056BB">
      <w:pPr>
        <w:pStyle w:val="Listepuces"/>
        <w:numPr>
          <w:ilvl w:val="0"/>
          <w:numId w:val="0"/>
        </w:numPr>
        <w:ind w:left="720"/>
        <w:rPr>
          <w:rFonts w:asciiTheme="minorHAnsi" w:hAnsiTheme="minorHAnsi" w:cstheme="minorHAnsi"/>
          <w:lang w:val="fr-FR"/>
        </w:rPr>
      </w:pPr>
      <w:r>
        <w:rPr>
          <w:rFonts w:asciiTheme="minorHAnsi" w:hAnsiTheme="minorHAnsi" w:cstheme="minorHAnsi"/>
          <w:lang w:val="fr-FR"/>
        </w:rPr>
        <w:t>*</w:t>
      </w:r>
      <w:r w:rsidR="007E4584" w:rsidRPr="00E66FAB">
        <w:rPr>
          <w:rFonts w:asciiTheme="minorHAnsi" w:hAnsiTheme="minorHAnsi" w:cstheme="minorHAnsi"/>
          <w:lang w:val="fr-FR"/>
        </w:rPr>
        <w:t xml:space="preserve">Pour le projet ISI-CaReNA et </w:t>
      </w:r>
      <w:r w:rsidR="000E5435" w:rsidRPr="00E66FAB">
        <w:rPr>
          <w:rFonts w:asciiTheme="minorHAnsi" w:hAnsiTheme="minorHAnsi" w:cstheme="minorHAnsi"/>
          <w:lang w:val="fr-FR"/>
        </w:rPr>
        <w:t>PSPC</w:t>
      </w:r>
      <w:r w:rsidR="007E4584" w:rsidRPr="00E66FAB">
        <w:rPr>
          <w:rFonts w:asciiTheme="minorHAnsi" w:hAnsiTheme="minorHAnsi" w:cstheme="minorHAnsi"/>
          <w:lang w:val="fr-FR"/>
        </w:rPr>
        <w:t>-RNP Vir (Subventions et avances remboursables) : les montants indiqués sont des versements maximaux</w:t>
      </w:r>
      <w:r w:rsidR="008F376F" w:rsidRPr="00E66FAB">
        <w:rPr>
          <w:rFonts w:asciiTheme="minorHAnsi" w:hAnsiTheme="minorHAnsi" w:cstheme="minorHAnsi"/>
          <w:lang w:val="fr-FR"/>
        </w:rPr>
        <w:t>, voir détails des contrats au chapitre 22.4</w:t>
      </w:r>
      <w:r w:rsidR="008F2F8F" w:rsidRPr="00E66FAB">
        <w:rPr>
          <w:rFonts w:asciiTheme="minorHAnsi" w:hAnsiTheme="minorHAnsi" w:cstheme="minorHAnsi"/>
          <w:lang w:val="fr-FR"/>
        </w:rPr>
        <w:t xml:space="preserve"> ** à date d’enregistrement d</w:t>
      </w:r>
      <w:r w:rsidR="00130569">
        <w:rPr>
          <w:rFonts w:asciiTheme="minorHAnsi" w:hAnsiTheme="minorHAnsi" w:cstheme="minorHAnsi"/>
          <w:lang w:val="fr-FR"/>
        </w:rPr>
        <w:t>e ce document</w:t>
      </w:r>
      <w:r w:rsidR="008F2F8F" w:rsidRPr="00E66FAB">
        <w:rPr>
          <w:rFonts w:asciiTheme="minorHAnsi" w:hAnsiTheme="minorHAnsi" w:cstheme="minorHAnsi"/>
          <w:lang w:val="fr-FR"/>
        </w:rPr>
        <w:t xml:space="preserve">, l’aide conjointe </w:t>
      </w:r>
      <w:r w:rsidR="001479F8" w:rsidRPr="00E66FAB">
        <w:rPr>
          <w:rFonts w:asciiTheme="minorHAnsi" w:hAnsiTheme="minorHAnsi" w:cstheme="minorHAnsi"/>
          <w:lang w:val="fr-FR"/>
        </w:rPr>
        <w:t>Bpifrance</w:t>
      </w:r>
      <w:r w:rsidR="008F2F8F" w:rsidRPr="00E66FAB">
        <w:rPr>
          <w:rFonts w:asciiTheme="minorHAnsi" w:hAnsiTheme="minorHAnsi" w:cstheme="minorHAnsi"/>
          <w:lang w:val="fr-FR"/>
        </w:rPr>
        <w:t xml:space="preserve"> et Feder est intégralement remboursée</w:t>
      </w:r>
    </w:p>
    <w:p w14:paraId="6642DC24" w14:textId="77777777" w:rsidR="00B92C72" w:rsidRPr="00C73365" w:rsidRDefault="007E4584" w:rsidP="008F376F">
      <w:pPr>
        <w:spacing w:after="0"/>
        <w:rPr>
          <w:rFonts w:asciiTheme="minorHAnsi" w:hAnsiTheme="minorHAnsi" w:cstheme="minorHAnsi"/>
          <w:i/>
          <w:color w:val="7030A0"/>
          <w:sz w:val="18"/>
          <w:szCs w:val="22"/>
          <w:lang w:val="fr-FR"/>
        </w:rPr>
      </w:pPr>
      <w:r w:rsidRPr="00C73365">
        <w:rPr>
          <w:rFonts w:asciiTheme="minorHAnsi" w:hAnsiTheme="minorHAnsi" w:cstheme="minorHAnsi"/>
          <w:i/>
          <w:color w:val="7030A0"/>
          <w:sz w:val="18"/>
          <w:szCs w:val="22"/>
          <w:lang w:val="fr-FR"/>
        </w:rPr>
        <w:t xml:space="preserve">  </w:t>
      </w:r>
    </w:p>
    <w:p w14:paraId="2E043C9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Il est précisé que dans l’ensemble des avances mentionnées ci-dessus, seul le remboursement de </w:t>
      </w:r>
      <w:r w:rsidR="00AE5743" w:rsidRPr="00C73365">
        <w:rPr>
          <w:rFonts w:asciiTheme="minorHAnsi" w:hAnsiTheme="minorHAnsi" w:cstheme="minorHAnsi"/>
          <w:lang w:val="fr-FR"/>
        </w:rPr>
        <w:t>170 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à l’aide conjointe </w:t>
      </w:r>
      <w:r w:rsidR="001479F8">
        <w:rPr>
          <w:rFonts w:asciiTheme="minorHAnsi" w:hAnsiTheme="minorHAnsi" w:cstheme="minorHAnsi"/>
          <w:lang w:val="fr-FR"/>
        </w:rPr>
        <w:t>Bpifrance</w:t>
      </w:r>
      <w:r w:rsidRPr="00C73365">
        <w:rPr>
          <w:rFonts w:asciiTheme="minorHAnsi" w:hAnsiTheme="minorHAnsi" w:cstheme="minorHAnsi"/>
          <w:lang w:val="fr-FR"/>
        </w:rPr>
        <w:t>-FEDER viendra en déduction des emprunts et dettes financières diverses, le reste des remboursements viendra en réduction des autres fonds propres (avances conditionnées).</w:t>
      </w:r>
    </w:p>
    <w:p w14:paraId="7395AC85"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Par ailleurs, </w:t>
      </w:r>
      <w:r w:rsidR="004E7D26" w:rsidRPr="00C73365">
        <w:rPr>
          <w:rFonts w:asciiTheme="minorHAnsi" w:hAnsiTheme="minorHAnsi" w:cstheme="minorHAnsi"/>
          <w:lang w:val="fr-FR"/>
        </w:rPr>
        <w:t xml:space="preserve">des </w:t>
      </w:r>
      <w:r w:rsidRPr="00C73365">
        <w:rPr>
          <w:rFonts w:asciiTheme="minorHAnsi" w:hAnsiTheme="minorHAnsi" w:cstheme="minorHAnsi"/>
          <w:lang w:val="fr-FR"/>
        </w:rPr>
        <w:t>dépenses liées à la recherche et au développement des études cliniques ont été engagées depuis le démarrage de l’activité du Groupe, ce qui a généré jusqu’à ce jour des flux de trésorerie négatifs liés aux activités opérationnelles.</w:t>
      </w:r>
    </w:p>
    <w:p w14:paraId="50085C95" w14:textId="77777777" w:rsidR="00F46C7B" w:rsidRPr="00C73365" w:rsidRDefault="00F46C7B" w:rsidP="004572A0">
      <w:pPr>
        <w:pStyle w:val="Liste"/>
        <w:rPr>
          <w:rFonts w:asciiTheme="minorHAnsi" w:hAnsiTheme="minorHAnsi" w:cstheme="minorHAnsi"/>
          <w:lang w:val="fr-FR"/>
        </w:rPr>
      </w:pPr>
      <w:r w:rsidRPr="00C73365">
        <w:rPr>
          <w:rFonts w:asciiTheme="minorHAnsi" w:hAnsiTheme="minorHAnsi" w:cstheme="minorHAnsi"/>
          <w:lang w:val="fr-FR"/>
        </w:rPr>
        <w:t>Il est par ailleurs précisé que la Société n’a pas d’engagements hors bilan à moins d’un an.</w:t>
      </w:r>
    </w:p>
    <w:p w14:paraId="6BD49A1E" w14:textId="77777777" w:rsidR="00934BC8" w:rsidRPr="00C73365" w:rsidRDefault="00934BC8" w:rsidP="004572A0">
      <w:pPr>
        <w:pStyle w:val="Liste"/>
        <w:rPr>
          <w:rFonts w:asciiTheme="minorHAnsi" w:hAnsiTheme="minorHAnsi" w:cstheme="minorHAnsi"/>
          <w:lang w:val="fr-FR"/>
        </w:rPr>
      </w:pPr>
      <w:r w:rsidRPr="00C73365">
        <w:rPr>
          <w:rFonts w:asciiTheme="minorHAnsi" w:hAnsiTheme="minorHAnsi" w:cstheme="minorHAnsi"/>
          <w:lang w:val="fr-FR"/>
        </w:rPr>
        <w:t>La Société considère qu’il n’y a pas d’autres risques significatifs hormis ceux présentés.</w:t>
      </w:r>
    </w:p>
    <w:p w14:paraId="56295082" w14:textId="77777777" w:rsidR="000C131F" w:rsidRPr="00C73365" w:rsidRDefault="000C131F">
      <w:pPr>
        <w:autoSpaceDE w:val="0"/>
        <w:autoSpaceDN w:val="0"/>
        <w:adjustRightInd w:val="0"/>
        <w:rPr>
          <w:rFonts w:asciiTheme="minorHAnsi" w:hAnsiTheme="minorHAnsi" w:cstheme="minorHAnsi"/>
          <w:lang w:val="fr-FR"/>
        </w:rPr>
      </w:pPr>
    </w:p>
    <w:p w14:paraId="0A025C61"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change</w:t>
      </w:r>
    </w:p>
    <w:p w14:paraId="179E9DD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stratégie de la Société est de favoriser l’euro comme devise dans le cadre de la signature de ses contrats.</w:t>
      </w:r>
    </w:p>
    <w:p w14:paraId="3B1A78E8" w14:textId="77777777" w:rsidR="00BB083E"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 ce jour, la Société considère ne pas être exposée à un risque de change significatif dans la mesure où seule une faible partie de ses approvisionnements est facturée en devises étrangères. </w:t>
      </w:r>
    </w:p>
    <w:p w14:paraId="019D256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De même, la trésorerie de la Société est investie dans des produits de placement en euros exclusivement.</w:t>
      </w:r>
    </w:p>
    <w:p w14:paraId="04B111C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Au regard de ces montants peu significatifs, la Société n’a pas pris, à ce stade de développement de son activité, de disposition de couverture afin de protéger son activité contre les fluctuations des taux de change. </w:t>
      </w:r>
    </w:p>
    <w:p w14:paraId="1803B09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ne peut exclure qu’une augmentation importante de son activité résulte dans une plus grande exposition au risque de change. La Société envisagera alors de recourir à une politique adaptée de couverture de ces risques.</w:t>
      </w:r>
    </w:p>
    <w:p w14:paraId="609AB07C"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de crédit</w:t>
      </w:r>
    </w:p>
    <w:p w14:paraId="297169E2" w14:textId="77777777" w:rsidR="00024BFE" w:rsidRPr="00C73365" w:rsidRDefault="00024BFE" w:rsidP="00A96CCA">
      <w:pPr>
        <w:pStyle w:val="ConmainL3"/>
        <w:tabs>
          <w:tab w:val="clear" w:pos="360"/>
        </w:tabs>
        <w:spacing w:after="120"/>
        <w:ind w:left="0" w:firstLine="0"/>
        <w:outlineLvl w:val="9"/>
        <w:rPr>
          <w:rFonts w:asciiTheme="minorHAnsi" w:hAnsiTheme="minorHAnsi" w:cstheme="minorHAnsi"/>
          <w:lang w:val="fr-FR"/>
        </w:rPr>
      </w:pPr>
      <w:r w:rsidRPr="00C73365">
        <w:rPr>
          <w:rFonts w:asciiTheme="minorHAnsi" w:hAnsiTheme="minorHAnsi" w:cstheme="minorHAnsi"/>
          <w:lang w:val="fr-FR"/>
        </w:rPr>
        <w:t xml:space="preserve">La Société exerce une gestion prudente de sa trésorerie disponible. La trésorerie et équivalents comprennent les disponibilités et les instruments financiers courants détenus par la Société (essentiellement des comptes à terme). </w:t>
      </w:r>
    </w:p>
    <w:p w14:paraId="7EF7D12C" w14:textId="77777777" w:rsidR="00F46C7B" w:rsidRPr="00C73365" w:rsidRDefault="00024BFE" w:rsidP="004572A0">
      <w:pPr>
        <w:pStyle w:val="Corpsdetexte"/>
        <w:rPr>
          <w:rFonts w:asciiTheme="minorHAnsi" w:hAnsiTheme="minorHAnsi" w:cstheme="minorHAnsi"/>
          <w:szCs w:val="22"/>
          <w:lang w:val="fr-FR"/>
        </w:rPr>
      </w:pPr>
      <w:r w:rsidRPr="00C73365">
        <w:rPr>
          <w:rFonts w:asciiTheme="minorHAnsi" w:hAnsiTheme="minorHAnsi" w:cstheme="minorHAnsi"/>
          <w:lang w:val="fr-FR"/>
        </w:rPr>
        <w:t xml:space="preserve">La société bénéficie au 31 Décembre </w:t>
      </w:r>
      <w:r w:rsidR="00AE5743" w:rsidRPr="00C73365">
        <w:rPr>
          <w:rFonts w:asciiTheme="minorHAnsi" w:hAnsiTheme="minorHAnsi" w:cstheme="minorHAnsi"/>
          <w:lang w:val="fr-FR"/>
        </w:rPr>
        <w:t xml:space="preserve">2017 </w:t>
      </w:r>
      <w:r w:rsidR="00D133D8" w:rsidRPr="00C73365">
        <w:rPr>
          <w:rFonts w:asciiTheme="minorHAnsi" w:hAnsiTheme="minorHAnsi" w:cstheme="minorHAnsi"/>
          <w:lang w:val="fr-FR"/>
        </w:rPr>
        <w:t>de disponibilités</w:t>
      </w:r>
      <w:r w:rsidRPr="00C73365">
        <w:rPr>
          <w:rFonts w:asciiTheme="minorHAnsi" w:hAnsiTheme="minorHAnsi" w:cstheme="minorHAnsi"/>
          <w:lang w:val="fr-FR"/>
        </w:rPr>
        <w:t xml:space="preserve"> de </w:t>
      </w:r>
      <w:r w:rsidR="00AE5743" w:rsidRPr="00C73365">
        <w:rPr>
          <w:rFonts w:asciiTheme="minorHAnsi" w:hAnsiTheme="minorHAnsi" w:cstheme="minorHAnsi"/>
          <w:lang w:val="fr-FR"/>
        </w:rPr>
        <w:t>1 8</w:t>
      </w:r>
      <w:r w:rsidR="00E30413" w:rsidRPr="00C73365">
        <w:rPr>
          <w:rFonts w:asciiTheme="minorHAnsi" w:hAnsiTheme="minorHAnsi" w:cstheme="minorHAnsi"/>
          <w:lang w:val="fr-FR"/>
        </w:rPr>
        <w:t>81</w:t>
      </w:r>
      <w:r w:rsidR="00AE5743"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auxquels s’ajoutent 15 </w:t>
      </w:r>
      <w:r w:rsidR="00E30413" w:rsidRPr="00C73365">
        <w:rPr>
          <w:rFonts w:asciiTheme="minorHAnsi" w:hAnsiTheme="minorHAnsi" w:cstheme="minorHAnsi"/>
          <w:lang w:val="fr-FR"/>
        </w:rPr>
        <w:t>145</w:t>
      </w:r>
      <w:r w:rsidR="00AE5743"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placements sur des comptes à terme et 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SICAV/OPCVM.</w:t>
      </w:r>
    </w:p>
    <w:p w14:paraId="04208F8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risque de crédit est associé aux dépôts auprès des banques et des institutions financières. La Société fait appel pour ses placements de trésorerie à des institutions financières de premier plan et ne supporte donc pas de risque de crédit significatif sur sa trésorerie.</w:t>
      </w:r>
    </w:p>
    <w:p w14:paraId="702F0256"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taux</w:t>
      </w:r>
    </w:p>
    <w:p w14:paraId="5679845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n’a aucune dette à taux variable et n’est donc pas exposé à un risque de taux.</w:t>
      </w:r>
    </w:p>
    <w:p w14:paraId="0ED6FB6A" w14:textId="77777777"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sur actions</w:t>
      </w:r>
    </w:p>
    <w:p w14:paraId="6877C402" w14:textId="77777777" w:rsidR="00024BFE" w:rsidRPr="00C73365" w:rsidRDefault="00024BFE" w:rsidP="004572A0">
      <w:pPr>
        <w:pStyle w:val="Corpsdetexte"/>
        <w:rPr>
          <w:rFonts w:asciiTheme="minorHAnsi" w:hAnsiTheme="minorHAnsi" w:cstheme="minorHAnsi"/>
          <w:lang w:val="fr-FR"/>
        </w:rPr>
      </w:pPr>
      <w:r w:rsidRPr="00C73365">
        <w:rPr>
          <w:rFonts w:asciiTheme="minorHAnsi" w:hAnsiTheme="minorHAnsi" w:cstheme="minorHAnsi"/>
          <w:lang w:val="fr-FR"/>
        </w:rPr>
        <w:t>Au 26 Juin 2015, la Société a confié à la société TSAF – Tradition Securities And Futures – la mise en œuvre d</w:t>
      </w:r>
      <w:r w:rsidR="004572A0" w:rsidRPr="00C73365">
        <w:rPr>
          <w:rFonts w:asciiTheme="minorHAnsi" w:hAnsiTheme="minorHAnsi" w:cstheme="minorHAnsi"/>
          <w:lang w:val="fr-FR"/>
        </w:rPr>
        <w:t>’</w:t>
      </w:r>
      <w:r w:rsidRPr="00C73365">
        <w:rPr>
          <w:rFonts w:asciiTheme="minorHAnsi" w:hAnsiTheme="minorHAnsi" w:cstheme="minorHAnsi"/>
          <w:lang w:val="fr-FR"/>
        </w:rPr>
        <w:t>un contrat de liquidité. Pour ce faire, 1 million d’€ ont été affectés comme moyens au compte de liquidité. Dans le cadre de ce contrat, la Société a été amené à acquérir des titres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dont le montant s’élevait à </w:t>
      </w:r>
      <w:r w:rsidR="00AE5743" w:rsidRPr="00C73365">
        <w:rPr>
          <w:rFonts w:asciiTheme="minorHAnsi" w:hAnsiTheme="minorHAnsi" w:cstheme="minorHAnsi"/>
          <w:lang w:val="fr-FR"/>
        </w:rPr>
        <w:t>34</w:t>
      </w:r>
      <w:r w:rsidR="0010612E" w:rsidRPr="00C73365">
        <w:rPr>
          <w:rFonts w:asciiTheme="minorHAnsi" w:hAnsiTheme="minorHAnsi" w:cstheme="minorHAnsi"/>
          <w:lang w:val="fr-FR"/>
        </w:rPr>
        <w:t> </w:t>
      </w:r>
      <w:r w:rsidR="00AE5743" w:rsidRPr="00C73365">
        <w:rPr>
          <w:rFonts w:asciiTheme="minorHAnsi" w:hAnsiTheme="minorHAnsi" w:cstheme="minorHAnsi"/>
          <w:lang w:val="fr-FR"/>
        </w:rPr>
        <w:t>050</w:t>
      </w:r>
      <w:r w:rsidR="0010612E" w:rsidRPr="00C73365">
        <w:rPr>
          <w:rFonts w:asciiTheme="minorHAnsi" w:hAnsiTheme="minorHAnsi" w:cstheme="minorHAnsi"/>
          <w:lang w:val="fr-FR"/>
        </w:rPr>
        <w:t xml:space="preserve"> </w:t>
      </w:r>
      <w:r w:rsidRPr="00C73365">
        <w:rPr>
          <w:rFonts w:asciiTheme="minorHAnsi" w:hAnsiTheme="minorHAnsi" w:cstheme="minorHAnsi"/>
          <w:lang w:val="fr-FR"/>
        </w:rPr>
        <w:t xml:space="preserve">actions pour une valeur nominale de 499 euros et une valeur comptable de </w:t>
      </w:r>
      <w:r w:rsidR="0032557C" w:rsidRPr="00C73365">
        <w:rPr>
          <w:rFonts w:asciiTheme="minorHAnsi" w:hAnsiTheme="minorHAnsi" w:cstheme="minorHAnsi"/>
          <w:lang w:val="fr-FR"/>
        </w:rPr>
        <w:t xml:space="preserve">384 992 </w:t>
      </w:r>
      <w:r w:rsidRPr="00C73365">
        <w:rPr>
          <w:rFonts w:asciiTheme="minorHAnsi" w:hAnsiTheme="minorHAnsi" w:cstheme="minorHAnsi"/>
          <w:lang w:val="fr-FR"/>
        </w:rPr>
        <w:t>euros au 31/12/</w:t>
      </w:r>
      <w:r w:rsidR="00AE5743" w:rsidRPr="00C73365">
        <w:rPr>
          <w:rFonts w:asciiTheme="minorHAnsi" w:hAnsiTheme="minorHAnsi" w:cstheme="minorHAnsi"/>
          <w:lang w:val="fr-FR"/>
        </w:rPr>
        <w:t>2017</w:t>
      </w:r>
      <w:r w:rsidRPr="00C73365">
        <w:rPr>
          <w:rFonts w:asciiTheme="minorHAnsi" w:hAnsiTheme="minorHAnsi" w:cstheme="minorHAnsi"/>
          <w:lang w:val="fr-FR"/>
        </w:rPr>
        <w:t xml:space="preserve">. </w:t>
      </w:r>
    </w:p>
    <w:p w14:paraId="55A76AE6" w14:textId="77777777" w:rsidR="00024BFE" w:rsidRPr="00C73365" w:rsidRDefault="00024BFE"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détention de ses propres titres amène la Société à subir l’impact de la fluctuation du cours de bourse de l’action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situation de baisse de cours.</w:t>
      </w:r>
    </w:p>
    <w:p w14:paraId="12BCE228" w14:textId="77777777" w:rsidR="00024BFE" w:rsidRPr="00C73365" w:rsidRDefault="00024BFE"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Il ne peut être exclu que la détention de ses propres titres par la Société ne se traduisent pas dans le futur par une dépréciation supplémentaire, en fonction de l’évolution à venir du cours de bourse de l’action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du nombre des actions auto-détenues.</w:t>
      </w:r>
    </w:p>
    <w:p w14:paraId="733CE1E2" w14:textId="77777777" w:rsidR="00024BFE" w:rsidRPr="00C73365" w:rsidRDefault="00024BFE" w:rsidP="004572A0">
      <w:pPr>
        <w:pStyle w:val="Corpsdetexte"/>
        <w:rPr>
          <w:rFonts w:asciiTheme="minorHAnsi" w:hAnsiTheme="minorHAnsi" w:cstheme="minorHAnsi"/>
          <w:lang w:val="fr-FR"/>
        </w:rPr>
      </w:pPr>
      <w:r w:rsidRPr="00C73365">
        <w:rPr>
          <w:rFonts w:asciiTheme="minorHAnsi" w:hAnsiTheme="minorHAnsi" w:cstheme="minorHAnsi"/>
          <w:lang w:val="fr-FR"/>
        </w:rPr>
        <w:t>En dehors de ses propres actions, la Société ne détient pas d’autres actions de sociétés cotées ou non cotées.</w:t>
      </w:r>
    </w:p>
    <w:p w14:paraId="01B294A4" w14:textId="77777777"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55" w:name="_Toc474746845"/>
      <w:bookmarkStart w:id="56" w:name="_Toc476145760"/>
      <w:bookmarkStart w:id="57" w:name="_Toc476152967"/>
      <w:bookmarkStart w:id="58" w:name="_Toc476153086"/>
      <w:bookmarkStart w:id="59" w:name="_Toc476153205"/>
      <w:bookmarkStart w:id="60" w:name="_Toc476153328"/>
      <w:bookmarkStart w:id="61" w:name="_Toc476153447"/>
      <w:bookmarkStart w:id="62" w:name="_Toc474746846"/>
      <w:bookmarkStart w:id="63" w:name="_Toc476145761"/>
      <w:bookmarkStart w:id="64" w:name="_Toc476152968"/>
      <w:bookmarkStart w:id="65" w:name="_Toc476153087"/>
      <w:bookmarkStart w:id="66" w:name="_Toc476153206"/>
      <w:bookmarkStart w:id="67" w:name="_Toc476153329"/>
      <w:bookmarkStart w:id="68" w:name="_Toc476153448"/>
      <w:bookmarkStart w:id="69" w:name="_Toc474746847"/>
      <w:bookmarkStart w:id="70" w:name="_Toc476145762"/>
      <w:bookmarkStart w:id="71" w:name="_Toc476152969"/>
      <w:bookmarkStart w:id="72" w:name="_Toc476153088"/>
      <w:bookmarkStart w:id="73" w:name="_Toc476153207"/>
      <w:bookmarkStart w:id="74" w:name="_Toc476153330"/>
      <w:bookmarkStart w:id="75" w:name="_Toc476153449"/>
      <w:bookmarkStart w:id="76" w:name="_Toc474746848"/>
      <w:bookmarkStart w:id="77" w:name="_Toc476145763"/>
      <w:bookmarkStart w:id="78" w:name="_Toc476152970"/>
      <w:bookmarkStart w:id="79" w:name="_Toc476153089"/>
      <w:bookmarkStart w:id="80" w:name="_Toc476153208"/>
      <w:bookmarkStart w:id="81" w:name="_Toc476153331"/>
      <w:bookmarkStart w:id="82" w:name="_Toc476153450"/>
      <w:bookmarkStart w:id="83" w:name="_Toc474746849"/>
      <w:bookmarkStart w:id="84" w:name="_Toc476145764"/>
      <w:bookmarkStart w:id="85" w:name="_Toc476152971"/>
      <w:bookmarkStart w:id="86" w:name="_Toc476153090"/>
      <w:bookmarkStart w:id="87" w:name="_Toc476153209"/>
      <w:bookmarkStart w:id="88" w:name="_Toc476153332"/>
      <w:bookmarkStart w:id="89" w:name="_Toc476153451"/>
      <w:bookmarkStart w:id="90" w:name="_Toc474746850"/>
      <w:bookmarkStart w:id="91" w:name="_Toc476145765"/>
      <w:bookmarkStart w:id="92" w:name="_Toc476152972"/>
      <w:bookmarkStart w:id="93" w:name="_Toc476153091"/>
      <w:bookmarkStart w:id="94" w:name="_Toc476153210"/>
      <w:bookmarkStart w:id="95" w:name="_Toc476153333"/>
      <w:bookmarkStart w:id="96" w:name="_Toc476153452"/>
      <w:bookmarkStart w:id="97" w:name="_Toc474746851"/>
      <w:bookmarkStart w:id="98" w:name="_Toc476145766"/>
      <w:bookmarkStart w:id="99" w:name="_Toc476152973"/>
      <w:bookmarkStart w:id="100" w:name="_Toc476153092"/>
      <w:bookmarkStart w:id="101" w:name="_Toc476153211"/>
      <w:bookmarkStart w:id="102" w:name="_Toc476153334"/>
      <w:bookmarkStart w:id="103" w:name="_Toc476153453"/>
      <w:bookmarkStart w:id="104" w:name="_Toc402884125"/>
      <w:bookmarkStart w:id="105" w:name="_Toc462673232"/>
      <w:bookmarkStart w:id="106" w:name="_Toc467835578"/>
      <w:bookmarkStart w:id="107" w:name="_Toc51054840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C93577">
        <w:rPr>
          <w:rFonts w:asciiTheme="minorHAnsi" w:hAnsiTheme="minorHAnsi" w:cstheme="minorHAnsi"/>
          <w:sz w:val="22"/>
          <w:szCs w:val="22"/>
          <w:lang w:val="fr-FR"/>
        </w:rPr>
        <w:t>Assurances et couvertures de risques</w:t>
      </w:r>
      <w:bookmarkEnd w:id="104"/>
      <w:bookmarkEnd w:id="105"/>
      <w:bookmarkEnd w:id="106"/>
      <w:bookmarkEnd w:id="107"/>
    </w:p>
    <w:p w14:paraId="3AFCFCAB" w14:textId="77777777" w:rsidR="00D563DE" w:rsidRPr="00C73365" w:rsidRDefault="00F46C7B" w:rsidP="004572A0">
      <w:pPr>
        <w:pStyle w:val="Listecontinue"/>
        <w:rPr>
          <w:rFonts w:asciiTheme="minorHAnsi" w:hAnsiTheme="minorHAnsi" w:cstheme="minorHAnsi"/>
          <w:lang w:val="fr-FR"/>
        </w:rPr>
      </w:pPr>
      <w:r w:rsidRPr="00C73365">
        <w:rPr>
          <w:rFonts w:asciiTheme="minorHAnsi" w:hAnsiTheme="minorHAnsi" w:cstheme="minorHAnsi"/>
          <w:lang w:val="fr-FR"/>
        </w:rPr>
        <w:t xml:space="preserve">La Société a mis en place une politique de couverture des principaux risques assurables avec des montants de garantie qu’elle estime compatibles avec la nature de son activité et ses impératifs de consommation de trésorerie. </w:t>
      </w:r>
    </w:p>
    <w:p w14:paraId="16760298" w14:textId="77777777" w:rsidR="00F46C7B" w:rsidRPr="00C73365" w:rsidRDefault="00F46C7B" w:rsidP="004572A0">
      <w:pPr>
        <w:pStyle w:val="Listecontinue"/>
        <w:rPr>
          <w:rFonts w:asciiTheme="minorHAnsi" w:hAnsiTheme="minorHAnsi" w:cstheme="minorHAnsi"/>
          <w:b/>
          <w:lang w:val="fr-FR"/>
        </w:rPr>
      </w:pPr>
      <w:r w:rsidRPr="00C73365">
        <w:rPr>
          <w:rFonts w:asciiTheme="minorHAnsi" w:hAnsiTheme="minorHAnsi" w:cstheme="minorHAnsi"/>
          <w:b/>
          <w:lang w:val="fr-FR"/>
        </w:rPr>
        <w:t>Tableau récapitulatif des assurances souscrites par la Société :</w:t>
      </w:r>
    </w:p>
    <w:tbl>
      <w:tblPr>
        <w:tblW w:w="5221" w:type="pct"/>
        <w:tblLayout w:type="fixed"/>
        <w:tblCellMar>
          <w:left w:w="70" w:type="dxa"/>
          <w:right w:w="70" w:type="dxa"/>
        </w:tblCellMar>
        <w:tblLook w:val="04A0" w:firstRow="1" w:lastRow="0" w:firstColumn="1" w:lastColumn="0" w:noHBand="0" w:noVBand="1"/>
      </w:tblPr>
      <w:tblGrid>
        <w:gridCol w:w="2690"/>
        <w:gridCol w:w="992"/>
        <w:gridCol w:w="2130"/>
        <w:gridCol w:w="1701"/>
        <w:gridCol w:w="2552"/>
      </w:tblGrid>
      <w:tr w:rsidR="00B13C1A" w:rsidRPr="00C73365" w14:paraId="6F88C660" w14:textId="77777777" w:rsidTr="00172502">
        <w:trPr>
          <w:trHeight w:val="576"/>
        </w:trPr>
        <w:tc>
          <w:tcPr>
            <w:tcW w:w="1336" w:type="pct"/>
            <w:tcBorders>
              <w:top w:val="single" w:sz="12" w:space="0" w:color="7030A0"/>
              <w:left w:val="nil"/>
              <w:bottom w:val="single" w:sz="8" w:space="0" w:color="7030A0"/>
              <w:right w:val="nil"/>
            </w:tcBorders>
            <w:shd w:val="clear" w:color="000000" w:fill="FFFFFF"/>
            <w:vAlign w:val="center"/>
            <w:hideMark/>
          </w:tcPr>
          <w:p w14:paraId="484E3CDD" w14:textId="77777777"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Type d’assurance</w:t>
            </w:r>
          </w:p>
        </w:tc>
        <w:tc>
          <w:tcPr>
            <w:tcW w:w="493" w:type="pct"/>
            <w:tcBorders>
              <w:top w:val="single" w:sz="12" w:space="0" w:color="7030A0"/>
              <w:left w:val="nil"/>
              <w:bottom w:val="single" w:sz="8" w:space="0" w:color="7030A0"/>
              <w:right w:val="nil"/>
            </w:tcBorders>
            <w:shd w:val="clear" w:color="000000" w:fill="FFFFFF"/>
            <w:vAlign w:val="center"/>
            <w:hideMark/>
          </w:tcPr>
          <w:p w14:paraId="7C81B43C" w14:textId="77777777"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Assureur</w:t>
            </w:r>
          </w:p>
        </w:tc>
        <w:tc>
          <w:tcPr>
            <w:tcW w:w="1058" w:type="pct"/>
            <w:tcBorders>
              <w:top w:val="single" w:sz="12" w:space="0" w:color="7030A0"/>
              <w:left w:val="nil"/>
              <w:bottom w:val="single" w:sz="8" w:space="0" w:color="7030A0"/>
              <w:right w:val="nil"/>
            </w:tcBorders>
            <w:shd w:val="clear" w:color="000000" w:fill="FFFFFF"/>
            <w:vAlign w:val="center"/>
            <w:hideMark/>
          </w:tcPr>
          <w:p w14:paraId="16EC6CB7" w14:textId="77777777"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 couverts</w:t>
            </w:r>
          </w:p>
        </w:tc>
        <w:tc>
          <w:tcPr>
            <w:tcW w:w="845" w:type="pct"/>
            <w:tcBorders>
              <w:top w:val="single" w:sz="12" w:space="0" w:color="7030A0"/>
              <w:left w:val="nil"/>
              <w:bottom w:val="single" w:sz="8" w:space="0" w:color="7030A0"/>
              <w:right w:val="nil"/>
            </w:tcBorders>
            <w:shd w:val="clear" w:color="000000" w:fill="FFFFFF"/>
            <w:vAlign w:val="center"/>
            <w:hideMark/>
          </w:tcPr>
          <w:p w14:paraId="07137955" w14:textId="77777777"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Franchise par sinistre</w:t>
            </w:r>
          </w:p>
        </w:tc>
        <w:tc>
          <w:tcPr>
            <w:tcW w:w="1268" w:type="pct"/>
            <w:tcBorders>
              <w:top w:val="single" w:sz="12" w:space="0" w:color="7030A0"/>
              <w:left w:val="nil"/>
              <w:bottom w:val="single" w:sz="8" w:space="0" w:color="7030A0"/>
              <w:right w:val="nil"/>
            </w:tcBorders>
            <w:shd w:val="clear" w:color="auto" w:fill="auto"/>
            <w:vAlign w:val="center"/>
            <w:hideMark/>
          </w:tcPr>
          <w:p w14:paraId="112264FC" w14:textId="77777777"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Expiration / Renouvellement</w:t>
            </w:r>
          </w:p>
        </w:tc>
      </w:tr>
      <w:tr w:rsidR="00B13C1A" w:rsidRPr="0030056F" w14:paraId="2B878276" w14:textId="77777777" w:rsidTr="00172502">
        <w:trPr>
          <w:trHeight w:val="710"/>
        </w:trPr>
        <w:tc>
          <w:tcPr>
            <w:tcW w:w="1336" w:type="pct"/>
            <w:tcBorders>
              <w:top w:val="nil"/>
              <w:left w:val="nil"/>
              <w:bottom w:val="nil"/>
              <w:right w:val="nil"/>
            </w:tcBorders>
            <w:shd w:val="clear" w:color="000000" w:fill="FFFFFF"/>
            <w:vAlign w:val="center"/>
            <w:hideMark/>
          </w:tcPr>
          <w:p w14:paraId="6D2F3EDE" w14:textId="77777777"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des dirigeants</w:t>
            </w:r>
          </w:p>
        </w:tc>
        <w:tc>
          <w:tcPr>
            <w:tcW w:w="493" w:type="pct"/>
            <w:tcBorders>
              <w:top w:val="nil"/>
              <w:left w:val="nil"/>
              <w:bottom w:val="nil"/>
              <w:right w:val="nil"/>
            </w:tcBorders>
            <w:shd w:val="clear" w:color="000000" w:fill="FFFFFF"/>
            <w:vAlign w:val="center"/>
            <w:hideMark/>
          </w:tcPr>
          <w:p w14:paraId="488BBD5D"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AIG</w:t>
            </w:r>
          </w:p>
        </w:tc>
        <w:tc>
          <w:tcPr>
            <w:tcW w:w="1058" w:type="pct"/>
            <w:tcBorders>
              <w:top w:val="nil"/>
              <w:left w:val="nil"/>
              <w:bottom w:val="nil"/>
              <w:right w:val="nil"/>
            </w:tcBorders>
            <w:shd w:val="clear" w:color="000000" w:fill="FFFFFF"/>
            <w:vAlign w:val="center"/>
            <w:hideMark/>
          </w:tcPr>
          <w:p w14:paraId="33EC7639"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par année</w:t>
            </w:r>
          </w:p>
        </w:tc>
        <w:tc>
          <w:tcPr>
            <w:tcW w:w="845" w:type="pct"/>
            <w:tcBorders>
              <w:top w:val="nil"/>
              <w:left w:val="nil"/>
              <w:bottom w:val="nil"/>
              <w:right w:val="nil"/>
            </w:tcBorders>
            <w:shd w:val="clear" w:color="000000" w:fill="FFFFFF"/>
            <w:vAlign w:val="center"/>
            <w:hideMark/>
          </w:tcPr>
          <w:p w14:paraId="11802F98"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top w:val="nil"/>
              <w:left w:val="nil"/>
              <w:bottom w:val="nil"/>
              <w:right w:val="nil"/>
            </w:tcBorders>
            <w:shd w:val="clear" w:color="000000" w:fill="FFFFFF"/>
            <w:vAlign w:val="center"/>
            <w:hideMark/>
          </w:tcPr>
          <w:p w14:paraId="7DAE873F" w14:textId="77777777" w:rsidR="00023BAF" w:rsidRPr="00C73365" w:rsidRDefault="00023BAF"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1 mois avant l’échéance</w:t>
            </w:r>
          </w:p>
        </w:tc>
      </w:tr>
      <w:tr w:rsidR="00B13C1A" w:rsidRPr="0030056F" w14:paraId="2AB7A39F" w14:textId="77777777" w:rsidTr="00172502">
        <w:trPr>
          <w:trHeight w:val="560"/>
        </w:trPr>
        <w:tc>
          <w:tcPr>
            <w:tcW w:w="1336" w:type="pct"/>
            <w:tcBorders>
              <w:top w:val="single" w:sz="8" w:space="0" w:color="7030A0"/>
              <w:left w:val="nil"/>
              <w:right w:val="nil"/>
            </w:tcBorders>
            <w:shd w:val="clear" w:color="000000" w:fill="FFFFFF"/>
            <w:vAlign w:val="center"/>
            <w:hideMark/>
          </w:tcPr>
          <w:p w14:paraId="08A4A50A" w14:textId="77777777"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Civile Exploitation</w:t>
            </w:r>
          </w:p>
        </w:tc>
        <w:tc>
          <w:tcPr>
            <w:tcW w:w="493" w:type="pct"/>
            <w:tcBorders>
              <w:top w:val="single" w:sz="8" w:space="0" w:color="7030A0"/>
              <w:left w:val="nil"/>
              <w:right w:val="nil"/>
            </w:tcBorders>
            <w:shd w:val="clear" w:color="000000" w:fill="FFFFFF"/>
            <w:vAlign w:val="center"/>
            <w:hideMark/>
          </w:tcPr>
          <w:p w14:paraId="2F5C1EA4"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 Insurance Company limited</w:t>
            </w:r>
          </w:p>
        </w:tc>
        <w:tc>
          <w:tcPr>
            <w:tcW w:w="1058" w:type="pct"/>
            <w:tcBorders>
              <w:top w:val="single" w:sz="8" w:space="0" w:color="7030A0"/>
              <w:left w:val="nil"/>
              <w:right w:val="nil"/>
            </w:tcBorders>
            <w:shd w:val="clear" w:color="000000" w:fill="FFFFFF"/>
            <w:vAlign w:val="center"/>
            <w:hideMark/>
          </w:tcPr>
          <w:p w14:paraId="7C104148"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 sinistre et par année)</w:t>
            </w:r>
          </w:p>
        </w:tc>
        <w:tc>
          <w:tcPr>
            <w:tcW w:w="845" w:type="pct"/>
            <w:tcBorders>
              <w:top w:val="single" w:sz="8" w:space="0" w:color="7030A0"/>
              <w:left w:val="nil"/>
              <w:right w:val="nil"/>
            </w:tcBorders>
            <w:shd w:val="clear" w:color="000000" w:fill="FFFFFF"/>
            <w:vAlign w:val="center"/>
            <w:hideMark/>
          </w:tcPr>
          <w:p w14:paraId="16A560D8" w14:textId="77777777" w:rsidR="00023BAF" w:rsidRPr="00C73365" w:rsidRDefault="00023BAF" w:rsidP="003002F9">
            <w:pPr>
              <w:spacing w:after="0"/>
              <w:rPr>
                <w:rFonts w:asciiTheme="minorHAnsi" w:hAnsiTheme="minorHAnsi" w:cstheme="minorHAnsi"/>
                <w:color w:val="000000"/>
                <w:szCs w:val="20"/>
                <w:lang w:val="fr-FR" w:eastAsia="fr-FR"/>
              </w:rPr>
            </w:pPr>
          </w:p>
        </w:tc>
        <w:tc>
          <w:tcPr>
            <w:tcW w:w="1268" w:type="pct"/>
            <w:tcBorders>
              <w:top w:val="single" w:sz="8" w:space="0" w:color="7030A0"/>
              <w:left w:val="nil"/>
              <w:right w:val="nil"/>
            </w:tcBorders>
            <w:shd w:val="clear" w:color="000000" w:fill="FFFFFF"/>
            <w:vAlign w:val="center"/>
            <w:hideMark/>
          </w:tcPr>
          <w:p w14:paraId="6180F158" w14:textId="77777777" w:rsidR="00023BAF" w:rsidRPr="00C73365" w:rsidRDefault="00023BAF"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3 mois avant l’échéance</w:t>
            </w:r>
          </w:p>
        </w:tc>
      </w:tr>
      <w:tr w:rsidR="00B13C1A" w:rsidRPr="00C73365" w14:paraId="06B04CF4" w14:textId="77777777" w:rsidTr="00172502">
        <w:trPr>
          <w:trHeight w:val="279"/>
        </w:trPr>
        <w:tc>
          <w:tcPr>
            <w:tcW w:w="1336" w:type="pct"/>
            <w:tcBorders>
              <w:left w:val="nil"/>
              <w:bottom w:val="nil"/>
              <w:right w:val="nil"/>
            </w:tcBorders>
            <w:shd w:val="clear" w:color="000000" w:fill="FFFFFF"/>
            <w:vAlign w:val="center"/>
            <w:hideMark/>
          </w:tcPr>
          <w:p w14:paraId="620CDEC1"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Tous dommages confondus dont :</w:t>
            </w:r>
          </w:p>
        </w:tc>
        <w:tc>
          <w:tcPr>
            <w:tcW w:w="493" w:type="pct"/>
            <w:tcBorders>
              <w:left w:val="nil"/>
              <w:bottom w:val="nil"/>
              <w:right w:val="nil"/>
            </w:tcBorders>
            <w:shd w:val="clear" w:color="000000" w:fill="FFFFFF"/>
            <w:vAlign w:val="center"/>
            <w:hideMark/>
          </w:tcPr>
          <w:p w14:paraId="22CA83B5"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000000" w:fill="FFFFFF"/>
            <w:vAlign w:val="center"/>
            <w:hideMark/>
          </w:tcPr>
          <w:p w14:paraId="4E2B7851"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7 000 000 €</w:t>
            </w:r>
          </w:p>
        </w:tc>
        <w:tc>
          <w:tcPr>
            <w:tcW w:w="845" w:type="pct"/>
            <w:tcBorders>
              <w:left w:val="nil"/>
              <w:bottom w:val="nil"/>
              <w:right w:val="nil"/>
            </w:tcBorders>
            <w:shd w:val="clear" w:color="000000" w:fill="FFFFFF"/>
            <w:vAlign w:val="center"/>
            <w:hideMark/>
          </w:tcPr>
          <w:p w14:paraId="74B392CA"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left w:val="nil"/>
              <w:bottom w:val="nil"/>
              <w:right w:val="nil"/>
            </w:tcBorders>
            <w:vAlign w:val="center"/>
            <w:hideMark/>
          </w:tcPr>
          <w:p w14:paraId="281347A5"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14:paraId="50AC2504" w14:textId="77777777" w:rsidTr="00172502">
        <w:trPr>
          <w:trHeight w:val="279"/>
        </w:trPr>
        <w:tc>
          <w:tcPr>
            <w:tcW w:w="1336" w:type="pct"/>
            <w:tcBorders>
              <w:top w:val="nil"/>
              <w:left w:val="nil"/>
              <w:bottom w:val="nil"/>
              <w:right w:val="nil"/>
            </w:tcBorders>
            <w:shd w:val="clear" w:color="000000" w:fill="FFFFFF"/>
            <w:vAlign w:val="center"/>
            <w:hideMark/>
          </w:tcPr>
          <w:p w14:paraId="3484CF1C"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(y compris corporels)</w:t>
            </w:r>
          </w:p>
        </w:tc>
        <w:tc>
          <w:tcPr>
            <w:tcW w:w="493" w:type="pct"/>
            <w:tcBorders>
              <w:top w:val="nil"/>
              <w:left w:val="nil"/>
              <w:bottom w:val="nil"/>
              <w:right w:val="nil"/>
            </w:tcBorders>
            <w:shd w:val="clear" w:color="000000" w:fill="FFFFFF"/>
            <w:vAlign w:val="center"/>
            <w:hideMark/>
          </w:tcPr>
          <w:p w14:paraId="660A2DED"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14:paraId="2F90C540"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auto" w:fill="auto"/>
            <w:hideMark/>
          </w:tcPr>
          <w:p w14:paraId="5FEBEE28"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14:paraId="791C606D"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14:paraId="52FBE3BD" w14:textId="77777777" w:rsidTr="00172502">
        <w:trPr>
          <w:trHeight w:val="279"/>
        </w:trPr>
        <w:tc>
          <w:tcPr>
            <w:tcW w:w="1336" w:type="pct"/>
            <w:tcBorders>
              <w:top w:val="nil"/>
              <w:left w:val="nil"/>
              <w:bottom w:val="nil"/>
              <w:right w:val="nil"/>
            </w:tcBorders>
            <w:shd w:val="clear" w:color="000000" w:fill="FFFFFF"/>
            <w:vAlign w:val="center"/>
            <w:hideMark/>
          </w:tcPr>
          <w:p w14:paraId="7714E82F"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w:t>
            </w:r>
          </w:p>
        </w:tc>
        <w:tc>
          <w:tcPr>
            <w:tcW w:w="493" w:type="pct"/>
            <w:tcBorders>
              <w:top w:val="nil"/>
              <w:left w:val="nil"/>
              <w:bottom w:val="nil"/>
              <w:right w:val="nil"/>
            </w:tcBorders>
            <w:shd w:val="clear" w:color="000000" w:fill="FFFFFF"/>
            <w:vAlign w:val="center"/>
            <w:hideMark/>
          </w:tcPr>
          <w:p w14:paraId="781C5C31"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hideMark/>
          </w:tcPr>
          <w:p w14:paraId="7309AD39"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14:paraId="5547536D"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14:paraId="2C584FD8"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14:paraId="1A78635D" w14:textId="77777777" w:rsidTr="00172502">
        <w:trPr>
          <w:trHeight w:val="279"/>
        </w:trPr>
        <w:tc>
          <w:tcPr>
            <w:tcW w:w="1336" w:type="pct"/>
            <w:tcBorders>
              <w:top w:val="nil"/>
              <w:left w:val="nil"/>
              <w:bottom w:val="nil"/>
              <w:right w:val="nil"/>
            </w:tcBorders>
            <w:shd w:val="clear" w:color="000000" w:fill="FFFFFF"/>
            <w:vAlign w:val="center"/>
            <w:hideMark/>
          </w:tcPr>
          <w:p w14:paraId="245CB46F" w14:textId="77777777" w:rsidR="00023BAF" w:rsidRPr="00C73365" w:rsidRDefault="00023BAF"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Faute inexcusable</w:t>
            </w:r>
          </w:p>
        </w:tc>
        <w:tc>
          <w:tcPr>
            <w:tcW w:w="493" w:type="pct"/>
            <w:tcBorders>
              <w:top w:val="nil"/>
              <w:left w:val="nil"/>
              <w:bottom w:val="nil"/>
              <w:right w:val="nil"/>
            </w:tcBorders>
            <w:shd w:val="clear" w:color="000000" w:fill="FFFFFF"/>
            <w:vAlign w:val="center"/>
            <w:hideMark/>
          </w:tcPr>
          <w:p w14:paraId="1382D9F2"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14:paraId="1DEFE7AB"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w:t>
            </w:r>
          </w:p>
        </w:tc>
        <w:tc>
          <w:tcPr>
            <w:tcW w:w="845" w:type="pct"/>
            <w:tcBorders>
              <w:top w:val="nil"/>
              <w:left w:val="nil"/>
              <w:bottom w:val="nil"/>
              <w:right w:val="nil"/>
            </w:tcBorders>
            <w:shd w:val="clear" w:color="000000" w:fill="FFFFFF"/>
            <w:vAlign w:val="center"/>
            <w:hideMark/>
          </w:tcPr>
          <w:p w14:paraId="17973AEE"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14:paraId="1FBC6B98"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14:paraId="6FA9A871" w14:textId="77777777" w:rsidTr="00172502">
        <w:trPr>
          <w:trHeight w:val="279"/>
        </w:trPr>
        <w:tc>
          <w:tcPr>
            <w:tcW w:w="1336" w:type="pct"/>
            <w:tcBorders>
              <w:top w:val="nil"/>
              <w:left w:val="nil"/>
              <w:bottom w:val="nil"/>
              <w:right w:val="nil"/>
            </w:tcBorders>
            <w:shd w:val="clear" w:color="000000" w:fill="FFFFFF"/>
            <w:vAlign w:val="center"/>
            <w:hideMark/>
          </w:tcPr>
          <w:p w14:paraId="1788A2A8" w14:textId="77777777" w:rsidR="00023BAF" w:rsidRPr="00C73365" w:rsidRDefault="00023BAF"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matériels et immatériels</w:t>
            </w:r>
          </w:p>
        </w:tc>
        <w:tc>
          <w:tcPr>
            <w:tcW w:w="493" w:type="pct"/>
            <w:tcBorders>
              <w:top w:val="nil"/>
              <w:left w:val="nil"/>
              <w:bottom w:val="nil"/>
              <w:right w:val="nil"/>
            </w:tcBorders>
            <w:shd w:val="clear" w:color="000000" w:fill="FFFFFF"/>
            <w:vAlign w:val="center"/>
            <w:hideMark/>
          </w:tcPr>
          <w:p w14:paraId="6FD4BF86"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14:paraId="4FC4763C"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2 000 000 €</w:t>
            </w:r>
          </w:p>
        </w:tc>
        <w:tc>
          <w:tcPr>
            <w:tcW w:w="845" w:type="pct"/>
            <w:tcBorders>
              <w:top w:val="nil"/>
              <w:left w:val="nil"/>
              <w:bottom w:val="nil"/>
              <w:right w:val="nil"/>
            </w:tcBorders>
            <w:shd w:val="clear" w:color="000000" w:fill="FFFFFF"/>
            <w:vAlign w:val="center"/>
            <w:hideMark/>
          </w:tcPr>
          <w:p w14:paraId="3EF8ADB2"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14:paraId="652C4D98"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14:paraId="3B2C101B" w14:textId="77777777" w:rsidTr="00172502">
        <w:trPr>
          <w:trHeight w:val="279"/>
        </w:trPr>
        <w:tc>
          <w:tcPr>
            <w:tcW w:w="1336" w:type="pct"/>
            <w:tcBorders>
              <w:top w:val="nil"/>
              <w:left w:val="nil"/>
              <w:bottom w:val="nil"/>
              <w:right w:val="nil"/>
            </w:tcBorders>
            <w:shd w:val="clear" w:color="000000" w:fill="FFFFFF"/>
            <w:vAlign w:val="center"/>
            <w:hideMark/>
          </w:tcPr>
          <w:p w14:paraId="5AAFEA4A"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w:t>
            </w:r>
          </w:p>
        </w:tc>
        <w:tc>
          <w:tcPr>
            <w:tcW w:w="493" w:type="pct"/>
            <w:tcBorders>
              <w:top w:val="nil"/>
              <w:left w:val="nil"/>
              <w:bottom w:val="nil"/>
              <w:right w:val="nil"/>
            </w:tcBorders>
            <w:shd w:val="clear" w:color="000000" w:fill="FFFFFF"/>
            <w:vAlign w:val="center"/>
            <w:hideMark/>
          </w:tcPr>
          <w:p w14:paraId="29BC00CF"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14:paraId="2C77DC91"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14:paraId="0D557893"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14:paraId="22FF6756"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14:paraId="08ACD106" w14:textId="77777777" w:rsidTr="00172502">
        <w:trPr>
          <w:trHeight w:val="279"/>
        </w:trPr>
        <w:tc>
          <w:tcPr>
            <w:tcW w:w="1336" w:type="pct"/>
            <w:tcBorders>
              <w:top w:val="nil"/>
              <w:left w:val="nil"/>
              <w:bottom w:val="nil"/>
              <w:right w:val="nil"/>
            </w:tcBorders>
            <w:shd w:val="clear" w:color="000000" w:fill="FFFFFF"/>
            <w:vAlign w:val="center"/>
            <w:hideMark/>
          </w:tcPr>
          <w:p w14:paraId="2472A8B0" w14:textId="77777777" w:rsidR="00023BAF" w:rsidRPr="00C73365" w:rsidRDefault="00023BAF"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Vol commis par les préposés</w:t>
            </w:r>
          </w:p>
        </w:tc>
        <w:tc>
          <w:tcPr>
            <w:tcW w:w="493" w:type="pct"/>
            <w:tcBorders>
              <w:top w:val="nil"/>
              <w:left w:val="nil"/>
              <w:bottom w:val="nil"/>
              <w:right w:val="nil"/>
            </w:tcBorders>
            <w:shd w:val="clear" w:color="000000" w:fill="FFFFFF"/>
            <w:vAlign w:val="center"/>
            <w:hideMark/>
          </w:tcPr>
          <w:p w14:paraId="5DBE2959"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63452B20"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20 000 €</w:t>
            </w:r>
          </w:p>
        </w:tc>
        <w:tc>
          <w:tcPr>
            <w:tcW w:w="845" w:type="pct"/>
            <w:tcBorders>
              <w:top w:val="nil"/>
              <w:left w:val="nil"/>
              <w:bottom w:val="nil"/>
              <w:right w:val="nil"/>
            </w:tcBorders>
            <w:shd w:val="clear" w:color="000000" w:fill="FFFFFF"/>
            <w:vAlign w:val="center"/>
            <w:hideMark/>
          </w:tcPr>
          <w:p w14:paraId="6F9444C3" w14:textId="77777777"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14:paraId="261EDA63" w14:textId="77777777"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14:paraId="420D32A3" w14:textId="77777777" w:rsidTr="00172502">
        <w:trPr>
          <w:trHeight w:val="279"/>
        </w:trPr>
        <w:tc>
          <w:tcPr>
            <w:tcW w:w="1336" w:type="pct"/>
            <w:tcBorders>
              <w:top w:val="nil"/>
              <w:left w:val="nil"/>
              <w:right w:val="nil"/>
            </w:tcBorders>
            <w:shd w:val="clear" w:color="000000" w:fill="FFFFFF"/>
            <w:vAlign w:val="center"/>
            <w:hideMark/>
          </w:tcPr>
          <w:p w14:paraId="68DB8A79" w14:textId="77777777" w:rsidR="007358A1" w:rsidRPr="00C73365" w:rsidRDefault="007358A1"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lastRenderedPageBreak/>
              <w:t>Dommages aux biens confiés</w:t>
            </w:r>
          </w:p>
        </w:tc>
        <w:tc>
          <w:tcPr>
            <w:tcW w:w="493" w:type="pct"/>
            <w:tcBorders>
              <w:top w:val="nil"/>
              <w:left w:val="nil"/>
              <w:right w:val="nil"/>
            </w:tcBorders>
            <w:shd w:val="clear" w:color="000000" w:fill="FFFFFF"/>
            <w:vAlign w:val="center"/>
            <w:hideMark/>
          </w:tcPr>
          <w:p w14:paraId="495C461B" w14:textId="77777777" w:rsidR="007358A1" w:rsidRPr="00C73365" w:rsidRDefault="007358A1" w:rsidP="00A96CCA">
            <w:pPr>
              <w:spacing w:after="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auto" w:fill="auto"/>
            <w:noWrap/>
            <w:vAlign w:val="center"/>
            <w:hideMark/>
          </w:tcPr>
          <w:p w14:paraId="73FA6733" w14:textId="77777777" w:rsidR="007358A1" w:rsidRPr="00C73365" w:rsidRDefault="007358A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200 000 €</w:t>
            </w:r>
          </w:p>
        </w:tc>
        <w:tc>
          <w:tcPr>
            <w:tcW w:w="845" w:type="pct"/>
            <w:tcBorders>
              <w:top w:val="nil"/>
              <w:left w:val="nil"/>
              <w:right w:val="nil"/>
            </w:tcBorders>
            <w:shd w:val="clear" w:color="000000" w:fill="FFFFFF"/>
            <w:vAlign w:val="center"/>
            <w:hideMark/>
          </w:tcPr>
          <w:p w14:paraId="68561738" w14:textId="77777777" w:rsidR="007358A1" w:rsidRPr="00C73365" w:rsidRDefault="007358A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right w:val="nil"/>
            </w:tcBorders>
            <w:shd w:val="clear" w:color="000000" w:fill="FFFFFF"/>
            <w:vAlign w:val="center"/>
            <w:hideMark/>
          </w:tcPr>
          <w:p w14:paraId="49C5BDBF" w14:textId="77777777" w:rsidR="007358A1" w:rsidRPr="00C73365" w:rsidRDefault="007358A1" w:rsidP="00A96CCA">
            <w:pPr>
              <w:spacing w:after="0"/>
              <w:jc w:val="center"/>
              <w:rPr>
                <w:rFonts w:asciiTheme="minorHAnsi" w:hAnsiTheme="minorHAnsi" w:cstheme="minorHAnsi"/>
                <w:color w:val="000000"/>
                <w:szCs w:val="20"/>
                <w:lang w:val="fr-FR" w:eastAsia="fr-FR"/>
              </w:rPr>
            </w:pPr>
          </w:p>
        </w:tc>
      </w:tr>
      <w:tr w:rsidR="00B13C1A" w:rsidRPr="00C73365" w14:paraId="15CCE1BD" w14:textId="77777777" w:rsidTr="00172502">
        <w:trPr>
          <w:trHeight w:val="537"/>
        </w:trPr>
        <w:tc>
          <w:tcPr>
            <w:tcW w:w="1336" w:type="pct"/>
            <w:tcBorders>
              <w:left w:val="nil"/>
              <w:bottom w:val="nil"/>
              <w:right w:val="nil"/>
            </w:tcBorders>
            <w:shd w:val="clear" w:color="000000" w:fill="FFFFFF"/>
            <w:vAlign w:val="center"/>
            <w:hideMark/>
          </w:tcPr>
          <w:p w14:paraId="0F5C606C" w14:textId="77777777" w:rsidR="00B13C1A" w:rsidRPr="00C73365" w:rsidRDefault="00B13C1A"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Dommages immatériels non consécutifs</w:t>
            </w:r>
          </w:p>
        </w:tc>
        <w:tc>
          <w:tcPr>
            <w:tcW w:w="493" w:type="pct"/>
            <w:tcBorders>
              <w:left w:val="nil"/>
              <w:bottom w:val="nil"/>
              <w:right w:val="nil"/>
            </w:tcBorders>
            <w:shd w:val="clear" w:color="000000" w:fill="FFFFFF"/>
            <w:vAlign w:val="center"/>
            <w:hideMark/>
          </w:tcPr>
          <w:p w14:paraId="65EBD477"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14:paraId="2342D324"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w:t>
            </w:r>
          </w:p>
        </w:tc>
        <w:tc>
          <w:tcPr>
            <w:tcW w:w="845" w:type="pct"/>
            <w:tcBorders>
              <w:left w:val="nil"/>
              <w:bottom w:val="nil"/>
              <w:right w:val="nil"/>
            </w:tcBorders>
            <w:shd w:val="clear" w:color="000000" w:fill="FFFFFF"/>
            <w:vAlign w:val="center"/>
            <w:hideMark/>
          </w:tcPr>
          <w:p w14:paraId="55AAD3DC"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left w:val="nil"/>
              <w:bottom w:val="nil"/>
              <w:right w:val="nil"/>
            </w:tcBorders>
            <w:shd w:val="clear" w:color="000000" w:fill="FFFFFF"/>
            <w:vAlign w:val="center"/>
            <w:hideMark/>
          </w:tcPr>
          <w:p w14:paraId="158E7937"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r>
      <w:tr w:rsidR="00B13C1A" w:rsidRPr="00C73365" w14:paraId="7B60B016" w14:textId="77777777" w:rsidTr="00172502">
        <w:trPr>
          <w:trHeight w:val="279"/>
        </w:trPr>
        <w:tc>
          <w:tcPr>
            <w:tcW w:w="1336" w:type="pct"/>
            <w:tcBorders>
              <w:top w:val="nil"/>
              <w:left w:val="nil"/>
              <w:bottom w:val="nil"/>
              <w:right w:val="nil"/>
            </w:tcBorders>
            <w:shd w:val="clear" w:color="000000" w:fill="FFFFFF"/>
            <w:vAlign w:val="center"/>
            <w:hideMark/>
          </w:tcPr>
          <w:p w14:paraId="6FFCD052" w14:textId="77777777" w:rsidR="00B13C1A" w:rsidRPr="00C73365" w:rsidRDefault="00B13C1A"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Pollution soudaine et accidentelle</w:t>
            </w:r>
          </w:p>
        </w:tc>
        <w:tc>
          <w:tcPr>
            <w:tcW w:w="493" w:type="pct"/>
            <w:tcBorders>
              <w:top w:val="nil"/>
              <w:left w:val="nil"/>
              <w:bottom w:val="nil"/>
              <w:right w:val="nil"/>
            </w:tcBorders>
            <w:shd w:val="clear" w:color="000000" w:fill="FFFFFF"/>
            <w:vAlign w:val="center"/>
            <w:hideMark/>
          </w:tcPr>
          <w:p w14:paraId="50D0D0A0"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75E06742"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w:t>
            </w:r>
          </w:p>
        </w:tc>
        <w:tc>
          <w:tcPr>
            <w:tcW w:w="845" w:type="pct"/>
            <w:tcBorders>
              <w:top w:val="nil"/>
              <w:left w:val="nil"/>
              <w:bottom w:val="nil"/>
              <w:right w:val="nil"/>
            </w:tcBorders>
            <w:shd w:val="clear" w:color="000000" w:fill="FFFFFF"/>
            <w:vAlign w:val="center"/>
            <w:hideMark/>
          </w:tcPr>
          <w:p w14:paraId="3CE646B6"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14:paraId="69339825" w14:textId="77777777"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14:paraId="0271024A" w14:textId="77777777" w:rsidTr="00172502">
        <w:trPr>
          <w:trHeight w:val="279"/>
        </w:trPr>
        <w:tc>
          <w:tcPr>
            <w:tcW w:w="1336" w:type="pct"/>
            <w:tcBorders>
              <w:top w:val="nil"/>
              <w:left w:val="nil"/>
              <w:bottom w:val="nil"/>
              <w:right w:val="nil"/>
            </w:tcBorders>
            <w:shd w:val="clear" w:color="000000" w:fill="FFFFFF"/>
            <w:vAlign w:val="center"/>
            <w:hideMark/>
          </w:tcPr>
          <w:p w14:paraId="4750245E"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000000" w:fill="FFFFFF"/>
            <w:vAlign w:val="center"/>
            <w:hideMark/>
          </w:tcPr>
          <w:p w14:paraId="68900509"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hideMark/>
          </w:tcPr>
          <w:p w14:paraId="781E10C5"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14:paraId="347641FD"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14:paraId="37CE5A75" w14:textId="77777777"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14:paraId="1118CDDE" w14:textId="77777777" w:rsidTr="00172502">
        <w:trPr>
          <w:trHeight w:val="290"/>
        </w:trPr>
        <w:tc>
          <w:tcPr>
            <w:tcW w:w="1336" w:type="pct"/>
            <w:tcBorders>
              <w:top w:val="nil"/>
              <w:left w:val="nil"/>
              <w:bottom w:val="single" w:sz="8" w:space="0" w:color="7030A0"/>
              <w:right w:val="nil"/>
            </w:tcBorders>
            <w:shd w:val="clear" w:color="000000" w:fill="FFFFFF"/>
            <w:vAlign w:val="center"/>
            <w:hideMark/>
          </w:tcPr>
          <w:p w14:paraId="447184CF" w14:textId="77777777"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Défense et recours</w:t>
            </w:r>
          </w:p>
        </w:tc>
        <w:tc>
          <w:tcPr>
            <w:tcW w:w="493" w:type="pct"/>
            <w:tcBorders>
              <w:top w:val="nil"/>
              <w:left w:val="nil"/>
              <w:bottom w:val="single" w:sz="8" w:space="0" w:color="7030A0"/>
              <w:right w:val="nil"/>
            </w:tcBorders>
            <w:shd w:val="clear" w:color="000000" w:fill="FFFFFF"/>
            <w:vAlign w:val="center"/>
            <w:hideMark/>
          </w:tcPr>
          <w:p w14:paraId="5200CE52"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auto" w:fill="auto"/>
            <w:noWrap/>
            <w:vAlign w:val="center"/>
            <w:hideMark/>
          </w:tcPr>
          <w:p w14:paraId="03F7F776"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30 000 €</w:t>
            </w:r>
          </w:p>
        </w:tc>
        <w:tc>
          <w:tcPr>
            <w:tcW w:w="845" w:type="pct"/>
            <w:tcBorders>
              <w:top w:val="nil"/>
              <w:left w:val="nil"/>
              <w:bottom w:val="single" w:sz="8" w:space="0" w:color="7030A0"/>
              <w:right w:val="nil"/>
            </w:tcBorders>
            <w:shd w:val="clear" w:color="000000" w:fill="FFFFFF"/>
            <w:vAlign w:val="center"/>
            <w:hideMark/>
          </w:tcPr>
          <w:p w14:paraId="5ADD0AE9"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Litiges sup. à 500 €</w:t>
            </w:r>
          </w:p>
        </w:tc>
        <w:tc>
          <w:tcPr>
            <w:tcW w:w="1268" w:type="pct"/>
            <w:tcBorders>
              <w:top w:val="nil"/>
              <w:left w:val="nil"/>
              <w:bottom w:val="single" w:sz="8" w:space="0" w:color="7030A0"/>
              <w:right w:val="nil"/>
            </w:tcBorders>
            <w:shd w:val="clear" w:color="000000" w:fill="FFFFFF"/>
            <w:vAlign w:val="center"/>
            <w:hideMark/>
          </w:tcPr>
          <w:p w14:paraId="6CF86A74" w14:textId="77777777"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30056F" w14:paraId="5374F3B4" w14:textId="77777777" w:rsidTr="00172502">
        <w:trPr>
          <w:trHeight w:val="517"/>
        </w:trPr>
        <w:tc>
          <w:tcPr>
            <w:tcW w:w="1336" w:type="pct"/>
            <w:tcBorders>
              <w:top w:val="single" w:sz="8" w:space="0" w:color="7030A0"/>
              <w:left w:val="nil"/>
              <w:bottom w:val="nil"/>
              <w:right w:val="nil"/>
            </w:tcBorders>
            <w:shd w:val="clear" w:color="000000" w:fill="FFFFFF"/>
            <w:vAlign w:val="center"/>
            <w:hideMark/>
          </w:tcPr>
          <w:p w14:paraId="7F9E7C82" w14:textId="77777777" w:rsidR="00B13C1A" w:rsidRPr="00C73365" w:rsidRDefault="00B13C1A"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Déplacements professionnels / Missions</w:t>
            </w:r>
          </w:p>
        </w:tc>
        <w:tc>
          <w:tcPr>
            <w:tcW w:w="493" w:type="pct"/>
            <w:tcBorders>
              <w:top w:val="single" w:sz="8" w:space="0" w:color="7030A0"/>
              <w:left w:val="nil"/>
              <w:bottom w:val="nil"/>
              <w:right w:val="nil"/>
            </w:tcBorders>
            <w:shd w:val="clear" w:color="000000" w:fill="FFFFFF"/>
            <w:vAlign w:val="center"/>
            <w:hideMark/>
          </w:tcPr>
          <w:p w14:paraId="7E1B96A3"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ALBINGIA</w:t>
            </w:r>
          </w:p>
        </w:tc>
        <w:tc>
          <w:tcPr>
            <w:tcW w:w="1058" w:type="pct"/>
            <w:tcBorders>
              <w:top w:val="single" w:sz="8" w:space="0" w:color="7030A0"/>
              <w:left w:val="nil"/>
              <w:bottom w:val="nil"/>
              <w:right w:val="nil"/>
            </w:tcBorders>
            <w:shd w:val="clear" w:color="000000" w:fill="FFFFFF"/>
            <w:hideMark/>
          </w:tcPr>
          <w:p w14:paraId="036EDE89"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845" w:type="pct"/>
            <w:tcBorders>
              <w:top w:val="single" w:sz="8" w:space="0" w:color="7030A0"/>
              <w:left w:val="nil"/>
              <w:bottom w:val="nil"/>
              <w:right w:val="nil"/>
            </w:tcBorders>
            <w:shd w:val="clear" w:color="000000" w:fill="FFFFFF"/>
            <w:hideMark/>
          </w:tcPr>
          <w:p w14:paraId="4F5BCFDC"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tcBorders>
              <w:top w:val="single" w:sz="8" w:space="0" w:color="7030A0"/>
              <w:left w:val="nil"/>
              <w:bottom w:val="nil"/>
              <w:right w:val="nil"/>
            </w:tcBorders>
            <w:shd w:val="clear" w:color="000000" w:fill="FFFFFF"/>
            <w:vAlign w:val="center"/>
            <w:hideMark/>
          </w:tcPr>
          <w:p w14:paraId="10421D91" w14:textId="77777777" w:rsidR="00B13C1A" w:rsidRPr="00C73365" w:rsidRDefault="00B13C1A"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 au moins</w:t>
            </w:r>
          </w:p>
        </w:tc>
      </w:tr>
      <w:tr w:rsidR="00B13C1A" w:rsidRPr="00C73365" w14:paraId="389753F3" w14:textId="77777777" w:rsidTr="00172502">
        <w:trPr>
          <w:trHeight w:val="279"/>
        </w:trPr>
        <w:tc>
          <w:tcPr>
            <w:tcW w:w="1336" w:type="pct"/>
            <w:vMerge w:val="restart"/>
            <w:tcBorders>
              <w:top w:val="nil"/>
              <w:left w:val="nil"/>
              <w:bottom w:val="nil"/>
              <w:right w:val="nil"/>
            </w:tcBorders>
            <w:shd w:val="clear" w:color="000000" w:fill="FFFFFF"/>
            <w:vAlign w:val="center"/>
            <w:hideMark/>
          </w:tcPr>
          <w:p w14:paraId="48B62ACA" w14:textId="77777777"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Individuelle accident</w:t>
            </w:r>
          </w:p>
        </w:tc>
        <w:tc>
          <w:tcPr>
            <w:tcW w:w="493" w:type="pct"/>
            <w:vMerge w:val="restart"/>
            <w:tcBorders>
              <w:top w:val="nil"/>
              <w:left w:val="nil"/>
              <w:bottom w:val="nil"/>
              <w:right w:val="nil"/>
            </w:tcBorders>
            <w:shd w:val="clear" w:color="000000" w:fill="FFFFFF"/>
            <w:vAlign w:val="center"/>
            <w:hideMark/>
          </w:tcPr>
          <w:p w14:paraId="0F945E87"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14:paraId="49FB1E09"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nil"/>
              <w:right w:val="nil"/>
            </w:tcBorders>
            <w:shd w:val="clear" w:color="000000" w:fill="FFFFFF"/>
            <w:vAlign w:val="center"/>
            <w:hideMark/>
          </w:tcPr>
          <w:p w14:paraId="41BC1390"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vMerge w:val="restart"/>
            <w:tcBorders>
              <w:top w:val="nil"/>
              <w:left w:val="nil"/>
              <w:bottom w:val="nil"/>
              <w:right w:val="nil"/>
            </w:tcBorders>
            <w:shd w:val="clear" w:color="000000" w:fill="FFFFFF"/>
            <w:hideMark/>
          </w:tcPr>
          <w:p w14:paraId="67476269" w14:textId="77777777"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14:paraId="0E67C1FF" w14:textId="77777777" w:rsidTr="00172502">
        <w:trPr>
          <w:trHeight w:val="279"/>
        </w:trPr>
        <w:tc>
          <w:tcPr>
            <w:tcW w:w="1336" w:type="pct"/>
            <w:vMerge/>
            <w:tcBorders>
              <w:top w:val="nil"/>
              <w:left w:val="nil"/>
              <w:bottom w:val="nil"/>
              <w:right w:val="nil"/>
            </w:tcBorders>
            <w:vAlign w:val="center"/>
            <w:hideMark/>
          </w:tcPr>
          <w:p w14:paraId="207C6A25"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nil"/>
              <w:right w:val="nil"/>
            </w:tcBorders>
            <w:vAlign w:val="center"/>
            <w:hideMark/>
          </w:tcPr>
          <w:p w14:paraId="6000D140"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14:paraId="1A686CDA"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150 000 € par victime</w:t>
            </w:r>
          </w:p>
        </w:tc>
        <w:tc>
          <w:tcPr>
            <w:tcW w:w="845" w:type="pct"/>
            <w:vMerge/>
            <w:tcBorders>
              <w:top w:val="nil"/>
              <w:left w:val="nil"/>
              <w:bottom w:val="nil"/>
              <w:right w:val="nil"/>
            </w:tcBorders>
            <w:vAlign w:val="center"/>
            <w:hideMark/>
          </w:tcPr>
          <w:p w14:paraId="3324B08D"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nil"/>
              <w:right w:val="nil"/>
            </w:tcBorders>
            <w:vAlign w:val="center"/>
            <w:hideMark/>
          </w:tcPr>
          <w:p w14:paraId="2195E465" w14:textId="77777777"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14:paraId="3AE2FB37" w14:textId="77777777" w:rsidTr="00172502">
        <w:trPr>
          <w:trHeight w:val="279"/>
        </w:trPr>
        <w:tc>
          <w:tcPr>
            <w:tcW w:w="1336" w:type="pct"/>
            <w:vMerge w:val="restart"/>
            <w:tcBorders>
              <w:top w:val="nil"/>
              <w:left w:val="nil"/>
              <w:bottom w:val="nil"/>
              <w:right w:val="nil"/>
            </w:tcBorders>
            <w:shd w:val="clear" w:color="000000" w:fill="FFFFFF"/>
            <w:vAlign w:val="center"/>
            <w:hideMark/>
          </w:tcPr>
          <w:p w14:paraId="3D8A1C2B" w14:textId="77777777"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Assistance</w:t>
            </w:r>
          </w:p>
        </w:tc>
        <w:tc>
          <w:tcPr>
            <w:tcW w:w="493" w:type="pct"/>
            <w:vMerge w:val="restart"/>
            <w:tcBorders>
              <w:top w:val="nil"/>
              <w:left w:val="nil"/>
              <w:bottom w:val="nil"/>
              <w:right w:val="nil"/>
            </w:tcBorders>
            <w:shd w:val="clear" w:color="000000" w:fill="FFFFFF"/>
            <w:vAlign w:val="center"/>
            <w:hideMark/>
          </w:tcPr>
          <w:p w14:paraId="766770DD"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14:paraId="7961C6EB"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nil"/>
              <w:right w:val="nil"/>
            </w:tcBorders>
            <w:shd w:val="clear" w:color="000000" w:fill="FFFFFF"/>
            <w:vAlign w:val="center"/>
            <w:hideMark/>
          </w:tcPr>
          <w:p w14:paraId="3719104B"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vMerge w:val="restart"/>
            <w:tcBorders>
              <w:top w:val="nil"/>
              <w:left w:val="nil"/>
              <w:bottom w:val="nil"/>
              <w:right w:val="nil"/>
            </w:tcBorders>
            <w:shd w:val="clear" w:color="000000" w:fill="FFFFFF"/>
            <w:hideMark/>
          </w:tcPr>
          <w:p w14:paraId="5792EEE0" w14:textId="77777777"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14:paraId="6DAB2C36" w14:textId="77777777" w:rsidTr="00172502">
        <w:trPr>
          <w:trHeight w:val="279"/>
        </w:trPr>
        <w:tc>
          <w:tcPr>
            <w:tcW w:w="1336" w:type="pct"/>
            <w:vMerge/>
            <w:tcBorders>
              <w:top w:val="nil"/>
              <w:left w:val="nil"/>
              <w:bottom w:val="nil"/>
              <w:right w:val="nil"/>
            </w:tcBorders>
            <w:vAlign w:val="center"/>
            <w:hideMark/>
          </w:tcPr>
          <w:p w14:paraId="30CC3FC7"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nil"/>
              <w:right w:val="nil"/>
            </w:tcBorders>
            <w:vAlign w:val="center"/>
            <w:hideMark/>
          </w:tcPr>
          <w:p w14:paraId="26B7841F"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14:paraId="69545008"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victime</w:t>
            </w:r>
          </w:p>
        </w:tc>
        <w:tc>
          <w:tcPr>
            <w:tcW w:w="845" w:type="pct"/>
            <w:vMerge/>
            <w:tcBorders>
              <w:top w:val="nil"/>
              <w:left w:val="nil"/>
              <w:bottom w:val="nil"/>
              <w:right w:val="nil"/>
            </w:tcBorders>
            <w:vAlign w:val="center"/>
            <w:hideMark/>
          </w:tcPr>
          <w:p w14:paraId="628F3AA4"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nil"/>
              <w:right w:val="nil"/>
            </w:tcBorders>
            <w:vAlign w:val="center"/>
            <w:hideMark/>
          </w:tcPr>
          <w:p w14:paraId="2BC98976" w14:textId="77777777"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14:paraId="491F013F" w14:textId="77777777" w:rsidTr="00172502">
        <w:trPr>
          <w:trHeight w:val="279"/>
        </w:trPr>
        <w:tc>
          <w:tcPr>
            <w:tcW w:w="1336" w:type="pct"/>
            <w:vMerge w:val="restart"/>
            <w:tcBorders>
              <w:top w:val="nil"/>
              <w:left w:val="nil"/>
              <w:bottom w:val="single" w:sz="12" w:space="0" w:color="7030A0"/>
              <w:right w:val="nil"/>
            </w:tcBorders>
            <w:shd w:val="clear" w:color="000000" w:fill="FFFFFF"/>
            <w:vAlign w:val="center"/>
            <w:hideMark/>
          </w:tcPr>
          <w:p w14:paraId="5ACC043C" w14:textId="77777777"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Responsabilité Civile Vie Privée</w:t>
            </w:r>
          </w:p>
        </w:tc>
        <w:tc>
          <w:tcPr>
            <w:tcW w:w="493" w:type="pct"/>
            <w:vMerge w:val="restart"/>
            <w:tcBorders>
              <w:top w:val="nil"/>
              <w:left w:val="nil"/>
              <w:bottom w:val="single" w:sz="12" w:space="0" w:color="7030A0"/>
              <w:right w:val="nil"/>
            </w:tcBorders>
            <w:shd w:val="clear" w:color="000000" w:fill="FFFFFF"/>
            <w:vAlign w:val="center"/>
            <w:hideMark/>
          </w:tcPr>
          <w:p w14:paraId="5FCB4BEF"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14:paraId="152CFD5F"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single" w:sz="12" w:space="0" w:color="7030A0"/>
              <w:right w:val="nil"/>
            </w:tcBorders>
            <w:shd w:val="clear" w:color="000000" w:fill="FFFFFF"/>
            <w:vAlign w:val="center"/>
            <w:hideMark/>
          </w:tcPr>
          <w:p w14:paraId="7A00EE6A"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w:t>
            </w:r>
            <w:r w:rsidR="00427A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000</w:t>
            </w:r>
            <w:r w:rsidR="00427A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 max</w:t>
            </w:r>
          </w:p>
        </w:tc>
        <w:tc>
          <w:tcPr>
            <w:tcW w:w="1268" w:type="pct"/>
            <w:vMerge w:val="restart"/>
            <w:tcBorders>
              <w:top w:val="nil"/>
              <w:left w:val="nil"/>
              <w:bottom w:val="single" w:sz="12" w:space="0" w:color="7030A0"/>
              <w:right w:val="nil"/>
            </w:tcBorders>
            <w:shd w:val="clear" w:color="000000" w:fill="FFFFFF"/>
            <w:hideMark/>
          </w:tcPr>
          <w:p w14:paraId="10C74E99" w14:textId="77777777"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14:paraId="2A666DB8" w14:textId="77777777" w:rsidTr="00172502">
        <w:trPr>
          <w:trHeight w:val="290"/>
        </w:trPr>
        <w:tc>
          <w:tcPr>
            <w:tcW w:w="1336" w:type="pct"/>
            <w:vMerge/>
            <w:tcBorders>
              <w:top w:val="nil"/>
              <w:left w:val="nil"/>
              <w:bottom w:val="single" w:sz="6" w:space="0" w:color="7030A0"/>
              <w:right w:val="nil"/>
            </w:tcBorders>
            <w:vAlign w:val="center"/>
            <w:hideMark/>
          </w:tcPr>
          <w:p w14:paraId="457FBA88"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single" w:sz="6" w:space="0" w:color="7030A0"/>
              <w:right w:val="nil"/>
            </w:tcBorders>
            <w:vAlign w:val="center"/>
            <w:hideMark/>
          </w:tcPr>
          <w:p w14:paraId="5023DBC8"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6" w:space="0" w:color="7030A0"/>
              <w:right w:val="nil"/>
            </w:tcBorders>
            <w:shd w:val="clear" w:color="000000" w:fill="FFFFFF"/>
            <w:vAlign w:val="center"/>
            <w:hideMark/>
          </w:tcPr>
          <w:p w14:paraId="0AB36279" w14:textId="77777777"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par assuré</w:t>
            </w:r>
          </w:p>
        </w:tc>
        <w:tc>
          <w:tcPr>
            <w:tcW w:w="845" w:type="pct"/>
            <w:vMerge/>
            <w:tcBorders>
              <w:top w:val="nil"/>
              <w:left w:val="nil"/>
              <w:bottom w:val="single" w:sz="6" w:space="0" w:color="7030A0"/>
              <w:right w:val="nil"/>
            </w:tcBorders>
            <w:vAlign w:val="center"/>
            <w:hideMark/>
          </w:tcPr>
          <w:p w14:paraId="1ED57521" w14:textId="77777777"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single" w:sz="6" w:space="0" w:color="7030A0"/>
              <w:right w:val="nil"/>
            </w:tcBorders>
            <w:vAlign w:val="center"/>
            <w:hideMark/>
          </w:tcPr>
          <w:p w14:paraId="7DFB3D2A" w14:textId="77777777"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7F48F1" w:rsidRPr="0030056F" w14:paraId="1AE2BC98" w14:textId="77777777" w:rsidTr="00172502">
        <w:trPr>
          <w:trHeight w:val="853"/>
        </w:trPr>
        <w:tc>
          <w:tcPr>
            <w:tcW w:w="1336" w:type="pct"/>
            <w:tcBorders>
              <w:top w:val="single" w:sz="6" w:space="0" w:color="7030A0"/>
              <w:left w:val="nil"/>
              <w:bottom w:val="nil"/>
              <w:right w:val="nil"/>
            </w:tcBorders>
            <w:shd w:val="clear" w:color="000000" w:fill="FFFFFF"/>
            <w:vAlign w:val="center"/>
            <w:hideMark/>
          </w:tcPr>
          <w:p w14:paraId="368BF041" w14:textId="77777777" w:rsidR="007F48F1" w:rsidRPr="00C73365" w:rsidRDefault="007F48F1"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Tous risques informatiques</w:t>
            </w:r>
          </w:p>
        </w:tc>
        <w:tc>
          <w:tcPr>
            <w:tcW w:w="493" w:type="pct"/>
            <w:tcBorders>
              <w:top w:val="single" w:sz="6" w:space="0" w:color="7030A0"/>
              <w:left w:val="nil"/>
              <w:bottom w:val="nil"/>
              <w:right w:val="nil"/>
            </w:tcBorders>
            <w:shd w:val="clear" w:color="000000" w:fill="FFFFFF"/>
            <w:vAlign w:val="center"/>
            <w:hideMark/>
          </w:tcPr>
          <w:p w14:paraId="318CC13C" w14:textId="77777777"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AXA</w:t>
            </w:r>
          </w:p>
        </w:tc>
        <w:tc>
          <w:tcPr>
            <w:tcW w:w="1058" w:type="pct"/>
            <w:tcBorders>
              <w:top w:val="single" w:sz="6" w:space="0" w:color="7030A0"/>
              <w:left w:val="nil"/>
              <w:bottom w:val="nil"/>
              <w:right w:val="nil"/>
            </w:tcBorders>
            <w:shd w:val="clear" w:color="000000" w:fill="FFFFFF"/>
            <w:hideMark/>
          </w:tcPr>
          <w:p w14:paraId="7FDDE98B"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single" w:sz="6" w:space="0" w:color="7030A0"/>
              <w:left w:val="nil"/>
              <w:bottom w:val="nil"/>
              <w:right w:val="nil"/>
            </w:tcBorders>
            <w:shd w:val="clear" w:color="000000" w:fill="FFFFFF"/>
            <w:hideMark/>
          </w:tcPr>
          <w:p w14:paraId="7F557606"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single" w:sz="6" w:space="0" w:color="7030A0"/>
              <w:left w:val="nil"/>
              <w:bottom w:val="nil"/>
              <w:right w:val="nil"/>
            </w:tcBorders>
            <w:shd w:val="clear" w:color="000000" w:fill="FFFFFF"/>
            <w:vAlign w:val="center"/>
            <w:hideMark/>
          </w:tcPr>
          <w:p w14:paraId="0C9DC031" w14:textId="77777777" w:rsidR="007F48F1" w:rsidRPr="00C73365" w:rsidRDefault="007F48F1"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 au moins</w:t>
            </w:r>
          </w:p>
        </w:tc>
      </w:tr>
      <w:tr w:rsidR="007F48F1" w:rsidRPr="00C73365" w14:paraId="06DA4033" w14:textId="77777777" w:rsidTr="00172502">
        <w:trPr>
          <w:trHeight w:val="279"/>
        </w:trPr>
        <w:tc>
          <w:tcPr>
            <w:tcW w:w="1336" w:type="pct"/>
            <w:tcBorders>
              <w:top w:val="nil"/>
              <w:left w:val="nil"/>
              <w:bottom w:val="nil"/>
              <w:right w:val="nil"/>
            </w:tcBorders>
            <w:shd w:val="clear" w:color="000000" w:fill="FFFFFF"/>
            <w:vAlign w:val="center"/>
            <w:hideMark/>
          </w:tcPr>
          <w:p w14:paraId="0769CDD1" w14:textId="77777777" w:rsidR="007F48F1" w:rsidRPr="00C73365" w:rsidRDefault="007F48F1"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aux matériels</w:t>
            </w:r>
          </w:p>
        </w:tc>
        <w:tc>
          <w:tcPr>
            <w:tcW w:w="493" w:type="pct"/>
            <w:tcBorders>
              <w:top w:val="nil"/>
              <w:left w:val="nil"/>
              <w:bottom w:val="nil"/>
              <w:right w:val="nil"/>
            </w:tcBorders>
            <w:shd w:val="clear" w:color="000000" w:fill="FFFFFF"/>
            <w:hideMark/>
          </w:tcPr>
          <w:p w14:paraId="0109800E"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14:paraId="6482443E" w14:textId="77777777"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80 000 €</w:t>
            </w:r>
          </w:p>
        </w:tc>
        <w:tc>
          <w:tcPr>
            <w:tcW w:w="845" w:type="pct"/>
            <w:tcBorders>
              <w:top w:val="nil"/>
              <w:left w:val="nil"/>
              <w:bottom w:val="nil"/>
              <w:right w:val="nil"/>
            </w:tcBorders>
            <w:shd w:val="clear" w:color="000000" w:fill="FFFFFF"/>
            <w:vAlign w:val="center"/>
            <w:hideMark/>
          </w:tcPr>
          <w:p w14:paraId="7480F056" w14:textId="77777777"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200 €</w:t>
            </w:r>
          </w:p>
        </w:tc>
        <w:tc>
          <w:tcPr>
            <w:tcW w:w="1268" w:type="pct"/>
            <w:tcBorders>
              <w:top w:val="nil"/>
              <w:left w:val="nil"/>
              <w:bottom w:val="nil"/>
              <w:right w:val="nil"/>
            </w:tcBorders>
            <w:shd w:val="clear" w:color="000000" w:fill="FFFFFF"/>
            <w:hideMark/>
          </w:tcPr>
          <w:p w14:paraId="11911B8A" w14:textId="77777777"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365" w14:paraId="33D4F7D0" w14:textId="77777777" w:rsidTr="00172502">
        <w:trPr>
          <w:trHeight w:val="279"/>
        </w:trPr>
        <w:tc>
          <w:tcPr>
            <w:tcW w:w="1336" w:type="pct"/>
            <w:tcBorders>
              <w:top w:val="nil"/>
              <w:left w:val="nil"/>
              <w:bottom w:val="nil"/>
              <w:right w:val="nil"/>
            </w:tcBorders>
            <w:shd w:val="clear" w:color="000000" w:fill="FFFFFF"/>
            <w:vAlign w:val="center"/>
            <w:hideMark/>
          </w:tcPr>
          <w:p w14:paraId="7DDD8771" w14:textId="77777777"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Valeur totale des biens assurés</w:t>
            </w:r>
          </w:p>
        </w:tc>
        <w:tc>
          <w:tcPr>
            <w:tcW w:w="493" w:type="pct"/>
            <w:tcBorders>
              <w:top w:val="nil"/>
              <w:left w:val="nil"/>
              <w:bottom w:val="nil"/>
              <w:right w:val="nil"/>
            </w:tcBorders>
            <w:shd w:val="clear" w:color="000000" w:fill="FFFFFF"/>
            <w:hideMark/>
          </w:tcPr>
          <w:p w14:paraId="36A1EC9E"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14:paraId="7CFF38E5" w14:textId="77777777"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40 000 €</w:t>
            </w:r>
          </w:p>
        </w:tc>
        <w:tc>
          <w:tcPr>
            <w:tcW w:w="845" w:type="pct"/>
            <w:tcBorders>
              <w:top w:val="nil"/>
              <w:left w:val="nil"/>
              <w:bottom w:val="nil"/>
              <w:right w:val="nil"/>
            </w:tcBorders>
            <w:shd w:val="clear" w:color="000000" w:fill="FFFFFF"/>
            <w:hideMark/>
          </w:tcPr>
          <w:p w14:paraId="66369EAD"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14:paraId="58724BDB" w14:textId="77777777"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30056F" w14:paraId="5896E798" w14:textId="77777777" w:rsidTr="00172502">
        <w:trPr>
          <w:trHeight w:val="279"/>
        </w:trPr>
        <w:tc>
          <w:tcPr>
            <w:tcW w:w="1336" w:type="pct"/>
            <w:tcBorders>
              <w:top w:val="nil"/>
              <w:left w:val="nil"/>
              <w:bottom w:val="nil"/>
              <w:right w:val="nil"/>
            </w:tcBorders>
            <w:shd w:val="clear" w:color="000000" w:fill="FFFFFF"/>
            <w:vAlign w:val="center"/>
            <w:hideMark/>
          </w:tcPr>
          <w:p w14:paraId="0C33A595" w14:textId="77777777"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Valeur limitée, en cours de transport</w:t>
            </w:r>
          </w:p>
        </w:tc>
        <w:tc>
          <w:tcPr>
            <w:tcW w:w="493" w:type="pct"/>
            <w:tcBorders>
              <w:top w:val="nil"/>
              <w:left w:val="nil"/>
              <w:bottom w:val="nil"/>
              <w:right w:val="nil"/>
            </w:tcBorders>
            <w:shd w:val="clear" w:color="000000" w:fill="FFFFFF"/>
            <w:hideMark/>
          </w:tcPr>
          <w:p w14:paraId="3463EF64"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14:paraId="78E393E2"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14:paraId="4DAD4D05"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14:paraId="0C70A5D7" w14:textId="77777777"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30056F" w14:paraId="681AF980" w14:textId="77777777" w:rsidTr="00172502">
        <w:trPr>
          <w:trHeight w:val="279"/>
        </w:trPr>
        <w:tc>
          <w:tcPr>
            <w:tcW w:w="1336" w:type="pct"/>
            <w:tcBorders>
              <w:top w:val="nil"/>
              <w:left w:val="nil"/>
              <w:bottom w:val="nil"/>
              <w:right w:val="nil"/>
            </w:tcBorders>
            <w:shd w:val="clear" w:color="000000" w:fill="FFFFFF"/>
            <w:vAlign w:val="center"/>
            <w:hideMark/>
          </w:tcPr>
          <w:p w14:paraId="303F9ECB"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000000" w:fill="FFFFFF"/>
            <w:hideMark/>
          </w:tcPr>
          <w:p w14:paraId="13BB8CCB"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14:paraId="1D150052"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14:paraId="49BA0296"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14:paraId="00020232" w14:textId="77777777"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365" w14:paraId="11A41B4E" w14:textId="77777777" w:rsidTr="00172502">
        <w:trPr>
          <w:trHeight w:val="290"/>
        </w:trPr>
        <w:tc>
          <w:tcPr>
            <w:tcW w:w="1336" w:type="pct"/>
            <w:tcBorders>
              <w:top w:val="nil"/>
              <w:left w:val="nil"/>
              <w:bottom w:val="single" w:sz="8" w:space="0" w:color="7030A0"/>
              <w:right w:val="nil"/>
            </w:tcBorders>
            <w:shd w:val="clear" w:color="000000" w:fill="FFFFFF"/>
            <w:vAlign w:val="center"/>
            <w:hideMark/>
          </w:tcPr>
          <w:p w14:paraId="6DE28C53" w14:textId="77777777" w:rsidR="007F48F1" w:rsidRPr="00C73365" w:rsidRDefault="007F48F1"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aux données</w:t>
            </w:r>
          </w:p>
        </w:tc>
        <w:tc>
          <w:tcPr>
            <w:tcW w:w="493" w:type="pct"/>
            <w:tcBorders>
              <w:top w:val="nil"/>
              <w:left w:val="nil"/>
              <w:bottom w:val="single" w:sz="8" w:space="0" w:color="7030A0"/>
              <w:right w:val="nil"/>
            </w:tcBorders>
            <w:shd w:val="clear" w:color="000000" w:fill="FFFFFF"/>
            <w:hideMark/>
          </w:tcPr>
          <w:p w14:paraId="272E3847" w14:textId="77777777"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000000" w:fill="FFFFFF"/>
            <w:vAlign w:val="center"/>
            <w:hideMark/>
          </w:tcPr>
          <w:p w14:paraId="3331B377" w14:textId="77777777"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20 000 €</w:t>
            </w:r>
          </w:p>
        </w:tc>
        <w:tc>
          <w:tcPr>
            <w:tcW w:w="845" w:type="pct"/>
            <w:tcBorders>
              <w:top w:val="nil"/>
              <w:left w:val="nil"/>
              <w:bottom w:val="single" w:sz="8" w:space="0" w:color="7030A0"/>
              <w:right w:val="nil"/>
            </w:tcBorders>
            <w:shd w:val="clear" w:color="000000" w:fill="FFFFFF"/>
            <w:vAlign w:val="center"/>
            <w:hideMark/>
          </w:tcPr>
          <w:p w14:paraId="14BEB480" w14:textId="77777777"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760 € max</w:t>
            </w:r>
          </w:p>
        </w:tc>
        <w:tc>
          <w:tcPr>
            <w:tcW w:w="1268" w:type="pct"/>
            <w:tcBorders>
              <w:top w:val="nil"/>
              <w:left w:val="nil"/>
              <w:bottom w:val="single" w:sz="8" w:space="0" w:color="7030A0"/>
              <w:right w:val="nil"/>
            </w:tcBorders>
            <w:shd w:val="clear" w:color="000000" w:fill="FFFFFF"/>
            <w:hideMark/>
          </w:tcPr>
          <w:p w14:paraId="731F44ED" w14:textId="77777777"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172502" w:rsidRPr="0030056F" w14:paraId="5E3DA79A" w14:textId="77777777" w:rsidTr="00172502">
        <w:trPr>
          <w:trHeight w:val="691"/>
        </w:trPr>
        <w:tc>
          <w:tcPr>
            <w:tcW w:w="1336" w:type="pct"/>
            <w:tcBorders>
              <w:top w:val="single" w:sz="4" w:space="0" w:color="7030A0"/>
              <w:left w:val="nil"/>
              <w:bottom w:val="nil"/>
              <w:right w:val="nil"/>
            </w:tcBorders>
            <w:shd w:val="clear" w:color="000000" w:fill="FFFFFF"/>
            <w:vAlign w:val="center"/>
            <w:hideMark/>
          </w:tcPr>
          <w:p w14:paraId="5FB845B1" w14:textId="77777777" w:rsidR="00172502" w:rsidRPr="00C73365" w:rsidRDefault="00172502"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Multirisque entreprise</w:t>
            </w:r>
          </w:p>
        </w:tc>
        <w:tc>
          <w:tcPr>
            <w:tcW w:w="493" w:type="pct"/>
            <w:tcBorders>
              <w:top w:val="single" w:sz="4" w:space="0" w:color="7030A0"/>
              <w:left w:val="nil"/>
              <w:bottom w:val="nil"/>
              <w:right w:val="nil"/>
            </w:tcBorders>
            <w:shd w:val="clear" w:color="000000" w:fill="FFFFFF"/>
            <w:vAlign w:val="center"/>
            <w:hideMark/>
          </w:tcPr>
          <w:p w14:paraId="3B5686A5"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AXA</w:t>
            </w:r>
          </w:p>
        </w:tc>
        <w:tc>
          <w:tcPr>
            <w:tcW w:w="1058" w:type="pct"/>
            <w:tcBorders>
              <w:top w:val="single" w:sz="4" w:space="0" w:color="7030A0"/>
              <w:left w:val="nil"/>
              <w:bottom w:val="nil"/>
              <w:right w:val="nil"/>
            </w:tcBorders>
            <w:shd w:val="clear" w:color="000000" w:fill="FFFFFF"/>
            <w:hideMark/>
          </w:tcPr>
          <w:p w14:paraId="01783EA3"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single" w:sz="4" w:space="0" w:color="7030A0"/>
              <w:left w:val="nil"/>
              <w:bottom w:val="nil"/>
              <w:right w:val="nil"/>
            </w:tcBorders>
            <w:shd w:val="clear" w:color="000000" w:fill="FFFFFF"/>
            <w:hideMark/>
          </w:tcPr>
          <w:p w14:paraId="7D07ACC2"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single" w:sz="4" w:space="0" w:color="7030A0"/>
              <w:left w:val="nil"/>
              <w:bottom w:val="nil"/>
              <w:right w:val="nil"/>
            </w:tcBorders>
            <w:shd w:val="clear" w:color="000000" w:fill="FFFFFF"/>
            <w:vAlign w:val="center"/>
            <w:hideMark/>
          </w:tcPr>
          <w:p w14:paraId="2A7B7B80"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w:t>
            </w:r>
          </w:p>
        </w:tc>
      </w:tr>
      <w:tr w:rsidR="00172502" w:rsidRPr="00C73365" w14:paraId="1390B967" w14:textId="77777777" w:rsidTr="00172502">
        <w:trPr>
          <w:trHeight w:val="279"/>
        </w:trPr>
        <w:tc>
          <w:tcPr>
            <w:tcW w:w="1336" w:type="pct"/>
            <w:tcBorders>
              <w:top w:val="nil"/>
              <w:left w:val="nil"/>
              <w:bottom w:val="nil"/>
              <w:right w:val="nil"/>
            </w:tcBorders>
            <w:shd w:val="clear" w:color="000000" w:fill="FFFFFF"/>
            <w:vAlign w:val="center"/>
            <w:hideMark/>
          </w:tcPr>
          <w:p w14:paraId="7E53B16F"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Incendie et risques annexes</w:t>
            </w:r>
          </w:p>
        </w:tc>
        <w:tc>
          <w:tcPr>
            <w:tcW w:w="493" w:type="pct"/>
            <w:tcBorders>
              <w:top w:val="nil"/>
              <w:left w:val="nil"/>
              <w:bottom w:val="nil"/>
              <w:right w:val="nil"/>
            </w:tcBorders>
            <w:shd w:val="clear" w:color="auto" w:fill="auto"/>
            <w:noWrap/>
            <w:vAlign w:val="bottom"/>
            <w:hideMark/>
          </w:tcPr>
          <w:p w14:paraId="6BCADE24"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14:paraId="60B8FDCB"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14:paraId="33ED322F"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14:paraId="2DAAFBF5"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30056F" w14:paraId="231796EE" w14:textId="77777777" w:rsidTr="00172502">
        <w:trPr>
          <w:trHeight w:val="560"/>
        </w:trPr>
        <w:tc>
          <w:tcPr>
            <w:tcW w:w="1336" w:type="pct"/>
            <w:tcBorders>
              <w:top w:val="nil"/>
              <w:left w:val="nil"/>
              <w:right w:val="nil"/>
            </w:tcBorders>
            <w:shd w:val="clear" w:color="000000" w:fill="FFFFFF"/>
            <w:vAlign w:val="center"/>
            <w:hideMark/>
          </w:tcPr>
          <w:p w14:paraId="32255E44"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Bien, frais et pertes, multirisque entreprise</w:t>
            </w:r>
          </w:p>
        </w:tc>
        <w:tc>
          <w:tcPr>
            <w:tcW w:w="493" w:type="pct"/>
            <w:tcBorders>
              <w:top w:val="nil"/>
              <w:left w:val="nil"/>
              <w:right w:val="nil"/>
            </w:tcBorders>
            <w:shd w:val="clear" w:color="auto" w:fill="auto"/>
            <w:noWrap/>
            <w:vAlign w:val="bottom"/>
            <w:hideMark/>
          </w:tcPr>
          <w:p w14:paraId="5E9E12DE"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000000" w:fill="FFFFFF"/>
            <w:hideMark/>
          </w:tcPr>
          <w:p w14:paraId="7146C961"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nil"/>
              <w:left w:val="nil"/>
              <w:right w:val="nil"/>
            </w:tcBorders>
            <w:shd w:val="clear" w:color="000000" w:fill="FFFFFF"/>
            <w:hideMark/>
          </w:tcPr>
          <w:p w14:paraId="43A87C4F"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right w:val="nil"/>
            </w:tcBorders>
            <w:shd w:val="clear" w:color="000000" w:fill="FFFFFF"/>
            <w:hideMark/>
          </w:tcPr>
          <w:p w14:paraId="31B5B618"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14:paraId="2AC32357" w14:textId="77777777" w:rsidTr="00172502">
        <w:trPr>
          <w:trHeight w:val="560"/>
        </w:trPr>
        <w:tc>
          <w:tcPr>
            <w:tcW w:w="1336" w:type="pct"/>
            <w:tcBorders>
              <w:top w:val="nil"/>
              <w:left w:val="nil"/>
              <w:bottom w:val="nil"/>
              <w:right w:val="nil"/>
            </w:tcBorders>
            <w:shd w:val="clear" w:color="000000" w:fill="FFFFFF"/>
            <w:vAlign w:val="center"/>
            <w:hideMark/>
          </w:tcPr>
          <w:p w14:paraId="5B05E4A1"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Aménagements, matériel et mobilier en valeur à neuf</w:t>
            </w:r>
          </w:p>
        </w:tc>
        <w:tc>
          <w:tcPr>
            <w:tcW w:w="493" w:type="pct"/>
            <w:tcBorders>
              <w:top w:val="nil"/>
              <w:left w:val="nil"/>
              <w:bottom w:val="nil"/>
              <w:right w:val="nil"/>
            </w:tcBorders>
            <w:shd w:val="clear" w:color="auto" w:fill="auto"/>
            <w:noWrap/>
            <w:vAlign w:val="bottom"/>
            <w:hideMark/>
          </w:tcPr>
          <w:p w14:paraId="0C20C8DC"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60C667A0"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470 000 €</w:t>
            </w:r>
          </w:p>
        </w:tc>
        <w:tc>
          <w:tcPr>
            <w:tcW w:w="845" w:type="pct"/>
            <w:tcBorders>
              <w:top w:val="nil"/>
              <w:left w:val="nil"/>
              <w:bottom w:val="nil"/>
              <w:right w:val="nil"/>
            </w:tcBorders>
            <w:shd w:val="clear" w:color="auto" w:fill="auto"/>
            <w:vAlign w:val="center"/>
            <w:hideMark/>
          </w:tcPr>
          <w:p w14:paraId="36825ECF"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14:paraId="427C0470"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14:paraId="5A2D45D7" w14:textId="77777777" w:rsidTr="00172502">
        <w:trPr>
          <w:trHeight w:val="279"/>
        </w:trPr>
        <w:tc>
          <w:tcPr>
            <w:tcW w:w="1336" w:type="pct"/>
            <w:tcBorders>
              <w:left w:val="nil"/>
              <w:bottom w:val="nil"/>
              <w:right w:val="nil"/>
            </w:tcBorders>
            <w:shd w:val="clear" w:color="000000" w:fill="FFFFFF"/>
            <w:vAlign w:val="center"/>
            <w:hideMark/>
          </w:tcPr>
          <w:p w14:paraId="1B2F949A"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Support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informations</w:t>
            </w:r>
          </w:p>
        </w:tc>
        <w:tc>
          <w:tcPr>
            <w:tcW w:w="493" w:type="pct"/>
            <w:tcBorders>
              <w:left w:val="nil"/>
              <w:bottom w:val="nil"/>
              <w:right w:val="nil"/>
            </w:tcBorders>
            <w:shd w:val="clear" w:color="auto" w:fill="auto"/>
            <w:noWrap/>
            <w:vAlign w:val="bottom"/>
            <w:hideMark/>
          </w:tcPr>
          <w:p w14:paraId="0B64A32D"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14:paraId="2ED4B6E9"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17 520 €</w:t>
            </w:r>
          </w:p>
        </w:tc>
        <w:tc>
          <w:tcPr>
            <w:tcW w:w="845" w:type="pct"/>
            <w:tcBorders>
              <w:left w:val="nil"/>
              <w:bottom w:val="nil"/>
              <w:right w:val="nil"/>
            </w:tcBorders>
            <w:shd w:val="clear" w:color="auto" w:fill="auto"/>
            <w:vAlign w:val="center"/>
            <w:hideMark/>
          </w:tcPr>
          <w:p w14:paraId="3179E003"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left w:val="nil"/>
              <w:bottom w:val="nil"/>
              <w:right w:val="nil"/>
            </w:tcBorders>
            <w:shd w:val="clear" w:color="000000" w:fill="FFFFFF"/>
            <w:hideMark/>
          </w:tcPr>
          <w:p w14:paraId="2B93A4FD"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14:paraId="7FED3514" w14:textId="77777777" w:rsidTr="00172502">
        <w:trPr>
          <w:trHeight w:val="560"/>
        </w:trPr>
        <w:tc>
          <w:tcPr>
            <w:tcW w:w="1336" w:type="pct"/>
            <w:tcBorders>
              <w:top w:val="nil"/>
              <w:left w:val="nil"/>
              <w:bottom w:val="nil"/>
              <w:right w:val="nil"/>
            </w:tcBorders>
            <w:shd w:val="clear" w:color="000000" w:fill="FFFFFF"/>
            <w:vAlign w:val="center"/>
            <w:hideMark/>
          </w:tcPr>
          <w:p w14:paraId="15DD3155"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Support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informations complémentaires</w:t>
            </w:r>
          </w:p>
        </w:tc>
        <w:tc>
          <w:tcPr>
            <w:tcW w:w="493" w:type="pct"/>
            <w:tcBorders>
              <w:top w:val="nil"/>
              <w:left w:val="nil"/>
              <w:bottom w:val="nil"/>
              <w:right w:val="nil"/>
            </w:tcBorders>
            <w:shd w:val="clear" w:color="auto" w:fill="auto"/>
            <w:noWrap/>
            <w:vAlign w:val="bottom"/>
            <w:hideMark/>
          </w:tcPr>
          <w:p w14:paraId="61BA56C1"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449F11E4"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32 950 €</w:t>
            </w:r>
          </w:p>
        </w:tc>
        <w:tc>
          <w:tcPr>
            <w:tcW w:w="845" w:type="pct"/>
            <w:tcBorders>
              <w:top w:val="nil"/>
              <w:left w:val="nil"/>
              <w:bottom w:val="nil"/>
              <w:right w:val="nil"/>
            </w:tcBorders>
            <w:shd w:val="clear" w:color="auto" w:fill="auto"/>
            <w:vAlign w:val="center"/>
            <w:hideMark/>
          </w:tcPr>
          <w:p w14:paraId="257E2143"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14:paraId="72CEBB1D"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14:paraId="35B8106D" w14:textId="77777777" w:rsidTr="00172502">
        <w:trPr>
          <w:trHeight w:val="279"/>
        </w:trPr>
        <w:tc>
          <w:tcPr>
            <w:tcW w:w="1336" w:type="pct"/>
            <w:tcBorders>
              <w:top w:val="nil"/>
              <w:left w:val="nil"/>
              <w:bottom w:val="nil"/>
              <w:right w:val="nil"/>
            </w:tcBorders>
            <w:shd w:val="clear" w:color="000000" w:fill="FFFFFF"/>
            <w:vAlign w:val="center"/>
            <w:hideMark/>
          </w:tcPr>
          <w:p w14:paraId="4A1A2FAF"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Marchandises</w:t>
            </w:r>
          </w:p>
        </w:tc>
        <w:tc>
          <w:tcPr>
            <w:tcW w:w="493" w:type="pct"/>
            <w:tcBorders>
              <w:top w:val="nil"/>
              <w:left w:val="nil"/>
              <w:bottom w:val="nil"/>
              <w:right w:val="nil"/>
            </w:tcBorders>
            <w:shd w:val="clear" w:color="auto" w:fill="auto"/>
            <w:noWrap/>
            <w:vAlign w:val="bottom"/>
            <w:hideMark/>
          </w:tcPr>
          <w:p w14:paraId="69A42A4F"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59F7FB74"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w:t>
            </w:r>
          </w:p>
        </w:tc>
        <w:tc>
          <w:tcPr>
            <w:tcW w:w="845" w:type="pct"/>
            <w:tcBorders>
              <w:top w:val="nil"/>
              <w:left w:val="nil"/>
              <w:bottom w:val="nil"/>
              <w:right w:val="nil"/>
            </w:tcBorders>
            <w:shd w:val="clear" w:color="auto" w:fill="auto"/>
            <w:vAlign w:val="center"/>
            <w:hideMark/>
          </w:tcPr>
          <w:p w14:paraId="19767A6B"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14:paraId="71431636"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14:paraId="5BCAA1F1" w14:textId="77777777" w:rsidTr="00172502">
        <w:trPr>
          <w:trHeight w:val="560"/>
        </w:trPr>
        <w:tc>
          <w:tcPr>
            <w:tcW w:w="1336" w:type="pct"/>
            <w:tcBorders>
              <w:top w:val="nil"/>
              <w:left w:val="nil"/>
              <w:bottom w:val="nil"/>
              <w:right w:val="nil"/>
            </w:tcBorders>
            <w:shd w:val="clear" w:color="000000" w:fill="FFFFFF"/>
            <w:vAlign w:val="center"/>
            <w:hideMark/>
          </w:tcPr>
          <w:p w14:paraId="715AF458"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certaines marrchandises en dépôt</w:t>
            </w:r>
          </w:p>
        </w:tc>
        <w:tc>
          <w:tcPr>
            <w:tcW w:w="493" w:type="pct"/>
            <w:tcBorders>
              <w:top w:val="nil"/>
              <w:left w:val="nil"/>
              <w:bottom w:val="nil"/>
              <w:right w:val="nil"/>
            </w:tcBorders>
            <w:shd w:val="clear" w:color="auto" w:fill="auto"/>
            <w:noWrap/>
            <w:vAlign w:val="bottom"/>
            <w:hideMark/>
          </w:tcPr>
          <w:p w14:paraId="495CD080"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08B79426"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50 000 €</w:t>
            </w:r>
          </w:p>
        </w:tc>
        <w:tc>
          <w:tcPr>
            <w:tcW w:w="845" w:type="pct"/>
            <w:tcBorders>
              <w:top w:val="nil"/>
              <w:left w:val="nil"/>
              <w:bottom w:val="nil"/>
              <w:right w:val="nil"/>
            </w:tcBorders>
            <w:shd w:val="clear" w:color="auto" w:fill="auto"/>
            <w:vAlign w:val="center"/>
            <w:hideMark/>
          </w:tcPr>
          <w:p w14:paraId="05BB1A86"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14:paraId="75F53A4D"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14:paraId="461FA489" w14:textId="77777777" w:rsidTr="00172502">
        <w:trPr>
          <w:trHeight w:val="279"/>
        </w:trPr>
        <w:tc>
          <w:tcPr>
            <w:tcW w:w="1336" w:type="pct"/>
            <w:tcBorders>
              <w:left w:val="nil"/>
              <w:bottom w:val="nil"/>
              <w:right w:val="nil"/>
            </w:tcBorders>
            <w:shd w:val="clear" w:color="000000" w:fill="FFFFFF"/>
            <w:vAlign w:val="center"/>
            <w:hideMark/>
          </w:tcPr>
          <w:p w14:paraId="07B39211"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et pertes</w:t>
            </w:r>
          </w:p>
        </w:tc>
        <w:tc>
          <w:tcPr>
            <w:tcW w:w="493" w:type="pct"/>
            <w:tcBorders>
              <w:left w:val="nil"/>
              <w:bottom w:val="nil"/>
              <w:right w:val="nil"/>
            </w:tcBorders>
            <w:shd w:val="clear" w:color="auto" w:fill="auto"/>
            <w:noWrap/>
            <w:vAlign w:val="bottom"/>
            <w:hideMark/>
          </w:tcPr>
          <w:p w14:paraId="0EF73ECA"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14:paraId="3E309018"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201 629 €</w:t>
            </w:r>
          </w:p>
        </w:tc>
        <w:tc>
          <w:tcPr>
            <w:tcW w:w="845" w:type="pct"/>
            <w:tcBorders>
              <w:left w:val="nil"/>
              <w:bottom w:val="nil"/>
              <w:right w:val="nil"/>
            </w:tcBorders>
            <w:shd w:val="clear" w:color="auto" w:fill="auto"/>
            <w:vAlign w:val="center"/>
            <w:hideMark/>
          </w:tcPr>
          <w:p w14:paraId="6814B1D9"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left w:val="nil"/>
              <w:bottom w:val="nil"/>
              <w:right w:val="nil"/>
            </w:tcBorders>
            <w:shd w:val="clear" w:color="000000" w:fill="FFFFFF"/>
            <w:hideMark/>
          </w:tcPr>
          <w:p w14:paraId="7CF7B675"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14:paraId="33D92142" w14:textId="77777777" w:rsidTr="00172502">
        <w:trPr>
          <w:trHeight w:val="279"/>
        </w:trPr>
        <w:tc>
          <w:tcPr>
            <w:tcW w:w="1336" w:type="pct"/>
            <w:tcBorders>
              <w:top w:val="nil"/>
              <w:left w:val="nil"/>
              <w:bottom w:val="nil"/>
              <w:right w:val="nil"/>
            </w:tcBorders>
            <w:shd w:val="clear" w:color="000000" w:fill="FFFFFF"/>
            <w:vAlign w:val="center"/>
            <w:hideMark/>
          </w:tcPr>
          <w:p w14:paraId="46F7E353"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Recours des voisins et tiers</w:t>
            </w:r>
          </w:p>
        </w:tc>
        <w:tc>
          <w:tcPr>
            <w:tcW w:w="493" w:type="pct"/>
            <w:tcBorders>
              <w:top w:val="nil"/>
              <w:left w:val="nil"/>
              <w:bottom w:val="nil"/>
              <w:right w:val="nil"/>
            </w:tcBorders>
            <w:shd w:val="clear" w:color="auto" w:fill="auto"/>
            <w:noWrap/>
            <w:vAlign w:val="bottom"/>
            <w:hideMark/>
          </w:tcPr>
          <w:p w14:paraId="2ED8D2E7"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4F1FA309"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1 512 214 €</w:t>
            </w:r>
          </w:p>
        </w:tc>
        <w:tc>
          <w:tcPr>
            <w:tcW w:w="845" w:type="pct"/>
            <w:tcBorders>
              <w:top w:val="nil"/>
              <w:left w:val="nil"/>
              <w:bottom w:val="nil"/>
              <w:right w:val="nil"/>
            </w:tcBorders>
            <w:shd w:val="clear" w:color="auto" w:fill="auto"/>
            <w:vAlign w:val="center"/>
            <w:hideMark/>
          </w:tcPr>
          <w:p w14:paraId="0BBE762D"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du dommage</w:t>
            </w:r>
          </w:p>
        </w:tc>
        <w:tc>
          <w:tcPr>
            <w:tcW w:w="1268" w:type="pct"/>
            <w:tcBorders>
              <w:top w:val="nil"/>
              <w:left w:val="nil"/>
              <w:bottom w:val="nil"/>
              <w:right w:val="nil"/>
            </w:tcBorders>
            <w:shd w:val="clear" w:color="000000" w:fill="FFFFFF"/>
            <w:hideMark/>
          </w:tcPr>
          <w:p w14:paraId="24C85106"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14:paraId="02C20F61" w14:textId="77777777" w:rsidTr="00172502">
        <w:trPr>
          <w:trHeight w:val="279"/>
        </w:trPr>
        <w:tc>
          <w:tcPr>
            <w:tcW w:w="1336" w:type="pct"/>
            <w:tcBorders>
              <w:top w:val="nil"/>
              <w:left w:val="nil"/>
              <w:bottom w:val="nil"/>
              <w:right w:val="nil"/>
            </w:tcBorders>
            <w:shd w:val="clear" w:color="000000" w:fill="FFFFFF"/>
            <w:vAlign w:val="center"/>
            <w:hideMark/>
          </w:tcPr>
          <w:p w14:paraId="2BDD9ECB"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auto" w:fill="auto"/>
            <w:noWrap/>
            <w:vAlign w:val="bottom"/>
            <w:hideMark/>
          </w:tcPr>
          <w:p w14:paraId="7021A5F6"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55E8D4DD" w14:textId="77777777"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14:paraId="603AFDEC" w14:textId="77777777"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14:paraId="522C2631" w14:textId="77777777" w:rsidR="00172502" w:rsidRPr="00C73365" w:rsidRDefault="00172502" w:rsidP="00A96CCA">
            <w:pPr>
              <w:spacing w:after="0"/>
              <w:jc w:val="center"/>
              <w:rPr>
                <w:rFonts w:asciiTheme="minorHAnsi" w:hAnsiTheme="minorHAnsi" w:cstheme="minorHAnsi"/>
                <w:sz w:val="19"/>
                <w:szCs w:val="19"/>
                <w:lang w:val="fr-FR" w:eastAsia="fr-FR"/>
              </w:rPr>
            </w:pPr>
          </w:p>
        </w:tc>
      </w:tr>
      <w:tr w:rsidR="00172502" w:rsidRPr="00C73365" w14:paraId="7C380DF1" w14:textId="77777777" w:rsidTr="00172502">
        <w:trPr>
          <w:trHeight w:val="279"/>
        </w:trPr>
        <w:tc>
          <w:tcPr>
            <w:tcW w:w="1336" w:type="pct"/>
            <w:tcBorders>
              <w:top w:val="nil"/>
              <w:left w:val="nil"/>
              <w:bottom w:val="nil"/>
              <w:right w:val="nil"/>
            </w:tcBorders>
            <w:shd w:val="clear" w:color="000000" w:fill="FFFFFF"/>
            <w:vAlign w:val="center"/>
            <w:hideMark/>
          </w:tcPr>
          <w:p w14:paraId="69D4AD17"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Evènements</w:t>
            </w:r>
          </w:p>
        </w:tc>
        <w:tc>
          <w:tcPr>
            <w:tcW w:w="493" w:type="pct"/>
            <w:tcBorders>
              <w:top w:val="nil"/>
              <w:left w:val="nil"/>
              <w:bottom w:val="nil"/>
              <w:right w:val="nil"/>
            </w:tcBorders>
            <w:shd w:val="clear" w:color="auto" w:fill="auto"/>
            <w:noWrap/>
            <w:vAlign w:val="bottom"/>
            <w:hideMark/>
          </w:tcPr>
          <w:p w14:paraId="1F0135AF"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0C753B64" w14:textId="77777777"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14:paraId="08742361" w14:textId="77777777"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14:paraId="6A7DEE9E" w14:textId="77777777" w:rsidR="00172502" w:rsidRPr="00C73365" w:rsidRDefault="00172502" w:rsidP="00A96CCA">
            <w:pPr>
              <w:spacing w:after="0"/>
              <w:jc w:val="center"/>
              <w:rPr>
                <w:rFonts w:asciiTheme="minorHAnsi" w:hAnsiTheme="minorHAnsi" w:cstheme="minorHAnsi"/>
                <w:sz w:val="19"/>
                <w:szCs w:val="19"/>
                <w:lang w:val="fr-FR" w:eastAsia="fr-FR"/>
              </w:rPr>
            </w:pPr>
          </w:p>
        </w:tc>
      </w:tr>
      <w:tr w:rsidR="00172502" w:rsidRPr="00C73365" w14:paraId="35746CE3" w14:textId="77777777" w:rsidTr="00172502">
        <w:trPr>
          <w:trHeight w:val="279"/>
        </w:trPr>
        <w:tc>
          <w:tcPr>
            <w:tcW w:w="1336" w:type="pct"/>
            <w:tcBorders>
              <w:top w:val="nil"/>
              <w:left w:val="nil"/>
              <w:bottom w:val="nil"/>
              <w:right w:val="nil"/>
            </w:tcBorders>
            <w:shd w:val="clear" w:color="000000" w:fill="FFFFFF"/>
            <w:vAlign w:val="center"/>
            <w:hideMark/>
          </w:tcPr>
          <w:p w14:paraId="0D7BE1FF"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Incendies et risques divers</w:t>
            </w:r>
          </w:p>
        </w:tc>
        <w:tc>
          <w:tcPr>
            <w:tcW w:w="493" w:type="pct"/>
            <w:tcBorders>
              <w:top w:val="nil"/>
              <w:left w:val="nil"/>
              <w:bottom w:val="nil"/>
              <w:right w:val="nil"/>
            </w:tcBorders>
            <w:shd w:val="clear" w:color="auto" w:fill="auto"/>
            <w:noWrap/>
            <w:vAlign w:val="bottom"/>
            <w:hideMark/>
          </w:tcPr>
          <w:p w14:paraId="6499A876"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75E092E0"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14:paraId="436F9DAD"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top w:val="nil"/>
              <w:left w:val="nil"/>
              <w:bottom w:val="nil"/>
              <w:right w:val="nil"/>
            </w:tcBorders>
            <w:shd w:val="clear" w:color="auto" w:fill="auto"/>
            <w:noWrap/>
            <w:hideMark/>
          </w:tcPr>
          <w:p w14:paraId="2C00CAE5"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14:paraId="6873B5CE" w14:textId="77777777" w:rsidTr="00172502">
        <w:trPr>
          <w:trHeight w:val="560"/>
        </w:trPr>
        <w:tc>
          <w:tcPr>
            <w:tcW w:w="1336" w:type="pct"/>
            <w:tcBorders>
              <w:top w:val="nil"/>
              <w:left w:val="nil"/>
              <w:bottom w:val="nil"/>
              <w:right w:val="nil"/>
            </w:tcBorders>
            <w:shd w:val="clear" w:color="000000" w:fill="FFFFFF"/>
            <w:vAlign w:val="center"/>
            <w:hideMark/>
          </w:tcPr>
          <w:p w14:paraId="4E82150F"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Tempête, grêle et neige</w:t>
            </w:r>
          </w:p>
        </w:tc>
        <w:tc>
          <w:tcPr>
            <w:tcW w:w="493" w:type="pct"/>
            <w:tcBorders>
              <w:top w:val="nil"/>
              <w:left w:val="nil"/>
              <w:bottom w:val="nil"/>
              <w:right w:val="nil"/>
            </w:tcBorders>
            <w:shd w:val="clear" w:color="auto" w:fill="auto"/>
            <w:noWrap/>
            <w:vAlign w:val="bottom"/>
            <w:hideMark/>
          </w:tcPr>
          <w:p w14:paraId="6F6EBD0F"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0657D5C6"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14:paraId="72B0C101"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des dommages (minimum 1773€)</w:t>
            </w:r>
          </w:p>
        </w:tc>
        <w:tc>
          <w:tcPr>
            <w:tcW w:w="1268" w:type="pct"/>
            <w:tcBorders>
              <w:top w:val="nil"/>
              <w:left w:val="nil"/>
              <w:bottom w:val="nil"/>
              <w:right w:val="nil"/>
            </w:tcBorders>
            <w:shd w:val="clear" w:color="auto" w:fill="auto"/>
            <w:noWrap/>
            <w:hideMark/>
          </w:tcPr>
          <w:p w14:paraId="01E9266C"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14:paraId="47ECE4D8" w14:textId="77777777" w:rsidTr="00172502">
        <w:trPr>
          <w:trHeight w:val="560"/>
        </w:trPr>
        <w:tc>
          <w:tcPr>
            <w:tcW w:w="1336" w:type="pct"/>
            <w:tcBorders>
              <w:top w:val="nil"/>
              <w:left w:val="nil"/>
              <w:bottom w:val="nil"/>
              <w:right w:val="nil"/>
            </w:tcBorders>
            <w:shd w:val="clear" w:color="000000" w:fill="FFFFFF"/>
            <w:vAlign w:val="center"/>
            <w:hideMark/>
          </w:tcPr>
          <w:p w14:paraId="3A127EFF"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Emeutes, sabotage, vandalisme</w:t>
            </w:r>
          </w:p>
        </w:tc>
        <w:tc>
          <w:tcPr>
            <w:tcW w:w="493" w:type="pct"/>
            <w:tcBorders>
              <w:top w:val="nil"/>
              <w:left w:val="nil"/>
              <w:bottom w:val="nil"/>
              <w:right w:val="nil"/>
            </w:tcBorders>
            <w:shd w:val="clear" w:color="auto" w:fill="auto"/>
            <w:noWrap/>
            <w:vAlign w:val="bottom"/>
            <w:hideMark/>
          </w:tcPr>
          <w:p w14:paraId="729EE156"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5437A53D"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14:paraId="75CAFEE2"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des dommages (minimum 2660€)</w:t>
            </w:r>
          </w:p>
        </w:tc>
        <w:tc>
          <w:tcPr>
            <w:tcW w:w="1268" w:type="pct"/>
            <w:tcBorders>
              <w:top w:val="nil"/>
              <w:left w:val="nil"/>
              <w:bottom w:val="nil"/>
              <w:right w:val="nil"/>
            </w:tcBorders>
            <w:shd w:val="clear" w:color="auto" w:fill="auto"/>
            <w:noWrap/>
            <w:hideMark/>
          </w:tcPr>
          <w:p w14:paraId="07A10942" w14:textId="77777777"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14:paraId="766AE0DF" w14:textId="77777777" w:rsidTr="00172502">
        <w:trPr>
          <w:trHeight w:val="279"/>
        </w:trPr>
        <w:tc>
          <w:tcPr>
            <w:tcW w:w="1336" w:type="pct"/>
            <w:tcBorders>
              <w:top w:val="nil"/>
              <w:left w:val="nil"/>
              <w:right w:val="nil"/>
            </w:tcBorders>
            <w:shd w:val="clear" w:color="000000" w:fill="FFFFFF"/>
            <w:vAlign w:val="center"/>
            <w:hideMark/>
          </w:tcPr>
          <w:p w14:paraId="66141153"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Dégâts des eaux et gel</w:t>
            </w:r>
          </w:p>
        </w:tc>
        <w:tc>
          <w:tcPr>
            <w:tcW w:w="493" w:type="pct"/>
            <w:tcBorders>
              <w:top w:val="nil"/>
              <w:left w:val="nil"/>
              <w:right w:val="nil"/>
            </w:tcBorders>
            <w:shd w:val="clear" w:color="auto" w:fill="auto"/>
            <w:noWrap/>
            <w:vAlign w:val="bottom"/>
            <w:hideMark/>
          </w:tcPr>
          <w:p w14:paraId="2AE99BB5"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auto" w:fill="auto"/>
            <w:noWrap/>
            <w:vAlign w:val="center"/>
            <w:hideMark/>
          </w:tcPr>
          <w:p w14:paraId="5F074093"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right w:val="nil"/>
            </w:tcBorders>
            <w:shd w:val="clear" w:color="auto" w:fill="auto"/>
            <w:vAlign w:val="center"/>
            <w:hideMark/>
          </w:tcPr>
          <w:p w14:paraId="34452EBB"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top w:val="nil"/>
              <w:left w:val="nil"/>
              <w:right w:val="nil"/>
            </w:tcBorders>
            <w:shd w:val="clear" w:color="auto" w:fill="auto"/>
            <w:noWrap/>
            <w:hideMark/>
          </w:tcPr>
          <w:p w14:paraId="5D1E81EA"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14:paraId="56BCE03A" w14:textId="77777777" w:rsidTr="00172502">
        <w:trPr>
          <w:trHeight w:val="306"/>
        </w:trPr>
        <w:tc>
          <w:tcPr>
            <w:tcW w:w="1336" w:type="pct"/>
            <w:tcBorders>
              <w:left w:val="nil"/>
              <w:bottom w:val="nil"/>
              <w:right w:val="nil"/>
            </w:tcBorders>
            <w:shd w:val="clear" w:color="000000" w:fill="FFFFFF"/>
            <w:vAlign w:val="center"/>
            <w:hideMark/>
          </w:tcPr>
          <w:p w14:paraId="7D41B64E"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Accidents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ordre électrique à concurrence de 504 071 €</w:t>
            </w:r>
          </w:p>
        </w:tc>
        <w:tc>
          <w:tcPr>
            <w:tcW w:w="493" w:type="pct"/>
            <w:tcBorders>
              <w:left w:val="nil"/>
              <w:bottom w:val="nil"/>
              <w:right w:val="nil"/>
            </w:tcBorders>
            <w:shd w:val="clear" w:color="auto" w:fill="auto"/>
            <w:noWrap/>
            <w:vAlign w:val="bottom"/>
            <w:hideMark/>
          </w:tcPr>
          <w:p w14:paraId="5CFBD2BC"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14:paraId="43D04EA3"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left w:val="nil"/>
              <w:bottom w:val="nil"/>
              <w:right w:val="nil"/>
            </w:tcBorders>
            <w:shd w:val="clear" w:color="auto" w:fill="auto"/>
            <w:vAlign w:val="center"/>
            <w:hideMark/>
          </w:tcPr>
          <w:p w14:paraId="2965A2FA"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vMerge w:val="restart"/>
            <w:tcBorders>
              <w:left w:val="nil"/>
              <w:bottom w:val="nil"/>
              <w:right w:val="nil"/>
            </w:tcBorders>
            <w:shd w:val="clear" w:color="auto" w:fill="auto"/>
            <w:noWrap/>
            <w:hideMark/>
          </w:tcPr>
          <w:p w14:paraId="3B2A098B"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14:paraId="03FF4444" w14:textId="77777777" w:rsidTr="00172502">
        <w:trPr>
          <w:trHeight w:val="149"/>
        </w:trPr>
        <w:tc>
          <w:tcPr>
            <w:tcW w:w="1336" w:type="pct"/>
            <w:tcBorders>
              <w:top w:val="nil"/>
              <w:left w:val="nil"/>
              <w:bottom w:val="nil"/>
              <w:right w:val="nil"/>
            </w:tcBorders>
            <w:shd w:val="clear" w:color="000000" w:fill="FFFFFF"/>
            <w:vAlign w:val="center"/>
            <w:hideMark/>
          </w:tcPr>
          <w:p w14:paraId="26F2FCE5"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auto" w:fill="auto"/>
            <w:noWrap/>
            <w:vAlign w:val="bottom"/>
            <w:hideMark/>
          </w:tcPr>
          <w:p w14:paraId="52DC9F47" w14:textId="77777777"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74D74892" w14:textId="77777777"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14:paraId="02080AD2" w14:textId="77777777" w:rsidR="00172502" w:rsidRPr="00C73365" w:rsidRDefault="00172502" w:rsidP="00A96CCA">
            <w:pPr>
              <w:spacing w:after="0"/>
              <w:jc w:val="center"/>
              <w:rPr>
                <w:rFonts w:asciiTheme="minorHAnsi" w:hAnsiTheme="minorHAnsi" w:cstheme="minorHAnsi"/>
                <w:szCs w:val="20"/>
                <w:lang w:val="fr-FR" w:eastAsia="fr-FR"/>
              </w:rPr>
            </w:pPr>
          </w:p>
        </w:tc>
        <w:tc>
          <w:tcPr>
            <w:tcW w:w="1268" w:type="pct"/>
            <w:vMerge/>
            <w:tcBorders>
              <w:top w:val="nil"/>
              <w:left w:val="nil"/>
              <w:bottom w:val="nil"/>
              <w:right w:val="nil"/>
            </w:tcBorders>
            <w:vAlign w:val="center"/>
            <w:hideMark/>
          </w:tcPr>
          <w:p w14:paraId="0993BE7C"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30056F" w14:paraId="2F10BC1D" w14:textId="77777777" w:rsidTr="00172502">
        <w:trPr>
          <w:trHeight w:val="306"/>
        </w:trPr>
        <w:tc>
          <w:tcPr>
            <w:tcW w:w="1336" w:type="pct"/>
            <w:tcBorders>
              <w:top w:val="nil"/>
              <w:left w:val="nil"/>
              <w:bottom w:val="nil"/>
              <w:right w:val="nil"/>
            </w:tcBorders>
            <w:shd w:val="clear" w:color="000000" w:fill="FFFFFF"/>
            <w:vAlign w:val="center"/>
            <w:hideMark/>
          </w:tcPr>
          <w:p w14:paraId="72EA850F"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Renonciation à recours réciproque contre propriétaire.</w:t>
            </w:r>
          </w:p>
        </w:tc>
        <w:tc>
          <w:tcPr>
            <w:tcW w:w="493" w:type="pct"/>
            <w:tcBorders>
              <w:top w:val="nil"/>
              <w:left w:val="nil"/>
              <w:bottom w:val="nil"/>
              <w:right w:val="nil"/>
            </w:tcBorders>
            <w:shd w:val="clear" w:color="auto" w:fill="auto"/>
            <w:noWrap/>
            <w:vAlign w:val="bottom"/>
            <w:hideMark/>
          </w:tcPr>
          <w:p w14:paraId="29FF9361"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4CC5B7A5" w14:textId="77777777"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14:paraId="582312C0" w14:textId="77777777"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14:paraId="54933979" w14:textId="77777777" w:rsidR="00172502" w:rsidRPr="00C73365" w:rsidRDefault="00172502" w:rsidP="00A96CCA">
            <w:pPr>
              <w:spacing w:after="0"/>
              <w:jc w:val="center"/>
              <w:rPr>
                <w:rFonts w:asciiTheme="minorHAnsi" w:hAnsiTheme="minorHAnsi" w:cstheme="minorHAnsi"/>
                <w:szCs w:val="20"/>
                <w:lang w:val="fr-FR" w:eastAsia="fr-FR"/>
              </w:rPr>
            </w:pPr>
          </w:p>
        </w:tc>
      </w:tr>
      <w:tr w:rsidR="00172502" w:rsidRPr="00C73365" w14:paraId="5753637D" w14:textId="77777777" w:rsidTr="00172502">
        <w:trPr>
          <w:trHeight w:val="306"/>
        </w:trPr>
        <w:tc>
          <w:tcPr>
            <w:tcW w:w="1336" w:type="pct"/>
            <w:tcBorders>
              <w:top w:val="nil"/>
              <w:left w:val="nil"/>
              <w:bottom w:val="nil"/>
              <w:right w:val="nil"/>
            </w:tcBorders>
            <w:shd w:val="clear" w:color="000000" w:fill="FFFFFF"/>
            <w:vAlign w:val="center"/>
            <w:hideMark/>
          </w:tcPr>
          <w:p w14:paraId="300D6041"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Vol (biens, frais et pertes)</w:t>
            </w:r>
          </w:p>
        </w:tc>
        <w:tc>
          <w:tcPr>
            <w:tcW w:w="493" w:type="pct"/>
            <w:tcBorders>
              <w:top w:val="nil"/>
              <w:left w:val="nil"/>
              <w:bottom w:val="nil"/>
              <w:right w:val="nil"/>
            </w:tcBorders>
            <w:shd w:val="clear" w:color="auto" w:fill="auto"/>
            <w:noWrap/>
            <w:vAlign w:val="bottom"/>
            <w:hideMark/>
          </w:tcPr>
          <w:p w14:paraId="0C326E8A"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05C75E35"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w:t>
            </w:r>
          </w:p>
        </w:tc>
        <w:tc>
          <w:tcPr>
            <w:tcW w:w="845" w:type="pct"/>
            <w:tcBorders>
              <w:top w:val="nil"/>
              <w:left w:val="nil"/>
              <w:bottom w:val="nil"/>
              <w:right w:val="nil"/>
            </w:tcBorders>
            <w:shd w:val="clear" w:color="auto" w:fill="auto"/>
            <w:vAlign w:val="center"/>
            <w:hideMark/>
          </w:tcPr>
          <w:p w14:paraId="4C75C1F6"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indemnité (mini. 886€)</w:t>
            </w:r>
          </w:p>
        </w:tc>
        <w:tc>
          <w:tcPr>
            <w:tcW w:w="1268" w:type="pct"/>
            <w:tcBorders>
              <w:top w:val="nil"/>
              <w:left w:val="nil"/>
              <w:bottom w:val="nil"/>
              <w:right w:val="nil"/>
            </w:tcBorders>
            <w:shd w:val="clear" w:color="auto" w:fill="auto"/>
            <w:noWrap/>
            <w:hideMark/>
          </w:tcPr>
          <w:p w14:paraId="5C9EE8BC"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14:paraId="64BB05C2" w14:textId="77777777" w:rsidTr="00172502">
        <w:trPr>
          <w:trHeight w:val="149"/>
        </w:trPr>
        <w:tc>
          <w:tcPr>
            <w:tcW w:w="1336" w:type="pct"/>
            <w:tcBorders>
              <w:top w:val="nil"/>
              <w:left w:val="nil"/>
              <w:bottom w:val="nil"/>
              <w:right w:val="nil"/>
            </w:tcBorders>
            <w:shd w:val="clear" w:color="000000" w:fill="FFFFFF"/>
            <w:vAlign w:val="center"/>
            <w:hideMark/>
          </w:tcPr>
          <w:p w14:paraId="351CA188"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Bris de glaces (biens, frais et pertes)</w:t>
            </w:r>
          </w:p>
        </w:tc>
        <w:tc>
          <w:tcPr>
            <w:tcW w:w="493" w:type="pct"/>
            <w:tcBorders>
              <w:top w:val="nil"/>
              <w:left w:val="nil"/>
              <w:bottom w:val="nil"/>
              <w:right w:val="nil"/>
            </w:tcBorders>
            <w:shd w:val="clear" w:color="auto" w:fill="auto"/>
            <w:noWrap/>
            <w:vAlign w:val="bottom"/>
            <w:hideMark/>
          </w:tcPr>
          <w:p w14:paraId="266DA032"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56A76412"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20 163 €</w:t>
            </w:r>
          </w:p>
        </w:tc>
        <w:tc>
          <w:tcPr>
            <w:tcW w:w="845" w:type="pct"/>
            <w:tcBorders>
              <w:top w:val="nil"/>
              <w:left w:val="nil"/>
              <w:bottom w:val="nil"/>
              <w:right w:val="nil"/>
            </w:tcBorders>
            <w:shd w:val="clear" w:color="auto" w:fill="auto"/>
            <w:vAlign w:val="center"/>
            <w:hideMark/>
          </w:tcPr>
          <w:p w14:paraId="6EB6F26F"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top w:val="nil"/>
              <w:left w:val="nil"/>
              <w:bottom w:val="nil"/>
              <w:right w:val="nil"/>
            </w:tcBorders>
            <w:shd w:val="clear" w:color="auto" w:fill="auto"/>
            <w:noWrap/>
            <w:hideMark/>
          </w:tcPr>
          <w:p w14:paraId="7B7F7BBD"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14:paraId="56A0B22C" w14:textId="77777777" w:rsidTr="00172502">
        <w:trPr>
          <w:trHeight w:val="149"/>
        </w:trPr>
        <w:tc>
          <w:tcPr>
            <w:tcW w:w="1336" w:type="pct"/>
            <w:tcBorders>
              <w:top w:val="nil"/>
              <w:left w:val="nil"/>
              <w:bottom w:val="nil"/>
              <w:right w:val="nil"/>
            </w:tcBorders>
            <w:shd w:val="clear" w:color="000000" w:fill="FFFFFF"/>
            <w:vAlign w:val="center"/>
            <w:hideMark/>
          </w:tcPr>
          <w:p w14:paraId="75D8C64E"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Bris de machines</w:t>
            </w:r>
          </w:p>
        </w:tc>
        <w:tc>
          <w:tcPr>
            <w:tcW w:w="493" w:type="pct"/>
            <w:tcBorders>
              <w:top w:val="nil"/>
              <w:left w:val="nil"/>
              <w:bottom w:val="nil"/>
              <w:right w:val="nil"/>
            </w:tcBorders>
            <w:shd w:val="clear" w:color="auto" w:fill="auto"/>
            <w:noWrap/>
            <w:vAlign w:val="bottom"/>
            <w:hideMark/>
          </w:tcPr>
          <w:p w14:paraId="183C8E95"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6636A180"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302 443 €</w:t>
            </w:r>
          </w:p>
        </w:tc>
        <w:tc>
          <w:tcPr>
            <w:tcW w:w="845" w:type="pct"/>
            <w:tcBorders>
              <w:top w:val="nil"/>
              <w:left w:val="nil"/>
              <w:bottom w:val="nil"/>
              <w:right w:val="nil"/>
            </w:tcBorders>
            <w:shd w:val="clear" w:color="auto" w:fill="auto"/>
            <w:vAlign w:val="center"/>
            <w:hideMark/>
          </w:tcPr>
          <w:p w14:paraId="58DE8E41"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886 €</w:t>
            </w:r>
          </w:p>
        </w:tc>
        <w:tc>
          <w:tcPr>
            <w:tcW w:w="1268" w:type="pct"/>
            <w:tcBorders>
              <w:top w:val="nil"/>
              <w:left w:val="nil"/>
              <w:bottom w:val="nil"/>
              <w:right w:val="nil"/>
            </w:tcBorders>
            <w:shd w:val="clear" w:color="auto" w:fill="auto"/>
            <w:noWrap/>
            <w:hideMark/>
          </w:tcPr>
          <w:p w14:paraId="6D043CE3"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14:paraId="508A3A4D" w14:textId="77777777" w:rsidTr="00172502">
        <w:trPr>
          <w:trHeight w:val="306"/>
        </w:trPr>
        <w:tc>
          <w:tcPr>
            <w:tcW w:w="1336" w:type="pct"/>
            <w:tcBorders>
              <w:top w:val="nil"/>
              <w:left w:val="nil"/>
              <w:bottom w:val="nil"/>
              <w:right w:val="nil"/>
            </w:tcBorders>
            <w:shd w:val="clear" w:color="auto" w:fill="auto"/>
            <w:vAlign w:val="center"/>
            <w:hideMark/>
          </w:tcPr>
          <w:p w14:paraId="6DE0166D"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Pertes de marchandises en installations frigorifiques</w:t>
            </w:r>
          </w:p>
        </w:tc>
        <w:tc>
          <w:tcPr>
            <w:tcW w:w="493" w:type="pct"/>
            <w:tcBorders>
              <w:top w:val="nil"/>
              <w:left w:val="nil"/>
              <w:bottom w:val="nil"/>
              <w:right w:val="nil"/>
            </w:tcBorders>
            <w:shd w:val="clear" w:color="auto" w:fill="auto"/>
            <w:noWrap/>
            <w:vAlign w:val="bottom"/>
            <w:hideMark/>
          </w:tcPr>
          <w:p w14:paraId="48C948A3"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14:paraId="6CF46490"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30 000 €</w:t>
            </w:r>
          </w:p>
        </w:tc>
        <w:tc>
          <w:tcPr>
            <w:tcW w:w="845" w:type="pct"/>
            <w:tcBorders>
              <w:top w:val="nil"/>
              <w:left w:val="nil"/>
              <w:bottom w:val="nil"/>
              <w:right w:val="nil"/>
            </w:tcBorders>
            <w:shd w:val="clear" w:color="auto" w:fill="auto"/>
            <w:vAlign w:val="center"/>
            <w:hideMark/>
          </w:tcPr>
          <w:p w14:paraId="76C2CFDC"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1 773 €</w:t>
            </w:r>
          </w:p>
        </w:tc>
        <w:tc>
          <w:tcPr>
            <w:tcW w:w="1268" w:type="pct"/>
            <w:tcBorders>
              <w:top w:val="nil"/>
              <w:left w:val="nil"/>
              <w:bottom w:val="nil"/>
              <w:right w:val="nil"/>
            </w:tcBorders>
            <w:shd w:val="clear" w:color="auto" w:fill="auto"/>
            <w:noWrap/>
            <w:hideMark/>
          </w:tcPr>
          <w:p w14:paraId="2AAD2C53"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14:paraId="268325F5" w14:textId="77777777" w:rsidTr="00172502">
        <w:trPr>
          <w:trHeight w:val="155"/>
        </w:trPr>
        <w:tc>
          <w:tcPr>
            <w:tcW w:w="1336" w:type="pct"/>
            <w:tcBorders>
              <w:top w:val="nil"/>
              <w:left w:val="nil"/>
              <w:bottom w:val="single" w:sz="8" w:space="0" w:color="7030A0"/>
              <w:right w:val="nil"/>
            </w:tcBorders>
            <w:shd w:val="clear" w:color="000000" w:fill="FFFFFF"/>
            <w:vAlign w:val="center"/>
            <w:hideMark/>
          </w:tcPr>
          <w:p w14:paraId="61EB871E"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de reprise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493" w:type="pct"/>
            <w:tcBorders>
              <w:top w:val="nil"/>
              <w:left w:val="nil"/>
              <w:bottom w:val="single" w:sz="8" w:space="0" w:color="7030A0"/>
              <w:right w:val="nil"/>
            </w:tcBorders>
            <w:shd w:val="clear" w:color="000000" w:fill="FFFFFF"/>
            <w:vAlign w:val="center"/>
            <w:hideMark/>
          </w:tcPr>
          <w:p w14:paraId="23AB805D"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000000" w:fill="FFFFFF"/>
            <w:vAlign w:val="center"/>
            <w:hideMark/>
          </w:tcPr>
          <w:p w14:paraId="056829EF" w14:textId="77777777"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201 629 €</w:t>
            </w:r>
          </w:p>
        </w:tc>
        <w:tc>
          <w:tcPr>
            <w:tcW w:w="845" w:type="pct"/>
            <w:tcBorders>
              <w:top w:val="nil"/>
              <w:left w:val="nil"/>
              <w:bottom w:val="single" w:sz="8" w:space="0" w:color="7030A0"/>
              <w:right w:val="nil"/>
            </w:tcBorders>
            <w:shd w:val="clear" w:color="000000" w:fill="FFFFFF"/>
            <w:vAlign w:val="center"/>
            <w:hideMark/>
          </w:tcPr>
          <w:p w14:paraId="081D6781"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single" w:sz="8" w:space="0" w:color="7030A0"/>
              <w:right w:val="nil"/>
            </w:tcBorders>
            <w:shd w:val="clear" w:color="000000" w:fill="FFFFFF"/>
            <w:vAlign w:val="center"/>
            <w:hideMark/>
          </w:tcPr>
          <w:p w14:paraId="6B1883BF" w14:textId="77777777" w:rsidR="00172502" w:rsidRPr="00C73365" w:rsidRDefault="00172502" w:rsidP="00A96CCA">
            <w:pPr>
              <w:spacing w:after="0"/>
              <w:jc w:val="center"/>
              <w:rPr>
                <w:rFonts w:asciiTheme="minorHAnsi" w:hAnsiTheme="minorHAnsi" w:cstheme="minorHAnsi"/>
                <w:color w:val="000000"/>
                <w:szCs w:val="20"/>
                <w:lang w:val="fr-FR" w:eastAsia="fr-FR"/>
              </w:rPr>
            </w:pPr>
          </w:p>
        </w:tc>
      </w:tr>
    </w:tbl>
    <w:p w14:paraId="1053ED51" w14:textId="77777777" w:rsidR="00D563DE" w:rsidRPr="00C73365" w:rsidRDefault="00D563DE" w:rsidP="00A96CCA">
      <w:pPr>
        <w:spacing w:after="0"/>
        <w:rPr>
          <w:rFonts w:asciiTheme="minorHAnsi" w:hAnsiTheme="minorHAnsi" w:cstheme="minorHAnsi"/>
          <w:lang w:val="fr-FR"/>
        </w:rPr>
      </w:pPr>
    </w:p>
    <w:p w14:paraId="7EC3F093" w14:textId="77777777" w:rsidR="00D563DE" w:rsidRPr="00C73365" w:rsidRDefault="00D563DE" w:rsidP="00A96CCA">
      <w:pPr>
        <w:rPr>
          <w:rFonts w:asciiTheme="minorHAnsi" w:hAnsiTheme="minorHAnsi" w:cstheme="minorHAnsi"/>
          <w:lang w:val="fr-FR"/>
        </w:rPr>
      </w:pPr>
      <w:r w:rsidRPr="00C73365">
        <w:rPr>
          <w:rFonts w:asciiTheme="minorHAnsi" w:hAnsiTheme="minorHAnsi" w:cstheme="minorHAnsi"/>
          <w:lang w:val="fr-FR"/>
        </w:rPr>
        <w:br w:type="page"/>
      </w:r>
    </w:p>
    <w:p w14:paraId="3DF1216D" w14:textId="77777777" w:rsidR="00023BAF" w:rsidRPr="00C73365" w:rsidRDefault="00023BAF">
      <w:pPr>
        <w:rPr>
          <w:rFonts w:asciiTheme="minorHAnsi" w:hAnsiTheme="minorHAnsi" w:cstheme="minorHAnsi"/>
          <w:lang w:val="fr-FR"/>
        </w:rPr>
      </w:pPr>
    </w:p>
    <w:tbl>
      <w:tblPr>
        <w:tblW w:w="9993" w:type="dxa"/>
        <w:tblCellMar>
          <w:left w:w="70" w:type="dxa"/>
          <w:right w:w="70" w:type="dxa"/>
        </w:tblCellMar>
        <w:tblLook w:val="04A0" w:firstRow="1" w:lastRow="0" w:firstColumn="1" w:lastColumn="0" w:noHBand="0" w:noVBand="1"/>
      </w:tblPr>
      <w:tblGrid>
        <w:gridCol w:w="3261"/>
        <w:gridCol w:w="879"/>
        <w:gridCol w:w="113"/>
        <w:gridCol w:w="3118"/>
        <w:gridCol w:w="142"/>
        <w:gridCol w:w="2480"/>
      </w:tblGrid>
      <w:tr w:rsidR="00E566D3" w:rsidRPr="00C73365" w14:paraId="513FBE90" w14:textId="77777777" w:rsidTr="00981866">
        <w:trPr>
          <w:trHeight w:val="445"/>
        </w:trPr>
        <w:tc>
          <w:tcPr>
            <w:tcW w:w="3261" w:type="dxa"/>
            <w:tcBorders>
              <w:top w:val="single" w:sz="12" w:space="0" w:color="7030A0"/>
              <w:left w:val="nil"/>
              <w:bottom w:val="single" w:sz="8" w:space="0" w:color="7030A0"/>
              <w:right w:val="nil"/>
            </w:tcBorders>
            <w:shd w:val="clear" w:color="000000" w:fill="FFFFFF"/>
            <w:vAlign w:val="center"/>
          </w:tcPr>
          <w:p w14:paraId="669C2D55" w14:textId="77777777" w:rsidR="00E566D3" w:rsidRPr="00C73365" w:rsidRDefault="00E566D3"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Type d’assurance</w:t>
            </w:r>
          </w:p>
        </w:tc>
        <w:tc>
          <w:tcPr>
            <w:tcW w:w="879" w:type="dxa"/>
            <w:tcBorders>
              <w:top w:val="single" w:sz="12" w:space="0" w:color="7030A0"/>
              <w:left w:val="nil"/>
              <w:bottom w:val="single" w:sz="8" w:space="0" w:color="7030A0"/>
              <w:right w:val="nil"/>
            </w:tcBorders>
            <w:shd w:val="clear" w:color="000000" w:fill="FFFFFF"/>
            <w:vAlign w:val="center"/>
          </w:tcPr>
          <w:p w14:paraId="108414D0" w14:textId="77777777"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Assureur</w:t>
            </w:r>
          </w:p>
        </w:tc>
        <w:tc>
          <w:tcPr>
            <w:tcW w:w="3373" w:type="dxa"/>
            <w:gridSpan w:val="3"/>
            <w:tcBorders>
              <w:top w:val="single" w:sz="12" w:space="0" w:color="7030A0"/>
              <w:left w:val="nil"/>
              <w:bottom w:val="single" w:sz="8" w:space="0" w:color="7030A0"/>
              <w:right w:val="nil"/>
            </w:tcBorders>
            <w:shd w:val="clear" w:color="000000" w:fill="FFFFFF"/>
            <w:vAlign w:val="center"/>
          </w:tcPr>
          <w:p w14:paraId="361F1780" w14:textId="77777777"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Montants couverts</w:t>
            </w:r>
          </w:p>
        </w:tc>
        <w:tc>
          <w:tcPr>
            <w:tcW w:w="2480" w:type="dxa"/>
            <w:tcBorders>
              <w:top w:val="single" w:sz="12" w:space="0" w:color="7030A0"/>
              <w:left w:val="nil"/>
              <w:bottom w:val="single" w:sz="8" w:space="0" w:color="7030A0"/>
              <w:right w:val="nil"/>
            </w:tcBorders>
            <w:shd w:val="clear" w:color="auto" w:fill="auto"/>
            <w:vAlign w:val="center"/>
          </w:tcPr>
          <w:p w14:paraId="61D55C38" w14:textId="77777777"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Expiration / Renouvellement</w:t>
            </w:r>
          </w:p>
        </w:tc>
      </w:tr>
      <w:tr w:rsidR="00E566D3" w:rsidRPr="00C73365" w14:paraId="5DE01D11" w14:textId="77777777" w:rsidTr="00981866">
        <w:trPr>
          <w:trHeight w:val="202"/>
        </w:trPr>
        <w:tc>
          <w:tcPr>
            <w:tcW w:w="3261" w:type="dxa"/>
            <w:tcBorders>
              <w:top w:val="nil"/>
              <w:left w:val="nil"/>
              <w:bottom w:val="nil"/>
              <w:right w:val="nil"/>
            </w:tcBorders>
            <w:shd w:val="clear" w:color="000000" w:fill="FFFFFF"/>
            <w:hideMark/>
          </w:tcPr>
          <w:p w14:paraId="157E7B93" w14:textId="77777777" w:rsidR="00E566D3" w:rsidRPr="00C73365" w:rsidRDefault="00E566D3"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879" w:type="dxa"/>
            <w:tcBorders>
              <w:top w:val="nil"/>
              <w:left w:val="nil"/>
              <w:bottom w:val="nil"/>
              <w:right w:val="nil"/>
            </w:tcBorders>
            <w:shd w:val="clear" w:color="000000" w:fill="FFFFFF"/>
            <w:hideMark/>
          </w:tcPr>
          <w:p w14:paraId="3057610A" w14:textId="77777777"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QBE</w:t>
            </w:r>
          </w:p>
        </w:tc>
        <w:tc>
          <w:tcPr>
            <w:tcW w:w="3231" w:type="dxa"/>
            <w:gridSpan w:val="2"/>
            <w:tcBorders>
              <w:top w:val="nil"/>
              <w:left w:val="nil"/>
              <w:bottom w:val="nil"/>
              <w:right w:val="nil"/>
            </w:tcBorders>
            <w:shd w:val="clear" w:color="000000" w:fill="FFFFFF"/>
            <w:hideMark/>
          </w:tcPr>
          <w:p w14:paraId="23327DAC" w14:textId="77777777"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250 000 € par personne testée</w:t>
            </w:r>
          </w:p>
        </w:tc>
        <w:tc>
          <w:tcPr>
            <w:tcW w:w="2622" w:type="dxa"/>
            <w:gridSpan w:val="2"/>
            <w:tcBorders>
              <w:top w:val="nil"/>
              <w:left w:val="nil"/>
              <w:bottom w:val="nil"/>
              <w:right w:val="nil"/>
            </w:tcBorders>
            <w:shd w:val="clear" w:color="auto" w:fill="auto"/>
            <w:hideMark/>
          </w:tcPr>
          <w:p w14:paraId="630BFC6F" w14:textId="77777777"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décembre 2018 à 0h01</w:t>
            </w:r>
          </w:p>
        </w:tc>
      </w:tr>
      <w:tr w:rsidR="00E566D3" w:rsidRPr="00C73365" w14:paraId="69C146EF" w14:textId="77777777" w:rsidTr="004C6567">
        <w:trPr>
          <w:trHeight w:val="253"/>
        </w:trPr>
        <w:tc>
          <w:tcPr>
            <w:tcW w:w="3261" w:type="dxa"/>
            <w:tcBorders>
              <w:top w:val="nil"/>
              <w:left w:val="nil"/>
              <w:bottom w:val="single" w:sz="4" w:space="0" w:color="7030A0"/>
              <w:right w:val="nil"/>
            </w:tcBorders>
            <w:shd w:val="clear" w:color="000000" w:fill="FFFFFF"/>
            <w:hideMark/>
          </w:tcPr>
          <w:p w14:paraId="79C800D8" w14:textId="77777777" w:rsidR="00E566D3" w:rsidRPr="00C73365" w:rsidRDefault="00E566D3"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w:t>
            </w:r>
            <w:r w:rsidR="004C6567" w:rsidRPr="00C73365">
              <w:rPr>
                <w:rFonts w:asciiTheme="minorHAnsi" w:hAnsiTheme="minorHAnsi" w:cstheme="minorHAnsi"/>
                <w:color w:val="000000"/>
                <w:szCs w:val="20"/>
                <w:lang w:val="fr-FR" w:eastAsia="fr-FR"/>
              </w:rPr>
              <w:t xml:space="preserve">-005 </w:t>
            </w:r>
            <w:r w:rsidRPr="00C73365">
              <w:rPr>
                <w:rFonts w:asciiTheme="minorHAnsi" w:hAnsiTheme="minorHAnsi" w:cstheme="minorHAnsi"/>
                <w:color w:val="000000"/>
                <w:szCs w:val="20"/>
                <w:lang w:val="fr-FR" w:eastAsia="fr-FR"/>
              </w:rPr>
              <w:t>testé en Espagne</w:t>
            </w:r>
          </w:p>
        </w:tc>
        <w:tc>
          <w:tcPr>
            <w:tcW w:w="992" w:type="dxa"/>
            <w:gridSpan w:val="2"/>
            <w:tcBorders>
              <w:top w:val="nil"/>
              <w:left w:val="nil"/>
              <w:bottom w:val="single" w:sz="4" w:space="0" w:color="7030A0"/>
              <w:right w:val="nil"/>
            </w:tcBorders>
            <w:shd w:val="clear" w:color="000000" w:fill="FFFFFF"/>
            <w:hideMark/>
          </w:tcPr>
          <w:p w14:paraId="08D55F59" w14:textId="77777777" w:rsidR="00E566D3" w:rsidRPr="00C73365" w:rsidRDefault="00E566D3"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hideMark/>
          </w:tcPr>
          <w:p w14:paraId="7CB79CFD" w14:textId="77777777"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2 500 000 € au total</w:t>
            </w:r>
          </w:p>
        </w:tc>
        <w:tc>
          <w:tcPr>
            <w:tcW w:w="2622" w:type="dxa"/>
            <w:gridSpan w:val="2"/>
            <w:tcBorders>
              <w:top w:val="nil"/>
              <w:left w:val="nil"/>
              <w:bottom w:val="single" w:sz="4" w:space="0" w:color="7030A0"/>
              <w:right w:val="nil"/>
            </w:tcBorders>
            <w:shd w:val="clear" w:color="000000" w:fill="FFFFFF"/>
            <w:hideMark/>
          </w:tcPr>
          <w:p w14:paraId="2B0E96F0" w14:textId="77777777" w:rsidR="00E566D3" w:rsidRPr="00C73365" w:rsidRDefault="00E566D3" w:rsidP="00A96CCA">
            <w:pPr>
              <w:spacing w:after="0"/>
              <w:jc w:val="center"/>
              <w:rPr>
                <w:rFonts w:asciiTheme="minorHAnsi" w:hAnsiTheme="minorHAnsi" w:cstheme="minorHAnsi"/>
                <w:color w:val="000000"/>
                <w:szCs w:val="20"/>
                <w:lang w:val="fr-FR" w:eastAsia="fr-FR"/>
              </w:rPr>
            </w:pPr>
          </w:p>
        </w:tc>
      </w:tr>
      <w:tr w:rsidR="001B37CE" w:rsidRPr="00C73365" w14:paraId="2DF908AA" w14:textId="77777777" w:rsidTr="00AE5743">
        <w:trPr>
          <w:trHeight w:val="253"/>
        </w:trPr>
        <w:tc>
          <w:tcPr>
            <w:tcW w:w="3261" w:type="dxa"/>
            <w:tcBorders>
              <w:top w:val="single" w:sz="4" w:space="0" w:color="7030A0"/>
              <w:left w:val="nil"/>
              <w:bottom w:val="nil"/>
              <w:right w:val="nil"/>
            </w:tcBorders>
            <w:shd w:val="clear" w:color="000000" w:fill="FFFFFF"/>
          </w:tcPr>
          <w:p w14:paraId="36CB1F2F" w14:textId="77777777"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14:paraId="2978182E" w14:textId="77777777"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14:paraId="7F4468D6" w14:textId="77777777"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4" w:space="0" w:color="7030A0"/>
              <w:left w:val="nil"/>
              <w:bottom w:val="nil"/>
              <w:right w:val="nil"/>
            </w:tcBorders>
            <w:shd w:val="clear" w:color="000000" w:fill="FFFFFF"/>
          </w:tcPr>
          <w:p w14:paraId="7E76C88F" w14:textId="77777777"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6B119E" w:rsidRPr="00C73365">
              <w:rPr>
                <w:rFonts w:asciiTheme="minorHAnsi" w:hAnsiTheme="minorHAnsi" w:cstheme="minorHAnsi"/>
                <w:color w:val="000000"/>
                <w:szCs w:val="20"/>
                <w:lang w:val="fr-FR" w:eastAsia="fr-FR"/>
              </w:rPr>
              <w:t>septembre</w:t>
            </w:r>
            <w:r w:rsidR="002A5FF3"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2018 à 0h01</w:t>
            </w:r>
          </w:p>
        </w:tc>
      </w:tr>
      <w:tr w:rsidR="001B37CE" w:rsidRPr="00C73365" w14:paraId="6D75E751" w14:textId="77777777" w:rsidTr="004C6567">
        <w:trPr>
          <w:trHeight w:val="253"/>
        </w:trPr>
        <w:tc>
          <w:tcPr>
            <w:tcW w:w="3261" w:type="dxa"/>
            <w:tcBorders>
              <w:top w:val="nil"/>
              <w:left w:val="nil"/>
              <w:bottom w:val="single" w:sz="4" w:space="0" w:color="7030A0"/>
              <w:right w:val="nil"/>
            </w:tcBorders>
            <w:shd w:val="clear" w:color="000000" w:fill="FFFFFF"/>
          </w:tcPr>
          <w:p w14:paraId="45CE3F32" w14:textId="77777777"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France</w:t>
            </w:r>
          </w:p>
        </w:tc>
        <w:tc>
          <w:tcPr>
            <w:tcW w:w="992" w:type="dxa"/>
            <w:gridSpan w:val="2"/>
            <w:tcBorders>
              <w:top w:val="nil"/>
              <w:left w:val="nil"/>
              <w:bottom w:val="single" w:sz="4" w:space="0" w:color="7030A0"/>
              <w:right w:val="nil"/>
            </w:tcBorders>
            <w:shd w:val="clear" w:color="000000" w:fill="FFFFFF"/>
          </w:tcPr>
          <w:p w14:paraId="145B280D" w14:textId="77777777"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14:paraId="081C27C2" w14:textId="77777777"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10 000 000 € au total</w:t>
            </w:r>
          </w:p>
        </w:tc>
        <w:tc>
          <w:tcPr>
            <w:tcW w:w="2622" w:type="dxa"/>
            <w:gridSpan w:val="2"/>
            <w:tcBorders>
              <w:top w:val="nil"/>
              <w:left w:val="nil"/>
              <w:bottom w:val="single" w:sz="4" w:space="0" w:color="7030A0"/>
              <w:right w:val="nil"/>
            </w:tcBorders>
            <w:shd w:val="clear" w:color="000000" w:fill="FFFFFF"/>
          </w:tcPr>
          <w:p w14:paraId="3B2DF752" w14:textId="77777777" w:rsidR="001B37CE" w:rsidRPr="00C73365" w:rsidRDefault="001B37CE" w:rsidP="00A96CCA">
            <w:pPr>
              <w:spacing w:after="0"/>
              <w:jc w:val="center"/>
              <w:rPr>
                <w:rFonts w:asciiTheme="minorHAnsi" w:hAnsiTheme="minorHAnsi" w:cstheme="minorHAnsi"/>
                <w:color w:val="000000"/>
                <w:szCs w:val="20"/>
                <w:lang w:val="fr-FR" w:eastAsia="fr-FR"/>
              </w:rPr>
            </w:pPr>
          </w:p>
        </w:tc>
      </w:tr>
      <w:tr w:rsidR="001B37CE" w:rsidRPr="00C73365" w14:paraId="4A563D9C" w14:textId="77777777" w:rsidTr="004C6567">
        <w:trPr>
          <w:trHeight w:val="253"/>
        </w:trPr>
        <w:tc>
          <w:tcPr>
            <w:tcW w:w="3261" w:type="dxa"/>
            <w:tcBorders>
              <w:top w:val="single" w:sz="4" w:space="0" w:color="7030A0"/>
              <w:left w:val="nil"/>
              <w:bottom w:val="nil"/>
              <w:right w:val="nil"/>
            </w:tcBorders>
            <w:shd w:val="clear" w:color="000000" w:fill="FFFFFF"/>
          </w:tcPr>
          <w:p w14:paraId="5F380928" w14:textId="77777777"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14:paraId="03C431C1" w14:textId="77777777"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14:paraId="18B57402" w14:textId="77777777"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400 000 € par personne testée</w:t>
            </w:r>
          </w:p>
        </w:tc>
        <w:tc>
          <w:tcPr>
            <w:tcW w:w="2622" w:type="dxa"/>
            <w:gridSpan w:val="2"/>
            <w:tcBorders>
              <w:top w:val="single" w:sz="4" w:space="0" w:color="7030A0"/>
              <w:left w:val="nil"/>
              <w:bottom w:val="nil"/>
              <w:right w:val="nil"/>
            </w:tcBorders>
            <w:shd w:val="clear" w:color="000000" w:fill="FFFFFF"/>
          </w:tcPr>
          <w:p w14:paraId="043041BA" w14:textId="77777777" w:rsidR="001B37CE" w:rsidRPr="00C73365" w:rsidRDefault="002A5FF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6B119E" w:rsidRPr="00C73365">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2018 à 0h01</w:t>
            </w:r>
          </w:p>
        </w:tc>
      </w:tr>
      <w:tr w:rsidR="001B37CE" w:rsidRPr="00C73365" w14:paraId="5EE48E2E" w14:textId="77777777" w:rsidTr="004C6567">
        <w:trPr>
          <w:trHeight w:val="253"/>
        </w:trPr>
        <w:tc>
          <w:tcPr>
            <w:tcW w:w="3261" w:type="dxa"/>
            <w:tcBorders>
              <w:top w:val="nil"/>
              <w:left w:val="nil"/>
              <w:bottom w:val="single" w:sz="4" w:space="0" w:color="7030A0"/>
              <w:right w:val="nil"/>
            </w:tcBorders>
            <w:shd w:val="clear" w:color="000000" w:fill="FFFFFF"/>
          </w:tcPr>
          <w:p w14:paraId="6986569F" w14:textId="77777777"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Belgique</w:t>
            </w:r>
          </w:p>
        </w:tc>
        <w:tc>
          <w:tcPr>
            <w:tcW w:w="992" w:type="dxa"/>
            <w:gridSpan w:val="2"/>
            <w:tcBorders>
              <w:top w:val="nil"/>
              <w:left w:val="nil"/>
              <w:bottom w:val="single" w:sz="4" w:space="0" w:color="7030A0"/>
              <w:right w:val="nil"/>
            </w:tcBorders>
            <w:shd w:val="clear" w:color="000000" w:fill="FFFFFF"/>
          </w:tcPr>
          <w:p w14:paraId="61B60081" w14:textId="77777777"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14:paraId="1E3E408A" w14:textId="77777777"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3 000 000 € au total</w:t>
            </w:r>
          </w:p>
        </w:tc>
        <w:tc>
          <w:tcPr>
            <w:tcW w:w="2622" w:type="dxa"/>
            <w:gridSpan w:val="2"/>
            <w:tcBorders>
              <w:top w:val="nil"/>
              <w:left w:val="nil"/>
              <w:bottom w:val="single" w:sz="4" w:space="0" w:color="7030A0"/>
              <w:right w:val="nil"/>
            </w:tcBorders>
            <w:shd w:val="clear" w:color="000000" w:fill="FFFFFF"/>
          </w:tcPr>
          <w:p w14:paraId="553EA248" w14:textId="77777777" w:rsidR="001B37CE" w:rsidRPr="00C73365" w:rsidRDefault="001B37CE" w:rsidP="00A96CCA">
            <w:pPr>
              <w:spacing w:after="0"/>
              <w:jc w:val="center"/>
              <w:rPr>
                <w:rFonts w:asciiTheme="minorHAnsi" w:hAnsiTheme="minorHAnsi" w:cstheme="minorHAnsi"/>
                <w:color w:val="000000"/>
                <w:szCs w:val="20"/>
                <w:lang w:val="fr-FR" w:eastAsia="fr-FR"/>
              </w:rPr>
            </w:pPr>
          </w:p>
        </w:tc>
      </w:tr>
      <w:tr w:rsidR="001B37CE" w:rsidRPr="00C73365" w14:paraId="7DBF8E0D" w14:textId="77777777" w:rsidTr="004C6567">
        <w:trPr>
          <w:trHeight w:val="253"/>
        </w:trPr>
        <w:tc>
          <w:tcPr>
            <w:tcW w:w="3261" w:type="dxa"/>
            <w:tcBorders>
              <w:top w:val="single" w:sz="4" w:space="0" w:color="7030A0"/>
              <w:left w:val="nil"/>
              <w:bottom w:val="nil"/>
              <w:right w:val="nil"/>
            </w:tcBorders>
            <w:shd w:val="clear" w:color="000000" w:fill="FFFFFF"/>
          </w:tcPr>
          <w:p w14:paraId="012F5561" w14:textId="77777777"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14:paraId="0FEB157A" w14:textId="77777777"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14:paraId="48A39561" w14:textId="77777777"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 par personne testée</w:t>
            </w:r>
          </w:p>
        </w:tc>
        <w:tc>
          <w:tcPr>
            <w:tcW w:w="2622" w:type="dxa"/>
            <w:gridSpan w:val="2"/>
            <w:tcBorders>
              <w:top w:val="single" w:sz="4" w:space="0" w:color="7030A0"/>
              <w:left w:val="nil"/>
              <w:bottom w:val="nil"/>
              <w:right w:val="nil"/>
            </w:tcBorders>
            <w:shd w:val="clear" w:color="000000" w:fill="FFFFFF"/>
          </w:tcPr>
          <w:p w14:paraId="46A68816" w14:textId="77777777" w:rsidR="001B37CE" w:rsidRPr="00C73365" w:rsidRDefault="002A5FF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6B119E" w:rsidRPr="00C73365">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2018 à 0h01</w:t>
            </w:r>
          </w:p>
        </w:tc>
      </w:tr>
      <w:tr w:rsidR="001B37CE" w:rsidRPr="00C73365" w14:paraId="4C1FC81E" w14:textId="77777777" w:rsidTr="00AE5743">
        <w:trPr>
          <w:trHeight w:val="253"/>
        </w:trPr>
        <w:tc>
          <w:tcPr>
            <w:tcW w:w="3261" w:type="dxa"/>
            <w:tcBorders>
              <w:top w:val="nil"/>
              <w:left w:val="nil"/>
              <w:bottom w:val="single" w:sz="8" w:space="0" w:color="7030A0"/>
              <w:right w:val="nil"/>
            </w:tcBorders>
            <w:shd w:val="clear" w:color="000000" w:fill="FFFFFF"/>
          </w:tcPr>
          <w:p w14:paraId="38B995AA" w14:textId="77777777"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Pologne</w:t>
            </w:r>
          </w:p>
        </w:tc>
        <w:tc>
          <w:tcPr>
            <w:tcW w:w="992" w:type="dxa"/>
            <w:gridSpan w:val="2"/>
            <w:tcBorders>
              <w:top w:val="nil"/>
              <w:left w:val="nil"/>
              <w:bottom w:val="single" w:sz="8" w:space="0" w:color="7030A0"/>
              <w:right w:val="nil"/>
            </w:tcBorders>
            <w:shd w:val="clear" w:color="000000" w:fill="FFFFFF"/>
          </w:tcPr>
          <w:p w14:paraId="42AF67DC" w14:textId="77777777"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14:paraId="5E30393D" w14:textId="77777777" w:rsidR="001B37CE" w:rsidRPr="00C73365" w:rsidRDefault="001B37CE" w:rsidP="00A96CCA">
            <w:pPr>
              <w:spacing w:after="0"/>
              <w:jc w:val="center"/>
              <w:rPr>
                <w:rFonts w:asciiTheme="minorHAnsi" w:hAnsiTheme="minorHAnsi" w:cstheme="minorHAnsi"/>
                <w:color w:val="000000"/>
                <w:szCs w:val="20"/>
                <w:lang w:val="fr-FR" w:eastAsia="fr-FR"/>
              </w:rPr>
            </w:pPr>
          </w:p>
        </w:tc>
        <w:tc>
          <w:tcPr>
            <w:tcW w:w="2622" w:type="dxa"/>
            <w:gridSpan w:val="2"/>
            <w:tcBorders>
              <w:top w:val="nil"/>
              <w:left w:val="nil"/>
              <w:bottom w:val="single" w:sz="8" w:space="0" w:color="7030A0"/>
              <w:right w:val="nil"/>
            </w:tcBorders>
            <w:shd w:val="clear" w:color="000000" w:fill="FFFFFF"/>
          </w:tcPr>
          <w:p w14:paraId="7B10BC96" w14:textId="77777777" w:rsidR="001B37CE" w:rsidRPr="00C73365" w:rsidRDefault="001B37CE" w:rsidP="00A96CCA">
            <w:pPr>
              <w:spacing w:after="0"/>
              <w:jc w:val="center"/>
              <w:rPr>
                <w:rFonts w:asciiTheme="minorHAnsi" w:hAnsiTheme="minorHAnsi" w:cstheme="minorHAnsi"/>
                <w:color w:val="000000"/>
                <w:szCs w:val="20"/>
                <w:lang w:val="fr-FR" w:eastAsia="fr-FR"/>
              </w:rPr>
            </w:pPr>
          </w:p>
        </w:tc>
      </w:tr>
      <w:tr w:rsidR="004F69B4" w:rsidRPr="00C73365" w14:paraId="3515F968" w14:textId="77777777" w:rsidTr="00AE5743">
        <w:trPr>
          <w:trHeight w:val="253"/>
        </w:trPr>
        <w:tc>
          <w:tcPr>
            <w:tcW w:w="3261" w:type="dxa"/>
            <w:tcBorders>
              <w:top w:val="single" w:sz="8" w:space="0" w:color="7030A0"/>
              <w:left w:val="nil"/>
              <w:right w:val="nil"/>
            </w:tcBorders>
            <w:shd w:val="clear" w:color="000000" w:fill="FFFFFF"/>
          </w:tcPr>
          <w:p w14:paraId="7A4D0A06" w14:textId="77777777"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14:paraId="7886944B"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14:paraId="5DF3F4DC" w14:textId="77777777" w:rsidR="004F69B4" w:rsidRPr="00C73365" w:rsidRDefault="00AD2C40"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w:t>
            </w:r>
            <w:r w:rsidR="004F69B4" w:rsidRPr="00C73365">
              <w:rPr>
                <w:rFonts w:asciiTheme="minorHAnsi" w:hAnsiTheme="minorHAnsi" w:cstheme="minorHAnsi"/>
                <w:color w:val="000000"/>
                <w:szCs w:val="20"/>
                <w:lang w:val="fr-FR" w:eastAsia="fr-FR"/>
              </w:rPr>
              <w:t>00 000 € par personne testée</w:t>
            </w:r>
          </w:p>
        </w:tc>
        <w:tc>
          <w:tcPr>
            <w:tcW w:w="2622" w:type="dxa"/>
            <w:gridSpan w:val="2"/>
            <w:tcBorders>
              <w:top w:val="single" w:sz="8" w:space="0" w:color="7030A0"/>
              <w:left w:val="nil"/>
              <w:right w:val="nil"/>
            </w:tcBorders>
            <w:shd w:val="clear" w:color="000000" w:fill="FFFFFF"/>
          </w:tcPr>
          <w:p w14:paraId="73058040"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14:paraId="45F3BCA7" w14:textId="77777777" w:rsidTr="00AE5743">
        <w:trPr>
          <w:trHeight w:val="253"/>
        </w:trPr>
        <w:tc>
          <w:tcPr>
            <w:tcW w:w="3261" w:type="dxa"/>
            <w:tcBorders>
              <w:left w:val="nil"/>
              <w:bottom w:val="single" w:sz="8" w:space="0" w:color="7030A0"/>
              <w:right w:val="nil"/>
            </w:tcBorders>
            <w:shd w:val="clear" w:color="000000" w:fill="FFFFFF"/>
          </w:tcPr>
          <w:p w14:paraId="270DE2D3" w14:textId="77777777"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Pologne</w:t>
            </w:r>
          </w:p>
        </w:tc>
        <w:tc>
          <w:tcPr>
            <w:tcW w:w="992" w:type="dxa"/>
            <w:gridSpan w:val="2"/>
            <w:tcBorders>
              <w:left w:val="nil"/>
              <w:bottom w:val="single" w:sz="8" w:space="0" w:color="7030A0"/>
              <w:right w:val="nil"/>
            </w:tcBorders>
            <w:shd w:val="clear" w:color="000000" w:fill="FFFFFF"/>
          </w:tcPr>
          <w:p w14:paraId="5AC37C89"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left w:val="nil"/>
              <w:bottom w:val="single" w:sz="8" w:space="0" w:color="7030A0"/>
              <w:right w:val="nil"/>
            </w:tcBorders>
            <w:shd w:val="clear" w:color="000000" w:fill="FFFFFF"/>
            <w:noWrap/>
          </w:tcPr>
          <w:p w14:paraId="188D8357"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c>
          <w:tcPr>
            <w:tcW w:w="2622" w:type="dxa"/>
            <w:gridSpan w:val="2"/>
            <w:tcBorders>
              <w:left w:val="nil"/>
              <w:bottom w:val="single" w:sz="8" w:space="0" w:color="7030A0"/>
              <w:right w:val="nil"/>
            </w:tcBorders>
            <w:shd w:val="clear" w:color="000000" w:fill="FFFFFF"/>
          </w:tcPr>
          <w:p w14:paraId="07F465D8"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14:paraId="541F32E7" w14:textId="77777777" w:rsidTr="00AE5743">
        <w:trPr>
          <w:trHeight w:val="253"/>
        </w:trPr>
        <w:tc>
          <w:tcPr>
            <w:tcW w:w="3261" w:type="dxa"/>
            <w:tcBorders>
              <w:top w:val="single" w:sz="8" w:space="0" w:color="7030A0"/>
              <w:left w:val="nil"/>
              <w:right w:val="nil"/>
            </w:tcBorders>
            <w:shd w:val="clear" w:color="000000" w:fill="FFFFFF"/>
          </w:tcPr>
          <w:p w14:paraId="32991A73" w14:textId="77777777" w:rsidR="004F69B4" w:rsidRPr="00C73365" w:rsidRDefault="004F69B4" w:rsidP="00A96CCA">
            <w:pPr>
              <w:spacing w:after="0"/>
              <w:rPr>
                <w:rFonts w:asciiTheme="minorHAnsi" w:hAnsiTheme="minorHAnsi" w:cstheme="minorHAnsi"/>
                <w:b/>
                <w:color w:val="000000"/>
                <w:szCs w:val="20"/>
                <w:lang w:val="fr-FR" w:eastAsia="fr-FR"/>
              </w:rPr>
            </w:pPr>
            <w:bookmarkStart w:id="108" w:name="_Toc482087291"/>
            <w:bookmarkStart w:id="109" w:name="_Toc482089531"/>
            <w:bookmarkStart w:id="110" w:name="_Toc482090839"/>
            <w:bookmarkStart w:id="111" w:name="_Toc482174866"/>
            <w:bookmarkStart w:id="112" w:name="_Toc482175011"/>
            <w:bookmarkStart w:id="113" w:name="_Toc482188527"/>
            <w:bookmarkEnd w:id="108"/>
            <w:bookmarkEnd w:id="109"/>
            <w:bookmarkEnd w:id="110"/>
            <w:bookmarkEnd w:id="111"/>
            <w:bookmarkEnd w:id="112"/>
            <w:bookmarkEnd w:id="113"/>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14:paraId="36988811"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14:paraId="14A8C94C"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8" w:space="0" w:color="7030A0"/>
              <w:left w:val="nil"/>
              <w:right w:val="nil"/>
            </w:tcBorders>
            <w:shd w:val="clear" w:color="000000" w:fill="FFFFFF"/>
          </w:tcPr>
          <w:p w14:paraId="2A3F2946"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14:paraId="5080C194" w14:textId="77777777" w:rsidTr="0017682C">
        <w:trPr>
          <w:trHeight w:val="253"/>
        </w:trPr>
        <w:tc>
          <w:tcPr>
            <w:tcW w:w="3261" w:type="dxa"/>
            <w:tcBorders>
              <w:top w:val="nil"/>
              <w:left w:val="nil"/>
              <w:bottom w:val="single" w:sz="8" w:space="0" w:color="7030A0"/>
              <w:right w:val="nil"/>
            </w:tcBorders>
            <w:shd w:val="clear" w:color="000000" w:fill="FFFFFF"/>
          </w:tcPr>
          <w:p w14:paraId="4BF0A4E7" w14:textId="77777777"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République Tchèque</w:t>
            </w:r>
          </w:p>
        </w:tc>
        <w:tc>
          <w:tcPr>
            <w:tcW w:w="992" w:type="dxa"/>
            <w:gridSpan w:val="2"/>
            <w:tcBorders>
              <w:top w:val="nil"/>
              <w:left w:val="nil"/>
              <w:bottom w:val="single" w:sz="8" w:space="0" w:color="7030A0"/>
              <w:right w:val="nil"/>
            </w:tcBorders>
            <w:shd w:val="clear" w:color="000000" w:fill="FFFFFF"/>
          </w:tcPr>
          <w:p w14:paraId="69F31BB7"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14:paraId="2E7B279A"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au total</w:t>
            </w:r>
          </w:p>
        </w:tc>
        <w:tc>
          <w:tcPr>
            <w:tcW w:w="2622" w:type="dxa"/>
            <w:gridSpan w:val="2"/>
            <w:tcBorders>
              <w:top w:val="nil"/>
              <w:left w:val="nil"/>
              <w:bottom w:val="single" w:sz="8" w:space="0" w:color="7030A0"/>
              <w:right w:val="nil"/>
            </w:tcBorders>
            <w:shd w:val="clear" w:color="000000" w:fill="FFFFFF"/>
          </w:tcPr>
          <w:p w14:paraId="45AB1CE8"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14:paraId="69D75621" w14:textId="77777777" w:rsidTr="00AE5743">
        <w:trPr>
          <w:trHeight w:val="253"/>
        </w:trPr>
        <w:tc>
          <w:tcPr>
            <w:tcW w:w="3261" w:type="dxa"/>
            <w:tcBorders>
              <w:top w:val="nil"/>
              <w:left w:val="nil"/>
              <w:right w:val="nil"/>
            </w:tcBorders>
            <w:shd w:val="clear" w:color="000000" w:fill="FFFFFF"/>
          </w:tcPr>
          <w:p w14:paraId="768F27AC" w14:textId="77777777"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nil"/>
              <w:left w:val="nil"/>
              <w:right w:val="nil"/>
            </w:tcBorders>
            <w:shd w:val="clear" w:color="000000" w:fill="FFFFFF"/>
          </w:tcPr>
          <w:p w14:paraId="6CF1FAAD"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nil"/>
              <w:left w:val="nil"/>
              <w:right w:val="nil"/>
            </w:tcBorders>
            <w:shd w:val="clear" w:color="000000" w:fill="FFFFFF"/>
            <w:noWrap/>
          </w:tcPr>
          <w:p w14:paraId="1A2AAF2B"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 par personne testée</w:t>
            </w:r>
          </w:p>
        </w:tc>
        <w:tc>
          <w:tcPr>
            <w:tcW w:w="2622" w:type="dxa"/>
            <w:gridSpan w:val="2"/>
            <w:tcBorders>
              <w:top w:val="nil"/>
              <w:left w:val="nil"/>
              <w:right w:val="nil"/>
            </w:tcBorders>
            <w:shd w:val="clear" w:color="000000" w:fill="FFFFFF"/>
          </w:tcPr>
          <w:p w14:paraId="728EC2E2"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14:paraId="2B4217AB" w14:textId="77777777" w:rsidTr="004C69C6">
        <w:trPr>
          <w:trHeight w:val="253"/>
        </w:trPr>
        <w:tc>
          <w:tcPr>
            <w:tcW w:w="3261" w:type="dxa"/>
            <w:tcBorders>
              <w:top w:val="nil"/>
              <w:left w:val="nil"/>
              <w:bottom w:val="single" w:sz="8" w:space="0" w:color="7030A0"/>
              <w:right w:val="nil"/>
            </w:tcBorders>
            <w:shd w:val="clear" w:color="000000" w:fill="FFFFFF"/>
          </w:tcPr>
          <w:p w14:paraId="05101DE9" w14:textId="77777777"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Allemagne</w:t>
            </w:r>
          </w:p>
        </w:tc>
        <w:tc>
          <w:tcPr>
            <w:tcW w:w="992" w:type="dxa"/>
            <w:gridSpan w:val="2"/>
            <w:tcBorders>
              <w:top w:val="nil"/>
              <w:left w:val="nil"/>
              <w:bottom w:val="single" w:sz="8" w:space="0" w:color="7030A0"/>
              <w:right w:val="nil"/>
            </w:tcBorders>
            <w:shd w:val="clear" w:color="000000" w:fill="FFFFFF"/>
          </w:tcPr>
          <w:p w14:paraId="56583907"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14:paraId="1190A307"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au total</w:t>
            </w:r>
          </w:p>
        </w:tc>
        <w:tc>
          <w:tcPr>
            <w:tcW w:w="2622" w:type="dxa"/>
            <w:gridSpan w:val="2"/>
            <w:tcBorders>
              <w:top w:val="nil"/>
              <w:left w:val="nil"/>
              <w:bottom w:val="single" w:sz="8" w:space="0" w:color="7030A0"/>
              <w:right w:val="nil"/>
            </w:tcBorders>
            <w:shd w:val="clear" w:color="000000" w:fill="FFFFFF"/>
          </w:tcPr>
          <w:p w14:paraId="74CB0314"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14:paraId="3C9FE7F9" w14:textId="77777777" w:rsidTr="004C69C6">
        <w:trPr>
          <w:trHeight w:val="253"/>
        </w:trPr>
        <w:tc>
          <w:tcPr>
            <w:tcW w:w="3261" w:type="dxa"/>
            <w:tcBorders>
              <w:top w:val="single" w:sz="8" w:space="0" w:color="7030A0"/>
              <w:left w:val="nil"/>
              <w:right w:val="nil"/>
            </w:tcBorders>
            <w:shd w:val="clear" w:color="000000" w:fill="FFFFFF"/>
          </w:tcPr>
          <w:p w14:paraId="2192C946" w14:textId="77777777"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14:paraId="17404737"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14:paraId="17F8D915"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250 000 € par personne testée</w:t>
            </w:r>
          </w:p>
        </w:tc>
        <w:tc>
          <w:tcPr>
            <w:tcW w:w="2622" w:type="dxa"/>
            <w:gridSpan w:val="2"/>
            <w:tcBorders>
              <w:top w:val="single" w:sz="8" w:space="0" w:color="7030A0"/>
              <w:left w:val="nil"/>
              <w:right w:val="nil"/>
            </w:tcBorders>
            <w:shd w:val="clear" w:color="000000" w:fill="FFFFFF"/>
          </w:tcPr>
          <w:p w14:paraId="40ACB4C6"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1B0002" w:rsidRPr="00C73365">
              <w:rPr>
                <w:rFonts w:asciiTheme="minorHAnsi" w:hAnsiTheme="minorHAnsi" w:cstheme="minorHAnsi"/>
                <w:color w:val="000000"/>
                <w:szCs w:val="20"/>
                <w:lang w:val="fr-FR" w:eastAsia="fr-FR"/>
              </w:rPr>
              <w:t>novembre</w:t>
            </w:r>
            <w:r w:rsidRPr="00C73365">
              <w:rPr>
                <w:rFonts w:asciiTheme="minorHAnsi" w:hAnsiTheme="minorHAnsi" w:cstheme="minorHAnsi"/>
                <w:color w:val="000000"/>
                <w:szCs w:val="20"/>
                <w:lang w:val="fr-FR" w:eastAsia="fr-FR"/>
              </w:rPr>
              <w:t xml:space="preserve"> 2018 à 0h01</w:t>
            </w:r>
          </w:p>
        </w:tc>
      </w:tr>
      <w:tr w:rsidR="004F69B4" w:rsidRPr="00C73365" w14:paraId="0C63C6A2" w14:textId="77777777" w:rsidTr="004C69C6">
        <w:trPr>
          <w:trHeight w:val="253"/>
        </w:trPr>
        <w:tc>
          <w:tcPr>
            <w:tcW w:w="3261" w:type="dxa"/>
            <w:tcBorders>
              <w:top w:val="nil"/>
              <w:left w:val="nil"/>
              <w:bottom w:val="single" w:sz="8" w:space="0" w:color="7030A0"/>
              <w:right w:val="nil"/>
            </w:tcBorders>
            <w:shd w:val="clear" w:color="000000" w:fill="FFFFFF"/>
          </w:tcPr>
          <w:p w14:paraId="5D92FF57" w14:textId="77777777"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Espagne</w:t>
            </w:r>
          </w:p>
        </w:tc>
        <w:tc>
          <w:tcPr>
            <w:tcW w:w="992" w:type="dxa"/>
            <w:gridSpan w:val="2"/>
            <w:tcBorders>
              <w:top w:val="nil"/>
              <w:left w:val="nil"/>
              <w:bottom w:val="single" w:sz="8" w:space="0" w:color="7030A0"/>
              <w:right w:val="nil"/>
            </w:tcBorders>
            <w:shd w:val="clear" w:color="000000" w:fill="FFFFFF"/>
          </w:tcPr>
          <w:p w14:paraId="6B5A9C2C"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14:paraId="0E262F96"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2 500 000 € au total</w:t>
            </w:r>
          </w:p>
        </w:tc>
        <w:tc>
          <w:tcPr>
            <w:tcW w:w="2622" w:type="dxa"/>
            <w:gridSpan w:val="2"/>
            <w:tcBorders>
              <w:top w:val="nil"/>
              <w:left w:val="nil"/>
              <w:bottom w:val="single" w:sz="8" w:space="0" w:color="7030A0"/>
              <w:right w:val="nil"/>
            </w:tcBorders>
            <w:shd w:val="clear" w:color="000000" w:fill="FFFFFF"/>
          </w:tcPr>
          <w:p w14:paraId="69FC3AAC"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14:paraId="7847D37D" w14:textId="77777777" w:rsidTr="004C69C6">
        <w:trPr>
          <w:trHeight w:val="253"/>
        </w:trPr>
        <w:tc>
          <w:tcPr>
            <w:tcW w:w="3261" w:type="dxa"/>
            <w:tcBorders>
              <w:top w:val="single" w:sz="8" w:space="0" w:color="7030A0"/>
              <w:left w:val="nil"/>
              <w:right w:val="nil"/>
            </w:tcBorders>
            <w:shd w:val="clear" w:color="000000" w:fill="FFFFFF"/>
          </w:tcPr>
          <w:p w14:paraId="6AC7E8C6" w14:textId="77777777"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14:paraId="1239EF6A"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14:paraId="53A2762C"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 par personne testée</w:t>
            </w:r>
          </w:p>
        </w:tc>
        <w:tc>
          <w:tcPr>
            <w:tcW w:w="2622" w:type="dxa"/>
            <w:gridSpan w:val="2"/>
            <w:tcBorders>
              <w:top w:val="single" w:sz="8" w:space="0" w:color="7030A0"/>
              <w:left w:val="nil"/>
              <w:right w:val="nil"/>
            </w:tcBorders>
            <w:shd w:val="clear" w:color="000000" w:fill="FFFFFF"/>
          </w:tcPr>
          <w:p w14:paraId="1A9C4676"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14:paraId="37B5DA6F" w14:textId="77777777" w:rsidTr="00AE5743">
        <w:trPr>
          <w:trHeight w:val="253"/>
        </w:trPr>
        <w:tc>
          <w:tcPr>
            <w:tcW w:w="3261" w:type="dxa"/>
            <w:tcBorders>
              <w:top w:val="nil"/>
              <w:left w:val="nil"/>
              <w:bottom w:val="single" w:sz="8" w:space="0" w:color="7030A0"/>
              <w:right w:val="nil"/>
            </w:tcBorders>
            <w:shd w:val="clear" w:color="000000" w:fill="FFFFFF"/>
          </w:tcPr>
          <w:p w14:paraId="76894C35" w14:textId="77777777"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Hongrie</w:t>
            </w:r>
          </w:p>
        </w:tc>
        <w:tc>
          <w:tcPr>
            <w:tcW w:w="992" w:type="dxa"/>
            <w:gridSpan w:val="2"/>
            <w:tcBorders>
              <w:top w:val="nil"/>
              <w:left w:val="nil"/>
              <w:bottom w:val="single" w:sz="8" w:space="0" w:color="7030A0"/>
              <w:right w:val="nil"/>
            </w:tcBorders>
            <w:shd w:val="clear" w:color="000000" w:fill="FFFFFF"/>
          </w:tcPr>
          <w:p w14:paraId="0C3D7961"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14:paraId="2D6635E9"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au total</w:t>
            </w:r>
          </w:p>
        </w:tc>
        <w:tc>
          <w:tcPr>
            <w:tcW w:w="2622" w:type="dxa"/>
            <w:gridSpan w:val="2"/>
            <w:tcBorders>
              <w:top w:val="nil"/>
              <w:left w:val="nil"/>
              <w:bottom w:val="single" w:sz="8" w:space="0" w:color="7030A0"/>
              <w:right w:val="nil"/>
            </w:tcBorders>
            <w:shd w:val="clear" w:color="000000" w:fill="FFFFFF"/>
          </w:tcPr>
          <w:p w14:paraId="452F03E9"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14:paraId="329D4DDB" w14:textId="77777777" w:rsidTr="001B37CE">
        <w:trPr>
          <w:trHeight w:val="253"/>
        </w:trPr>
        <w:tc>
          <w:tcPr>
            <w:tcW w:w="3261" w:type="dxa"/>
            <w:tcBorders>
              <w:top w:val="single" w:sz="8" w:space="0" w:color="7030A0"/>
              <w:left w:val="nil"/>
              <w:right w:val="nil"/>
            </w:tcBorders>
            <w:shd w:val="clear" w:color="000000" w:fill="FFFFFF"/>
          </w:tcPr>
          <w:p w14:paraId="5689B787" w14:textId="77777777"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14:paraId="7C52A2C3"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14:paraId="093B0230" w14:textId="77777777" w:rsidR="004F69B4" w:rsidRPr="00C73365" w:rsidRDefault="001B00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r w:rsidR="004F69B4" w:rsidRPr="00C73365">
              <w:rPr>
                <w:rFonts w:asciiTheme="minorHAnsi" w:hAnsiTheme="minorHAnsi" w:cstheme="minorHAnsi"/>
                <w:color w:val="000000"/>
                <w:szCs w:val="20"/>
                <w:lang w:val="fr-FR" w:eastAsia="fr-FR"/>
              </w:rPr>
              <w:t>00 000 € par personne testée</w:t>
            </w:r>
          </w:p>
        </w:tc>
        <w:tc>
          <w:tcPr>
            <w:tcW w:w="2622" w:type="dxa"/>
            <w:gridSpan w:val="2"/>
            <w:tcBorders>
              <w:top w:val="single" w:sz="8" w:space="0" w:color="7030A0"/>
              <w:left w:val="nil"/>
              <w:right w:val="nil"/>
            </w:tcBorders>
            <w:shd w:val="clear" w:color="000000" w:fill="FFFFFF"/>
          </w:tcPr>
          <w:p w14:paraId="37CF9BEB"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février 2019 à 0h01</w:t>
            </w:r>
          </w:p>
        </w:tc>
      </w:tr>
      <w:tr w:rsidR="004F69B4" w:rsidRPr="00C73365" w14:paraId="1C8BA712" w14:textId="77777777" w:rsidTr="00AE5743">
        <w:trPr>
          <w:trHeight w:val="253"/>
        </w:trPr>
        <w:tc>
          <w:tcPr>
            <w:tcW w:w="3261" w:type="dxa"/>
            <w:tcBorders>
              <w:left w:val="nil"/>
              <w:bottom w:val="single" w:sz="8" w:space="0" w:color="7030A0"/>
              <w:right w:val="nil"/>
            </w:tcBorders>
            <w:shd w:val="clear" w:color="000000" w:fill="FFFFFF"/>
          </w:tcPr>
          <w:p w14:paraId="57C088F9" w14:textId="77777777"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Autriche</w:t>
            </w:r>
          </w:p>
        </w:tc>
        <w:tc>
          <w:tcPr>
            <w:tcW w:w="992" w:type="dxa"/>
            <w:gridSpan w:val="2"/>
            <w:tcBorders>
              <w:left w:val="nil"/>
              <w:bottom w:val="single" w:sz="8" w:space="0" w:color="7030A0"/>
              <w:right w:val="nil"/>
            </w:tcBorders>
            <w:shd w:val="clear" w:color="000000" w:fill="FFFFFF"/>
          </w:tcPr>
          <w:p w14:paraId="10539E10"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left w:val="nil"/>
              <w:bottom w:val="single" w:sz="8" w:space="0" w:color="7030A0"/>
              <w:right w:val="nil"/>
            </w:tcBorders>
            <w:shd w:val="clear" w:color="000000" w:fill="FFFFFF"/>
            <w:noWrap/>
          </w:tcPr>
          <w:p w14:paraId="72E38AF9" w14:textId="77777777" w:rsidR="004F69B4" w:rsidRPr="00C73365" w:rsidRDefault="001B00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w:t>
            </w:r>
            <w:r w:rsidR="004F69B4" w:rsidRPr="00C73365">
              <w:rPr>
                <w:rFonts w:asciiTheme="minorHAnsi" w:hAnsiTheme="minorHAnsi" w:cstheme="minorHAnsi"/>
                <w:color w:val="000000"/>
                <w:szCs w:val="20"/>
                <w:lang w:val="fr-FR" w:eastAsia="fr-FR"/>
              </w:rPr>
              <w:t> 000 000 € au total</w:t>
            </w:r>
          </w:p>
        </w:tc>
        <w:tc>
          <w:tcPr>
            <w:tcW w:w="2622" w:type="dxa"/>
            <w:gridSpan w:val="2"/>
            <w:tcBorders>
              <w:left w:val="nil"/>
              <w:bottom w:val="single" w:sz="8" w:space="0" w:color="7030A0"/>
              <w:right w:val="nil"/>
            </w:tcBorders>
            <w:shd w:val="clear" w:color="000000" w:fill="FFFFFF"/>
          </w:tcPr>
          <w:p w14:paraId="1E577762"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14:paraId="483B5A4B" w14:textId="77777777" w:rsidTr="00AD2C40">
        <w:trPr>
          <w:trHeight w:val="253"/>
        </w:trPr>
        <w:tc>
          <w:tcPr>
            <w:tcW w:w="3261" w:type="dxa"/>
            <w:tcBorders>
              <w:top w:val="single" w:sz="4" w:space="0" w:color="7030A0"/>
              <w:left w:val="nil"/>
              <w:bottom w:val="nil"/>
              <w:right w:val="nil"/>
            </w:tcBorders>
            <w:shd w:val="clear" w:color="000000" w:fill="FFFFFF"/>
          </w:tcPr>
          <w:p w14:paraId="3495276B" w14:textId="77777777" w:rsidR="004F69B4" w:rsidRPr="00C73365" w:rsidRDefault="004F69B4" w:rsidP="00A96CCA">
            <w:pPr>
              <w:spacing w:after="0"/>
              <w:rPr>
                <w:rFonts w:asciiTheme="minorHAnsi" w:hAnsiTheme="minorHAnsi" w:cstheme="minorHAnsi"/>
                <w:color w:val="000000"/>
                <w:szCs w:val="20"/>
                <w:lang w:val="fr-FR" w:eastAsia="fr-FR"/>
              </w:rPr>
            </w:pPr>
            <w:bookmarkStart w:id="114" w:name="_Toc402884126"/>
            <w:bookmarkStart w:id="115" w:name="_Toc462673233"/>
            <w:bookmarkStart w:id="116" w:name="_Toc467835579"/>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14:paraId="59161175"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14:paraId="3EA88A53"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4" w:space="0" w:color="7030A0"/>
              <w:left w:val="nil"/>
              <w:bottom w:val="nil"/>
              <w:right w:val="nil"/>
            </w:tcBorders>
            <w:shd w:val="clear" w:color="000000" w:fill="FFFFFF"/>
          </w:tcPr>
          <w:p w14:paraId="62CF5D4E"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aout 2019 à 0h01</w:t>
            </w:r>
          </w:p>
        </w:tc>
      </w:tr>
      <w:tr w:rsidR="004F69B4" w:rsidRPr="00C73365" w14:paraId="20E5D5EE" w14:textId="77777777" w:rsidTr="00AD2C40">
        <w:trPr>
          <w:trHeight w:val="253"/>
        </w:trPr>
        <w:tc>
          <w:tcPr>
            <w:tcW w:w="3261" w:type="dxa"/>
            <w:tcBorders>
              <w:top w:val="nil"/>
              <w:left w:val="nil"/>
              <w:bottom w:val="single" w:sz="4" w:space="0" w:color="7030A0"/>
              <w:right w:val="nil"/>
            </w:tcBorders>
            <w:shd w:val="clear" w:color="000000" w:fill="FFFFFF"/>
          </w:tcPr>
          <w:p w14:paraId="2803CABC" w14:textId="77777777"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France</w:t>
            </w:r>
          </w:p>
        </w:tc>
        <w:tc>
          <w:tcPr>
            <w:tcW w:w="992" w:type="dxa"/>
            <w:gridSpan w:val="2"/>
            <w:tcBorders>
              <w:top w:val="nil"/>
              <w:left w:val="nil"/>
              <w:bottom w:val="single" w:sz="4" w:space="0" w:color="7030A0"/>
              <w:right w:val="nil"/>
            </w:tcBorders>
            <w:shd w:val="clear" w:color="000000" w:fill="FFFFFF"/>
          </w:tcPr>
          <w:p w14:paraId="34855FD2"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14:paraId="7BB9C6BD"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10 000 000 € au total</w:t>
            </w:r>
          </w:p>
        </w:tc>
        <w:tc>
          <w:tcPr>
            <w:tcW w:w="2622" w:type="dxa"/>
            <w:gridSpan w:val="2"/>
            <w:tcBorders>
              <w:top w:val="nil"/>
              <w:left w:val="nil"/>
              <w:bottom w:val="single" w:sz="4" w:space="0" w:color="7030A0"/>
              <w:right w:val="nil"/>
            </w:tcBorders>
            <w:shd w:val="clear" w:color="000000" w:fill="FFFFFF"/>
          </w:tcPr>
          <w:p w14:paraId="210A3D7E"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14:paraId="777EACB0" w14:textId="77777777" w:rsidTr="00AD2C40">
        <w:trPr>
          <w:trHeight w:val="253"/>
        </w:trPr>
        <w:tc>
          <w:tcPr>
            <w:tcW w:w="3261" w:type="dxa"/>
            <w:tcBorders>
              <w:top w:val="single" w:sz="4" w:space="0" w:color="7030A0"/>
              <w:left w:val="nil"/>
              <w:bottom w:val="nil"/>
              <w:right w:val="nil"/>
            </w:tcBorders>
            <w:shd w:val="clear" w:color="000000" w:fill="FFFFFF"/>
          </w:tcPr>
          <w:p w14:paraId="2C4CC60E" w14:textId="77777777"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14:paraId="1856E293"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14:paraId="583EF2EC"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400 000 € par personne testée</w:t>
            </w:r>
          </w:p>
        </w:tc>
        <w:tc>
          <w:tcPr>
            <w:tcW w:w="2622" w:type="dxa"/>
            <w:gridSpan w:val="2"/>
            <w:tcBorders>
              <w:top w:val="single" w:sz="4" w:space="0" w:color="7030A0"/>
              <w:left w:val="nil"/>
              <w:bottom w:val="nil"/>
              <w:right w:val="nil"/>
            </w:tcBorders>
            <w:shd w:val="clear" w:color="000000" w:fill="FFFFFF"/>
          </w:tcPr>
          <w:p w14:paraId="01FA398E"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 aout 2019 à 0h01</w:t>
            </w:r>
          </w:p>
        </w:tc>
      </w:tr>
      <w:tr w:rsidR="004F69B4" w:rsidRPr="00C73365" w14:paraId="7C60DF17" w14:textId="77777777" w:rsidTr="00AD2C40">
        <w:trPr>
          <w:trHeight w:val="253"/>
        </w:trPr>
        <w:tc>
          <w:tcPr>
            <w:tcW w:w="3261" w:type="dxa"/>
            <w:tcBorders>
              <w:top w:val="nil"/>
              <w:left w:val="nil"/>
              <w:bottom w:val="single" w:sz="4" w:space="0" w:color="7030A0"/>
              <w:right w:val="nil"/>
            </w:tcBorders>
            <w:shd w:val="clear" w:color="000000" w:fill="FFFFFF"/>
          </w:tcPr>
          <w:p w14:paraId="51B3CD4E" w14:textId="77777777"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Belgique</w:t>
            </w:r>
          </w:p>
        </w:tc>
        <w:tc>
          <w:tcPr>
            <w:tcW w:w="992" w:type="dxa"/>
            <w:gridSpan w:val="2"/>
            <w:tcBorders>
              <w:top w:val="nil"/>
              <w:left w:val="nil"/>
              <w:bottom w:val="single" w:sz="4" w:space="0" w:color="7030A0"/>
              <w:right w:val="nil"/>
            </w:tcBorders>
            <w:shd w:val="clear" w:color="000000" w:fill="FFFFFF"/>
          </w:tcPr>
          <w:p w14:paraId="79D8135B"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14:paraId="716B8B15"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3 000 000 € au total</w:t>
            </w:r>
          </w:p>
        </w:tc>
        <w:tc>
          <w:tcPr>
            <w:tcW w:w="2622" w:type="dxa"/>
            <w:gridSpan w:val="2"/>
            <w:tcBorders>
              <w:top w:val="nil"/>
              <w:left w:val="nil"/>
              <w:bottom w:val="single" w:sz="4" w:space="0" w:color="7030A0"/>
              <w:right w:val="nil"/>
            </w:tcBorders>
            <w:shd w:val="clear" w:color="000000" w:fill="FFFFFF"/>
          </w:tcPr>
          <w:p w14:paraId="45C39CBD"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14:paraId="32C7C36C" w14:textId="77777777" w:rsidTr="004F69B4">
        <w:trPr>
          <w:trHeight w:val="253"/>
        </w:trPr>
        <w:tc>
          <w:tcPr>
            <w:tcW w:w="3261" w:type="dxa"/>
            <w:tcBorders>
              <w:top w:val="nil"/>
              <w:left w:val="nil"/>
              <w:right w:val="nil"/>
            </w:tcBorders>
            <w:shd w:val="clear" w:color="000000" w:fill="FFFFFF"/>
          </w:tcPr>
          <w:p w14:paraId="2B5B6CCB" w14:textId="77777777"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nil"/>
              <w:left w:val="nil"/>
              <w:right w:val="nil"/>
            </w:tcBorders>
            <w:shd w:val="clear" w:color="000000" w:fill="FFFFFF"/>
          </w:tcPr>
          <w:p w14:paraId="6D696FE6"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nil"/>
              <w:left w:val="nil"/>
              <w:right w:val="nil"/>
            </w:tcBorders>
            <w:shd w:val="clear" w:color="000000" w:fill="FFFFFF"/>
            <w:noWrap/>
          </w:tcPr>
          <w:p w14:paraId="00F6C7B0"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 par personne testée</w:t>
            </w:r>
          </w:p>
        </w:tc>
        <w:tc>
          <w:tcPr>
            <w:tcW w:w="2622" w:type="dxa"/>
            <w:gridSpan w:val="2"/>
            <w:tcBorders>
              <w:top w:val="nil"/>
              <w:left w:val="nil"/>
              <w:right w:val="nil"/>
            </w:tcBorders>
            <w:shd w:val="clear" w:color="000000" w:fill="FFFFFF"/>
          </w:tcPr>
          <w:p w14:paraId="16576B9A"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2019 à 0h01</w:t>
            </w:r>
          </w:p>
        </w:tc>
      </w:tr>
      <w:tr w:rsidR="004F69B4" w:rsidRPr="00C73365" w14:paraId="73D89EEB" w14:textId="77777777" w:rsidTr="004F69B4">
        <w:trPr>
          <w:trHeight w:val="253"/>
        </w:trPr>
        <w:tc>
          <w:tcPr>
            <w:tcW w:w="3261" w:type="dxa"/>
            <w:tcBorders>
              <w:top w:val="nil"/>
              <w:left w:val="nil"/>
              <w:bottom w:val="single" w:sz="4" w:space="0" w:color="7030A0"/>
              <w:right w:val="nil"/>
            </w:tcBorders>
            <w:shd w:val="clear" w:color="000000" w:fill="FFFFFF"/>
          </w:tcPr>
          <w:p w14:paraId="34A0C85C" w14:textId="77777777"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Hongrie</w:t>
            </w:r>
          </w:p>
        </w:tc>
        <w:tc>
          <w:tcPr>
            <w:tcW w:w="992" w:type="dxa"/>
            <w:gridSpan w:val="2"/>
            <w:tcBorders>
              <w:top w:val="nil"/>
              <w:left w:val="nil"/>
              <w:bottom w:val="single" w:sz="4" w:space="0" w:color="7030A0"/>
              <w:right w:val="nil"/>
            </w:tcBorders>
            <w:shd w:val="clear" w:color="000000" w:fill="FFFFFF"/>
          </w:tcPr>
          <w:p w14:paraId="17334382"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14:paraId="24B19866" w14:textId="77777777"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au total</w:t>
            </w:r>
          </w:p>
        </w:tc>
        <w:tc>
          <w:tcPr>
            <w:tcW w:w="2622" w:type="dxa"/>
            <w:gridSpan w:val="2"/>
            <w:tcBorders>
              <w:top w:val="nil"/>
              <w:left w:val="nil"/>
              <w:bottom w:val="single" w:sz="4" w:space="0" w:color="7030A0"/>
              <w:right w:val="nil"/>
            </w:tcBorders>
            <w:shd w:val="clear" w:color="000000" w:fill="FFFFFF"/>
          </w:tcPr>
          <w:p w14:paraId="4C304BCC" w14:textId="77777777" w:rsidR="004F69B4" w:rsidRPr="00C73365" w:rsidRDefault="004F69B4" w:rsidP="00A96CCA">
            <w:pPr>
              <w:spacing w:after="0"/>
              <w:jc w:val="center"/>
              <w:rPr>
                <w:rFonts w:asciiTheme="minorHAnsi" w:hAnsiTheme="minorHAnsi" w:cstheme="minorHAnsi"/>
                <w:color w:val="000000"/>
                <w:szCs w:val="20"/>
                <w:lang w:val="fr-FR" w:eastAsia="fr-FR"/>
              </w:rPr>
            </w:pPr>
          </w:p>
        </w:tc>
      </w:tr>
    </w:tbl>
    <w:p w14:paraId="5855A2BE" w14:textId="77777777" w:rsidR="00702F54" w:rsidRPr="00C73365" w:rsidRDefault="00702F54" w:rsidP="00A96CCA">
      <w:pPr>
        <w:rPr>
          <w:rFonts w:asciiTheme="minorHAnsi" w:hAnsiTheme="minorHAnsi" w:cstheme="minorHAnsi"/>
          <w:sz w:val="22"/>
          <w:szCs w:val="22"/>
          <w:lang w:val="fr-FR"/>
        </w:rPr>
      </w:pPr>
    </w:p>
    <w:p w14:paraId="68513926" w14:textId="77777777" w:rsidR="00702F54" w:rsidRPr="00C73365" w:rsidRDefault="00702F54" w:rsidP="00A96CCA">
      <w:pPr>
        <w:rPr>
          <w:rFonts w:asciiTheme="minorHAnsi" w:hAnsiTheme="minorHAnsi" w:cstheme="minorHAnsi"/>
          <w:b/>
          <w:sz w:val="22"/>
          <w:szCs w:val="22"/>
          <w:lang w:val="fr-FR"/>
        </w:rPr>
      </w:pPr>
      <w:r w:rsidRPr="00C73365">
        <w:rPr>
          <w:rFonts w:asciiTheme="minorHAnsi" w:hAnsiTheme="minorHAnsi" w:cstheme="minorHAnsi"/>
          <w:sz w:val="22"/>
          <w:szCs w:val="22"/>
          <w:lang w:val="fr-FR"/>
        </w:rPr>
        <w:br w:type="page"/>
      </w:r>
    </w:p>
    <w:p w14:paraId="0F0A56C0" w14:textId="77777777"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17" w:name="_Toc510548404"/>
      <w:r w:rsidRPr="00C73365">
        <w:rPr>
          <w:rFonts w:asciiTheme="minorHAnsi" w:hAnsiTheme="minorHAnsi" w:cstheme="minorHAnsi"/>
          <w:sz w:val="22"/>
          <w:szCs w:val="22"/>
          <w:lang w:val="fr-FR"/>
        </w:rPr>
        <w:lastRenderedPageBreak/>
        <w:t>Faits exceptionnels et litiges</w:t>
      </w:r>
      <w:bookmarkEnd w:id="114"/>
      <w:bookmarkEnd w:id="115"/>
      <w:bookmarkEnd w:id="116"/>
      <w:bookmarkEnd w:id="117"/>
    </w:p>
    <w:p w14:paraId="1AAEC577" w14:textId="6D6D499A" w:rsidR="005A3A05" w:rsidRPr="00C73365" w:rsidRDefault="00655CBD" w:rsidP="00130569">
      <w:pPr>
        <w:pStyle w:val="Listecontinue"/>
        <w:ind w:left="0"/>
        <w:rPr>
          <w:rFonts w:asciiTheme="minorHAnsi" w:hAnsiTheme="minorHAnsi" w:cstheme="minorHAnsi"/>
          <w:lang w:val="fr-FR"/>
        </w:rPr>
      </w:pPr>
      <w:r w:rsidRPr="006A05A6">
        <w:rPr>
          <w:rFonts w:asciiTheme="minorHAnsi" w:hAnsiTheme="minorHAnsi"/>
          <w:lang w:val="fr-FR"/>
        </w:rPr>
        <w:t>La Société n’a</w:t>
      </w:r>
      <w:r w:rsidR="00E32CFE" w:rsidRPr="006A05A6">
        <w:rPr>
          <w:rFonts w:asciiTheme="minorHAnsi" w:hAnsiTheme="minorHAnsi"/>
          <w:lang w:val="fr-FR"/>
        </w:rPr>
        <w:t xml:space="preserve"> </w:t>
      </w:r>
      <w:r w:rsidRPr="006A05A6">
        <w:rPr>
          <w:rFonts w:asciiTheme="minorHAnsi" w:hAnsiTheme="minorHAnsi"/>
          <w:lang w:val="fr-FR"/>
        </w:rPr>
        <w:t>été impliquée au cours de l’exercice 2017</w:t>
      </w:r>
      <w:r w:rsidR="001D0E5D">
        <w:rPr>
          <w:rFonts w:asciiTheme="minorHAnsi" w:hAnsiTheme="minorHAnsi"/>
          <w:lang w:val="fr-FR"/>
        </w:rPr>
        <w:t xml:space="preserve"> et juqu’à la date d’enregistrement de ce document</w:t>
      </w:r>
      <w:r w:rsidRPr="006A05A6">
        <w:rPr>
          <w:rFonts w:asciiTheme="minorHAnsi" w:hAnsiTheme="minorHAnsi"/>
          <w:lang w:val="fr-FR"/>
        </w:rPr>
        <w:t xml:space="preserve"> dans aucune procédure gouvernementale, judiciaire ou d’arbitrage (y compris toute procédure dont l’émetteur a connaissance, qui est en suspens ou dont il est menacé) qui pourrait avoir ou a eu récemment des effets significatifs sur la situation financière ou la rentabilité de la Société</w:t>
      </w:r>
      <w:r w:rsidRPr="00C73365">
        <w:rPr>
          <w:rFonts w:asciiTheme="minorHAnsi" w:hAnsiTheme="minorHAnsi" w:cstheme="minorHAnsi"/>
          <w:lang w:val="fr-FR"/>
        </w:rPr>
        <w:t>.</w:t>
      </w:r>
    </w:p>
    <w:p w14:paraId="3DDA252C" w14:textId="77777777" w:rsidR="00F46C7B" w:rsidRPr="00C73365" w:rsidRDefault="00F46C7B" w:rsidP="00A96CCA">
      <w:pPr>
        <w:pStyle w:val="ConmainL1"/>
        <w:numPr>
          <w:ilvl w:val="0"/>
          <w:numId w:val="9"/>
        </w:numPr>
        <w:spacing w:after="120"/>
        <w:rPr>
          <w:rFonts w:asciiTheme="minorHAnsi" w:hAnsiTheme="minorHAnsi" w:cstheme="minorHAnsi"/>
          <w:lang w:val="fr-FR"/>
        </w:rPr>
      </w:pPr>
      <w:bookmarkStart w:id="118" w:name="_Toc462673234"/>
      <w:bookmarkStart w:id="119" w:name="_Toc467835580"/>
      <w:bookmarkStart w:id="120" w:name="_Toc510548405"/>
      <w:r w:rsidRPr="00C73365">
        <w:rPr>
          <w:rFonts w:asciiTheme="minorHAnsi" w:hAnsiTheme="minorHAnsi" w:cstheme="minorHAnsi"/>
          <w:lang w:val="fr-FR"/>
        </w:rPr>
        <w:lastRenderedPageBreak/>
        <w:t>INFORMATIONS CONCERNANT LA SOCIETE</w:t>
      </w:r>
      <w:bookmarkEnd w:id="118"/>
      <w:bookmarkEnd w:id="119"/>
      <w:bookmarkEnd w:id="120"/>
    </w:p>
    <w:p w14:paraId="74D0D2A3" w14:textId="77777777"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21" w:name="_Toc402884128"/>
      <w:bookmarkStart w:id="122" w:name="_Toc462673235"/>
      <w:bookmarkStart w:id="123" w:name="_Toc467835581"/>
      <w:bookmarkStart w:id="124" w:name="_Toc510548406"/>
      <w:bookmarkStart w:id="125" w:name="_Toc290245266"/>
      <w:bookmarkStart w:id="126" w:name="_Toc290293191"/>
      <w:bookmarkStart w:id="127" w:name="_Toc290294824"/>
      <w:bookmarkStart w:id="128" w:name="_Toc291712592"/>
      <w:bookmarkStart w:id="129" w:name="_Toc292267431"/>
      <w:bookmarkStart w:id="130" w:name="_Toc292876351"/>
      <w:bookmarkStart w:id="131" w:name="_Toc293328185"/>
      <w:bookmarkStart w:id="132" w:name="_Toc299092903"/>
      <w:bookmarkStart w:id="133" w:name="_Toc299094388"/>
      <w:r w:rsidRPr="00C73365">
        <w:rPr>
          <w:rFonts w:asciiTheme="minorHAnsi" w:hAnsiTheme="minorHAnsi" w:cstheme="minorHAnsi"/>
          <w:sz w:val="22"/>
          <w:szCs w:val="22"/>
          <w:lang w:val="fr-FR"/>
        </w:rPr>
        <w:t>Histoire et évolution de la Société</w:t>
      </w:r>
      <w:bookmarkEnd w:id="121"/>
      <w:bookmarkEnd w:id="122"/>
      <w:bookmarkEnd w:id="123"/>
      <w:bookmarkEnd w:id="124"/>
    </w:p>
    <w:p w14:paraId="0A2DA643" w14:textId="77777777"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34" w:name="_Toc290245260"/>
      <w:bookmarkStart w:id="135" w:name="_Toc290293185"/>
      <w:bookmarkStart w:id="136" w:name="_Toc290294818"/>
      <w:bookmarkStart w:id="137" w:name="_Toc291712586"/>
      <w:bookmarkStart w:id="138" w:name="_Toc292267425"/>
      <w:bookmarkStart w:id="139" w:name="_Toc292876345"/>
      <w:bookmarkStart w:id="140" w:name="_Toc293328179"/>
      <w:bookmarkStart w:id="141" w:name="_Toc299092896"/>
      <w:bookmarkStart w:id="142" w:name="_Toc299094381"/>
      <w:r w:rsidRPr="00C73365">
        <w:rPr>
          <w:rFonts w:asciiTheme="minorHAnsi" w:hAnsiTheme="minorHAnsi" w:cstheme="minorHAnsi"/>
          <w:b/>
          <w:color w:val="7030A0"/>
          <w:lang w:val="fr-FR"/>
        </w:rPr>
        <w:t>Raison sociale et nom commercial de la Société</w:t>
      </w:r>
      <w:bookmarkEnd w:id="134"/>
      <w:bookmarkEnd w:id="135"/>
      <w:bookmarkEnd w:id="136"/>
      <w:bookmarkEnd w:id="137"/>
      <w:bookmarkEnd w:id="138"/>
      <w:bookmarkEnd w:id="139"/>
      <w:bookmarkEnd w:id="140"/>
      <w:bookmarkEnd w:id="141"/>
      <w:bookmarkEnd w:id="142"/>
    </w:p>
    <w:p w14:paraId="14501350"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a pour dénomination sociale :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p>
    <w:p w14:paraId="5F0195AA" w14:textId="77777777"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43" w:name="_Toc290245261"/>
      <w:bookmarkStart w:id="144" w:name="_Toc290293186"/>
      <w:bookmarkStart w:id="145" w:name="_Toc290294819"/>
      <w:bookmarkStart w:id="146" w:name="_Toc291712587"/>
      <w:bookmarkStart w:id="147" w:name="_Toc292267426"/>
      <w:bookmarkStart w:id="148" w:name="_Toc292876346"/>
      <w:bookmarkStart w:id="149" w:name="_Toc293328180"/>
      <w:bookmarkStart w:id="150" w:name="_Toc299092897"/>
      <w:bookmarkStart w:id="151" w:name="_Toc299094382"/>
      <w:r w:rsidRPr="00C73365">
        <w:rPr>
          <w:rFonts w:asciiTheme="minorHAnsi" w:hAnsiTheme="minorHAnsi" w:cstheme="minorHAnsi"/>
          <w:b/>
          <w:color w:val="7030A0"/>
          <w:lang w:val="fr-FR"/>
        </w:rPr>
        <w:t>Lieu et numéro d’enregistrement de la Société</w:t>
      </w:r>
      <w:bookmarkEnd w:id="143"/>
      <w:bookmarkEnd w:id="144"/>
      <w:bookmarkEnd w:id="145"/>
      <w:bookmarkEnd w:id="146"/>
      <w:bookmarkEnd w:id="147"/>
      <w:bookmarkEnd w:id="148"/>
      <w:bookmarkEnd w:id="149"/>
      <w:bookmarkEnd w:id="150"/>
      <w:bookmarkEnd w:id="151"/>
    </w:p>
    <w:p w14:paraId="5AD77E0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est immatriculée au registre du commerce et des sociétés de Paris sous le numéro 799 363 718.</w:t>
      </w:r>
    </w:p>
    <w:p w14:paraId="180B12F6" w14:textId="77777777"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52" w:name="_Toc290245262"/>
      <w:bookmarkStart w:id="153" w:name="_Toc290293187"/>
      <w:bookmarkStart w:id="154" w:name="_Toc290294820"/>
      <w:bookmarkStart w:id="155" w:name="_Toc291712588"/>
      <w:bookmarkStart w:id="156" w:name="_Toc292267427"/>
      <w:bookmarkStart w:id="157" w:name="_Toc292876347"/>
      <w:bookmarkStart w:id="158" w:name="_Toc293328181"/>
      <w:bookmarkStart w:id="159" w:name="_Toc299092898"/>
      <w:bookmarkStart w:id="160" w:name="_Toc299094383"/>
      <w:r w:rsidRPr="00C73365">
        <w:rPr>
          <w:rFonts w:asciiTheme="minorHAnsi" w:hAnsiTheme="minorHAnsi" w:cstheme="minorHAnsi"/>
          <w:b/>
          <w:color w:val="7030A0"/>
          <w:lang w:val="fr-FR"/>
        </w:rPr>
        <w:t>Date de constitution et durée</w:t>
      </w:r>
      <w:bookmarkEnd w:id="152"/>
      <w:bookmarkEnd w:id="153"/>
      <w:bookmarkEnd w:id="154"/>
      <w:bookmarkEnd w:id="155"/>
      <w:bookmarkEnd w:id="156"/>
      <w:bookmarkEnd w:id="157"/>
      <w:bookmarkEnd w:id="158"/>
      <w:bookmarkEnd w:id="159"/>
      <w:bookmarkEnd w:id="160"/>
    </w:p>
    <w:p w14:paraId="7BE32C3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a été créée le 4 décembre 2013 et immatriculée le 27 décembre 2013 sous forme d’une société par actions, pour une durée de 99 ans à compter de sa date d’immatriculation au registre du commerce et des sociétés, soit jusqu’au 22 décembre 2112, sauf prorogation ou dissolution anticipée.</w:t>
      </w:r>
    </w:p>
    <w:p w14:paraId="55248423" w14:textId="77777777"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61" w:name="_Toc290245263"/>
      <w:bookmarkStart w:id="162" w:name="_Toc290293188"/>
      <w:bookmarkStart w:id="163" w:name="_Toc290294821"/>
      <w:bookmarkStart w:id="164" w:name="_Toc291712589"/>
      <w:bookmarkStart w:id="165" w:name="_Toc292267428"/>
      <w:bookmarkStart w:id="166" w:name="_Toc292876348"/>
      <w:bookmarkStart w:id="167" w:name="_Toc293328182"/>
      <w:bookmarkStart w:id="168" w:name="_Toc299092899"/>
      <w:bookmarkStart w:id="169" w:name="_Toc299094384"/>
      <w:r w:rsidRPr="00C73365">
        <w:rPr>
          <w:rFonts w:asciiTheme="minorHAnsi" w:hAnsiTheme="minorHAnsi" w:cstheme="minorHAnsi"/>
          <w:b/>
          <w:color w:val="7030A0"/>
          <w:lang w:val="fr-FR"/>
        </w:rPr>
        <w:t>Siège social de la Société, forme juridique, législation régissant ses activités</w:t>
      </w:r>
      <w:bookmarkEnd w:id="161"/>
      <w:bookmarkEnd w:id="162"/>
      <w:bookmarkEnd w:id="163"/>
      <w:bookmarkEnd w:id="164"/>
      <w:bookmarkEnd w:id="165"/>
      <w:bookmarkEnd w:id="166"/>
      <w:bookmarkEnd w:id="167"/>
      <w:bookmarkEnd w:id="168"/>
      <w:bookmarkEnd w:id="169"/>
    </w:p>
    <w:p w14:paraId="74EE0F40"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est une société anonyme régie par le droit français, et principalement soumise, pour son fonctionnement, aux articles L. 225-1 et suivants du code de commerce.</w:t>
      </w:r>
    </w:p>
    <w:p w14:paraId="6BCBF09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siège social de la Société est situé 5, rue de la Baume, 75008 Paris.</w:t>
      </w:r>
    </w:p>
    <w:p w14:paraId="09DA2295"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Les coordonnées de la Société sont les suivantes :</w:t>
      </w:r>
    </w:p>
    <w:p w14:paraId="106D717E" w14:textId="77777777" w:rsidR="00F46C7B" w:rsidRPr="00C73365" w:rsidRDefault="00F46C7B">
      <w:pPr>
        <w:rPr>
          <w:rFonts w:asciiTheme="minorHAnsi" w:hAnsiTheme="minorHAnsi" w:cstheme="minorHAnsi"/>
          <w:lang w:val="fr-FR"/>
        </w:rPr>
      </w:pPr>
      <w:r w:rsidRPr="00C73365">
        <w:rPr>
          <w:rFonts w:asciiTheme="minorHAnsi" w:hAnsiTheme="minorHAnsi" w:cstheme="minorHAnsi"/>
          <w:lang w:val="fr-FR"/>
        </w:rPr>
        <w:t>Téléphone :</w:t>
      </w:r>
      <w:r w:rsidRPr="00C73365">
        <w:rPr>
          <w:rFonts w:asciiTheme="minorHAnsi" w:hAnsiTheme="minorHAnsi" w:cstheme="minorHAnsi"/>
          <w:lang w:val="fr-FR"/>
        </w:rPr>
        <w:tab/>
        <w:t>+33 (0) 1 53 83 08 41</w:t>
      </w:r>
    </w:p>
    <w:p w14:paraId="51A7AD90" w14:textId="77777777" w:rsidR="00F46C7B" w:rsidRPr="00C73365" w:rsidRDefault="00F46C7B">
      <w:pPr>
        <w:pStyle w:val="BlockLeft"/>
        <w:ind w:left="1440" w:hanging="1440"/>
        <w:rPr>
          <w:rFonts w:asciiTheme="minorHAnsi" w:hAnsiTheme="minorHAnsi" w:cstheme="minorHAnsi"/>
          <w:i/>
          <w:iCs/>
          <w:lang w:val="fr-FR"/>
        </w:rPr>
      </w:pPr>
      <w:r w:rsidRPr="00C73365">
        <w:rPr>
          <w:rFonts w:asciiTheme="minorHAnsi" w:hAnsiTheme="minorHAnsi" w:cstheme="minorHAnsi"/>
          <w:lang w:val="fr-FR"/>
        </w:rPr>
        <w:t xml:space="preserve">Courriel :         </w:t>
      </w:r>
      <w:r w:rsidRPr="00C73365">
        <w:rPr>
          <w:rFonts w:asciiTheme="minorHAnsi" w:hAnsiTheme="minorHAnsi" w:cstheme="minorHAnsi"/>
          <w:lang w:val="fr-FR"/>
        </w:rPr>
        <w:tab/>
      </w:r>
      <w:hyperlink r:id="rId13" w:history="1">
        <w:r w:rsidR="004572A0" w:rsidRPr="00C73365">
          <w:rPr>
            <w:rStyle w:val="Lienhypertexte"/>
            <w:rFonts w:asciiTheme="minorHAnsi" w:hAnsiTheme="minorHAnsi" w:cstheme="minorHAnsi"/>
            <w:lang w:val="fr-FR"/>
          </w:rPr>
          <w:t>info@ABIVAX.com</w:t>
        </w:r>
      </w:hyperlink>
      <w:r w:rsidRPr="00C73365">
        <w:rPr>
          <w:rFonts w:asciiTheme="minorHAnsi" w:hAnsiTheme="minorHAnsi" w:cstheme="minorHAnsi"/>
          <w:lang w:val="fr-FR"/>
        </w:rPr>
        <w:t xml:space="preserve"> </w:t>
      </w:r>
    </w:p>
    <w:p w14:paraId="28BA4F65" w14:textId="77777777" w:rsidR="00F46C7B" w:rsidRPr="00C73365" w:rsidRDefault="00F46C7B">
      <w:pPr>
        <w:rPr>
          <w:rFonts w:asciiTheme="minorHAnsi" w:hAnsiTheme="minorHAnsi" w:cstheme="minorHAnsi"/>
          <w:lang w:val="fr-FR"/>
        </w:rPr>
      </w:pPr>
      <w:r w:rsidRPr="00C73365">
        <w:rPr>
          <w:rFonts w:asciiTheme="minorHAnsi" w:hAnsiTheme="minorHAnsi" w:cstheme="minorHAnsi"/>
          <w:lang w:val="fr-FR"/>
        </w:rPr>
        <w:t xml:space="preserve">Site Internet : </w:t>
      </w:r>
      <w:r w:rsidRPr="00C73365">
        <w:rPr>
          <w:rFonts w:asciiTheme="minorHAnsi" w:hAnsiTheme="minorHAnsi" w:cstheme="minorHAnsi"/>
          <w:lang w:val="fr-FR"/>
        </w:rPr>
        <w:tab/>
      </w:r>
      <w:hyperlink r:id="rId14" w:history="1">
        <w:r w:rsidR="004572A0" w:rsidRPr="00C73365">
          <w:rPr>
            <w:rStyle w:val="Lienhypertexte"/>
            <w:rFonts w:asciiTheme="minorHAnsi" w:hAnsiTheme="minorHAnsi" w:cstheme="minorHAnsi"/>
            <w:lang w:val="fr-FR"/>
          </w:rPr>
          <w:t>www.ABIVAX.com</w:t>
        </w:r>
      </w:hyperlink>
      <w:r w:rsidRPr="00C73365">
        <w:rPr>
          <w:rFonts w:asciiTheme="minorHAnsi" w:hAnsiTheme="minorHAnsi" w:cstheme="minorHAnsi"/>
          <w:lang w:val="fr-FR"/>
        </w:rPr>
        <w:t xml:space="preserve">  </w:t>
      </w:r>
    </w:p>
    <w:p w14:paraId="0E84A69E" w14:textId="77777777" w:rsidR="00BE1E6B" w:rsidRPr="00C73365" w:rsidRDefault="00BE1E6B" w:rsidP="00BE1E6B">
      <w:pPr>
        <w:pStyle w:val="ConmainL3"/>
        <w:numPr>
          <w:ilvl w:val="2"/>
          <w:numId w:val="9"/>
        </w:numPr>
        <w:spacing w:after="120"/>
        <w:ind w:left="1276" w:hanging="556"/>
        <w:rPr>
          <w:rFonts w:asciiTheme="minorHAnsi" w:hAnsiTheme="minorHAnsi" w:cstheme="minorHAnsi"/>
          <w:b/>
          <w:color w:val="7030A0"/>
          <w:lang w:val="fr-FR"/>
        </w:rPr>
      </w:pPr>
      <w:bookmarkStart w:id="170" w:name="_Toc290245264"/>
      <w:bookmarkStart w:id="171" w:name="_Toc290293189"/>
      <w:bookmarkStart w:id="172" w:name="_Toc290294822"/>
      <w:bookmarkStart w:id="173" w:name="_Toc291712590"/>
      <w:bookmarkStart w:id="174" w:name="_Toc292267429"/>
      <w:bookmarkStart w:id="175" w:name="_Toc292876349"/>
      <w:bookmarkStart w:id="176" w:name="_Toc293328183"/>
      <w:bookmarkStart w:id="177" w:name="_Toc299092900"/>
      <w:bookmarkStart w:id="178" w:name="_Toc299094385"/>
      <w:bookmarkStart w:id="179" w:name="_Toc402884129"/>
      <w:bookmarkStart w:id="180" w:name="_Toc462673236"/>
      <w:bookmarkStart w:id="181" w:name="_Toc467835582"/>
      <w:r w:rsidRPr="00C73365">
        <w:rPr>
          <w:rFonts w:asciiTheme="minorHAnsi" w:hAnsiTheme="minorHAnsi" w:cstheme="minorHAnsi"/>
          <w:b/>
          <w:color w:val="7030A0"/>
          <w:lang w:val="fr-FR"/>
        </w:rPr>
        <w:t>Evénements importants dans le développement des activités de la Société</w:t>
      </w:r>
      <w:bookmarkEnd w:id="170"/>
      <w:bookmarkEnd w:id="171"/>
      <w:bookmarkEnd w:id="172"/>
      <w:bookmarkEnd w:id="173"/>
      <w:bookmarkEnd w:id="174"/>
      <w:bookmarkEnd w:id="175"/>
      <w:bookmarkEnd w:id="176"/>
      <w:bookmarkEnd w:id="177"/>
      <w:bookmarkEnd w:id="178"/>
    </w:p>
    <w:tbl>
      <w:tblPr>
        <w:tblStyle w:val="Grilledutableau3"/>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43"/>
        <w:gridCol w:w="7699"/>
      </w:tblGrid>
      <w:tr w:rsidR="00BE1E6B" w:rsidRPr="00C73365" w14:paraId="4C85A120" w14:textId="77777777" w:rsidTr="00BE1E6B">
        <w:tc>
          <w:tcPr>
            <w:tcW w:w="1843" w:type="dxa"/>
            <w:shd w:val="clear" w:color="auto" w:fill="auto"/>
          </w:tcPr>
          <w:p w14:paraId="11F8B579"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2005</w:t>
            </w:r>
          </w:p>
        </w:tc>
        <w:tc>
          <w:tcPr>
            <w:tcW w:w="7699" w:type="dxa"/>
            <w:shd w:val="clear" w:color="auto" w:fill="auto"/>
          </w:tcPr>
          <w:p w14:paraId="0D568DAB"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WITTYCELL</w:t>
            </w:r>
          </w:p>
        </w:tc>
      </w:tr>
      <w:tr w:rsidR="00BE1E6B" w:rsidRPr="0030056F" w14:paraId="40695A26" w14:textId="77777777" w:rsidTr="00BE1E6B">
        <w:tc>
          <w:tcPr>
            <w:tcW w:w="1843" w:type="dxa"/>
            <w:shd w:val="clear" w:color="auto" w:fill="auto"/>
          </w:tcPr>
          <w:p w14:paraId="3D8337D2"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Novembre 2006</w:t>
            </w:r>
          </w:p>
        </w:tc>
        <w:tc>
          <w:tcPr>
            <w:tcW w:w="7699" w:type="dxa"/>
            <w:shd w:val="clear" w:color="auto" w:fill="auto"/>
          </w:tcPr>
          <w:p w14:paraId="6E013C0B"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Accord de licence entre WITTYCELL, Scripps Research Institute, l’Université de Chicago et l’Université Brigham Young pour développer </w:t>
            </w:r>
            <w:r w:rsidR="00E32CFE" w:rsidRPr="00C73365">
              <w:rPr>
                <w:rFonts w:asciiTheme="minorHAnsi" w:hAnsiTheme="minorHAnsi" w:cstheme="minorHAnsi"/>
                <w:lang w:val="fr-FR"/>
              </w:rPr>
              <w:t>ABX196</w:t>
            </w:r>
            <w:r w:rsidRPr="00C73365">
              <w:rPr>
                <w:rFonts w:asciiTheme="minorHAnsi" w:hAnsiTheme="minorHAnsi" w:cstheme="minorHAnsi"/>
                <w:lang w:val="fr-FR"/>
              </w:rPr>
              <w:t>, nouveau candidat stimulant immunitaire utilisant les cellules agonistes NKT</w:t>
            </w:r>
          </w:p>
        </w:tc>
      </w:tr>
      <w:tr w:rsidR="00BE1E6B" w:rsidRPr="00C73365" w14:paraId="3759914A" w14:textId="77777777" w:rsidTr="00BE1E6B">
        <w:tc>
          <w:tcPr>
            <w:tcW w:w="1843" w:type="dxa"/>
            <w:shd w:val="clear" w:color="auto" w:fill="auto"/>
          </w:tcPr>
          <w:p w14:paraId="24B429DD"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2008</w:t>
            </w:r>
          </w:p>
        </w:tc>
        <w:tc>
          <w:tcPr>
            <w:tcW w:w="7699" w:type="dxa"/>
            <w:shd w:val="clear" w:color="auto" w:fill="auto"/>
          </w:tcPr>
          <w:p w14:paraId="2EB6D6C2"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SPLICOS</w:t>
            </w:r>
          </w:p>
        </w:tc>
      </w:tr>
      <w:tr w:rsidR="00BE1E6B" w:rsidRPr="0030056F" w14:paraId="572F3376" w14:textId="77777777" w:rsidTr="00BE1E6B">
        <w:tc>
          <w:tcPr>
            <w:tcW w:w="1843" w:type="dxa"/>
            <w:shd w:val="clear" w:color="auto" w:fill="auto"/>
          </w:tcPr>
          <w:p w14:paraId="0227A24C"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Janvier 2009</w:t>
            </w:r>
          </w:p>
        </w:tc>
        <w:tc>
          <w:tcPr>
            <w:tcW w:w="7699" w:type="dxa"/>
            <w:shd w:val="clear" w:color="auto" w:fill="auto"/>
          </w:tcPr>
          <w:p w14:paraId="4589EBFD"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Conclusion de contrats entre SPLICOS, le CNRS et l’Université de Montpellier 2 pour mettre en œuvre un laboratoire collaboratif</w:t>
            </w:r>
          </w:p>
        </w:tc>
      </w:tr>
      <w:tr w:rsidR="00BE1E6B" w:rsidRPr="0030056F" w14:paraId="1F69C301" w14:textId="77777777" w:rsidTr="00BE1E6B">
        <w:tc>
          <w:tcPr>
            <w:tcW w:w="1843" w:type="dxa"/>
            <w:shd w:val="clear" w:color="auto" w:fill="auto"/>
          </w:tcPr>
          <w:p w14:paraId="48D60B96"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2009</w:t>
            </w:r>
          </w:p>
        </w:tc>
        <w:tc>
          <w:tcPr>
            <w:tcW w:w="7699" w:type="dxa"/>
            <w:shd w:val="clear" w:color="auto" w:fill="auto"/>
          </w:tcPr>
          <w:p w14:paraId="56874B8A"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Conclusion d’un contrat collaboratif entre SPLICOS et l’Institut Curie</w:t>
            </w:r>
          </w:p>
        </w:tc>
      </w:tr>
      <w:tr w:rsidR="00BE1E6B" w:rsidRPr="00C73365" w14:paraId="131F0BB8" w14:textId="77777777" w:rsidTr="00BE1E6B">
        <w:tc>
          <w:tcPr>
            <w:tcW w:w="1843" w:type="dxa"/>
            <w:shd w:val="clear" w:color="auto" w:fill="auto"/>
          </w:tcPr>
          <w:p w14:paraId="376AB6FC"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2011</w:t>
            </w:r>
          </w:p>
        </w:tc>
        <w:tc>
          <w:tcPr>
            <w:tcW w:w="7699" w:type="dxa"/>
            <w:shd w:val="clear" w:color="auto" w:fill="auto"/>
          </w:tcPr>
          <w:p w14:paraId="13FAAF2D"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ZOPHIS</w:t>
            </w:r>
          </w:p>
        </w:tc>
      </w:tr>
      <w:tr w:rsidR="00BE1E6B" w:rsidRPr="0030056F" w14:paraId="7EE2FE5F" w14:textId="77777777" w:rsidTr="00BE1E6B">
        <w:tc>
          <w:tcPr>
            <w:tcW w:w="1843" w:type="dxa"/>
            <w:shd w:val="clear" w:color="auto" w:fill="auto"/>
          </w:tcPr>
          <w:p w14:paraId="2911586E"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2013</w:t>
            </w:r>
          </w:p>
        </w:tc>
        <w:tc>
          <w:tcPr>
            <w:tcW w:w="7699" w:type="dxa"/>
            <w:shd w:val="clear" w:color="auto" w:fill="auto"/>
          </w:tcPr>
          <w:p w14:paraId="197A2B7C"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Conclusion d’un contrat </w:t>
            </w:r>
            <w:r w:rsidR="001479F8">
              <w:rPr>
                <w:rFonts w:asciiTheme="minorHAnsi" w:hAnsiTheme="minorHAnsi" w:cstheme="minorHAnsi"/>
                <w:lang w:val="fr-FR"/>
              </w:rPr>
              <w:t>Bpifrance</w:t>
            </w:r>
            <w:r w:rsidRPr="00C73365">
              <w:rPr>
                <w:rFonts w:asciiTheme="minorHAnsi" w:hAnsiTheme="minorHAnsi" w:cstheme="minorHAnsi"/>
                <w:lang w:val="fr-FR"/>
              </w:rPr>
              <w:t xml:space="preserve"> (anciennement projet OSEO-ISI) baptisé projet CaReNA entre SPLICOS, THERADIAG et le CNRS ayant pour objectif de développer des solutions thérapeutiques et diagnostiques associées et fondées sur le ciblage de l’ARN avec pour premières applications le traitement du VIH/SIDA pour une aide d’un montant de l’ordre de 5,2 </w:t>
            </w:r>
            <w:r w:rsidR="00EF089C" w:rsidRPr="00C73365">
              <w:rPr>
                <w:rFonts w:asciiTheme="minorHAnsi" w:hAnsiTheme="minorHAnsi" w:cstheme="minorHAnsi"/>
                <w:lang w:val="fr-FR"/>
              </w:rPr>
              <w:t>M€</w:t>
            </w:r>
          </w:p>
        </w:tc>
      </w:tr>
      <w:tr w:rsidR="00BE1E6B" w:rsidRPr="0030056F" w14:paraId="1EDCDEEF" w14:textId="77777777" w:rsidTr="00BE1E6B">
        <w:tc>
          <w:tcPr>
            <w:tcW w:w="1843" w:type="dxa"/>
            <w:shd w:val="clear" w:color="auto" w:fill="auto"/>
          </w:tcPr>
          <w:p w14:paraId="654589E8"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2013</w:t>
            </w:r>
          </w:p>
        </w:tc>
        <w:tc>
          <w:tcPr>
            <w:tcW w:w="7699" w:type="dxa"/>
            <w:shd w:val="clear" w:color="auto" w:fill="auto"/>
          </w:tcPr>
          <w:p w14:paraId="37C86BD0"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Accord de licence avec Heber Biotec représentant le CIGB (Cuba) pour le co-développement d’</w:t>
            </w:r>
            <w:r w:rsidR="00E32CFE" w:rsidRPr="00C73365">
              <w:rPr>
                <w:rFonts w:asciiTheme="minorHAnsi" w:hAnsiTheme="minorHAnsi" w:cstheme="minorHAnsi"/>
                <w:lang w:val="fr-FR"/>
              </w:rPr>
              <w:t>ABX203</w:t>
            </w:r>
          </w:p>
        </w:tc>
      </w:tr>
      <w:tr w:rsidR="00BE1E6B" w:rsidRPr="00C73365" w14:paraId="27104AD0" w14:textId="77777777" w:rsidTr="00BE1E6B">
        <w:tc>
          <w:tcPr>
            <w:tcW w:w="1843" w:type="dxa"/>
            <w:shd w:val="clear" w:color="auto" w:fill="auto"/>
          </w:tcPr>
          <w:p w14:paraId="1A613E89"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Décembre 2013</w:t>
            </w:r>
          </w:p>
        </w:tc>
        <w:tc>
          <w:tcPr>
            <w:tcW w:w="7699" w:type="dxa"/>
            <w:shd w:val="clear" w:color="auto" w:fill="auto"/>
          </w:tcPr>
          <w:p w14:paraId="1FA8BABB"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w:t>
            </w:r>
            <w:r w:rsidR="00EF089C" w:rsidRPr="00C73365">
              <w:rPr>
                <w:rFonts w:asciiTheme="minorHAnsi" w:hAnsiTheme="minorHAnsi" w:cstheme="minorHAnsi"/>
                <w:lang w:val="fr-FR"/>
              </w:rPr>
              <w:t>ABIVAX</w:t>
            </w:r>
          </w:p>
        </w:tc>
      </w:tr>
      <w:tr w:rsidR="00BE1E6B" w:rsidRPr="0030056F" w14:paraId="4D913B07" w14:textId="77777777" w:rsidTr="00BE1E6B">
        <w:tc>
          <w:tcPr>
            <w:tcW w:w="1843" w:type="dxa"/>
            <w:shd w:val="clear" w:color="auto" w:fill="auto"/>
          </w:tcPr>
          <w:p w14:paraId="3712CDDA"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2014</w:t>
            </w:r>
          </w:p>
        </w:tc>
        <w:tc>
          <w:tcPr>
            <w:tcW w:w="7699" w:type="dxa"/>
            <w:shd w:val="clear" w:color="auto" w:fill="auto"/>
          </w:tcPr>
          <w:p w14:paraId="676FF830"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Lancement d’une étude de Phase I avec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(évaluation des propriétés pharmacocinétiques et de l’innocuité biologique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sur volontaires sains)</w:t>
            </w:r>
          </w:p>
        </w:tc>
      </w:tr>
      <w:tr w:rsidR="00BE1E6B" w:rsidRPr="0030056F" w14:paraId="3A96B444" w14:textId="77777777" w:rsidTr="00BE1E6B">
        <w:tc>
          <w:tcPr>
            <w:tcW w:w="1843" w:type="dxa"/>
            <w:shd w:val="clear" w:color="auto" w:fill="auto"/>
          </w:tcPr>
          <w:p w14:paraId="57926378" w14:textId="77777777" w:rsidR="00BE1E6B" w:rsidRPr="00C73365" w:rsidRDefault="00BE1E6B" w:rsidP="00BE1E6B">
            <w:pPr>
              <w:rPr>
                <w:rFonts w:asciiTheme="minorHAnsi" w:hAnsiTheme="minorHAnsi" w:cstheme="minorHAnsi"/>
                <w:b/>
                <w:szCs w:val="22"/>
                <w:lang w:val="fr-FR"/>
              </w:rPr>
            </w:pPr>
            <w:bookmarkStart w:id="182" w:name="_Hlk509585168"/>
            <w:r w:rsidRPr="00C73365">
              <w:rPr>
                <w:rFonts w:asciiTheme="minorHAnsi" w:hAnsiTheme="minorHAnsi" w:cstheme="minorHAnsi"/>
                <w:b/>
                <w:lang w:val="fr-FR"/>
              </w:rPr>
              <w:t>Avril 2014</w:t>
            </w:r>
          </w:p>
        </w:tc>
        <w:tc>
          <w:tcPr>
            <w:tcW w:w="7699" w:type="dxa"/>
            <w:shd w:val="clear" w:color="auto" w:fill="auto"/>
          </w:tcPr>
          <w:p w14:paraId="25FEC9F6"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Opérations d’apports en nature des sociétés SPLICOS, WITTYCELL et ZOPHIS à </w:t>
            </w:r>
            <w:r w:rsidR="00EF089C" w:rsidRPr="00C73365">
              <w:rPr>
                <w:rFonts w:asciiTheme="minorHAnsi" w:hAnsiTheme="minorHAnsi" w:cstheme="minorHAnsi"/>
                <w:lang w:val="fr-FR"/>
              </w:rPr>
              <w:t>ABIVAX</w:t>
            </w:r>
          </w:p>
        </w:tc>
      </w:tr>
      <w:bookmarkEnd w:id="182"/>
      <w:tr w:rsidR="00BE1E6B" w:rsidRPr="0030056F" w14:paraId="7C3E1B24" w14:textId="77777777" w:rsidTr="00BE1E6B">
        <w:tc>
          <w:tcPr>
            <w:tcW w:w="1843" w:type="dxa"/>
            <w:shd w:val="clear" w:color="auto" w:fill="auto"/>
          </w:tcPr>
          <w:p w14:paraId="428E5CA2"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2014</w:t>
            </w:r>
          </w:p>
        </w:tc>
        <w:tc>
          <w:tcPr>
            <w:tcW w:w="7699" w:type="dxa"/>
            <w:shd w:val="clear" w:color="auto" w:fill="auto"/>
          </w:tcPr>
          <w:p w14:paraId="6A849B13"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Transmissions universelles de patrimoine de WITTYCELL et ZOPHIS à </w:t>
            </w:r>
            <w:r w:rsidR="00EF089C" w:rsidRPr="00C73365">
              <w:rPr>
                <w:rFonts w:asciiTheme="minorHAnsi" w:hAnsiTheme="minorHAnsi" w:cstheme="minorHAnsi"/>
                <w:lang w:val="fr-FR"/>
              </w:rPr>
              <w:t>ABIVAX</w:t>
            </w:r>
          </w:p>
        </w:tc>
      </w:tr>
      <w:tr w:rsidR="00BE1E6B" w:rsidRPr="0030056F" w14:paraId="6A6AC8FE" w14:textId="77777777" w:rsidTr="00BE1E6B">
        <w:tc>
          <w:tcPr>
            <w:tcW w:w="1843" w:type="dxa"/>
            <w:shd w:val="clear" w:color="auto" w:fill="auto"/>
          </w:tcPr>
          <w:p w14:paraId="75A41BDA" w14:textId="77777777" w:rsidR="00BE1E6B" w:rsidRPr="00C73365" w:rsidRDefault="006B119E" w:rsidP="00BE1E6B">
            <w:pPr>
              <w:rPr>
                <w:rFonts w:asciiTheme="minorHAnsi" w:hAnsiTheme="minorHAnsi" w:cstheme="minorHAnsi"/>
                <w:b/>
                <w:szCs w:val="22"/>
                <w:lang w:val="fr-FR"/>
              </w:rPr>
            </w:pPr>
            <w:r w:rsidRPr="00C73365">
              <w:rPr>
                <w:rFonts w:asciiTheme="minorHAnsi" w:hAnsiTheme="minorHAnsi" w:cstheme="minorHAnsi"/>
                <w:b/>
                <w:lang w:val="fr-FR"/>
              </w:rPr>
              <w:lastRenderedPageBreak/>
              <w:t>Septembre</w:t>
            </w:r>
            <w:r w:rsidR="00BE1E6B" w:rsidRPr="00C73365">
              <w:rPr>
                <w:rFonts w:asciiTheme="minorHAnsi" w:hAnsiTheme="minorHAnsi" w:cstheme="minorHAnsi"/>
                <w:b/>
                <w:lang w:val="fr-FR"/>
              </w:rPr>
              <w:t xml:space="preserve"> 2014</w:t>
            </w:r>
          </w:p>
        </w:tc>
        <w:tc>
          <w:tcPr>
            <w:tcW w:w="7699" w:type="dxa"/>
            <w:shd w:val="clear" w:color="auto" w:fill="auto"/>
          </w:tcPr>
          <w:p w14:paraId="33CD6A10"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Résultat d’une étude de phase I pour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avec un vaccin prophylactique contre l’hépatite B. L’ajout d’</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à un antigène HBs peu immunogénique a engendré une réponse protectrice d’anticorps anti-Hbs chez la majorité des patients</w:t>
            </w:r>
          </w:p>
        </w:tc>
      </w:tr>
      <w:tr w:rsidR="00BE1E6B" w:rsidRPr="0030056F" w14:paraId="05692FBD" w14:textId="77777777" w:rsidTr="00BE1E6B">
        <w:tc>
          <w:tcPr>
            <w:tcW w:w="1843" w:type="dxa"/>
            <w:shd w:val="clear" w:color="auto" w:fill="auto"/>
          </w:tcPr>
          <w:p w14:paraId="1DADA8AB"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Octobre 2014</w:t>
            </w:r>
          </w:p>
        </w:tc>
        <w:tc>
          <w:tcPr>
            <w:tcW w:w="7699" w:type="dxa"/>
            <w:shd w:val="clear" w:color="auto" w:fill="auto"/>
          </w:tcPr>
          <w:p w14:paraId="2A2C6D48" w14:textId="77777777"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Transmission universelle de patrimoine de SPLICOS à </w:t>
            </w:r>
            <w:r w:rsidR="00EF089C" w:rsidRPr="00C73365">
              <w:rPr>
                <w:rFonts w:asciiTheme="minorHAnsi" w:hAnsiTheme="minorHAnsi" w:cstheme="minorHAnsi"/>
                <w:lang w:val="fr-FR"/>
              </w:rPr>
              <w:t>ABIVAX</w:t>
            </w:r>
          </w:p>
        </w:tc>
      </w:tr>
      <w:tr w:rsidR="00BE1E6B" w:rsidRPr="0030056F" w14:paraId="1B4C30B2" w14:textId="77777777" w:rsidTr="00BE1E6B">
        <w:trPr>
          <w:trHeight w:val="545"/>
        </w:trPr>
        <w:tc>
          <w:tcPr>
            <w:tcW w:w="1843" w:type="dxa"/>
            <w:shd w:val="clear" w:color="auto" w:fill="auto"/>
          </w:tcPr>
          <w:p w14:paraId="2F590B33"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Décembre 2014</w:t>
            </w:r>
          </w:p>
        </w:tc>
        <w:tc>
          <w:tcPr>
            <w:tcW w:w="7699" w:type="dxa"/>
            <w:shd w:val="clear" w:color="auto" w:fill="auto"/>
          </w:tcPr>
          <w:p w14:paraId="060F7D72"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Finalisation de l’étude de Phase Ia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dans le traitement du VIH permettant de passer à la Phase IIa.</w:t>
            </w:r>
          </w:p>
        </w:tc>
      </w:tr>
      <w:tr w:rsidR="00BE1E6B" w:rsidRPr="0030056F" w14:paraId="7FCB51CE" w14:textId="77777777" w:rsidTr="00BE1E6B">
        <w:trPr>
          <w:trHeight w:val="283"/>
        </w:trPr>
        <w:tc>
          <w:tcPr>
            <w:tcW w:w="1843" w:type="dxa"/>
            <w:shd w:val="clear" w:color="auto" w:fill="auto"/>
          </w:tcPr>
          <w:p w14:paraId="54F4CB91"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Janvier 2015</w:t>
            </w:r>
          </w:p>
        </w:tc>
        <w:tc>
          <w:tcPr>
            <w:tcW w:w="7699" w:type="dxa"/>
            <w:shd w:val="clear" w:color="auto" w:fill="auto"/>
          </w:tcPr>
          <w:p w14:paraId="4E326EA3"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szCs w:val="22"/>
                <w:lang w:val="fr-FR"/>
              </w:rPr>
            </w:pPr>
            <w:r w:rsidRPr="00C73365">
              <w:rPr>
                <w:rFonts w:asciiTheme="minorHAnsi" w:hAnsiTheme="minorHAnsi" w:cstheme="minorHAnsi"/>
                <w:lang w:val="fr-FR"/>
              </w:rPr>
              <w:t>Traitement du premier patient VIH positif dans le cadre de l’essai clinique de phase IIa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à l’île Maurice</w:t>
            </w:r>
          </w:p>
        </w:tc>
      </w:tr>
      <w:tr w:rsidR="00BE1E6B" w:rsidRPr="0030056F" w14:paraId="28F804EA" w14:textId="77777777" w:rsidTr="00BE1E6B">
        <w:tc>
          <w:tcPr>
            <w:tcW w:w="1843" w:type="dxa"/>
            <w:shd w:val="clear" w:color="auto" w:fill="auto"/>
          </w:tcPr>
          <w:p w14:paraId="360E4FEF" w14:textId="77777777"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2015</w:t>
            </w:r>
          </w:p>
        </w:tc>
        <w:tc>
          <w:tcPr>
            <w:tcW w:w="7699" w:type="dxa"/>
            <w:shd w:val="clear" w:color="auto" w:fill="auto"/>
          </w:tcPr>
          <w:p w14:paraId="5E1D66A7"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szCs w:val="22"/>
                <w:lang w:val="fr-FR"/>
              </w:rPr>
            </w:pPr>
            <w:r w:rsidRPr="00C73365">
              <w:rPr>
                <w:rFonts w:asciiTheme="minorHAnsi" w:hAnsiTheme="minorHAnsi" w:cstheme="minorHAnsi"/>
                <w:lang w:val="fr-FR"/>
              </w:rPr>
              <w:t>Traitement du premier patient en Nouvelle-Zélande dans le cadre de l’étude clinique de phase IIb/III d’</w:t>
            </w:r>
            <w:r w:rsidR="00E32CFE" w:rsidRPr="00C73365">
              <w:rPr>
                <w:rFonts w:asciiTheme="minorHAnsi" w:hAnsiTheme="minorHAnsi" w:cstheme="minorHAnsi"/>
                <w:lang w:val="fr-FR"/>
              </w:rPr>
              <w:t>ABX203</w:t>
            </w:r>
          </w:p>
        </w:tc>
      </w:tr>
      <w:tr w:rsidR="00BE1E6B" w:rsidRPr="0030056F" w14:paraId="5CA220C4" w14:textId="77777777" w:rsidTr="00BE1E6B">
        <w:tc>
          <w:tcPr>
            <w:tcW w:w="1843" w:type="dxa"/>
            <w:shd w:val="clear" w:color="auto" w:fill="auto"/>
          </w:tcPr>
          <w:p w14:paraId="4DE13C3B"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Mars 2015</w:t>
            </w:r>
          </w:p>
        </w:tc>
        <w:tc>
          <w:tcPr>
            <w:tcW w:w="7699" w:type="dxa"/>
            <w:shd w:val="clear" w:color="auto" w:fill="auto"/>
          </w:tcPr>
          <w:p w14:paraId="54D07840"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Obtention de la qualification </w:t>
            </w:r>
            <w:r w:rsidR="001479F8">
              <w:rPr>
                <w:rFonts w:asciiTheme="minorHAnsi" w:hAnsiTheme="minorHAnsi" w:cstheme="minorHAnsi"/>
                <w:lang w:val="fr-FR"/>
              </w:rPr>
              <w:t>Bpifrance</w:t>
            </w:r>
            <w:r w:rsidRPr="00C73365">
              <w:rPr>
                <w:rFonts w:asciiTheme="minorHAnsi" w:hAnsiTheme="minorHAnsi" w:cstheme="minorHAnsi"/>
                <w:lang w:val="fr-FR"/>
              </w:rPr>
              <w:t xml:space="preserve"> « Entreprise Innovante »</w:t>
            </w:r>
          </w:p>
        </w:tc>
      </w:tr>
      <w:tr w:rsidR="00BE1E6B" w:rsidRPr="0030056F" w14:paraId="6099611F" w14:textId="77777777" w:rsidTr="00BE1E6B">
        <w:tc>
          <w:tcPr>
            <w:tcW w:w="1843" w:type="dxa"/>
            <w:shd w:val="clear" w:color="auto" w:fill="auto"/>
          </w:tcPr>
          <w:p w14:paraId="52CFE029"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2015</w:t>
            </w:r>
          </w:p>
        </w:tc>
        <w:tc>
          <w:tcPr>
            <w:tcW w:w="7699" w:type="dxa"/>
            <w:shd w:val="clear" w:color="auto" w:fill="auto"/>
          </w:tcPr>
          <w:p w14:paraId="0BD76063"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Introduction en bourse sur le marché réglementé d’Euronext à Paris - Levée de 57,7 </w:t>
            </w:r>
            <w:r w:rsidR="00EF089C" w:rsidRPr="00C73365">
              <w:rPr>
                <w:rFonts w:asciiTheme="minorHAnsi" w:hAnsiTheme="minorHAnsi" w:cstheme="minorHAnsi"/>
                <w:lang w:val="fr-FR"/>
              </w:rPr>
              <w:t>M€</w:t>
            </w:r>
          </w:p>
        </w:tc>
      </w:tr>
      <w:tr w:rsidR="00BE1E6B" w:rsidRPr="0030056F" w14:paraId="5998CC73" w14:textId="77777777" w:rsidTr="00BE1E6B">
        <w:tc>
          <w:tcPr>
            <w:tcW w:w="1843" w:type="dxa"/>
            <w:shd w:val="clear" w:color="auto" w:fill="auto"/>
          </w:tcPr>
          <w:p w14:paraId="772FD413" w14:textId="77777777" w:rsidR="00BE1E6B" w:rsidRPr="00C73365" w:rsidRDefault="006B119E" w:rsidP="00BE1E6B">
            <w:pPr>
              <w:rPr>
                <w:rFonts w:asciiTheme="minorHAnsi" w:hAnsiTheme="minorHAnsi" w:cstheme="minorHAnsi"/>
                <w:b/>
                <w:lang w:val="fr-FR"/>
              </w:rPr>
            </w:pPr>
            <w:r w:rsidRPr="00C73365">
              <w:rPr>
                <w:rFonts w:asciiTheme="minorHAnsi" w:hAnsiTheme="minorHAnsi" w:cstheme="minorHAnsi"/>
                <w:b/>
                <w:lang w:val="fr-FR"/>
              </w:rPr>
              <w:t>Septembre</w:t>
            </w:r>
            <w:r w:rsidR="00BE1E6B" w:rsidRPr="00C73365">
              <w:rPr>
                <w:rFonts w:asciiTheme="minorHAnsi" w:hAnsiTheme="minorHAnsi" w:cstheme="minorHAnsi"/>
                <w:b/>
                <w:lang w:val="fr-FR"/>
              </w:rPr>
              <w:t xml:space="preserve"> 2015</w:t>
            </w:r>
          </w:p>
        </w:tc>
        <w:tc>
          <w:tcPr>
            <w:tcW w:w="7699" w:type="dxa"/>
            <w:shd w:val="clear" w:color="auto" w:fill="auto"/>
          </w:tcPr>
          <w:p w14:paraId="00E7D9BD"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Fin du recrutement dans l’étude clinique pivot de Phase IIb/III d’</w:t>
            </w:r>
            <w:r w:rsidR="00E32CFE" w:rsidRPr="00C73365">
              <w:rPr>
                <w:rFonts w:asciiTheme="minorHAnsi" w:hAnsiTheme="minorHAnsi" w:cstheme="minorHAnsi"/>
                <w:lang w:val="fr-FR"/>
              </w:rPr>
              <w:t>ABX203</w:t>
            </w:r>
          </w:p>
        </w:tc>
      </w:tr>
      <w:tr w:rsidR="00BE1E6B" w:rsidRPr="0030056F" w14:paraId="3E803FC1" w14:textId="77777777" w:rsidTr="00BE1E6B">
        <w:tc>
          <w:tcPr>
            <w:tcW w:w="1843" w:type="dxa"/>
            <w:shd w:val="clear" w:color="auto" w:fill="auto"/>
          </w:tcPr>
          <w:p w14:paraId="55E838BC"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2016</w:t>
            </w:r>
          </w:p>
        </w:tc>
        <w:tc>
          <w:tcPr>
            <w:tcW w:w="7699" w:type="dxa"/>
            <w:shd w:val="clear" w:color="auto" w:fill="auto"/>
          </w:tcPr>
          <w:p w14:paraId="48D56B40"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Présentation à CROI, la conférence sur les rétrovirus et les infections opportunistes, des premiers résultats positifs de l’étude clinique de Phase IIa pour l’</w:t>
            </w:r>
            <w:r w:rsidR="00E32CFE" w:rsidRPr="00C73365">
              <w:rPr>
                <w:rFonts w:asciiTheme="minorHAnsi" w:hAnsiTheme="minorHAnsi" w:cstheme="minorHAnsi"/>
                <w:lang w:val="fr-FR"/>
              </w:rPr>
              <w:t>ABX464</w:t>
            </w:r>
          </w:p>
        </w:tc>
      </w:tr>
      <w:tr w:rsidR="00BE1E6B" w:rsidRPr="0030056F" w14:paraId="153977D9" w14:textId="77777777" w:rsidTr="00BE1E6B">
        <w:tc>
          <w:tcPr>
            <w:tcW w:w="1843" w:type="dxa"/>
            <w:shd w:val="clear" w:color="auto" w:fill="auto"/>
          </w:tcPr>
          <w:p w14:paraId="591AB038"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Mai 2016</w:t>
            </w:r>
          </w:p>
        </w:tc>
        <w:tc>
          <w:tcPr>
            <w:tcW w:w="7699" w:type="dxa"/>
            <w:shd w:val="clear" w:color="auto" w:fill="auto"/>
          </w:tcPr>
          <w:p w14:paraId="6FE73DC4"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Lancement de l’étude </w:t>
            </w:r>
            <w:r w:rsidR="00E32CFE" w:rsidRPr="00C73365">
              <w:rPr>
                <w:rFonts w:asciiTheme="minorHAnsi" w:hAnsiTheme="minorHAnsi" w:cstheme="minorHAnsi"/>
                <w:lang w:val="fr-FR"/>
              </w:rPr>
              <w:t>ABX464</w:t>
            </w:r>
            <w:r w:rsidRPr="00C73365">
              <w:rPr>
                <w:rFonts w:asciiTheme="minorHAnsi" w:hAnsiTheme="minorHAnsi" w:cstheme="minorHAnsi"/>
                <w:lang w:val="fr-FR"/>
              </w:rPr>
              <w:t>-004 pour le développement clinique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en co-thérapie avec un autre traitement antiviral</w:t>
            </w:r>
            <w:r w:rsidR="00EE0050" w:rsidRPr="00C73365">
              <w:rPr>
                <w:rFonts w:asciiTheme="minorHAnsi" w:hAnsiTheme="minorHAnsi" w:cstheme="minorHAnsi"/>
                <w:lang w:val="fr-FR"/>
              </w:rPr>
              <w:t xml:space="preserve"> </w:t>
            </w:r>
            <w:r w:rsidRPr="00C73365">
              <w:rPr>
                <w:rFonts w:asciiTheme="minorHAnsi" w:hAnsiTheme="minorHAnsi" w:cstheme="minorHAnsi"/>
                <w:lang w:val="fr-FR"/>
              </w:rPr>
              <w:t>; Premier patient recruté dans la seconde étude de Phase IIa</w:t>
            </w:r>
          </w:p>
        </w:tc>
      </w:tr>
      <w:tr w:rsidR="00BE1E6B" w:rsidRPr="0030056F" w14:paraId="68ED3776" w14:textId="77777777" w:rsidTr="00BE1E6B">
        <w:tc>
          <w:tcPr>
            <w:tcW w:w="1843" w:type="dxa"/>
            <w:shd w:val="clear" w:color="auto" w:fill="auto"/>
          </w:tcPr>
          <w:p w14:paraId="58B78C2F"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2016</w:t>
            </w:r>
          </w:p>
        </w:tc>
        <w:tc>
          <w:tcPr>
            <w:tcW w:w="7699" w:type="dxa"/>
            <w:shd w:val="clear" w:color="auto" w:fill="auto"/>
          </w:tcPr>
          <w:p w14:paraId="1489C470"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Une analyse de l</w:t>
            </w:r>
            <w:r w:rsidR="004572A0" w:rsidRPr="00C73365">
              <w:rPr>
                <w:rFonts w:asciiTheme="minorHAnsi" w:hAnsiTheme="minorHAnsi" w:cstheme="minorHAnsi"/>
                <w:lang w:val="fr-FR"/>
              </w:rPr>
              <w:t>’</w:t>
            </w:r>
            <w:r w:rsidRPr="00C73365">
              <w:rPr>
                <w:rFonts w:asciiTheme="minorHAnsi" w:hAnsiTheme="minorHAnsi" w:cstheme="minorHAnsi"/>
                <w:lang w:val="fr-FR"/>
              </w:rPr>
              <w:t>étude de Phase IIb/III sur l</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pour le traitement de l</w:t>
            </w:r>
            <w:r w:rsidR="004572A0" w:rsidRPr="00C73365">
              <w:rPr>
                <w:rFonts w:asciiTheme="minorHAnsi" w:hAnsiTheme="minorHAnsi" w:cstheme="minorHAnsi"/>
                <w:lang w:val="fr-FR"/>
              </w:rPr>
              <w:t>’</w:t>
            </w:r>
            <w:r w:rsidRPr="00C73365">
              <w:rPr>
                <w:rFonts w:asciiTheme="minorHAnsi" w:hAnsiTheme="minorHAnsi" w:cstheme="minorHAnsi"/>
                <w:lang w:val="fr-FR"/>
              </w:rPr>
              <w:t>hépatite B chronique met en évidence la bonne tolérance du traitement, mais révèle que le critère d</w:t>
            </w:r>
            <w:r w:rsidR="004572A0" w:rsidRPr="00C73365">
              <w:rPr>
                <w:rFonts w:asciiTheme="minorHAnsi" w:hAnsiTheme="minorHAnsi" w:cstheme="minorHAnsi"/>
                <w:lang w:val="fr-FR"/>
              </w:rPr>
              <w:t>’</w:t>
            </w:r>
            <w:r w:rsidRPr="00C73365">
              <w:rPr>
                <w:rFonts w:asciiTheme="minorHAnsi" w:hAnsiTheme="minorHAnsi" w:cstheme="minorHAnsi"/>
                <w:lang w:val="fr-FR"/>
              </w:rPr>
              <w:t>évaluation principal a peu de chance d’être atteint</w:t>
            </w:r>
          </w:p>
          <w:p w14:paraId="0441BC9B"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Franchissement de la 2</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étape clé de CaReNA, un « Projet Stratégique d’Innovation Industrielle » soutenue par </w:t>
            </w:r>
            <w:r w:rsidR="001479F8">
              <w:rPr>
                <w:rFonts w:asciiTheme="minorHAnsi" w:hAnsiTheme="minorHAnsi" w:cstheme="minorHAnsi"/>
                <w:lang w:val="fr-FR"/>
              </w:rPr>
              <w:t>Bpifrance</w:t>
            </w:r>
          </w:p>
        </w:tc>
      </w:tr>
      <w:tr w:rsidR="00BE1E6B" w:rsidRPr="0030056F" w14:paraId="646C0619" w14:textId="77777777" w:rsidTr="00BE1E6B">
        <w:trPr>
          <w:trHeight w:val="1749"/>
        </w:trPr>
        <w:tc>
          <w:tcPr>
            <w:tcW w:w="1843" w:type="dxa"/>
            <w:shd w:val="clear" w:color="auto" w:fill="auto"/>
          </w:tcPr>
          <w:p w14:paraId="6F7589B3"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Décembre 2016</w:t>
            </w:r>
          </w:p>
        </w:tc>
        <w:tc>
          <w:tcPr>
            <w:tcW w:w="7699" w:type="dxa"/>
            <w:shd w:val="clear" w:color="auto" w:fill="auto"/>
          </w:tcPr>
          <w:p w14:paraId="0B307E15" w14:textId="77777777" w:rsidR="00BE1E6B" w:rsidRPr="00C73365" w:rsidRDefault="00BE1E6B" w:rsidP="00BE1E6B">
            <w:pPr>
              <w:rPr>
                <w:rFonts w:asciiTheme="minorHAnsi" w:hAnsiTheme="minorHAnsi" w:cstheme="minorHAnsi"/>
                <w:lang w:val="fr-FR"/>
              </w:rPr>
            </w:pPr>
            <w:r w:rsidRPr="00C73365">
              <w:rPr>
                <w:rFonts w:asciiTheme="minorHAnsi" w:hAnsiTheme="minorHAnsi" w:cstheme="minorHAnsi"/>
                <w:lang w:val="fr-FR"/>
              </w:rPr>
              <w:t>Résultats finaux concernant l’</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qui confirme les conclusions de l’analyse de futilité conduite en Juin 2016 : l’étude n’a pas démontré que la co-administration d’ABX203 avec des analogues des nucléosides (NUCs) permettait de contrôler la charge virale après arrêt de ces traitements.</w:t>
            </w:r>
          </w:p>
          <w:p w14:paraId="5E61AE63" w14:textId="77777777" w:rsidR="00BE1E6B" w:rsidRPr="00C73365" w:rsidRDefault="00BE1E6B" w:rsidP="00BE1E6B">
            <w:pPr>
              <w:rPr>
                <w:rFonts w:asciiTheme="minorHAnsi" w:hAnsiTheme="minorHAnsi" w:cstheme="minorHAnsi"/>
                <w:lang w:val="fr-FR"/>
              </w:rPr>
            </w:pPr>
            <w:r w:rsidRPr="00C73365">
              <w:rPr>
                <w:rFonts w:asciiTheme="minorHAnsi" w:hAnsiTheme="minorHAnsi" w:cstheme="minorHAnsi"/>
                <w:lang w:val="fr-FR"/>
              </w:rPr>
              <w:t xml:space="preserve">A l’occasion de la publication de son Document de Référence 2016,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réactualise les informations relatives à ses activités.</w:t>
            </w:r>
          </w:p>
        </w:tc>
      </w:tr>
      <w:tr w:rsidR="00BE1E6B" w:rsidRPr="0030056F" w14:paraId="3616B004" w14:textId="77777777" w:rsidTr="00BE1E6B">
        <w:trPr>
          <w:trHeight w:val="1122"/>
        </w:trPr>
        <w:tc>
          <w:tcPr>
            <w:tcW w:w="1843" w:type="dxa"/>
            <w:shd w:val="clear" w:color="auto" w:fill="auto"/>
          </w:tcPr>
          <w:p w14:paraId="1F32C9C5"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2017</w:t>
            </w:r>
          </w:p>
        </w:tc>
        <w:tc>
          <w:tcPr>
            <w:tcW w:w="7699" w:type="dxa"/>
            <w:shd w:val="clear" w:color="auto" w:fill="auto"/>
          </w:tcPr>
          <w:p w14:paraId="7A73587D" w14:textId="77777777"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bénéficie d’un financement de 8,4 millions d’euros du Programme d’investissement d’avenir (PIA), opéré par </w:t>
            </w:r>
            <w:r w:rsidR="001479F8">
              <w:rPr>
                <w:rFonts w:asciiTheme="minorHAnsi" w:hAnsiTheme="minorHAnsi" w:cstheme="minorHAnsi"/>
                <w:lang w:val="fr-FR"/>
              </w:rPr>
              <w:t>Bpifrance</w:t>
            </w:r>
            <w:r w:rsidR="00BE1E6B" w:rsidRPr="00C73365">
              <w:rPr>
                <w:rFonts w:asciiTheme="minorHAnsi" w:hAnsiTheme="minorHAnsi" w:cstheme="minorHAnsi"/>
                <w:lang w:val="fr-FR"/>
              </w:rPr>
              <w:t>, pour le développement de traitements antiviraux innovants</w:t>
            </w:r>
          </w:p>
        </w:tc>
      </w:tr>
      <w:tr w:rsidR="00BE1E6B" w:rsidRPr="0030056F" w14:paraId="2A650B71" w14:textId="77777777" w:rsidTr="00BE1E6B">
        <w:trPr>
          <w:trHeight w:val="1265"/>
        </w:trPr>
        <w:tc>
          <w:tcPr>
            <w:tcW w:w="1843" w:type="dxa"/>
            <w:shd w:val="clear" w:color="auto" w:fill="auto"/>
          </w:tcPr>
          <w:p w14:paraId="1F6B65FE"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Février 2017</w:t>
            </w:r>
          </w:p>
        </w:tc>
        <w:tc>
          <w:tcPr>
            <w:tcW w:w="7699" w:type="dxa"/>
            <w:shd w:val="clear" w:color="auto" w:fill="auto"/>
          </w:tcPr>
          <w:p w14:paraId="76348142" w14:textId="77777777"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la publication de données cliniques de Phase I sur ABX464, son candidat médicament “first-in-class”, dans deux revues scientifiques</w:t>
            </w:r>
          </w:p>
          <w:p w14:paraId="574FC5D3" w14:textId="77777777"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 découvert de nouvelles molécules antivirales qui présentent le potentiel de traiter le virus de la Dengue</w:t>
            </w:r>
          </w:p>
        </w:tc>
      </w:tr>
      <w:tr w:rsidR="00BE1E6B" w:rsidRPr="0030056F" w14:paraId="0AA7A5F9" w14:textId="77777777" w:rsidTr="00BE1E6B">
        <w:trPr>
          <w:trHeight w:val="1269"/>
        </w:trPr>
        <w:tc>
          <w:tcPr>
            <w:tcW w:w="1843" w:type="dxa"/>
            <w:shd w:val="clear" w:color="auto" w:fill="auto"/>
          </w:tcPr>
          <w:p w14:paraId="0174B516"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Avril 2017</w:t>
            </w:r>
          </w:p>
          <w:p w14:paraId="7553C7F5" w14:textId="77777777" w:rsidR="00BE1E6B" w:rsidRPr="00C73365" w:rsidRDefault="00BE1E6B" w:rsidP="00BE1E6B">
            <w:pPr>
              <w:rPr>
                <w:rFonts w:asciiTheme="minorHAnsi" w:hAnsiTheme="minorHAnsi" w:cstheme="minorHAnsi"/>
                <w:b/>
                <w:lang w:val="fr-FR"/>
              </w:rPr>
            </w:pPr>
          </w:p>
          <w:p w14:paraId="2A2B0056" w14:textId="77777777" w:rsidR="00BE1E6B" w:rsidRPr="00C73365" w:rsidRDefault="00BE1E6B" w:rsidP="00BE1E6B">
            <w:pPr>
              <w:rPr>
                <w:rFonts w:asciiTheme="minorHAnsi" w:hAnsiTheme="minorHAnsi" w:cstheme="minorHAnsi"/>
                <w:b/>
                <w:lang w:val="fr-FR"/>
              </w:rPr>
            </w:pPr>
          </w:p>
          <w:p w14:paraId="4EB8ABB3" w14:textId="77777777" w:rsidR="00BE1E6B" w:rsidRPr="00C73365" w:rsidRDefault="00BE1E6B" w:rsidP="00BE1E6B">
            <w:pPr>
              <w:rPr>
                <w:rFonts w:asciiTheme="minorHAnsi" w:hAnsiTheme="minorHAnsi" w:cstheme="minorHAnsi"/>
                <w:b/>
                <w:lang w:val="fr-FR"/>
              </w:rPr>
            </w:pPr>
          </w:p>
        </w:tc>
        <w:tc>
          <w:tcPr>
            <w:tcW w:w="7699" w:type="dxa"/>
            <w:shd w:val="clear" w:color="auto" w:fill="auto"/>
          </w:tcPr>
          <w:p w14:paraId="1D9FBE4F"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démarre une nouvelle étude clinique (ABX464-005) pour évaluer l’effet d’ABX464 sur les réservoirs du VIH chez les patients infectés par le virus</w:t>
            </w:r>
          </w:p>
          <w:p w14:paraId="14548CBB"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l’extension de son portefeuille de produits antiviraux avec des molécules ciblant le virus Zika</w:t>
            </w:r>
          </w:p>
        </w:tc>
      </w:tr>
      <w:tr w:rsidR="00BE1E6B" w:rsidRPr="0030056F" w14:paraId="62996B76" w14:textId="77777777" w:rsidTr="00BE1E6B">
        <w:tc>
          <w:tcPr>
            <w:tcW w:w="1843" w:type="dxa"/>
            <w:shd w:val="clear" w:color="auto" w:fill="auto"/>
          </w:tcPr>
          <w:p w14:paraId="5C96F23C"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Mai 2017</w:t>
            </w:r>
          </w:p>
        </w:tc>
        <w:tc>
          <w:tcPr>
            <w:tcW w:w="7699" w:type="dxa"/>
            <w:shd w:val="clear" w:color="auto" w:fill="auto"/>
          </w:tcPr>
          <w:p w14:paraId="25D7CB27"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Réduction, pour la première fois chez le patient, des réservoirs du VIH induite par un traitement</w:t>
            </w:r>
          </w:p>
        </w:tc>
      </w:tr>
      <w:tr w:rsidR="00BE1E6B" w:rsidRPr="0030056F" w14:paraId="42D31E07" w14:textId="77777777" w:rsidTr="00BE1E6B">
        <w:tc>
          <w:tcPr>
            <w:tcW w:w="1843" w:type="dxa"/>
            <w:shd w:val="clear" w:color="auto" w:fill="auto"/>
          </w:tcPr>
          <w:p w14:paraId="32BC74F8"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2017</w:t>
            </w:r>
          </w:p>
        </w:tc>
        <w:tc>
          <w:tcPr>
            <w:tcW w:w="7699" w:type="dxa"/>
            <w:shd w:val="clear" w:color="auto" w:fill="auto"/>
          </w:tcPr>
          <w:p w14:paraId="02E0258A"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bénéficie d’un financement de 390 000€ de la part de </w:t>
            </w:r>
            <w:r w:rsidR="001479F8">
              <w:rPr>
                <w:rFonts w:asciiTheme="minorHAnsi" w:hAnsiTheme="minorHAnsi" w:cstheme="minorHAnsi"/>
                <w:lang w:val="fr-FR"/>
              </w:rPr>
              <w:t>Bpifrance</w:t>
            </w:r>
            <w:r w:rsidR="00BE1E6B" w:rsidRPr="00C73365">
              <w:rPr>
                <w:rFonts w:asciiTheme="minorHAnsi" w:hAnsiTheme="minorHAnsi" w:cstheme="minorHAnsi"/>
                <w:lang w:val="fr-FR"/>
              </w:rPr>
              <w:t xml:space="preserve"> pour le développement de son candidat sérum hyperimmun contre le virus Ebola</w:t>
            </w:r>
          </w:p>
          <w:p w14:paraId="6C0CD1A2"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lastRenderedPageBreak/>
              <w:t>Le Pr. Jamal Tazi, inventeur d’ABX464, candidat médicament le plus avancé d’</w:t>
            </w:r>
            <w:r w:rsidR="00EF089C" w:rsidRPr="00C73365">
              <w:rPr>
                <w:rFonts w:asciiTheme="minorHAnsi" w:hAnsiTheme="minorHAnsi" w:cstheme="minorHAnsi"/>
                <w:lang w:val="fr-FR"/>
              </w:rPr>
              <w:t>ABIVAX</w:t>
            </w:r>
            <w:r w:rsidRPr="00C73365">
              <w:rPr>
                <w:rFonts w:asciiTheme="minorHAnsi" w:hAnsiTheme="minorHAnsi" w:cstheme="minorHAnsi"/>
                <w:lang w:val="fr-FR"/>
              </w:rPr>
              <w:t>, visant à induire une guérison fonctionnelle du VIH, reçoit la Médaille de l’Innovation 2017 du CNRS</w:t>
            </w:r>
          </w:p>
        </w:tc>
      </w:tr>
      <w:tr w:rsidR="00BE1E6B" w:rsidRPr="0030056F" w14:paraId="594047E4" w14:textId="77777777" w:rsidTr="00BE1E6B">
        <w:tc>
          <w:tcPr>
            <w:tcW w:w="1843" w:type="dxa"/>
            <w:shd w:val="clear" w:color="auto" w:fill="auto"/>
          </w:tcPr>
          <w:p w14:paraId="3833CBC9"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lastRenderedPageBreak/>
              <w:t>Juillet 2017</w:t>
            </w:r>
          </w:p>
        </w:tc>
        <w:tc>
          <w:tcPr>
            <w:tcW w:w="7699" w:type="dxa"/>
            <w:shd w:val="clear" w:color="auto" w:fill="auto"/>
          </w:tcPr>
          <w:p w14:paraId="361D9E4F"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De nouvelles données expérimentales sur l’effet anti-inflammatoire d’ABX464, le candidat médicament « first-in-class »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susceptible d’induire une guérison fonctionnelle au VIH, ont été publiées dans la revue scientifique Nature Scientific Reports</w:t>
            </w:r>
          </w:p>
          <w:p w14:paraId="294F10B2"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les derniers résultats d’ABX464 à l’occasion de la Conférence de la société internationale sur le sida à Paris</w:t>
            </w:r>
          </w:p>
        </w:tc>
      </w:tr>
      <w:tr w:rsidR="00BE1E6B" w:rsidRPr="0030056F" w14:paraId="0234D05A" w14:textId="77777777" w:rsidTr="00BE1E6B">
        <w:tc>
          <w:tcPr>
            <w:tcW w:w="1843" w:type="dxa"/>
            <w:shd w:val="clear" w:color="auto" w:fill="auto"/>
          </w:tcPr>
          <w:p w14:paraId="1212DDC2" w14:textId="77777777" w:rsidR="00BE1E6B" w:rsidRPr="00C73365" w:rsidRDefault="006B119E" w:rsidP="00BE1E6B">
            <w:pPr>
              <w:rPr>
                <w:rFonts w:asciiTheme="minorHAnsi" w:hAnsiTheme="minorHAnsi" w:cstheme="minorHAnsi"/>
                <w:b/>
                <w:lang w:val="fr-FR"/>
              </w:rPr>
            </w:pPr>
            <w:r w:rsidRPr="00C73365">
              <w:rPr>
                <w:rFonts w:asciiTheme="minorHAnsi" w:hAnsiTheme="minorHAnsi" w:cstheme="minorHAnsi"/>
                <w:b/>
                <w:lang w:val="fr-FR"/>
              </w:rPr>
              <w:t>Septembre</w:t>
            </w:r>
            <w:r w:rsidR="00BE1E6B" w:rsidRPr="00C73365">
              <w:rPr>
                <w:rFonts w:asciiTheme="minorHAnsi" w:hAnsiTheme="minorHAnsi" w:cstheme="minorHAnsi"/>
                <w:b/>
                <w:lang w:val="fr-FR"/>
              </w:rPr>
              <w:t xml:space="preserve"> 2017</w:t>
            </w:r>
          </w:p>
        </w:tc>
        <w:tc>
          <w:tcPr>
            <w:tcW w:w="7699" w:type="dxa"/>
            <w:shd w:val="clear" w:color="auto" w:fill="auto"/>
          </w:tcPr>
          <w:p w14:paraId="78D20C7A"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et Evotec signent un accord stratégique de collaboration pour le développement de nouveaux agents antiviraux</w:t>
            </w:r>
          </w:p>
          <w:p w14:paraId="2D359C95"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les données complètes de son étude de Phase 2a sur ABX464 dans le VIH au symposium « HIV Cure and Reservoir »</w:t>
            </w:r>
          </w:p>
          <w:p w14:paraId="7CC4C822"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Premier patient traité dans la cohorte 3 mois de l’étude de Phase 2a sur ABX464 chez les patients VIH contrôlés</w:t>
            </w:r>
          </w:p>
          <w:p w14:paraId="243EAF8C"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obtient l’autorisation des autorités réglementaires françaises pour lancer une étude clinique avec ABX464 sur la </w:t>
            </w:r>
            <w:r w:rsidR="00357A37" w:rsidRPr="00C73365">
              <w:rPr>
                <w:rFonts w:asciiTheme="minorHAnsi" w:hAnsiTheme="minorHAnsi" w:cstheme="minorHAnsi"/>
                <w:lang w:val="fr-FR"/>
              </w:rPr>
              <w:t>rectocolite hémorragique</w:t>
            </w:r>
          </w:p>
          <w:p w14:paraId="13E1569E" w14:textId="77777777"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ABX464, le candidat d’</w:t>
            </w:r>
            <w:r w:rsidR="00EF089C" w:rsidRPr="00C73365">
              <w:rPr>
                <w:rFonts w:asciiTheme="minorHAnsi" w:hAnsiTheme="minorHAnsi" w:cstheme="minorHAnsi"/>
                <w:lang w:val="fr-FR"/>
              </w:rPr>
              <w:t>ABIVAX</w:t>
            </w:r>
            <w:r w:rsidRPr="00C73365">
              <w:rPr>
                <w:rFonts w:asciiTheme="minorHAnsi" w:hAnsiTheme="minorHAnsi" w:cstheme="minorHAnsi"/>
                <w:lang w:val="fr-FR"/>
              </w:rPr>
              <w:t>, a réduit les réservoirs du VIH dans le sang dans le cadre d’une seconde étude clinique de Phase 2a</w:t>
            </w:r>
          </w:p>
          <w:p w14:paraId="46C4AD2F"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sécurise une ligne de financement en fonds propres avec Kepler Che</w:t>
            </w:r>
            <w:r w:rsidR="00EE0050" w:rsidRPr="00C73365">
              <w:rPr>
                <w:rFonts w:asciiTheme="minorHAnsi" w:hAnsiTheme="minorHAnsi" w:cstheme="minorHAnsi"/>
                <w:lang w:val="fr-FR"/>
              </w:rPr>
              <w:t>u</w:t>
            </w:r>
            <w:r w:rsidR="00BE1E6B" w:rsidRPr="00C73365">
              <w:rPr>
                <w:rFonts w:asciiTheme="minorHAnsi" w:hAnsiTheme="minorHAnsi" w:cstheme="minorHAnsi"/>
                <w:lang w:val="fr-FR"/>
              </w:rPr>
              <w:t>vreux</w:t>
            </w:r>
          </w:p>
        </w:tc>
      </w:tr>
      <w:tr w:rsidR="00BE1E6B" w:rsidRPr="0030056F" w14:paraId="7368E60D" w14:textId="77777777" w:rsidTr="00BE1E6B">
        <w:trPr>
          <w:trHeight w:val="2109"/>
        </w:trPr>
        <w:tc>
          <w:tcPr>
            <w:tcW w:w="1843" w:type="dxa"/>
            <w:shd w:val="clear" w:color="auto" w:fill="auto"/>
          </w:tcPr>
          <w:p w14:paraId="3F29ABDE"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Octobre 2017</w:t>
            </w:r>
          </w:p>
        </w:tc>
        <w:tc>
          <w:tcPr>
            <w:tcW w:w="7699" w:type="dxa"/>
            <w:shd w:val="clear" w:color="auto" w:fill="auto"/>
          </w:tcPr>
          <w:p w14:paraId="3CB32CB5"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de nouvelles données sur l</w:t>
            </w:r>
            <w:r w:rsidR="004572A0" w:rsidRPr="00C73365">
              <w:rPr>
                <w:rFonts w:asciiTheme="minorHAnsi" w:hAnsiTheme="minorHAnsi" w:cstheme="minorHAnsi"/>
                <w:lang w:val="fr-FR"/>
              </w:rPr>
              <w:t>’</w:t>
            </w:r>
            <w:r w:rsidR="00BE1E6B" w:rsidRPr="00C73365">
              <w:rPr>
                <w:rFonts w:asciiTheme="minorHAnsi" w:hAnsiTheme="minorHAnsi" w:cstheme="minorHAnsi"/>
                <w:lang w:val="fr-FR"/>
              </w:rPr>
              <w:t>efficacité de son stimulant immunitaire ABX196 dans le cancer du foie chez des modèles animaux lors de la conférence mondiale sur les vaccins</w:t>
            </w:r>
          </w:p>
          <w:p w14:paraId="40C6EA0E"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participera à la 23</w:t>
            </w:r>
            <w:r w:rsidR="00BE1E6B" w:rsidRPr="00C73365">
              <w:rPr>
                <w:rFonts w:asciiTheme="minorHAnsi" w:hAnsiTheme="minorHAnsi" w:cstheme="minorHAnsi"/>
                <w:vertAlign w:val="superscript"/>
                <w:lang w:val="fr-FR"/>
              </w:rPr>
              <w:t>ème</w:t>
            </w:r>
            <w:r w:rsidR="00BE1E6B" w:rsidRPr="00C73365">
              <w:rPr>
                <w:rFonts w:asciiTheme="minorHAnsi" w:hAnsiTheme="minorHAnsi" w:cstheme="minorHAnsi"/>
                <w:lang w:val="fr-FR"/>
              </w:rPr>
              <w:t xml:space="preserve"> édition de la Conférence Annuelle sur les Partenariats Internationaux lors du BIO-Europe® 2017</w:t>
            </w:r>
          </w:p>
          <w:p w14:paraId="2A0DEDCF" w14:textId="77777777" w:rsidR="00EE0050" w:rsidRPr="00C73365" w:rsidRDefault="00EF089C" w:rsidP="00BE1E6B">
            <w:pPr>
              <w:pStyle w:val="NormalWeb"/>
              <w:shd w:val="clear" w:color="auto" w:fill="FFFFFF"/>
              <w:spacing w:before="0" w:after="12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renforce son Comité Scientifique avec la nomination du Pr. Christian</w:t>
            </w:r>
            <w:r w:rsidR="00EE0050" w:rsidRPr="00C73365">
              <w:rPr>
                <w:rFonts w:asciiTheme="minorHAnsi" w:hAnsiTheme="minorHAnsi" w:cstheme="minorHAnsi"/>
                <w:lang w:val="fr-FR"/>
              </w:rPr>
              <w:t xml:space="preserve"> </w:t>
            </w:r>
            <w:r w:rsidR="00BE1E6B" w:rsidRPr="00C73365">
              <w:rPr>
                <w:rFonts w:asciiTheme="minorHAnsi" w:hAnsiTheme="minorHAnsi" w:cstheme="minorHAnsi"/>
                <w:lang w:val="fr-FR"/>
              </w:rPr>
              <w:t>Bréchot, virologiste de renom et ancien Directeur Général de l</w:t>
            </w:r>
            <w:r w:rsidR="004572A0" w:rsidRPr="00C73365">
              <w:rPr>
                <w:rFonts w:asciiTheme="minorHAnsi" w:hAnsiTheme="minorHAnsi" w:cstheme="minorHAnsi"/>
                <w:lang w:val="fr-FR"/>
              </w:rPr>
              <w:t>’</w:t>
            </w:r>
            <w:r w:rsidR="00BE1E6B" w:rsidRPr="00C73365">
              <w:rPr>
                <w:rFonts w:asciiTheme="minorHAnsi" w:hAnsiTheme="minorHAnsi" w:cstheme="minorHAnsi"/>
                <w:lang w:val="fr-FR"/>
              </w:rPr>
              <w:t>Institut Pasteur</w:t>
            </w:r>
          </w:p>
        </w:tc>
      </w:tr>
      <w:tr w:rsidR="00BE1E6B" w:rsidRPr="0030056F" w14:paraId="69BA72DF" w14:textId="77777777" w:rsidTr="00BE1E6B">
        <w:tc>
          <w:tcPr>
            <w:tcW w:w="1843" w:type="dxa"/>
            <w:shd w:val="clear" w:color="auto" w:fill="auto"/>
          </w:tcPr>
          <w:p w14:paraId="1A4E8858"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Novembre 2017</w:t>
            </w:r>
          </w:p>
        </w:tc>
        <w:tc>
          <w:tcPr>
            <w:tcW w:w="7699" w:type="dxa"/>
            <w:shd w:val="clear" w:color="auto" w:fill="auto"/>
          </w:tcPr>
          <w:p w14:paraId="51D1691E"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recrute le premier patient atteint de </w:t>
            </w:r>
            <w:r w:rsidR="00357A37" w:rsidRPr="00C73365">
              <w:rPr>
                <w:rFonts w:asciiTheme="minorHAnsi" w:hAnsiTheme="minorHAnsi" w:cstheme="minorHAnsi"/>
                <w:lang w:val="fr-FR"/>
              </w:rPr>
              <w:t>rectocolite hémorragique</w:t>
            </w:r>
            <w:r w:rsidR="00BE1E6B" w:rsidRPr="00C73365">
              <w:rPr>
                <w:rFonts w:asciiTheme="minorHAnsi" w:hAnsiTheme="minorHAnsi" w:cstheme="minorHAnsi"/>
                <w:lang w:val="fr-FR"/>
              </w:rPr>
              <w:t xml:space="preserve"> pour sa nouvelle étude clinique de preuve de concept avec ABX464</w:t>
            </w:r>
          </w:p>
        </w:tc>
      </w:tr>
      <w:tr w:rsidR="00BE1E6B" w:rsidRPr="0030056F" w14:paraId="399AEAE4" w14:textId="77777777" w:rsidTr="00BE1E6B">
        <w:tc>
          <w:tcPr>
            <w:tcW w:w="1843" w:type="dxa"/>
            <w:shd w:val="clear" w:color="auto" w:fill="auto"/>
          </w:tcPr>
          <w:p w14:paraId="30D5C016" w14:textId="77777777"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Décembre 2017</w:t>
            </w:r>
          </w:p>
        </w:tc>
        <w:tc>
          <w:tcPr>
            <w:tcW w:w="7699" w:type="dxa"/>
            <w:shd w:val="clear" w:color="auto" w:fill="auto"/>
          </w:tcPr>
          <w:p w14:paraId="1336D520"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présentera les données concernant la phase IIa d’ABX464 confirmant la réduction du réservoir du VIH lors de la 8</w:t>
            </w:r>
            <w:r w:rsidR="00BE1E6B" w:rsidRPr="00C73365">
              <w:rPr>
                <w:rFonts w:asciiTheme="minorHAnsi" w:hAnsiTheme="minorHAnsi" w:cstheme="minorHAnsi"/>
                <w:vertAlign w:val="superscript"/>
                <w:lang w:val="fr-FR"/>
              </w:rPr>
              <w:t>ème</w:t>
            </w:r>
            <w:r w:rsidR="00BE1E6B" w:rsidRPr="00C73365">
              <w:rPr>
                <w:rFonts w:asciiTheme="minorHAnsi" w:hAnsiTheme="minorHAnsi" w:cstheme="minorHAnsi"/>
                <w:lang w:val="fr-FR"/>
              </w:rPr>
              <w:t xml:space="preserve"> édition de la conférence internationale sur la persistance du VIH pendant les traitements</w:t>
            </w:r>
          </w:p>
        </w:tc>
      </w:tr>
      <w:tr w:rsidR="00BE1E6B" w:rsidRPr="0030056F" w14:paraId="1382279B" w14:textId="77777777" w:rsidTr="00BE1E6B">
        <w:tc>
          <w:tcPr>
            <w:tcW w:w="1843" w:type="dxa"/>
            <w:shd w:val="clear" w:color="auto" w:fill="auto"/>
          </w:tcPr>
          <w:p w14:paraId="0732047F" w14:textId="77777777" w:rsidR="00EE0050"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2018</w:t>
            </w:r>
          </w:p>
        </w:tc>
        <w:tc>
          <w:tcPr>
            <w:tcW w:w="7699" w:type="dxa"/>
            <w:shd w:val="clear" w:color="auto" w:fill="auto"/>
          </w:tcPr>
          <w:p w14:paraId="24E3438C" w14:textId="77777777"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l’extension de son étude ABX464 sur le long terme chez les patients atteints de </w:t>
            </w:r>
            <w:r w:rsidR="00357A37" w:rsidRPr="00C73365">
              <w:rPr>
                <w:rFonts w:asciiTheme="minorHAnsi" w:hAnsiTheme="minorHAnsi" w:cstheme="minorHAnsi"/>
                <w:lang w:val="fr-FR"/>
              </w:rPr>
              <w:t>rectocolite hémorragique</w:t>
            </w:r>
          </w:p>
          <w:p w14:paraId="32A8DF10" w14:textId="0DF14E41" w:rsidR="00EE0050"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nomme le Docteur Carol L. Brosgart à son Conseil d</w:t>
            </w:r>
            <w:r w:rsidR="004572A0" w:rsidRPr="00C73365">
              <w:rPr>
                <w:rFonts w:asciiTheme="minorHAnsi" w:hAnsiTheme="minorHAnsi" w:cstheme="minorHAnsi"/>
                <w:lang w:val="fr-FR"/>
              </w:rPr>
              <w:t>’</w:t>
            </w:r>
            <w:r w:rsidR="00BE1E6B" w:rsidRPr="00C73365">
              <w:rPr>
                <w:rFonts w:asciiTheme="minorHAnsi" w:hAnsiTheme="minorHAnsi" w:cstheme="minorHAnsi"/>
                <w:lang w:val="fr-FR"/>
              </w:rPr>
              <w:t>Administration</w:t>
            </w:r>
          </w:p>
        </w:tc>
      </w:tr>
      <w:tr w:rsidR="00BE69CB" w:rsidRPr="0030056F" w14:paraId="2EDC5A6B" w14:textId="77777777" w:rsidTr="00BE1E6B">
        <w:tc>
          <w:tcPr>
            <w:tcW w:w="1843" w:type="dxa"/>
            <w:shd w:val="clear" w:color="auto" w:fill="auto"/>
          </w:tcPr>
          <w:p w14:paraId="45CA362B" w14:textId="420FC4B1" w:rsidR="00BE69CB" w:rsidRPr="00C73365" w:rsidRDefault="00BE69CB" w:rsidP="00BE1E6B">
            <w:pPr>
              <w:rPr>
                <w:rFonts w:asciiTheme="minorHAnsi" w:hAnsiTheme="minorHAnsi" w:cstheme="minorHAnsi"/>
                <w:b/>
                <w:lang w:val="fr-FR"/>
              </w:rPr>
            </w:pPr>
            <w:r>
              <w:rPr>
                <w:rFonts w:asciiTheme="minorHAnsi" w:hAnsiTheme="minorHAnsi" w:cstheme="minorHAnsi"/>
                <w:b/>
                <w:lang w:val="fr-FR"/>
              </w:rPr>
              <w:t>Avril 2018</w:t>
            </w:r>
          </w:p>
        </w:tc>
        <w:tc>
          <w:tcPr>
            <w:tcW w:w="7699" w:type="dxa"/>
            <w:shd w:val="clear" w:color="auto" w:fill="auto"/>
          </w:tcPr>
          <w:p w14:paraId="798CEFE7" w14:textId="663EAFF6" w:rsidR="00BE69CB" w:rsidRPr="00C73365" w:rsidRDefault="00BE69CB" w:rsidP="00BE1E6B">
            <w:pPr>
              <w:pStyle w:val="NormalWeb"/>
              <w:shd w:val="clear" w:color="auto" w:fill="FFFFFF"/>
              <w:spacing w:before="0" w:beforeAutospacing="0" w:after="120" w:afterAutospacing="0"/>
              <w:rPr>
                <w:rFonts w:asciiTheme="minorHAnsi" w:hAnsiTheme="minorHAnsi" w:cstheme="minorHAnsi"/>
                <w:lang w:val="fr-FR"/>
              </w:rPr>
            </w:pPr>
            <w:r w:rsidRPr="00BE69CB">
              <w:rPr>
                <w:rFonts w:asciiTheme="minorHAnsi" w:hAnsiTheme="minorHAnsi" w:cstheme="minorHAnsi"/>
                <w:lang w:val="fr-FR"/>
              </w:rPr>
              <w:t>ABIVAX renforce son équipe de direction avec la nomination du Dr. Alexandra Pearce en tant que Vice-Présidente des affaires réglementaires</w:t>
            </w:r>
          </w:p>
        </w:tc>
      </w:tr>
    </w:tbl>
    <w:p w14:paraId="03362108" w14:textId="77777777" w:rsidR="00A87B95" w:rsidRPr="00C73365" w:rsidRDefault="00A87B95" w:rsidP="00BE1E6B">
      <w:pPr>
        <w:rPr>
          <w:rFonts w:asciiTheme="minorHAnsi" w:hAnsiTheme="minorHAnsi" w:cstheme="minorHAnsi"/>
          <w:lang w:val="fr-FR"/>
        </w:rPr>
      </w:pPr>
    </w:p>
    <w:p w14:paraId="4E9DDA77" w14:textId="77777777"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183" w:name="_Toc510548407"/>
      <w:r w:rsidRPr="00C73365">
        <w:rPr>
          <w:rFonts w:asciiTheme="minorHAnsi" w:hAnsiTheme="minorHAnsi" w:cstheme="minorHAnsi"/>
          <w:sz w:val="22"/>
          <w:szCs w:val="22"/>
          <w:lang w:val="fr-FR"/>
        </w:rPr>
        <w:t>Investissements</w:t>
      </w:r>
      <w:bookmarkEnd w:id="179"/>
      <w:bookmarkEnd w:id="180"/>
      <w:bookmarkEnd w:id="181"/>
      <w:bookmarkEnd w:id="183"/>
      <w:r w:rsidRPr="00C73365">
        <w:rPr>
          <w:rFonts w:asciiTheme="minorHAnsi" w:hAnsiTheme="minorHAnsi" w:cstheme="minorHAnsi"/>
          <w:sz w:val="22"/>
          <w:szCs w:val="22"/>
          <w:lang w:val="fr-FR"/>
        </w:rPr>
        <w:t xml:space="preserve"> </w:t>
      </w:r>
    </w:p>
    <w:p w14:paraId="18D2E7AB" w14:textId="77777777"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 xml:space="preserve">Principaux investissements réalisés </w:t>
      </w:r>
      <w:r w:rsidR="00C94AB6" w:rsidRPr="00C73365">
        <w:rPr>
          <w:rFonts w:asciiTheme="minorHAnsi" w:hAnsiTheme="minorHAnsi" w:cstheme="minorHAnsi"/>
          <w:b/>
          <w:color w:val="7030A0"/>
          <w:lang w:val="fr-FR"/>
        </w:rPr>
        <w:t>en 2017</w:t>
      </w:r>
    </w:p>
    <w:p w14:paraId="6E0E4CD5" w14:textId="77777777" w:rsidR="00F46C7B" w:rsidRPr="00C73365" w:rsidRDefault="00F46C7B" w:rsidP="004572A0">
      <w:pPr>
        <w:pStyle w:val="Corpsdetexte"/>
        <w:rPr>
          <w:rFonts w:asciiTheme="minorHAnsi" w:hAnsiTheme="minorHAnsi" w:cstheme="minorHAnsi"/>
          <w:lang w:val="fr-FR"/>
        </w:rPr>
      </w:pPr>
      <w:bookmarkStart w:id="184" w:name="_Toc290245267"/>
      <w:bookmarkStart w:id="185" w:name="_Toc290293192"/>
      <w:bookmarkStart w:id="186" w:name="_Toc290294825"/>
      <w:bookmarkStart w:id="187" w:name="_Toc291712593"/>
      <w:bookmarkStart w:id="188" w:name="_Toc292267432"/>
      <w:bookmarkStart w:id="189" w:name="_Toc292876352"/>
      <w:bookmarkStart w:id="190" w:name="_Toc293328186"/>
      <w:bookmarkStart w:id="191" w:name="_Toc299092905"/>
      <w:bookmarkStart w:id="192" w:name="_Toc299094390"/>
      <w:r w:rsidRPr="00C73365">
        <w:rPr>
          <w:rFonts w:asciiTheme="minorHAnsi" w:hAnsiTheme="minorHAnsi" w:cstheme="minorHAnsi"/>
          <w:lang w:val="fr-FR"/>
        </w:rPr>
        <w:t xml:space="preserve">Les investissements réalisés au cours des deux derniers exercices concernent principalement des investissements </w:t>
      </w:r>
      <w:r w:rsidR="00816F92" w:rsidRPr="00C73365">
        <w:rPr>
          <w:rFonts w:asciiTheme="minorHAnsi" w:hAnsiTheme="minorHAnsi" w:cstheme="minorHAnsi"/>
          <w:lang w:val="fr-FR"/>
        </w:rPr>
        <w:t xml:space="preserve">liés aux </w:t>
      </w:r>
      <w:r w:rsidRPr="00C73365">
        <w:rPr>
          <w:rFonts w:asciiTheme="minorHAnsi" w:hAnsiTheme="minorHAnsi" w:cstheme="minorHAnsi"/>
          <w:lang w:val="fr-FR"/>
        </w:rPr>
        <w:t>activités de recherche et développement de la Société.</w:t>
      </w:r>
    </w:p>
    <w:p w14:paraId="35A66CAF" w14:textId="77777777" w:rsidR="006C4458" w:rsidRPr="00C73365" w:rsidRDefault="006C4458" w:rsidP="004572A0">
      <w:pPr>
        <w:pStyle w:val="Corpsdetexte"/>
        <w:rPr>
          <w:rFonts w:asciiTheme="minorHAnsi" w:hAnsiTheme="minorHAnsi" w:cstheme="minorHAnsi"/>
          <w:lang w:val="fr-FR"/>
        </w:rPr>
      </w:pPr>
      <w:r w:rsidRPr="00C73365">
        <w:rPr>
          <w:rFonts w:asciiTheme="minorHAnsi" w:hAnsiTheme="minorHAnsi" w:cstheme="minorHAnsi"/>
          <w:lang w:val="fr-FR"/>
        </w:rPr>
        <w:t>Les charges de R&amp;D représentent la majorité des charges d’exploitation</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r w:rsidR="00D563DE" w:rsidRPr="00C73365">
        <w:rPr>
          <w:rFonts w:asciiTheme="minorHAnsi" w:hAnsiTheme="minorHAnsi" w:cstheme="minorHAnsi"/>
          <w:lang w:val="fr-FR"/>
        </w:rPr>
        <w:t>75</w:t>
      </w:r>
      <w:r w:rsidRPr="00C73365">
        <w:rPr>
          <w:rFonts w:asciiTheme="minorHAnsi" w:hAnsiTheme="minorHAnsi" w:cstheme="minorHAnsi"/>
          <w:lang w:val="fr-FR"/>
        </w:rPr>
        <w:t>% du total des charges</w:t>
      </w:r>
      <w:r w:rsidR="008B7CB1" w:rsidRPr="00C73365">
        <w:rPr>
          <w:rFonts w:asciiTheme="minorHAnsi" w:hAnsiTheme="minorHAnsi" w:cstheme="minorHAnsi"/>
          <w:lang w:val="fr-FR"/>
        </w:rPr>
        <w:t xml:space="preserve"> en 2017</w:t>
      </w:r>
      <w:r w:rsidRPr="00C73365">
        <w:rPr>
          <w:rFonts w:asciiTheme="minorHAnsi" w:hAnsiTheme="minorHAnsi" w:cstheme="minorHAnsi"/>
          <w:lang w:val="fr-FR"/>
        </w:rPr>
        <w:t xml:space="preserve"> vs </w:t>
      </w:r>
      <w:r w:rsidR="00D563DE" w:rsidRPr="00C73365">
        <w:rPr>
          <w:rFonts w:asciiTheme="minorHAnsi" w:hAnsiTheme="minorHAnsi" w:cstheme="minorHAnsi"/>
          <w:lang w:val="fr-FR"/>
        </w:rPr>
        <w:t>84</w:t>
      </w:r>
      <w:r w:rsidRPr="00C73365">
        <w:rPr>
          <w:rFonts w:asciiTheme="minorHAnsi" w:hAnsiTheme="minorHAnsi" w:cstheme="minorHAnsi"/>
          <w:lang w:val="fr-FR"/>
        </w:rPr>
        <w:t xml:space="preserve">% </w:t>
      </w:r>
      <w:r w:rsidR="008B7CB1" w:rsidRPr="00C73365">
        <w:rPr>
          <w:rFonts w:asciiTheme="minorHAnsi" w:hAnsiTheme="minorHAnsi" w:cstheme="minorHAnsi"/>
          <w:lang w:val="fr-FR"/>
        </w:rPr>
        <w:t>en</w:t>
      </w:r>
      <w:r w:rsidRPr="00C73365">
        <w:rPr>
          <w:rFonts w:asciiTheme="minorHAnsi" w:hAnsiTheme="minorHAnsi" w:cstheme="minorHAnsi"/>
          <w:lang w:val="fr-FR"/>
        </w:rPr>
        <w:t xml:space="preserve"> </w:t>
      </w:r>
      <w:r w:rsidR="00D563DE" w:rsidRPr="00C73365">
        <w:rPr>
          <w:rFonts w:asciiTheme="minorHAnsi" w:hAnsiTheme="minorHAnsi" w:cstheme="minorHAnsi"/>
          <w:lang w:val="fr-FR"/>
        </w:rPr>
        <w:t>2016</w:t>
      </w:r>
      <w:r w:rsidR="00816F92" w:rsidRPr="00C73365">
        <w:rPr>
          <w:rFonts w:asciiTheme="minorHAnsi" w:hAnsiTheme="minorHAnsi" w:cstheme="minorHAnsi"/>
          <w:lang w:val="fr-FR"/>
        </w:rPr>
        <w:t xml:space="preserve">, représentant un total de </w:t>
      </w:r>
      <w:r w:rsidR="00EE0050" w:rsidRPr="00C73365">
        <w:rPr>
          <w:rFonts w:asciiTheme="minorHAnsi" w:hAnsiTheme="minorHAnsi" w:cstheme="minorHAnsi"/>
          <w:lang w:val="fr-FR"/>
        </w:rPr>
        <w:t>-</w:t>
      </w:r>
      <w:r w:rsidRPr="00C73365">
        <w:rPr>
          <w:rFonts w:asciiTheme="minorHAnsi" w:hAnsiTheme="minorHAnsi" w:cstheme="minorHAnsi"/>
          <w:lang w:val="fr-FR"/>
        </w:rPr>
        <w:t>1</w:t>
      </w:r>
      <w:r w:rsidR="00D563DE" w:rsidRPr="00C73365">
        <w:rPr>
          <w:rFonts w:asciiTheme="minorHAnsi" w:hAnsiTheme="minorHAnsi" w:cstheme="minorHAnsi"/>
          <w:lang w:val="fr-FR"/>
        </w:rPr>
        <w:t>0 846</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pour l’année </w:t>
      </w:r>
      <w:r w:rsidR="00D563DE" w:rsidRPr="00C73365">
        <w:rPr>
          <w:rFonts w:asciiTheme="minorHAnsi" w:hAnsiTheme="minorHAnsi" w:cstheme="minorHAnsi"/>
          <w:lang w:val="fr-FR"/>
        </w:rPr>
        <w:t xml:space="preserve">2017 </w:t>
      </w:r>
      <w:r w:rsidRPr="00C73365">
        <w:rPr>
          <w:rFonts w:asciiTheme="minorHAnsi" w:hAnsiTheme="minorHAnsi" w:cstheme="minorHAnsi"/>
          <w:lang w:val="fr-FR"/>
        </w:rPr>
        <w:t xml:space="preserve">contre </w:t>
      </w:r>
      <w:r w:rsidR="00EE0050" w:rsidRPr="00C73365">
        <w:rPr>
          <w:rFonts w:asciiTheme="minorHAnsi" w:hAnsiTheme="minorHAnsi" w:cstheme="minorHAnsi"/>
          <w:lang w:val="fr-FR"/>
        </w:rPr>
        <w:t>-</w:t>
      </w:r>
      <w:r w:rsidRPr="00C73365">
        <w:rPr>
          <w:rFonts w:asciiTheme="minorHAnsi" w:hAnsiTheme="minorHAnsi" w:cstheme="minorHAnsi"/>
          <w:lang w:val="fr-FR"/>
        </w:rPr>
        <w:t xml:space="preserve">15 </w:t>
      </w:r>
      <w:r w:rsidR="00D563DE" w:rsidRPr="00C73365">
        <w:rPr>
          <w:rFonts w:asciiTheme="minorHAnsi" w:hAnsiTheme="minorHAnsi" w:cstheme="minorHAnsi"/>
          <w:lang w:val="fr-FR"/>
        </w:rPr>
        <w:t xml:space="preserve">459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pour l’année </w:t>
      </w:r>
      <w:r w:rsidR="00D563DE" w:rsidRPr="00C73365">
        <w:rPr>
          <w:rFonts w:asciiTheme="minorHAnsi" w:hAnsiTheme="minorHAnsi" w:cstheme="minorHAnsi"/>
          <w:lang w:val="fr-FR"/>
        </w:rPr>
        <w:t>2016</w:t>
      </w:r>
      <w:r w:rsidRPr="00C73365">
        <w:rPr>
          <w:rFonts w:asciiTheme="minorHAnsi" w:hAnsiTheme="minorHAnsi" w:cstheme="minorHAnsi"/>
          <w:lang w:val="fr-FR"/>
        </w:rPr>
        <w:t>.</w:t>
      </w:r>
    </w:p>
    <w:p w14:paraId="4CA43F3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Les investissements en recherche &amp; développement ne remplissant pas les critères de capitalisation</w:t>
      </w:r>
      <w:r w:rsidR="00816F92" w:rsidRPr="00C73365">
        <w:rPr>
          <w:rFonts w:asciiTheme="minorHAnsi" w:hAnsiTheme="minorHAnsi" w:cstheme="minorHAnsi"/>
          <w:lang w:val="fr-FR"/>
        </w:rPr>
        <w:t xml:space="preserve">, </w:t>
      </w:r>
      <w:r w:rsidRPr="00C73365">
        <w:rPr>
          <w:rFonts w:asciiTheme="minorHAnsi" w:hAnsiTheme="minorHAnsi" w:cstheme="minorHAnsi"/>
          <w:lang w:val="fr-FR"/>
        </w:rPr>
        <w:t>la Société n’a</w:t>
      </w:r>
      <w:r w:rsidR="00816F92" w:rsidRPr="00C73365">
        <w:rPr>
          <w:rFonts w:asciiTheme="minorHAnsi" w:hAnsiTheme="minorHAnsi" w:cstheme="minorHAnsi"/>
          <w:lang w:val="fr-FR"/>
        </w:rPr>
        <w:t>yant</w:t>
      </w:r>
      <w:r w:rsidRPr="00C73365">
        <w:rPr>
          <w:rFonts w:asciiTheme="minorHAnsi" w:hAnsiTheme="minorHAnsi" w:cstheme="minorHAnsi"/>
          <w:lang w:val="fr-FR"/>
        </w:rPr>
        <w:t xml:space="preserve"> pas encore obtenu d’autorisation de mise sur le marché pour l’un de ses candidats-médicaments, ceux-ci ne sont pas immobilisés.</w:t>
      </w:r>
    </w:p>
    <w:p w14:paraId="541A831D"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lastRenderedPageBreak/>
        <w:t>Investissements corporels</w:t>
      </w:r>
    </w:p>
    <w:p w14:paraId="1824D0B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Les investissements corporels concernent principalement du matériel et outillage technique à destination des laboratoires, du matériel de bureau et des installations informatiques et bureautiques.</w:t>
      </w:r>
    </w:p>
    <w:p w14:paraId="5767ECDF"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Investissements financiers</w:t>
      </w:r>
    </w:p>
    <w:p w14:paraId="48F7128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Les investissements financiers comprennent essentiellement les actions auto détenues dans le cadre du contrat de liquidité. L’évolution du poste d’une année sur l’autre reflète la baisse du cours de bourse entre le 31/12/</w:t>
      </w:r>
      <w:r w:rsidR="00BB0796" w:rsidRPr="00C73365">
        <w:rPr>
          <w:rFonts w:asciiTheme="minorHAnsi" w:hAnsiTheme="minorHAnsi" w:cstheme="minorHAnsi"/>
          <w:lang w:val="fr-FR"/>
        </w:rPr>
        <w:t xml:space="preserve">2016 </w:t>
      </w:r>
      <w:r w:rsidRPr="00C73365">
        <w:rPr>
          <w:rFonts w:asciiTheme="minorHAnsi" w:hAnsiTheme="minorHAnsi" w:cstheme="minorHAnsi"/>
          <w:lang w:val="fr-FR"/>
        </w:rPr>
        <w:t>et le 31/12/</w:t>
      </w:r>
      <w:r w:rsidR="00BB0796" w:rsidRPr="00C73365">
        <w:rPr>
          <w:rFonts w:asciiTheme="minorHAnsi" w:hAnsiTheme="minorHAnsi" w:cstheme="minorHAnsi"/>
          <w:lang w:val="fr-FR"/>
        </w:rPr>
        <w:t>2017</w:t>
      </w:r>
      <w:r w:rsidRPr="00C73365">
        <w:rPr>
          <w:rFonts w:asciiTheme="minorHAnsi" w:hAnsiTheme="minorHAnsi" w:cstheme="minorHAnsi"/>
          <w:lang w:val="fr-FR"/>
        </w:rPr>
        <w:t>.</w:t>
      </w:r>
    </w:p>
    <w:p w14:paraId="498EDE59" w14:textId="77777777"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Principaux investissements en cours</w:t>
      </w:r>
      <w:bookmarkEnd w:id="184"/>
      <w:bookmarkEnd w:id="185"/>
      <w:bookmarkEnd w:id="186"/>
      <w:bookmarkEnd w:id="187"/>
      <w:bookmarkEnd w:id="188"/>
      <w:bookmarkEnd w:id="189"/>
      <w:bookmarkEnd w:id="190"/>
      <w:bookmarkEnd w:id="191"/>
      <w:bookmarkEnd w:id="192"/>
    </w:p>
    <w:p w14:paraId="08F4C83D"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Aucun investissement significatif n’a été réalisé depuis le début de l’exercice </w:t>
      </w:r>
      <w:r w:rsidR="00D563DE" w:rsidRPr="00C73365">
        <w:rPr>
          <w:rFonts w:asciiTheme="minorHAnsi" w:hAnsiTheme="minorHAnsi" w:cstheme="minorHAnsi"/>
          <w:lang w:val="fr-FR"/>
        </w:rPr>
        <w:t>2018</w:t>
      </w:r>
      <w:r w:rsidRPr="00C73365">
        <w:rPr>
          <w:rFonts w:asciiTheme="minorHAnsi" w:hAnsiTheme="minorHAnsi" w:cstheme="minorHAnsi"/>
          <w:lang w:val="fr-FR"/>
        </w:rPr>
        <w:t>.</w:t>
      </w:r>
    </w:p>
    <w:p w14:paraId="31B27FB6" w14:textId="77777777"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bookmarkStart w:id="193" w:name="_Toc290245268"/>
      <w:bookmarkStart w:id="194" w:name="_Toc290293193"/>
      <w:bookmarkStart w:id="195" w:name="_Toc290294826"/>
      <w:bookmarkStart w:id="196" w:name="_Toc291712594"/>
      <w:bookmarkStart w:id="197" w:name="_Toc292267433"/>
      <w:bookmarkStart w:id="198" w:name="_Toc292876353"/>
      <w:bookmarkStart w:id="199" w:name="_Toc293328187"/>
      <w:bookmarkStart w:id="200" w:name="_Toc299092907"/>
      <w:bookmarkStart w:id="201" w:name="_Toc299094392"/>
      <w:r w:rsidRPr="00C73365">
        <w:rPr>
          <w:rFonts w:asciiTheme="minorHAnsi" w:hAnsiTheme="minorHAnsi" w:cstheme="minorHAnsi"/>
          <w:b/>
          <w:color w:val="7030A0"/>
          <w:lang w:val="fr-FR"/>
        </w:rPr>
        <w:t>Principaux investissements futurs</w:t>
      </w:r>
      <w:bookmarkEnd w:id="193"/>
      <w:bookmarkEnd w:id="194"/>
      <w:bookmarkEnd w:id="195"/>
      <w:bookmarkEnd w:id="196"/>
      <w:bookmarkEnd w:id="197"/>
      <w:bookmarkEnd w:id="198"/>
      <w:bookmarkEnd w:id="199"/>
      <w:bookmarkEnd w:id="200"/>
      <w:bookmarkEnd w:id="201"/>
    </w:p>
    <w:p w14:paraId="27DA41C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ne prévoit pas, pour le moment, de réaliser d’investissements significatifs en immobilisations corporelles et incorporelles pour les années à venir et pour lesquels les organes de direction de la Société auraient pris des engagements fermes.</w:t>
      </w:r>
    </w:p>
    <w:p w14:paraId="7B1984BE" w14:textId="77777777" w:rsidR="00F46C7B" w:rsidRPr="00C73365" w:rsidRDefault="00F46C7B" w:rsidP="008C1ECB">
      <w:pPr>
        <w:pStyle w:val="ConmainL1"/>
        <w:numPr>
          <w:ilvl w:val="0"/>
          <w:numId w:val="9"/>
        </w:numPr>
        <w:spacing w:after="120"/>
        <w:rPr>
          <w:rFonts w:asciiTheme="minorHAnsi" w:hAnsiTheme="minorHAnsi" w:cstheme="minorHAnsi"/>
          <w:lang w:val="fr-FR"/>
        </w:rPr>
      </w:pPr>
      <w:bookmarkStart w:id="202" w:name="_Toc462673237"/>
      <w:bookmarkStart w:id="203" w:name="_Toc467835583"/>
      <w:bookmarkStart w:id="204" w:name="_Toc510548408"/>
      <w:bookmarkStart w:id="205" w:name="_Toc408918377"/>
      <w:bookmarkStart w:id="206" w:name="_Toc409537458"/>
      <w:bookmarkStart w:id="207" w:name="_Toc148342645"/>
      <w:bookmarkEnd w:id="125"/>
      <w:bookmarkEnd w:id="126"/>
      <w:bookmarkEnd w:id="127"/>
      <w:bookmarkEnd w:id="128"/>
      <w:bookmarkEnd w:id="129"/>
      <w:bookmarkEnd w:id="130"/>
      <w:bookmarkEnd w:id="131"/>
      <w:bookmarkEnd w:id="132"/>
      <w:bookmarkEnd w:id="133"/>
      <w:r w:rsidRPr="00C73365">
        <w:rPr>
          <w:rFonts w:asciiTheme="minorHAnsi" w:hAnsiTheme="minorHAnsi" w:cstheme="minorHAnsi"/>
          <w:lang w:val="fr-FR"/>
        </w:rPr>
        <w:lastRenderedPageBreak/>
        <w:t>APERCU DES ACTIVITES</w:t>
      </w:r>
      <w:bookmarkEnd w:id="202"/>
      <w:bookmarkEnd w:id="203"/>
      <w:bookmarkEnd w:id="204"/>
    </w:p>
    <w:p w14:paraId="1D0661FD" w14:textId="77777777"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208" w:name="_Toc462673238"/>
      <w:bookmarkStart w:id="209" w:name="_Toc467835584"/>
      <w:bookmarkStart w:id="210" w:name="_Toc408918378"/>
      <w:bookmarkStart w:id="211" w:name="_Toc409537459"/>
      <w:bookmarkStart w:id="212" w:name="_Toc510548409"/>
      <w:bookmarkEnd w:id="205"/>
      <w:bookmarkEnd w:id="206"/>
      <w:r w:rsidRPr="00C73365">
        <w:rPr>
          <w:rFonts w:asciiTheme="minorHAnsi" w:hAnsiTheme="minorHAnsi" w:cstheme="minorHAnsi"/>
          <w:sz w:val="22"/>
          <w:szCs w:val="22"/>
          <w:lang w:val="fr-FR"/>
        </w:rPr>
        <w:t>Présentation générale d’</w:t>
      </w:r>
      <w:r w:rsidR="00EF089C" w:rsidRPr="00C73365">
        <w:rPr>
          <w:rFonts w:asciiTheme="minorHAnsi" w:hAnsiTheme="minorHAnsi" w:cstheme="minorHAnsi"/>
          <w:sz w:val="22"/>
          <w:szCs w:val="22"/>
          <w:lang w:val="fr-FR"/>
        </w:rPr>
        <w:t>ABIVAX</w:t>
      </w:r>
      <w:bookmarkEnd w:id="208"/>
      <w:bookmarkEnd w:id="209"/>
      <w:r w:rsidRPr="00C73365">
        <w:rPr>
          <w:rFonts w:asciiTheme="minorHAnsi" w:hAnsiTheme="minorHAnsi" w:cstheme="minorHAnsi"/>
          <w:sz w:val="22"/>
          <w:szCs w:val="22"/>
          <w:lang w:val="fr-FR"/>
        </w:rPr>
        <w:t>, une société de biotechnologie spécialiste des pathologies virales</w:t>
      </w:r>
      <w:bookmarkStart w:id="213" w:name="_Toc408918380"/>
      <w:bookmarkStart w:id="214" w:name="_Toc409537461"/>
      <w:bookmarkEnd w:id="210"/>
      <w:bookmarkEnd w:id="211"/>
      <w:bookmarkEnd w:id="212"/>
    </w:p>
    <w:bookmarkEnd w:id="213"/>
    <w:bookmarkEnd w:id="214"/>
    <w:p w14:paraId="18E9EF38" w14:textId="77777777" w:rsidR="00C93577" w:rsidRDefault="00EF089C" w:rsidP="00C93577">
      <w:pPr>
        <w:pStyle w:val="Corpsdetexte"/>
        <w:spacing w:after="0"/>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est une société innovante de biotechnologie qui cible le système immunitaire pour éliminer </w:t>
      </w:r>
      <w:r w:rsidR="00F77970" w:rsidRPr="00C73365">
        <w:rPr>
          <w:rFonts w:asciiTheme="minorHAnsi" w:hAnsiTheme="minorHAnsi" w:cstheme="minorHAnsi"/>
          <w:lang w:val="fr-FR"/>
        </w:rPr>
        <w:t>l</w:t>
      </w:r>
      <w:r w:rsidR="00F46C7B" w:rsidRPr="00C73365">
        <w:rPr>
          <w:rFonts w:asciiTheme="minorHAnsi" w:hAnsiTheme="minorHAnsi" w:cstheme="minorHAnsi"/>
          <w:lang w:val="fr-FR"/>
        </w:rPr>
        <w:t>es maladies virales</w:t>
      </w:r>
      <w:r w:rsidR="00C94AB6" w:rsidRPr="00C73365">
        <w:rPr>
          <w:rFonts w:asciiTheme="minorHAnsi" w:hAnsiTheme="minorHAnsi" w:cstheme="minorHAnsi"/>
          <w:lang w:val="fr-FR"/>
        </w:rPr>
        <w:t>, les maladies inflammatoires et le cancer.</w:t>
      </w:r>
    </w:p>
    <w:p w14:paraId="618AF5AF" w14:textId="77777777" w:rsidR="00C93577" w:rsidRDefault="00C93577" w:rsidP="00C93577">
      <w:pPr>
        <w:pStyle w:val="Corpsdetexte"/>
        <w:spacing w:after="0"/>
        <w:rPr>
          <w:rFonts w:asciiTheme="minorHAnsi" w:hAnsiTheme="minorHAnsi" w:cstheme="minorHAnsi"/>
          <w:lang w:val="fr-FR"/>
        </w:rPr>
      </w:pPr>
    </w:p>
    <w:p w14:paraId="2B001936" w14:textId="77777777" w:rsidR="00F46C7B" w:rsidRPr="00C73365" w:rsidRDefault="00F46C7B" w:rsidP="00C93577">
      <w:pPr>
        <w:pStyle w:val="Corpsdetexte"/>
        <w:spacing w:after="0"/>
        <w:rPr>
          <w:rFonts w:asciiTheme="minorHAnsi" w:hAnsiTheme="minorHAnsi" w:cstheme="minorHAnsi"/>
          <w:lang w:val="fr-FR"/>
        </w:rPr>
      </w:pPr>
      <w:r w:rsidRPr="00C73365">
        <w:rPr>
          <w:rFonts w:asciiTheme="minorHAnsi" w:hAnsiTheme="minorHAnsi" w:cstheme="minorHAnsi"/>
          <w:lang w:val="fr-FR"/>
        </w:rPr>
        <w:t xml:space="preserve">Les produits antiviraux et les immunothérapies que développe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issus de trois plateformes</w:t>
      </w:r>
      <w:r w:rsidR="00F83595" w:rsidRPr="00C73365">
        <w:rPr>
          <w:rFonts w:asciiTheme="minorHAnsi" w:hAnsiTheme="minorHAnsi" w:cstheme="minorHAnsi"/>
          <w:lang w:val="fr-FR"/>
        </w:rPr>
        <w:t xml:space="preserve"> </w:t>
      </w:r>
      <w:r w:rsidRPr="00C73365">
        <w:rPr>
          <w:rFonts w:asciiTheme="minorHAnsi" w:hAnsiTheme="minorHAnsi" w:cstheme="minorHAnsi"/>
          <w:lang w:val="fr-FR"/>
        </w:rPr>
        <w:t>technologiques propriétaires</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w:t>
      </w:r>
    </w:p>
    <w:p w14:paraId="3DD3EFE7" w14:textId="77777777" w:rsidR="00DE07BE" w:rsidRPr="00C73365" w:rsidRDefault="00F46C7B" w:rsidP="00434C49">
      <w:pPr>
        <w:pStyle w:val="Liste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Appelnotedebasdep"/>
          <w:rFonts w:asciiTheme="minorHAnsi" w:hAnsiTheme="minorHAnsi" w:cstheme="minorHAnsi"/>
          <w:b/>
          <w:color w:val="7030A0"/>
        </w:rPr>
        <w:footnoteReference w:id="1"/>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00056EF5" w:rsidRPr="00C73365">
        <w:rPr>
          <w:rFonts w:asciiTheme="minorHAnsi" w:hAnsiTheme="minorHAnsi" w:cstheme="minorHAnsi"/>
          <w:lang w:val="fr-FR"/>
        </w:rPr>
        <w:t>basée sur des technologies mises au point conjointement avec le CNRS (Montpellier-France) et l</w:t>
      </w:r>
      <w:r w:rsidR="004572A0" w:rsidRPr="00C73365">
        <w:rPr>
          <w:rFonts w:asciiTheme="minorHAnsi" w:hAnsiTheme="minorHAnsi" w:cstheme="minorHAnsi"/>
          <w:lang w:val="fr-FR"/>
        </w:rPr>
        <w:t>’</w:t>
      </w:r>
      <w:r w:rsidR="00056EF5" w:rsidRPr="00C73365">
        <w:rPr>
          <w:rFonts w:asciiTheme="minorHAnsi" w:hAnsiTheme="minorHAnsi" w:cstheme="minorHAnsi"/>
          <w:lang w:val="fr-FR"/>
        </w:rPr>
        <w:t xml:space="preserve">Institut Curie (Orsay-France). Cette plateforme a généré une chimiothèque de plus de 1 </w:t>
      </w:r>
      <w:r w:rsidR="00037FA5" w:rsidRPr="00C73365">
        <w:rPr>
          <w:rFonts w:asciiTheme="minorHAnsi" w:hAnsiTheme="minorHAnsi" w:cstheme="minorHAnsi"/>
          <w:lang w:val="fr-FR"/>
        </w:rPr>
        <w:t>2</w:t>
      </w:r>
      <w:r w:rsidR="00056EF5" w:rsidRPr="00C73365">
        <w:rPr>
          <w:rFonts w:asciiTheme="minorHAnsi" w:hAnsiTheme="minorHAnsi" w:cstheme="minorHAnsi"/>
          <w:lang w:val="fr-FR"/>
        </w:rPr>
        <w:t>00 petite</w:t>
      </w:r>
      <w:r w:rsidR="00F83595" w:rsidRPr="00C73365">
        <w:rPr>
          <w:rFonts w:asciiTheme="minorHAnsi" w:hAnsiTheme="minorHAnsi" w:cstheme="minorHAnsi"/>
          <w:lang w:val="fr-FR"/>
        </w:rPr>
        <w:t xml:space="preserve">s </w:t>
      </w:r>
      <w:r w:rsidR="00056EF5" w:rsidRPr="00C73365">
        <w:rPr>
          <w:rFonts w:asciiTheme="minorHAnsi" w:hAnsiTheme="minorHAnsi" w:cstheme="minorHAnsi"/>
          <w:lang w:val="fr-FR"/>
        </w:rPr>
        <w:t>molécules conçues pour bloquer les mécanismes de reproduction des virus grâce à des modes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action</w:t>
      </w:r>
      <w:r w:rsidR="00314927" w:rsidRPr="00C73365">
        <w:rPr>
          <w:rFonts w:asciiTheme="minorHAnsi" w:hAnsiTheme="minorHAnsi" w:cstheme="minorHAnsi"/>
          <w:lang w:val="fr-FR"/>
        </w:rPr>
        <w:t xml:space="preserve"> </w:t>
      </w:r>
      <w:r w:rsidR="00056EF5" w:rsidRPr="00C73365">
        <w:rPr>
          <w:rFonts w:asciiTheme="minorHAnsi" w:hAnsiTheme="minorHAnsi" w:cstheme="minorHAnsi"/>
          <w:lang w:val="fr-FR"/>
        </w:rPr>
        <w:t>nouveaux, ciblant la biogénèse des ARN. En plus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ABX464, cette plateforme a généré différentes molécules ciblant</w:t>
      </w:r>
      <w:r w:rsidR="00B537A0" w:rsidRPr="00C73365">
        <w:rPr>
          <w:rFonts w:asciiTheme="minorHAnsi" w:hAnsiTheme="minorHAnsi" w:cstheme="minorHAnsi"/>
          <w:lang w:val="fr-FR"/>
        </w:rPr>
        <w:t xml:space="preserve"> d’autres</w:t>
      </w:r>
      <w:r w:rsidR="00056EF5" w:rsidRPr="00C73365">
        <w:rPr>
          <w:rFonts w:asciiTheme="minorHAnsi" w:hAnsiTheme="minorHAnsi" w:cstheme="minorHAnsi"/>
          <w:lang w:val="fr-FR"/>
        </w:rPr>
        <w:t xml:space="preserve"> virus comme le Chikungunya</w:t>
      </w:r>
      <w:r w:rsidR="00F83595" w:rsidRPr="00C73365">
        <w:rPr>
          <w:rFonts w:asciiTheme="minorHAnsi" w:hAnsiTheme="minorHAnsi" w:cstheme="minorHAnsi"/>
          <w:lang w:val="fr-FR"/>
        </w:rPr>
        <w:t>,</w:t>
      </w:r>
      <w:r w:rsidR="00056EF5" w:rsidRPr="00C73365">
        <w:rPr>
          <w:rFonts w:asciiTheme="minorHAnsi" w:hAnsiTheme="minorHAnsi" w:cstheme="minorHAnsi"/>
          <w:lang w:val="fr-FR"/>
        </w:rPr>
        <w:t xml:space="preserve"> l</w:t>
      </w:r>
      <w:r w:rsidR="00F83595" w:rsidRPr="00C73365">
        <w:rPr>
          <w:rFonts w:asciiTheme="minorHAnsi" w:hAnsiTheme="minorHAnsi" w:cstheme="minorHAnsi"/>
          <w:lang w:val="fr-FR"/>
        </w:rPr>
        <w:t>e Virus Respiratoire Syncitial ou</w:t>
      </w:r>
      <w:r w:rsidR="00056EF5" w:rsidRPr="00C73365">
        <w:rPr>
          <w:rFonts w:asciiTheme="minorHAnsi" w:hAnsiTheme="minorHAnsi" w:cstheme="minorHAnsi"/>
          <w:lang w:val="fr-FR"/>
        </w:rPr>
        <w:t xml:space="preserve"> </w:t>
      </w:r>
      <w:r w:rsidR="00F83595" w:rsidRPr="00C73365">
        <w:rPr>
          <w:rFonts w:asciiTheme="minorHAnsi" w:hAnsiTheme="minorHAnsi" w:cstheme="minorHAnsi"/>
          <w:lang w:val="fr-FR"/>
        </w:rPr>
        <w:t xml:space="preserve">la </w:t>
      </w:r>
      <w:r w:rsidR="00056EF5" w:rsidRPr="00C73365">
        <w:rPr>
          <w:rFonts w:asciiTheme="minorHAnsi" w:hAnsiTheme="minorHAnsi" w:cstheme="minorHAnsi"/>
          <w:lang w:val="fr-FR"/>
        </w:rPr>
        <w:t xml:space="preserve">Dengue </w:t>
      </w:r>
      <w:r w:rsidR="00F83595" w:rsidRPr="00C73365">
        <w:rPr>
          <w:rFonts w:asciiTheme="minorHAnsi" w:hAnsiTheme="minorHAnsi" w:cstheme="minorHAnsi"/>
          <w:lang w:val="fr-FR"/>
        </w:rPr>
        <w:t>avec des</w:t>
      </w:r>
      <w:r w:rsidR="00056EF5" w:rsidRPr="00C73365">
        <w:rPr>
          <w:rFonts w:asciiTheme="minorHAnsi" w:hAnsiTheme="minorHAnsi" w:cstheme="minorHAnsi"/>
          <w:lang w:val="fr-FR"/>
        </w:rPr>
        <w:t xml:space="preserve"> premières molécules actives identifiées.</w:t>
      </w:r>
    </w:p>
    <w:p w14:paraId="06A74F1B" w14:textId="77777777" w:rsidR="00DE07BE" w:rsidRPr="00C73365" w:rsidRDefault="00F46C7B" w:rsidP="00434C49">
      <w:pPr>
        <w:pStyle w:val="Liste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2"/>
      </w:r>
      <w:r w:rsidRPr="00C73365">
        <w:rPr>
          <w:rFonts w:asciiTheme="minorHAnsi" w:hAnsiTheme="minorHAnsi" w:cstheme="minorHAnsi"/>
          <w:b/>
          <w:color w:val="7030A0"/>
          <w:lang w:val="fr-FR"/>
        </w:rPr>
        <w:t xml:space="preserve"> </w:t>
      </w:r>
      <w:r w:rsidR="00DE07BE" w:rsidRPr="00C73365">
        <w:rPr>
          <w:rFonts w:asciiTheme="minorHAnsi" w:hAnsiTheme="minorHAnsi" w:cstheme="minorHAnsi"/>
          <w:lang w:val="fr-FR"/>
        </w:rPr>
        <w:t>fondée sur une propriété intellectuelle licenciée auprès du Scripps Research Institute (La Jolla, Etats-Unis)</w:t>
      </w:r>
      <w:r w:rsidR="001220E8" w:rsidRPr="00C73365">
        <w:rPr>
          <w:rFonts w:asciiTheme="minorHAnsi" w:hAnsiTheme="minorHAnsi" w:cstheme="minorHAnsi"/>
          <w:lang w:val="fr-FR"/>
        </w:rPr>
        <w:t>. Celle-ci</w:t>
      </w:r>
      <w:r w:rsidR="00DE07BE" w:rsidRPr="00C73365">
        <w:rPr>
          <w:rFonts w:asciiTheme="minorHAnsi" w:hAnsiTheme="minorHAnsi" w:cstheme="minorHAnsi"/>
          <w:lang w:val="fr-FR"/>
        </w:rPr>
        <w:t xml:space="preserve"> s</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intéresse à des composés agonistes des « iNKT » </w:t>
      </w:r>
      <w:r w:rsidR="00140F46" w:rsidRPr="00C73365">
        <w:rPr>
          <w:rFonts w:asciiTheme="minorHAnsi" w:hAnsiTheme="minorHAnsi" w:cstheme="minorHAnsi"/>
          <w:lang w:val="fr-FR"/>
        </w:rPr>
        <w:t xml:space="preserve">qui peuvent </w:t>
      </w:r>
      <w:r w:rsidR="00DE07BE" w:rsidRPr="00C73365">
        <w:rPr>
          <w:rFonts w:asciiTheme="minorHAnsi" w:hAnsiTheme="minorHAnsi" w:cstheme="minorHAnsi"/>
          <w:lang w:val="fr-FR"/>
        </w:rPr>
        <w:t>stimul</w:t>
      </w:r>
      <w:r w:rsidR="00140F46" w:rsidRPr="00C73365">
        <w:rPr>
          <w:rFonts w:asciiTheme="minorHAnsi" w:hAnsiTheme="minorHAnsi" w:cstheme="minorHAnsi"/>
          <w:lang w:val="fr-FR"/>
        </w:rPr>
        <w:t>er</w:t>
      </w:r>
      <w:r w:rsidR="00DE07BE" w:rsidRPr="00C73365">
        <w:rPr>
          <w:rFonts w:asciiTheme="minorHAnsi" w:hAnsiTheme="minorHAnsi" w:cstheme="minorHAnsi"/>
          <w:lang w:val="fr-FR"/>
        </w:rPr>
        <w:t xml:space="preserve"> la réponse immunitaire au niveau humoral et cellulaire, et qui ont potentiellement des applications cliniques en oncologie et dans le domaine des maladies infectieuses</w:t>
      </w:r>
      <w:r w:rsidR="001220E8" w:rsidRPr="00C73365">
        <w:rPr>
          <w:rFonts w:asciiTheme="minorHAnsi" w:hAnsiTheme="minorHAnsi" w:cstheme="minorHAnsi"/>
          <w:lang w:val="fr-FR"/>
        </w:rPr>
        <w:t xml:space="preserve">. Le produit cible </w:t>
      </w:r>
      <w:r w:rsidR="00D629EF" w:rsidRPr="00C73365">
        <w:rPr>
          <w:rFonts w:asciiTheme="minorHAnsi" w:hAnsiTheme="minorHAnsi" w:cstheme="minorHAnsi"/>
          <w:lang w:val="fr-FR"/>
        </w:rPr>
        <w:t>ABX196</w:t>
      </w:r>
      <w:r w:rsidR="00DE07BE" w:rsidRPr="00C73365">
        <w:rPr>
          <w:rFonts w:asciiTheme="minorHAnsi" w:hAnsiTheme="minorHAnsi" w:cstheme="minorHAnsi"/>
          <w:lang w:val="fr-FR"/>
        </w:rPr>
        <w:t xml:space="preserve"> a </w:t>
      </w:r>
      <w:r w:rsidR="001220E8" w:rsidRPr="00C73365">
        <w:rPr>
          <w:rFonts w:asciiTheme="minorHAnsi" w:hAnsiTheme="minorHAnsi" w:cstheme="minorHAnsi"/>
          <w:lang w:val="fr-FR"/>
        </w:rPr>
        <w:t xml:space="preserve">déjà </w:t>
      </w:r>
      <w:r w:rsidR="00DE07BE" w:rsidRPr="00C73365">
        <w:rPr>
          <w:rFonts w:asciiTheme="minorHAnsi" w:hAnsiTheme="minorHAnsi" w:cstheme="minorHAnsi"/>
          <w:lang w:val="fr-FR"/>
        </w:rPr>
        <w:t>démontré son innocuité dans une étude de Phase 1 sur</w:t>
      </w:r>
      <w:r w:rsidR="001220E8" w:rsidRPr="00C73365">
        <w:rPr>
          <w:rFonts w:asciiTheme="minorHAnsi" w:hAnsiTheme="minorHAnsi" w:cstheme="minorHAnsi"/>
          <w:lang w:val="fr-FR"/>
        </w:rPr>
        <w:t xml:space="preserve"> des</w:t>
      </w:r>
      <w:r w:rsidR="00DE07BE" w:rsidRPr="00C73365">
        <w:rPr>
          <w:rFonts w:asciiTheme="minorHAnsi" w:hAnsiTheme="minorHAnsi" w:cstheme="minorHAnsi"/>
          <w:lang w:val="fr-FR"/>
        </w:rPr>
        <w:t xml:space="preserve"> volontaires sains. Dans un développement préclinique récent, </w:t>
      </w:r>
      <w:r w:rsidR="00D629EF" w:rsidRPr="00C73365">
        <w:rPr>
          <w:rFonts w:asciiTheme="minorHAnsi" w:hAnsiTheme="minorHAnsi" w:cstheme="minorHAnsi"/>
          <w:lang w:val="fr-FR"/>
        </w:rPr>
        <w:t>ABX196</w:t>
      </w:r>
      <w:r w:rsidR="00DE07BE" w:rsidRPr="00C73365">
        <w:rPr>
          <w:rFonts w:asciiTheme="minorHAnsi" w:hAnsiTheme="minorHAnsi" w:cstheme="minorHAnsi"/>
          <w:lang w:val="fr-FR"/>
        </w:rPr>
        <w:t xml:space="preserve"> a démontré sa capacité à faire évoluer les tumeurs non répondantes au traitement par </w:t>
      </w:r>
      <w:r w:rsidR="004572A0" w:rsidRPr="00C73365">
        <w:rPr>
          <w:rFonts w:asciiTheme="minorHAnsi" w:hAnsiTheme="minorHAnsi" w:cstheme="minorHAnsi"/>
          <w:lang w:val="fr-FR"/>
        </w:rPr>
        <w:t>‘</w:t>
      </w:r>
      <w:r w:rsidR="00DE07BE" w:rsidRPr="00C73365">
        <w:rPr>
          <w:rFonts w:asciiTheme="minorHAnsi" w:hAnsiTheme="minorHAnsi" w:cstheme="minorHAnsi"/>
          <w:lang w:val="fr-FR"/>
        </w:rPr>
        <w:t>checkpoint inhibitors</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 en tumeurs répondantes. </w:t>
      </w:r>
      <w:r w:rsidR="00EF089C" w:rsidRPr="00C73365">
        <w:rPr>
          <w:rFonts w:asciiTheme="minorHAnsi" w:hAnsiTheme="minorHAnsi" w:cstheme="minorHAnsi"/>
          <w:lang w:val="fr-FR"/>
        </w:rPr>
        <w:t>ABIVAX</w:t>
      </w:r>
      <w:r w:rsidR="00DE07BE"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ayant pas vocation </w:t>
      </w:r>
      <w:r w:rsidR="00037FA5" w:rsidRPr="00C73365">
        <w:rPr>
          <w:rFonts w:asciiTheme="minorHAnsi" w:hAnsiTheme="minorHAnsi" w:cstheme="minorHAnsi"/>
          <w:lang w:val="fr-FR"/>
        </w:rPr>
        <w:t xml:space="preserve">stratégique </w:t>
      </w:r>
      <w:r w:rsidR="00DE07BE" w:rsidRPr="00C73365">
        <w:rPr>
          <w:rFonts w:asciiTheme="minorHAnsi" w:hAnsiTheme="minorHAnsi" w:cstheme="minorHAnsi"/>
          <w:lang w:val="fr-FR"/>
        </w:rPr>
        <w:t xml:space="preserve">à devenir une société présente en immuno-oncologie, vise à </w:t>
      </w:r>
      <w:r w:rsidR="00F83595" w:rsidRPr="00C73365">
        <w:rPr>
          <w:rFonts w:asciiTheme="minorHAnsi" w:hAnsiTheme="minorHAnsi" w:cstheme="minorHAnsi"/>
          <w:lang w:val="fr-FR"/>
        </w:rPr>
        <w:t xml:space="preserve">développer </w:t>
      </w:r>
      <w:r w:rsidR="00DE07BE" w:rsidRPr="00C73365">
        <w:rPr>
          <w:rFonts w:asciiTheme="minorHAnsi" w:hAnsiTheme="minorHAnsi" w:cstheme="minorHAnsi"/>
          <w:lang w:val="fr-FR"/>
        </w:rPr>
        <w:t xml:space="preserve">cette molécule </w:t>
      </w:r>
      <w:r w:rsidR="00F83595" w:rsidRPr="00C73365">
        <w:rPr>
          <w:rFonts w:asciiTheme="minorHAnsi" w:hAnsiTheme="minorHAnsi" w:cstheme="minorHAnsi"/>
          <w:lang w:val="fr-FR"/>
        </w:rPr>
        <w:t>avec le support d’un</w:t>
      </w:r>
      <w:r w:rsidR="00DE07BE" w:rsidRPr="00C73365">
        <w:rPr>
          <w:rFonts w:asciiTheme="minorHAnsi" w:hAnsiTheme="minorHAnsi" w:cstheme="minorHAnsi"/>
          <w:lang w:val="fr-FR"/>
        </w:rPr>
        <w:t xml:space="preserve"> partenaire externe</w:t>
      </w:r>
      <w:r w:rsidR="00037FA5" w:rsidRPr="00C73365">
        <w:rPr>
          <w:rFonts w:asciiTheme="minorHAnsi" w:hAnsiTheme="minorHAnsi" w:cstheme="minorHAnsi"/>
          <w:lang w:val="fr-FR"/>
        </w:rPr>
        <w:t>, dès lors que les premiers résultats cliniques d’efficacité auront été obtenus</w:t>
      </w:r>
      <w:r w:rsidR="001F273E" w:rsidRPr="00C73365">
        <w:rPr>
          <w:rFonts w:asciiTheme="minorHAnsi" w:hAnsiTheme="minorHAnsi" w:cstheme="minorHAnsi"/>
          <w:lang w:val="fr-FR"/>
        </w:rPr>
        <w:t xml:space="preserve"> dans l’hépatocarcinome</w:t>
      </w:r>
      <w:r w:rsidR="00C94AB6" w:rsidRPr="00C73365">
        <w:rPr>
          <w:rFonts w:asciiTheme="minorHAnsi" w:hAnsiTheme="minorHAnsi" w:cstheme="minorHAnsi"/>
          <w:lang w:val="fr-FR"/>
        </w:rPr>
        <w:t xml:space="preserve"> avancé.</w:t>
      </w:r>
    </w:p>
    <w:p w14:paraId="5B927EA5" w14:textId="77777777" w:rsidR="00DE07BE" w:rsidRPr="00C73365" w:rsidRDefault="00F46C7B" w:rsidP="00434C49">
      <w:pPr>
        <w:pStyle w:val="Liste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Appelnotedebasdep"/>
          <w:rFonts w:asciiTheme="minorHAnsi" w:hAnsiTheme="minorHAnsi" w:cstheme="minorHAnsi"/>
          <w:b/>
          <w:color w:val="7030A0"/>
        </w:rPr>
        <w:footnoteReference w:id="3"/>
      </w:r>
      <w:r w:rsidRPr="00C73365">
        <w:rPr>
          <w:rFonts w:asciiTheme="minorHAnsi" w:hAnsiTheme="minorHAnsi" w:cstheme="minorHAnsi"/>
          <w:color w:val="7030A0"/>
          <w:lang w:val="fr-FR"/>
        </w:rPr>
        <w:t xml:space="preserve"> </w:t>
      </w:r>
      <w:r w:rsidR="001220E8" w:rsidRPr="00C73365">
        <w:rPr>
          <w:rFonts w:asciiTheme="minorHAnsi" w:hAnsiTheme="minorHAnsi" w:cstheme="minorHAnsi"/>
          <w:lang w:val="fr-FR"/>
        </w:rPr>
        <w:t xml:space="preserve">basée sur </w:t>
      </w:r>
      <w:r w:rsidR="00DE07BE" w:rsidRPr="00C73365">
        <w:rPr>
          <w:rFonts w:asciiTheme="minorHAnsi" w:hAnsiTheme="minorHAnsi" w:cstheme="minorHAnsi"/>
          <w:lang w:val="fr-FR"/>
        </w:rPr>
        <w:t>la génération d</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anticorps neutralisants </w:t>
      </w:r>
      <w:r w:rsidR="001220E8" w:rsidRPr="00C73365">
        <w:rPr>
          <w:rFonts w:asciiTheme="minorHAnsi" w:hAnsiTheme="minorHAnsi" w:cstheme="minorHAnsi"/>
          <w:lang w:val="fr-FR"/>
        </w:rPr>
        <w:t>afin de traiter et prévenir l</w:t>
      </w:r>
      <w:r w:rsidR="00DE07BE" w:rsidRPr="00C73365">
        <w:rPr>
          <w:rFonts w:asciiTheme="minorHAnsi" w:hAnsiTheme="minorHAnsi" w:cstheme="minorHAnsi"/>
          <w:lang w:val="fr-FR"/>
        </w:rPr>
        <w:t xml:space="preserve">es infections dues au virus Ebola. La molécule </w:t>
      </w:r>
      <w:r w:rsidR="00D629EF" w:rsidRPr="00C73365">
        <w:rPr>
          <w:rFonts w:asciiTheme="minorHAnsi" w:hAnsiTheme="minorHAnsi" w:cstheme="minorHAnsi"/>
          <w:lang w:val="fr-FR"/>
        </w:rPr>
        <w:t>ABX544</w:t>
      </w:r>
      <w:r w:rsidR="001220E8" w:rsidRPr="00C73365">
        <w:rPr>
          <w:rFonts w:asciiTheme="minorHAnsi" w:hAnsiTheme="minorHAnsi" w:cstheme="minorHAnsi"/>
          <w:lang w:val="fr-FR"/>
        </w:rPr>
        <w:t>, produit cible,</w:t>
      </w:r>
      <w:r w:rsidR="00DE07BE" w:rsidRPr="00C73365">
        <w:rPr>
          <w:rFonts w:asciiTheme="minorHAnsi" w:hAnsiTheme="minorHAnsi" w:cstheme="minorHAnsi"/>
          <w:lang w:val="fr-FR"/>
        </w:rPr>
        <w:t xml:space="preserve"> </w:t>
      </w:r>
      <w:r w:rsidR="00CA7218" w:rsidRPr="00C73365">
        <w:rPr>
          <w:rFonts w:asciiTheme="minorHAnsi" w:hAnsiTheme="minorHAnsi" w:cstheme="minorHAnsi"/>
          <w:lang w:val="fr-FR"/>
        </w:rPr>
        <w:t>est un cours de développement préclinique.</w:t>
      </w:r>
      <w:r w:rsidR="00DE07BE" w:rsidRPr="00C73365">
        <w:rPr>
          <w:rFonts w:asciiTheme="minorHAnsi" w:hAnsiTheme="minorHAnsi" w:cstheme="minorHAnsi"/>
          <w:lang w:val="fr-FR"/>
        </w:rPr>
        <w:t xml:space="preserve"> </w:t>
      </w:r>
    </w:p>
    <w:p w14:paraId="1E1176DB" w14:textId="77777777" w:rsidR="00F46C7B"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mène ses activités de R&amp;D principalement à Montpellier </w:t>
      </w:r>
      <w:r w:rsidR="000C131F" w:rsidRPr="00C73365">
        <w:rPr>
          <w:rFonts w:asciiTheme="minorHAnsi" w:hAnsiTheme="minorHAnsi" w:cstheme="minorHAnsi"/>
          <w:lang w:val="fr-FR"/>
        </w:rPr>
        <w:t xml:space="preserve">et possède son siège à Paris. Elle </w:t>
      </w:r>
      <w:r w:rsidR="00F46C7B" w:rsidRPr="00C73365">
        <w:rPr>
          <w:rFonts w:asciiTheme="minorHAnsi" w:hAnsiTheme="minorHAnsi" w:cstheme="minorHAnsi"/>
          <w:lang w:val="fr-FR"/>
        </w:rPr>
        <w:t xml:space="preserve">compte environ 25 collaborateurs sur </w:t>
      </w:r>
      <w:r w:rsidR="000C131F" w:rsidRPr="00C73365">
        <w:rPr>
          <w:rFonts w:asciiTheme="minorHAnsi" w:hAnsiTheme="minorHAnsi" w:cstheme="minorHAnsi"/>
          <w:lang w:val="fr-FR"/>
        </w:rPr>
        <w:t xml:space="preserve">les </w:t>
      </w:r>
      <w:r w:rsidR="00F46C7B" w:rsidRPr="00C73365">
        <w:rPr>
          <w:rFonts w:asciiTheme="minorHAnsi" w:hAnsiTheme="minorHAnsi" w:cstheme="minorHAnsi"/>
          <w:lang w:val="fr-FR"/>
        </w:rPr>
        <w:t>deux sites. L</w:t>
      </w:r>
      <w:r w:rsidR="004572A0" w:rsidRPr="00C73365">
        <w:rPr>
          <w:rFonts w:asciiTheme="minorHAnsi" w:hAnsiTheme="minorHAnsi" w:cstheme="minorHAnsi"/>
          <w:lang w:val="fr-FR"/>
        </w:rPr>
        <w:t>’</w:t>
      </w:r>
      <w:r w:rsidR="00F46C7B" w:rsidRPr="00C73365">
        <w:rPr>
          <w:rFonts w:asciiTheme="minorHAnsi" w:hAnsiTheme="minorHAnsi" w:cstheme="minorHAnsi"/>
          <w:lang w:val="fr-FR"/>
        </w:rPr>
        <w:t>équipe dirigeante d</w:t>
      </w:r>
      <w:r w:rsidR="004572A0" w:rsidRPr="00C73365">
        <w:rPr>
          <w:rFonts w:asciiTheme="minorHAnsi" w:hAnsiTheme="minorHAnsi" w:cstheme="minorHAnsi"/>
          <w:lang w:val="fr-FR"/>
        </w:rPr>
        <w:t>’</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bénéficie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une grande expérience dans le développement et la commercialisation de produits biopharmaceutiques </w:t>
      </w:r>
      <w:r w:rsidR="000C131F" w:rsidRPr="00C73365">
        <w:rPr>
          <w:rFonts w:asciiTheme="minorHAnsi" w:hAnsiTheme="minorHAnsi" w:cstheme="minorHAnsi"/>
          <w:lang w:val="fr-FR"/>
        </w:rPr>
        <w:t>sur les</w:t>
      </w:r>
      <w:r w:rsidR="00F46C7B" w:rsidRPr="00C73365">
        <w:rPr>
          <w:rFonts w:asciiTheme="minorHAnsi" w:hAnsiTheme="minorHAnsi" w:cstheme="minorHAnsi"/>
          <w:lang w:val="fr-FR"/>
        </w:rPr>
        <w:t xml:space="preserve"> maladies infectieuses et </w:t>
      </w:r>
      <w:r w:rsidR="000C131F" w:rsidRPr="00C73365">
        <w:rPr>
          <w:rFonts w:asciiTheme="minorHAnsi" w:hAnsiTheme="minorHAnsi" w:cstheme="minorHAnsi"/>
          <w:lang w:val="fr-FR"/>
        </w:rPr>
        <w:t>l</w:t>
      </w:r>
      <w:r w:rsidR="00F46C7B" w:rsidRPr="00C73365">
        <w:rPr>
          <w:rFonts w:asciiTheme="minorHAnsi" w:hAnsiTheme="minorHAnsi" w:cstheme="minorHAnsi"/>
          <w:lang w:val="fr-FR"/>
        </w:rPr>
        <w:t>es antiviraux. La Société dispose en outre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un comité scientifique de renommée internationale, composé d’experts ainsi que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administration constitué de membres </w:t>
      </w:r>
      <w:r w:rsidR="00523EE9" w:rsidRPr="00C73365">
        <w:rPr>
          <w:rFonts w:asciiTheme="minorHAnsi" w:hAnsiTheme="minorHAnsi" w:cstheme="minorHAnsi"/>
          <w:lang w:val="fr-FR"/>
        </w:rPr>
        <w:t>avec une</w:t>
      </w:r>
      <w:r w:rsidR="00F46C7B" w:rsidRPr="00C73365">
        <w:rPr>
          <w:rFonts w:asciiTheme="minorHAnsi" w:hAnsiTheme="minorHAnsi" w:cstheme="minorHAnsi"/>
          <w:lang w:val="fr-FR"/>
        </w:rPr>
        <w:t xml:space="preserve"> solide expérience</w:t>
      </w:r>
      <w:r w:rsidR="00523EE9" w:rsidRPr="00C73365">
        <w:rPr>
          <w:rFonts w:asciiTheme="minorHAnsi" w:hAnsiTheme="minorHAnsi" w:cstheme="minorHAnsi"/>
          <w:lang w:val="fr-FR"/>
        </w:rPr>
        <w:t xml:space="preserve"> </w:t>
      </w:r>
      <w:r w:rsidR="00F46C7B" w:rsidRPr="00C73365">
        <w:rPr>
          <w:rFonts w:asciiTheme="minorHAnsi" w:hAnsiTheme="minorHAnsi" w:cstheme="minorHAnsi"/>
          <w:lang w:val="fr-FR"/>
        </w:rPr>
        <w:t xml:space="preserve">acquise au sein de grands laboratoires pharmaceutiques et de fabricants </w:t>
      </w:r>
      <w:r w:rsidR="00523EE9" w:rsidRPr="00C73365">
        <w:rPr>
          <w:rFonts w:asciiTheme="minorHAnsi" w:hAnsiTheme="minorHAnsi" w:cstheme="minorHAnsi"/>
          <w:lang w:val="fr-FR"/>
        </w:rPr>
        <w:t xml:space="preserve">internationaux </w:t>
      </w:r>
      <w:r w:rsidR="00F46C7B" w:rsidRPr="00C73365">
        <w:rPr>
          <w:rFonts w:asciiTheme="minorHAnsi" w:hAnsiTheme="minorHAnsi" w:cstheme="minorHAnsi"/>
          <w:lang w:val="fr-FR"/>
        </w:rPr>
        <w:t xml:space="preserve">de vaccins. </w:t>
      </w:r>
    </w:p>
    <w:p w14:paraId="1F096D27" w14:textId="77777777" w:rsidR="00F46C7B" w:rsidRPr="00C73365" w:rsidRDefault="00EF089C" w:rsidP="004572A0">
      <w:pPr>
        <w:pStyle w:val="Corpsdetexte"/>
        <w:rPr>
          <w:rFonts w:asciiTheme="minorHAnsi" w:eastAsiaTheme="minorHAnsi" w:hAnsiTheme="minorHAnsi" w:cstheme="minorHAnsi"/>
          <w:lang w:val="fr-FR"/>
        </w:rPr>
      </w:pPr>
      <w:r w:rsidRPr="00C73365">
        <w:rPr>
          <w:rFonts w:asciiTheme="minorHAnsi" w:eastAsiaTheme="minorHAnsi" w:hAnsiTheme="minorHAnsi" w:cstheme="minorHAnsi"/>
          <w:lang w:val="fr-FR"/>
        </w:rPr>
        <w:t>ABIVAX</w:t>
      </w:r>
      <w:r w:rsidR="00F46C7B" w:rsidRPr="00C73365">
        <w:rPr>
          <w:rFonts w:asciiTheme="minorHAnsi" w:eastAsiaTheme="minorHAnsi" w:hAnsiTheme="minorHAnsi" w:cstheme="minorHAnsi"/>
          <w:lang w:val="fr-FR"/>
        </w:rPr>
        <w:t xml:space="preserve"> concentre actuellement ses efforts </w:t>
      </w:r>
      <w:r w:rsidR="008A2729" w:rsidRPr="00C73365">
        <w:rPr>
          <w:rFonts w:asciiTheme="minorHAnsi" w:eastAsiaTheme="minorHAnsi" w:hAnsiTheme="minorHAnsi" w:cstheme="minorHAnsi"/>
          <w:lang w:val="fr-FR"/>
        </w:rPr>
        <w:t xml:space="preserve">sur </w:t>
      </w:r>
      <w:r w:rsidR="00523EE9" w:rsidRPr="00C73365">
        <w:rPr>
          <w:rFonts w:asciiTheme="minorHAnsi" w:eastAsiaTheme="minorHAnsi" w:hAnsiTheme="minorHAnsi" w:cstheme="minorHAnsi"/>
          <w:lang w:val="fr-FR"/>
        </w:rPr>
        <w:t xml:space="preserve">les points </w:t>
      </w:r>
      <w:r w:rsidR="00D60148" w:rsidRPr="00C73365">
        <w:rPr>
          <w:rFonts w:asciiTheme="minorHAnsi" w:eastAsiaTheme="minorHAnsi" w:hAnsiTheme="minorHAnsi" w:cstheme="minorHAnsi"/>
          <w:lang w:val="fr-FR"/>
        </w:rPr>
        <w:t>suivants :</w:t>
      </w:r>
    </w:p>
    <w:p w14:paraId="47AD307B" w14:textId="77777777" w:rsidR="000161A1" w:rsidRPr="00E66FAB" w:rsidRDefault="000161A1" w:rsidP="004572A0">
      <w:pPr>
        <w:pStyle w:val="Listepuces"/>
        <w:rPr>
          <w:rFonts w:asciiTheme="minorHAnsi" w:hAnsiTheme="minorHAnsi" w:cstheme="minorHAnsi"/>
          <w:bCs/>
          <w:color w:val="444444"/>
          <w:lang w:val="fr-FR"/>
        </w:rPr>
      </w:pPr>
      <w:r w:rsidRPr="00E66FAB">
        <w:rPr>
          <w:rFonts w:asciiTheme="minorHAnsi" w:hAnsiTheme="minorHAnsi" w:cstheme="minorHAnsi"/>
          <w:lang w:val="fr-FR"/>
        </w:rPr>
        <w:t>Poursuite du programme de développement d</w:t>
      </w:r>
      <w:r w:rsidR="004572A0" w:rsidRPr="00E66FAB">
        <w:rPr>
          <w:rFonts w:asciiTheme="minorHAnsi" w:hAnsiTheme="minorHAnsi" w:cstheme="minorHAnsi"/>
          <w:lang w:val="fr-FR"/>
        </w:rPr>
        <w:t>’</w:t>
      </w:r>
      <w:r w:rsidRPr="00E66FAB">
        <w:rPr>
          <w:rFonts w:asciiTheme="minorHAnsi" w:hAnsiTheme="minorHAnsi" w:cstheme="minorHAnsi"/>
          <w:lang w:val="fr-FR"/>
        </w:rPr>
        <w:t>ABX464 dans le VIH et découverte de nouvelles indications potentielles (plateforme « Antivirale »)</w:t>
      </w:r>
    </w:p>
    <w:p w14:paraId="5A29CB2E" w14:textId="77777777" w:rsidR="000161A1" w:rsidRPr="00E66FAB" w:rsidRDefault="000161A1" w:rsidP="004572A0">
      <w:pPr>
        <w:pStyle w:val="Listepuces2"/>
        <w:rPr>
          <w:rFonts w:asciiTheme="minorHAnsi" w:hAnsiTheme="minorHAnsi" w:cstheme="minorHAnsi"/>
          <w:lang w:val="fr-FR"/>
        </w:rPr>
      </w:pPr>
      <w:r w:rsidRPr="00E66FAB">
        <w:rPr>
          <w:rFonts w:asciiTheme="minorHAnsi" w:hAnsiTheme="minorHAnsi" w:cstheme="minorHAnsi"/>
          <w:lang w:val="fr-FR"/>
        </w:rPr>
        <w:t>ABX464</w:t>
      </w:r>
      <w:r w:rsidR="00F83595" w:rsidRPr="00E66FAB">
        <w:rPr>
          <w:rFonts w:asciiTheme="minorHAnsi" w:hAnsiTheme="minorHAnsi" w:cstheme="minorHAnsi"/>
          <w:lang w:val="fr-FR"/>
        </w:rPr>
        <w:t xml:space="preserve"> a </w:t>
      </w:r>
      <w:r w:rsidRPr="00E66FAB">
        <w:rPr>
          <w:rFonts w:asciiTheme="minorHAnsi" w:hAnsiTheme="minorHAnsi" w:cstheme="minorHAnsi"/>
          <w:lang w:val="fr-FR"/>
        </w:rPr>
        <w:t>le potentiel de devenir un élément clé de guérison fonctionnelle du VIH</w:t>
      </w:r>
    </w:p>
    <w:p w14:paraId="10647E27" w14:textId="77777777"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ABX464 est une molécule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nouvelle classe thérapeutique aux propriétés et au mode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action uniques ; provenant de la chimiothèque antivirale d</w:t>
      </w:r>
      <w:r w:rsidR="004572A0" w:rsidRPr="00C73365">
        <w:rPr>
          <w:rFonts w:asciiTheme="minorHAnsi" w:hAnsiTheme="minorHAnsi" w:cstheme="minorHAnsi"/>
          <w:szCs w:val="20"/>
          <w:lang w:val="fr-FR"/>
        </w:rPr>
        <w:t>’</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a démontré qu</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elle inhibait la réplication virale </w:t>
      </w:r>
      <w:r w:rsidRPr="00C73365">
        <w:rPr>
          <w:rFonts w:asciiTheme="minorHAnsi" w:hAnsiTheme="minorHAnsi" w:cstheme="minorHAnsi"/>
          <w:i/>
          <w:iCs/>
          <w:szCs w:val="20"/>
          <w:lang w:val="fr-FR"/>
        </w:rPr>
        <w:t>in vitro</w:t>
      </w:r>
      <w:r w:rsidRPr="00C73365">
        <w:rPr>
          <w:rFonts w:asciiTheme="minorHAnsi" w:hAnsiTheme="minorHAnsi" w:cstheme="minorHAnsi"/>
          <w:szCs w:val="20"/>
          <w:lang w:val="fr-FR"/>
        </w:rPr>
        <w:t xml:space="preserve"> et </w:t>
      </w:r>
      <w:r w:rsidRPr="00C73365">
        <w:rPr>
          <w:rFonts w:asciiTheme="minorHAnsi" w:hAnsiTheme="minorHAnsi" w:cstheme="minorHAnsi"/>
          <w:i/>
          <w:iCs/>
          <w:szCs w:val="20"/>
          <w:lang w:val="fr-FR"/>
        </w:rPr>
        <w:t>in vivo</w:t>
      </w:r>
      <w:r w:rsidRPr="00C73365">
        <w:rPr>
          <w:rFonts w:asciiTheme="minorHAnsi" w:hAnsiTheme="minorHAnsi" w:cstheme="minorHAnsi"/>
          <w:szCs w:val="20"/>
          <w:lang w:val="fr-FR"/>
        </w:rPr>
        <w:t>, mais également qu</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elle induisait une réduction à long terme de la charge virale après arrêt du traitement </w:t>
      </w:r>
      <w:r w:rsidR="00523EE9" w:rsidRPr="00C73365">
        <w:rPr>
          <w:rFonts w:asciiTheme="minorHAnsi" w:hAnsiTheme="minorHAnsi" w:cstheme="minorHAnsi"/>
          <w:szCs w:val="20"/>
          <w:lang w:val="fr-FR"/>
        </w:rPr>
        <w:t xml:space="preserve">sur </w:t>
      </w:r>
      <w:r w:rsidRPr="00C73365">
        <w:rPr>
          <w:rFonts w:asciiTheme="minorHAnsi" w:hAnsiTheme="minorHAnsi" w:cstheme="minorHAnsi"/>
          <w:szCs w:val="20"/>
          <w:lang w:val="fr-FR"/>
        </w:rPr>
        <w:t>un modèle animal préclinique.</w:t>
      </w:r>
      <w:r w:rsidR="00523EE9"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Cette molécule dispose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w:t>
      </w:r>
      <w:r w:rsidR="00523EE9"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potentiel</w:t>
      </w:r>
      <w:r w:rsidR="00523EE9" w:rsidRPr="00C73365">
        <w:rPr>
          <w:rFonts w:asciiTheme="minorHAnsi" w:hAnsiTheme="minorHAnsi" w:cstheme="minorHAnsi"/>
          <w:szCs w:val="20"/>
          <w:lang w:val="fr-FR"/>
        </w:rPr>
        <w:t xml:space="preserve"> important</w:t>
      </w:r>
      <w:r w:rsidRPr="00C73365">
        <w:rPr>
          <w:rFonts w:asciiTheme="minorHAnsi" w:hAnsiTheme="minorHAnsi" w:cstheme="minorHAnsi"/>
          <w:szCs w:val="20"/>
          <w:lang w:val="fr-FR"/>
        </w:rPr>
        <w:t xml:space="preserve"> dans le cadre du développement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nouvelle classe de médicaments antirétroviraux, susceptible de conduire à une guérison fonctionnelle des patients.</w:t>
      </w:r>
    </w:p>
    <w:p w14:paraId="7A485ADB" w14:textId="77777777"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Deux études de phase I réalisées auparavant sur des sujets sains </w:t>
      </w:r>
      <w:r w:rsidR="00523EE9" w:rsidRPr="00C73365">
        <w:rPr>
          <w:rFonts w:asciiTheme="minorHAnsi" w:hAnsiTheme="minorHAnsi" w:cstheme="minorHAnsi"/>
          <w:szCs w:val="20"/>
          <w:lang w:val="fr-FR"/>
        </w:rPr>
        <w:t xml:space="preserve">ont </w:t>
      </w:r>
      <w:r w:rsidRPr="00C73365">
        <w:rPr>
          <w:rFonts w:asciiTheme="minorHAnsi" w:hAnsiTheme="minorHAnsi" w:cstheme="minorHAnsi"/>
          <w:szCs w:val="20"/>
          <w:lang w:val="fr-FR"/>
        </w:rPr>
        <w:t xml:space="preserve">démontré que le produit était bien toléré aux doses thérapeutiques prévues. </w:t>
      </w:r>
    </w:p>
    <w:p w14:paraId="44D288B5" w14:textId="77777777"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lastRenderedPageBreak/>
        <w:t xml:space="preserve">En 2015, une étude de phase IIa sur 66 sujets infectés par le VIH </w:t>
      </w:r>
      <w:r w:rsidRPr="00C73365">
        <w:rPr>
          <w:rFonts w:asciiTheme="minorHAnsi" w:hAnsiTheme="minorHAnsi" w:cstheme="minorHAnsi"/>
          <w:b/>
          <w:szCs w:val="20"/>
          <w:lang w:val="fr-FR"/>
        </w:rPr>
        <w:t>(ABX464-003)</w:t>
      </w:r>
      <w:r w:rsidRPr="00C73365">
        <w:rPr>
          <w:rFonts w:asciiTheme="minorHAnsi" w:hAnsiTheme="minorHAnsi" w:cstheme="minorHAnsi"/>
          <w:szCs w:val="20"/>
          <w:lang w:val="fr-FR"/>
        </w:rPr>
        <w:t xml:space="preserve"> a apporté une première preuve de son activité et de sa bonne tolérance. </w:t>
      </w:r>
    </w:p>
    <w:p w14:paraId="5BD3590D" w14:textId="3E240444" w:rsidR="000161A1" w:rsidRPr="00C73365" w:rsidRDefault="000161A1" w:rsidP="004572A0">
      <w:pPr>
        <w:pStyle w:val="Corpsdetexte"/>
        <w:rPr>
          <w:rFonts w:asciiTheme="minorHAnsi" w:hAnsiTheme="minorHAnsi" w:cstheme="minorHAnsi"/>
          <w:color w:val="000000" w:themeColor="text1"/>
          <w:lang w:val="fr-FR"/>
        </w:rPr>
      </w:pPr>
      <w:r w:rsidRPr="00C73365">
        <w:rPr>
          <w:rFonts w:asciiTheme="minorHAnsi" w:hAnsiTheme="minorHAnsi" w:cstheme="minorHAnsi"/>
          <w:lang w:val="fr-FR"/>
        </w:rPr>
        <w:t xml:space="preserve">En juin 2016, une seconde étude de phase IIa a été initiée </w:t>
      </w:r>
      <w:r w:rsidRPr="00C73365">
        <w:rPr>
          <w:rFonts w:asciiTheme="minorHAnsi" w:hAnsiTheme="minorHAnsi" w:cstheme="minorHAnsi"/>
          <w:b/>
          <w:lang w:val="fr-FR"/>
        </w:rPr>
        <w:t>(ABX464-004)</w:t>
      </w:r>
      <w:r w:rsidRPr="00C73365">
        <w:rPr>
          <w:rFonts w:asciiTheme="minorHAnsi" w:hAnsiTheme="minorHAnsi" w:cstheme="minorHAnsi"/>
          <w:lang w:val="fr-FR"/>
        </w:rPr>
        <w:t>, conçue pour démontrer l</w:t>
      </w:r>
      <w:r w:rsidR="004572A0" w:rsidRPr="00C73365">
        <w:rPr>
          <w:rFonts w:asciiTheme="minorHAnsi" w:hAnsiTheme="minorHAnsi" w:cstheme="minorHAnsi"/>
          <w:lang w:val="fr-FR"/>
        </w:rPr>
        <w:t>’</w:t>
      </w:r>
      <w:r w:rsidRPr="00C73365">
        <w:rPr>
          <w:rFonts w:asciiTheme="minorHAnsi" w:hAnsiTheme="minorHAnsi" w:cstheme="minorHAnsi"/>
          <w:lang w:val="fr-FR"/>
        </w:rPr>
        <w:t>effet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007C507C">
        <w:rPr>
          <w:rFonts w:asciiTheme="minorHAnsi" w:hAnsiTheme="minorHAnsi" w:cstheme="minorHAnsi"/>
          <w:lang w:val="fr-FR"/>
        </w:rPr>
        <w:t xml:space="preserve"> sur le réservoir du VIH</w:t>
      </w:r>
      <w:r w:rsidRPr="00C73365">
        <w:rPr>
          <w:rFonts w:asciiTheme="minorHAnsi" w:hAnsiTheme="minorHAnsi" w:cstheme="minorHAnsi"/>
          <w:lang w:val="fr-FR"/>
        </w:rPr>
        <w:t xml:space="preserve">. </w:t>
      </w:r>
      <w:r w:rsidRPr="00C73365">
        <w:rPr>
          <w:rFonts w:asciiTheme="minorHAnsi" w:eastAsia="Candara" w:hAnsiTheme="minorHAnsi" w:cstheme="minorHAnsi"/>
          <w:lang w:val="fr-FR"/>
        </w:rPr>
        <w:t xml:space="preserve">Dans cette étude, </w:t>
      </w:r>
      <w:r w:rsidR="00523EE9" w:rsidRPr="00C73365">
        <w:rPr>
          <w:rFonts w:asciiTheme="minorHAnsi" w:eastAsia="Candara" w:hAnsiTheme="minorHAnsi" w:cstheme="minorHAnsi"/>
          <w:lang w:val="fr-FR"/>
        </w:rPr>
        <w:t xml:space="preserve">un groupe de </w:t>
      </w:r>
      <w:r w:rsidRPr="00C73365">
        <w:rPr>
          <w:rFonts w:asciiTheme="minorHAnsi" w:eastAsia="Candara" w:hAnsiTheme="minorHAnsi" w:cstheme="minorHAnsi"/>
          <w:lang w:val="fr-FR"/>
        </w:rPr>
        <w:t xml:space="preserve">30 patients infectés par le virus du VIH en Espagne, en France et en Belgique, ont reçu, pendant 28 jours, soit ABX464, soit un placebo, en plus de leur traitement antirétroviral </w:t>
      </w:r>
      <w:r w:rsidR="005841C0">
        <w:rPr>
          <w:rFonts w:asciiTheme="minorHAnsi" w:eastAsia="Candara" w:hAnsiTheme="minorHAnsi" w:cstheme="minorHAnsi"/>
          <w:lang w:val="fr-FR"/>
        </w:rPr>
        <w:t>(Inhibiteur de Protéase – Darunavir)</w:t>
      </w:r>
      <w:r w:rsidRPr="00C73365">
        <w:rPr>
          <w:rFonts w:asciiTheme="minorHAnsi" w:eastAsia="Candara" w:hAnsiTheme="minorHAnsi" w:cstheme="minorHAnsi"/>
          <w:lang w:val="fr-FR"/>
        </w:rPr>
        <w:t xml:space="preserve">. Après 28 jours de traitement, l’effet potentiel d’ABX464 sur les réservoirs de VIH dans les cellules périphériques mononuclées du sang a été évalué. </w:t>
      </w:r>
      <w:r w:rsidRPr="00C73365">
        <w:rPr>
          <w:rFonts w:asciiTheme="minorHAnsi" w:hAnsiTheme="minorHAnsi" w:cstheme="minorHAnsi"/>
          <w:color w:val="000000" w:themeColor="text1"/>
          <w:lang w:val="fr-FR"/>
        </w:rPr>
        <w:t>Les données de l’étude ont pu être consolidées et analysées permettant ainsi d’aboutir à la communication des premiers résultats le 2 mai 2017.</w:t>
      </w:r>
    </w:p>
    <w:p w14:paraId="560C24A2" w14:textId="77777777" w:rsidR="000161A1" w:rsidRPr="00C73365" w:rsidRDefault="000161A1" w:rsidP="004572A0">
      <w:pPr>
        <w:pStyle w:val="Corpsdetexte"/>
        <w:rPr>
          <w:rFonts w:asciiTheme="minorHAnsi" w:eastAsia="Candara" w:hAnsiTheme="minorHAnsi" w:cstheme="minorHAnsi"/>
          <w:lang w:val="fr-FR"/>
        </w:rPr>
      </w:pPr>
      <w:r w:rsidRPr="00C73365">
        <w:rPr>
          <w:rFonts w:asciiTheme="minorHAnsi" w:eastAsia="Candara" w:hAnsiTheme="minorHAnsi" w:cstheme="minorHAnsi"/>
          <w:lang w:val="fr-FR"/>
        </w:rPr>
        <w:t xml:space="preserve">L’innocuité était le critère principal de l’étude </w:t>
      </w:r>
      <w:r w:rsidR="00E32CFE" w:rsidRPr="00C73365">
        <w:rPr>
          <w:rFonts w:asciiTheme="minorHAnsi" w:eastAsia="Candara" w:hAnsiTheme="minorHAnsi" w:cstheme="minorHAnsi"/>
          <w:lang w:val="fr-FR"/>
        </w:rPr>
        <w:t>ABX464</w:t>
      </w:r>
      <w:r w:rsidRPr="00C73365">
        <w:rPr>
          <w:rFonts w:asciiTheme="minorHAnsi" w:eastAsia="Candara" w:hAnsiTheme="minorHAnsi" w:cstheme="minorHAnsi"/>
          <w:lang w:val="fr-FR"/>
        </w:rPr>
        <w:t>-004, ABX464 a été bien toléré et aucun effet secondaire indésirable grave n’a été constaté au sein du groupe s’étant vu administrer ABX464. Chez les patients évaluables (4 placebo, 1</w:t>
      </w:r>
      <w:r w:rsidR="00427AAE"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traités avec ABX464), une réduction des copies d’ADN viral/million de PBMC a été observée sur </w:t>
      </w:r>
      <w:r w:rsidR="00427AAE" w:rsidRPr="00C73365">
        <w:rPr>
          <w:rFonts w:asciiTheme="minorHAnsi" w:eastAsia="Candara" w:hAnsiTheme="minorHAnsi" w:cstheme="minorHAnsi"/>
          <w:lang w:val="fr-FR"/>
        </w:rPr>
        <w:t>8</w:t>
      </w:r>
      <w:r w:rsidRPr="00C73365">
        <w:rPr>
          <w:rFonts w:asciiTheme="minorHAnsi" w:eastAsia="Candara" w:hAnsiTheme="minorHAnsi" w:cstheme="minorHAnsi"/>
          <w:lang w:val="fr-FR"/>
        </w:rPr>
        <w:t xml:space="preserve"> des 1</w:t>
      </w:r>
      <w:r w:rsidR="00427AAE"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patients traités (soit une réduction de -40%, allant de -27% à -67%) et aucune réponse n’a été observée dans le groupe placebo. Les patients répondeurs ont été définis comme étant ceux présentant une réduction minimale de 50 copies et de plus de 25% sur le nombre total de copies d’ADN viral.</w:t>
      </w:r>
    </w:p>
    <w:p w14:paraId="2AE63DAF" w14:textId="77777777" w:rsidR="000161A1" w:rsidRPr="00E66FAB" w:rsidRDefault="000161A1" w:rsidP="004572A0">
      <w:pPr>
        <w:pStyle w:val="Listepuces2"/>
        <w:rPr>
          <w:rFonts w:asciiTheme="minorHAnsi" w:hAnsiTheme="minorHAnsi" w:cstheme="minorHAnsi"/>
          <w:lang w:val="fr-FR"/>
        </w:rPr>
      </w:pPr>
      <w:r w:rsidRPr="00E66FAB">
        <w:rPr>
          <w:rFonts w:asciiTheme="minorHAnsi" w:hAnsiTheme="minorHAnsi" w:cstheme="minorHAnsi"/>
          <w:lang w:val="fr-FR"/>
        </w:rPr>
        <w:t>Une nouvelle étude clinique de Phase IIa (ABX464-005), portant sur 36 patients, a été lancée en avril 2017</w:t>
      </w:r>
      <w:r w:rsidR="00066EA8" w:rsidRPr="00E66FAB">
        <w:rPr>
          <w:rFonts w:asciiTheme="minorHAnsi" w:hAnsiTheme="minorHAnsi" w:cstheme="minorHAnsi"/>
          <w:lang w:val="fr-FR"/>
        </w:rPr>
        <w:t xml:space="preserve">. Elle </w:t>
      </w:r>
      <w:r w:rsidRPr="00E66FAB">
        <w:rPr>
          <w:rFonts w:asciiTheme="minorHAnsi" w:hAnsiTheme="minorHAnsi" w:cstheme="minorHAnsi"/>
          <w:lang w:val="fr-FR"/>
        </w:rPr>
        <w:t>vis</w:t>
      </w:r>
      <w:r w:rsidR="00066EA8" w:rsidRPr="00E66FAB">
        <w:rPr>
          <w:rFonts w:asciiTheme="minorHAnsi" w:hAnsiTheme="minorHAnsi" w:cstheme="minorHAnsi"/>
          <w:lang w:val="fr-FR"/>
        </w:rPr>
        <w:t>e</w:t>
      </w:r>
      <w:r w:rsidRPr="00E66FAB">
        <w:rPr>
          <w:rFonts w:asciiTheme="minorHAnsi" w:hAnsiTheme="minorHAnsi" w:cstheme="minorHAnsi"/>
          <w:lang w:val="fr-FR"/>
        </w:rPr>
        <w:t xml:space="preserve"> à étudier l</w:t>
      </w:r>
      <w:r w:rsidR="004572A0" w:rsidRPr="00E66FAB">
        <w:rPr>
          <w:rFonts w:asciiTheme="minorHAnsi" w:hAnsiTheme="minorHAnsi" w:cstheme="minorHAnsi"/>
          <w:lang w:val="fr-FR"/>
        </w:rPr>
        <w:t>’</w:t>
      </w:r>
      <w:r w:rsidRPr="00E66FAB">
        <w:rPr>
          <w:rFonts w:asciiTheme="minorHAnsi" w:hAnsiTheme="minorHAnsi" w:cstheme="minorHAnsi"/>
          <w:lang w:val="fr-FR"/>
        </w:rPr>
        <w:t>effet d</w:t>
      </w:r>
      <w:r w:rsidR="004572A0" w:rsidRPr="00E66FAB">
        <w:rPr>
          <w:rFonts w:asciiTheme="minorHAnsi" w:hAnsiTheme="minorHAnsi" w:cstheme="minorHAnsi"/>
          <w:lang w:val="fr-FR"/>
        </w:rPr>
        <w:t>’</w:t>
      </w:r>
      <w:r w:rsidRPr="00E66FAB">
        <w:rPr>
          <w:rFonts w:asciiTheme="minorHAnsi" w:hAnsiTheme="minorHAnsi" w:cstheme="minorHAnsi"/>
          <w:lang w:val="fr-FR"/>
        </w:rPr>
        <w:t>ABX464 sur les</w:t>
      </w:r>
      <w:r w:rsidR="00B22DA2" w:rsidRPr="00E66FAB">
        <w:rPr>
          <w:rFonts w:asciiTheme="minorHAnsi" w:hAnsiTheme="minorHAnsi" w:cstheme="minorHAnsi"/>
          <w:lang w:val="fr-FR"/>
        </w:rPr>
        <w:t xml:space="preserve"> cellules</w:t>
      </w:r>
      <w:r w:rsidRPr="00E66FAB">
        <w:rPr>
          <w:rFonts w:asciiTheme="minorHAnsi" w:hAnsiTheme="minorHAnsi" w:cstheme="minorHAnsi"/>
          <w:lang w:val="fr-FR"/>
        </w:rPr>
        <w:t xml:space="preserve"> réservoir du VIH dans </w:t>
      </w:r>
      <w:r w:rsidR="00B22DA2" w:rsidRPr="00E66FAB">
        <w:rPr>
          <w:rFonts w:asciiTheme="minorHAnsi" w:hAnsiTheme="minorHAnsi" w:cstheme="minorHAnsi"/>
          <w:lang w:val="fr-FR"/>
        </w:rPr>
        <w:t>la circulation sanguine ainsi qu’au sein de la muqueuse intestinale.</w:t>
      </w:r>
    </w:p>
    <w:p w14:paraId="5DD92C74" w14:textId="4A01CC86" w:rsidR="000161A1" w:rsidRPr="00C73365" w:rsidRDefault="000161A1" w:rsidP="00A96CCA">
      <w:pPr>
        <w:pStyle w:val="NormalWeb"/>
        <w:shd w:val="clear" w:color="auto" w:fill="FFFFFF"/>
        <w:spacing w:before="0" w:beforeAutospacing="0" w:after="120" w:afterAutospacing="0"/>
        <w:rPr>
          <w:rFonts w:asciiTheme="minorHAnsi" w:hAnsiTheme="minorHAnsi" w:cstheme="minorHAnsi"/>
          <w:bCs/>
          <w:lang w:val="fr-FR"/>
        </w:rPr>
      </w:pPr>
      <w:r w:rsidRPr="00C73365">
        <w:rPr>
          <w:rFonts w:asciiTheme="minorHAnsi" w:hAnsiTheme="minorHAnsi" w:cstheme="minorHAnsi"/>
          <w:szCs w:val="20"/>
          <w:lang w:val="fr-FR"/>
        </w:rPr>
        <w:t xml:space="preserve">En complément à l’étude ABX464-004,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a lancé en avril 2017 une nouvelle étude clinique pharmacocinétique </w:t>
      </w:r>
      <w:r w:rsidRPr="00C73365">
        <w:rPr>
          <w:rFonts w:asciiTheme="minorHAnsi" w:hAnsiTheme="minorHAnsi" w:cstheme="minorHAnsi"/>
          <w:b/>
          <w:szCs w:val="20"/>
          <w:lang w:val="fr-FR"/>
        </w:rPr>
        <w:t>ABX464-005</w:t>
      </w:r>
      <w:r w:rsidRPr="00C73365">
        <w:rPr>
          <w:rFonts w:asciiTheme="minorHAnsi" w:hAnsiTheme="minorHAnsi" w:cstheme="minorHAnsi"/>
          <w:szCs w:val="20"/>
          <w:lang w:val="fr-FR"/>
        </w:rPr>
        <w:t xml:space="preserve"> (compartmental pharmacokinetics clinical study). Cette étude</w:t>
      </w:r>
      <w:r w:rsidR="00A711E0"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menée au sein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Hôpital Universitaire </w:t>
      </w:r>
      <w:r w:rsidRPr="00C73365">
        <w:rPr>
          <w:rFonts w:asciiTheme="minorHAnsi" w:hAnsiTheme="minorHAnsi" w:cstheme="minorHAnsi"/>
          <w:i/>
          <w:iCs/>
          <w:szCs w:val="20"/>
          <w:lang w:val="fr-FR"/>
        </w:rPr>
        <w:t>Germans Trias i Pujol</w:t>
      </w:r>
      <w:r w:rsidRPr="00C73365">
        <w:rPr>
          <w:rFonts w:asciiTheme="minorHAnsi" w:hAnsiTheme="minorHAnsi" w:cstheme="minorHAnsi"/>
          <w:szCs w:val="20"/>
          <w:lang w:val="fr-FR"/>
        </w:rPr>
        <w:t xml:space="preserve"> à Badalona (Barcelone, Espagne)</w:t>
      </w:r>
      <w:r w:rsidR="00A711E0" w:rsidRPr="00C73365">
        <w:rPr>
          <w:rFonts w:asciiTheme="minorHAnsi" w:hAnsiTheme="minorHAnsi" w:cstheme="minorHAnsi"/>
          <w:szCs w:val="20"/>
          <w:lang w:val="fr-FR"/>
        </w:rPr>
        <w:t xml:space="preserve"> doit permettre</w:t>
      </w:r>
      <w:r w:rsidRPr="00C73365">
        <w:rPr>
          <w:rFonts w:asciiTheme="minorHAnsi" w:hAnsiTheme="minorHAnsi" w:cstheme="minorHAnsi"/>
          <w:szCs w:val="20"/>
          <w:lang w:val="fr-FR"/>
        </w:rPr>
        <w:t xml:space="preserve"> de quantifier l’impact d’ABX464 sur le</w:t>
      </w:r>
      <w:r w:rsidR="00B22DA2" w:rsidRPr="00C73365">
        <w:rPr>
          <w:rFonts w:asciiTheme="minorHAnsi" w:hAnsiTheme="minorHAnsi" w:cstheme="minorHAnsi"/>
          <w:szCs w:val="20"/>
          <w:lang w:val="fr-FR"/>
        </w:rPr>
        <w:t xml:space="preserve"> nombre de cellules </w:t>
      </w:r>
      <w:r w:rsidR="00720F91" w:rsidRPr="00C73365">
        <w:rPr>
          <w:rFonts w:asciiTheme="minorHAnsi" w:hAnsiTheme="minorHAnsi" w:cstheme="minorHAnsi"/>
          <w:szCs w:val="20"/>
          <w:lang w:val="fr-FR"/>
        </w:rPr>
        <w:t>réservoirs du VIH</w:t>
      </w:r>
      <w:r w:rsidR="00B22DA2" w:rsidRPr="00C73365">
        <w:rPr>
          <w:rFonts w:asciiTheme="minorHAnsi" w:hAnsiTheme="minorHAnsi" w:cstheme="minorHAnsi"/>
          <w:lang w:val="fr-FR"/>
        </w:rPr>
        <w:t xml:space="preserve"> </w:t>
      </w:r>
      <w:r w:rsidR="00B22DA2" w:rsidRPr="00C73365">
        <w:rPr>
          <w:rFonts w:asciiTheme="minorHAnsi" w:hAnsiTheme="minorHAnsi" w:cstheme="minorHAnsi"/>
          <w:szCs w:val="20"/>
          <w:lang w:val="fr-FR"/>
        </w:rPr>
        <w:t>dans la circulation sanguine ainsi qu’au sein de la muqueuse intestinale</w:t>
      </w:r>
      <w:r w:rsidRPr="00C73365">
        <w:rPr>
          <w:rFonts w:asciiTheme="minorHAnsi" w:hAnsiTheme="minorHAnsi" w:cstheme="minorHAnsi"/>
          <w:szCs w:val="20"/>
          <w:lang w:val="fr-FR"/>
        </w:rPr>
        <w:t xml:space="preserve">. </w:t>
      </w:r>
      <w:r w:rsidRPr="00C73365">
        <w:rPr>
          <w:rFonts w:asciiTheme="minorHAnsi" w:hAnsiTheme="minorHAnsi" w:cstheme="minorHAnsi"/>
          <w:bCs/>
          <w:lang w:val="fr-FR"/>
        </w:rPr>
        <w:t xml:space="preserve">Les résultats provenant d’un premier groupe de 11 patients ont été communiqués en </w:t>
      </w:r>
      <w:r w:rsidR="006B119E" w:rsidRPr="00C73365">
        <w:rPr>
          <w:rFonts w:asciiTheme="minorHAnsi" w:hAnsiTheme="minorHAnsi" w:cstheme="minorHAnsi"/>
          <w:bCs/>
          <w:lang w:val="fr-FR"/>
        </w:rPr>
        <w:t>Septembre</w:t>
      </w:r>
      <w:r w:rsidRPr="00C73365">
        <w:rPr>
          <w:rFonts w:asciiTheme="minorHAnsi" w:hAnsiTheme="minorHAnsi" w:cstheme="minorHAnsi"/>
          <w:bCs/>
          <w:lang w:val="fr-FR"/>
        </w:rPr>
        <w:t xml:space="preserve"> 2017. Ainsi, 11 patients infectés par le virus du VIH se sont vu administrer une dose de 150mg d’ABX464 pendant 28 jours en plus de leur traitement antirétroviral. Des échantillons de sang et des biopsies rectales ont été collectés à différents intervalles afin de quantifier</w:t>
      </w:r>
      <w:r w:rsidR="00720F91"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sur la durée, les réservoirs du VIH et l’inflammation des muqueuses. Deux patients sont sortis de l’étude pour cause d’effets indésirables de grade 1 à 2 qui se sont dissipés au plus tard 6 jours après l’arrêt du traitement. Neuf patients ont terminé l’étude. Sur huit de ces neuf patients une réduction de l’ADN viral dans les cellules de sang périphériques CD4+ a été constatée entre le </w:t>
      </w:r>
      <w:r w:rsidR="00A711E0" w:rsidRPr="00C73365">
        <w:rPr>
          <w:rFonts w:asciiTheme="minorHAnsi" w:hAnsiTheme="minorHAnsi" w:cstheme="minorHAnsi"/>
          <w:bCs/>
          <w:lang w:val="fr-FR"/>
        </w:rPr>
        <w:t>1</w:t>
      </w:r>
      <w:r w:rsidR="00A711E0" w:rsidRPr="00C73365">
        <w:rPr>
          <w:rFonts w:asciiTheme="minorHAnsi" w:hAnsiTheme="minorHAnsi" w:cstheme="minorHAnsi"/>
          <w:bCs/>
          <w:vertAlign w:val="superscript"/>
          <w:lang w:val="fr-FR"/>
        </w:rPr>
        <w:t>er</w:t>
      </w:r>
      <w:r w:rsidR="00A711E0"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et le </w:t>
      </w:r>
      <w:r w:rsidR="00A711E0" w:rsidRPr="00C73365">
        <w:rPr>
          <w:rFonts w:asciiTheme="minorHAnsi" w:hAnsiTheme="minorHAnsi" w:cstheme="minorHAnsi"/>
          <w:bCs/>
          <w:lang w:val="fr-FR"/>
        </w:rPr>
        <w:t>28</w:t>
      </w:r>
      <w:r w:rsidR="00A711E0" w:rsidRPr="00C73365">
        <w:rPr>
          <w:rFonts w:asciiTheme="minorHAnsi" w:hAnsiTheme="minorHAnsi" w:cstheme="minorHAnsi"/>
          <w:bCs/>
          <w:vertAlign w:val="superscript"/>
          <w:lang w:val="fr-FR"/>
        </w:rPr>
        <w:t>ème</w:t>
      </w:r>
      <w:r w:rsidR="00A711E0" w:rsidRPr="00C73365">
        <w:rPr>
          <w:rFonts w:asciiTheme="minorHAnsi" w:hAnsiTheme="minorHAnsi" w:cstheme="minorHAnsi"/>
          <w:bCs/>
          <w:lang w:val="fr-FR"/>
        </w:rPr>
        <w:t xml:space="preserve"> </w:t>
      </w:r>
      <w:r w:rsidRPr="00C73365">
        <w:rPr>
          <w:rFonts w:asciiTheme="minorHAnsi" w:hAnsiTheme="minorHAnsi" w:cstheme="minorHAnsi"/>
          <w:bCs/>
          <w:lang w:val="fr-FR"/>
        </w:rPr>
        <w:t>jour de traitement. La médiane des 9 patients est passée de 191 copies/million de cellules CD4+ à 116 copies/million de cellules CD4+</w:t>
      </w:r>
      <w:r w:rsidR="00A711E0" w:rsidRPr="00C73365">
        <w:rPr>
          <w:rFonts w:asciiTheme="minorHAnsi" w:hAnsiTheme="minorHAnsi" w:cstheme="minorHAnsi"/>
          <w:bCs/>
          <w:lang w:val="fr-FR"/>
        </w:rPr>
        <w:t xml:space="preserve"> soit </w:t>
      </w:r>
      <w:r w:rsidRPr="00C73365">
        <w:rPr>
          <w:rFonts w:asciiTheme="minorHAnsi" w:hAnsiTheme="minorHAnsi" w:cstheme="minorHAnsi"/>
          <w:bCs/>
          <w:lang w:val="fr-FR"/>
        </w:rPr>
        <w:t>une diminution statistiquement significative (p&lt;0.01) de l’ADN viral dans les cellules de sang périphériques CD4+.</w:t>
      </w:r>
      <w:r w:rsidR="00720F91"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D8150A" w:rsidRPr="00C73365">
        <w:rPr>
          <w:rFonts w:asciiTheme="minorHAnsi" w:hAnsiTheme="minorHAnsi" w:cstheme="minorHAnsi"/>
          <w:bCs/>
          <w:lang w:val="fr-FR"/>
        </w:rPr>
        <w:t xml:space="preserve">au </w:t>
      </w:r>
      <w:r w:rsidR="003704A6">
        <w:rPr>
          <w:rFonts w:asciiTheme="minorHAnsi" w:hAnsiTheme="minorHAnsi" w:cstheme="minorHAnsi"/>
          <w:bCs/>
          <w:lang w:val="fr-FR"/>
        </w:rPr>
        <w:t>début</w:t>
      </w:r>
      <w:r w:rsidR="00D8150A" w:rsidRPr="00C73365">
        <w:rPr>
          <w:rFonts w:asciiTheme="minorHAnsi" w:hAnsiTheme="minorHAnsi" w:cstheme="minorHAnsi"/>
          <w:bCs/>
          <w:lang w:val="fr-FR"/>
        </w:rPr>
        <w:t xml:space="preserve"> du 3</w:t>
      </w:r>
      <w:r w:rsidR="00D8150A" w:rsidRPr="00C73365">
        <w:rPr>
          <w:rFonts w:asciiTheme="minorHAnsi" w:hAnsiTheme="minorHAnsi" w:cstheme="minorHAnsi"/>
          <w:bCs/>
          <w:vertAlign w:val="superscript"/>
          <w:lang w:val="fr-FR"/>
        </w:rPr>
        <w:t>ème</w:t>
      </w:r>
      <w:r w:rsidR="00D8150A" w:rsidRPr="00C73365">
        <w:rPr>
          <w:rFonts w:asciiTheme="minorHAnsi" w:hAnsiTheme="minorHAnsi" w:cstheme="minorHAnsi"/>
          <w:bCs/>
          <w:lang w:val="fr-FR"/>
        </w:rPr>
        <w:t xml:space="preserve"> trimestre 2018</w:t>
      </w:r>
      <w:r w:rsidRPr="00C73365">
        <w:rPr>
          <w:rFonts w:asciiTheme="minorHAnsi" w:hAnsiTheme="minorHAnsi" w:cstheme="minorHAnsi"/>
          <w:bCs/>
          <w:lang w:val="fr-FR"/>
        </w:rPr>
        <w:t>.</w:t>
      </w:r>
    </w:p>
    <w:p w14:paraId="6F8B3BB9" w14:textId="54FC13A2"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Les résultats des études ABX464-004 et 005 sont de nature à justifier le démarrage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étude</w:t>
      </w:r>
      <w:r w:rsidR="0049650C" w:rsidRPr="00C73365">
        <w:rPr>
          <w:rFonts w:asciiTheme="minorHAnsi" w:hAnsiTheme="minorHAnsi" w:cstheme="minorHAnsi"/>
          <w:szCs w:val="20"/>
          <w:lang w:val="fr-FR"/>
        </w:rPr>
        <w:t xml:space="preserve"> clinique</w:t>
      </w:r>
      <w:r w:rsidRPr="00C73365">
        <w:rPr>
          <w:rFonts w:asciiTheme="minorHAnsi" w:hAnsiTheme="minorHAnsi" w:cstheme="minorHAnsi"/>
          <w:szCs w:val="20"/>
          <w:lang w:val="fr-FR"/>
        </w:rPr>
        <w:t xml:space="preserve"> de phase IIb (ABX464-006) en Europe et aux Etats-Unis</w:t>
      </w:r>
      <w:r w:rsidR="0049650C" w:rsidRPr="00C73365">
        <w:rPr>
          <w:rFonts w:asciiTheme="minorHAnsi" w:hAnsiTheme="minorHAnsi" w:cstheme="minorHAnsi"/>
          <w:szCs w:val="20"/>
          <w:lang w:val="fr-FR"/>
        </w:rPr>
        <w:t xml:space="preserve"> </w:t>
      </w:r>
      <w:r w:rsidR="00CA7218" w:rsidRPr="00C73365">
        <w:rPr>
          <w:rFonts w:asciiTheme="minorHAnsi" w:hAnsiTheme="minorHAnsi" w:cstheme="minorHAnsi"/>
          <w:szCs w:val="20"/>
          <w:lang w:val="fr-FR"/>
        </w:rPr>
        <w:t xml:space="preserve">avant </w:t>
      </w:r>
      <w:r w:rsidR="0049650C" w:rsidRPr="00C73365">
        <w:rPr>
          <w:rFonts w:asciiTheme="minorHAnsi" w:hAnsiTheme="minorHAnsi" w:cstheme="minorHAnsi"/>
          <w:szCs w:val="20"/>
          <w:lang w:val="fr-FR"/>
        </w:rPr>
        <w:t xml:space="preserve">fin </w:t>
      </w:r>
      <w:r w:rsidRPr="00C73365">
        <w:rPr>
          <w:rFonts w:asciiTheme="minorHAnsi" w:hAnsiTheme="minorHAnsi" w:cstheme="minorHAnsi"/>
          <w:szCs w:val="20"/>
          <w:lang w:val="fr-FR"/>
        </w:rPr>
        <w:t>2018.</w:t>
      </w:r>
      <w:r w:rsidR="00894396"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En conséquence,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prévoit de soumettre en</w:t>
      </w:r>
      <w:r w:rsidR="00CA7218"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2018 une demande d’IND (Investigational New Drug) auprès de la Food and Drug Administration (FDA) qui permettrait la conduite de l’étude de phase IIb (ABX464-006) aux Etats-Unis</w:t>
      </w:r>
      <w:r w:rsidR="0049650C" w:rsidRPr="00C73365">
        <w:rPr>
          <w:rFonts w:asciiTheme="minorHAnsi" w:hAnsiTheme="minorHAnsi" w:cstheme="minorHAnsi"/>
          <w:szCs w:val="20"/>
          <w:lang w:val="fr-FR"/>
        </w:rPr>
        <w:t xml:space="preserve"> ouvrant ainsi le premier jalon de la phase IIb</w:t>
      </w:r>
      <w:r w:rsidRPr="00C73365">
        <w:rPr>
          <w:rFonts w:asciiTheme="minorHAnsi" w:hAnsiTheme="minorHAnsi" w:cstheme="minorHAnsi"/>
          <w:szCs w:val="20"/>
          <w:lang w:val="fr-FR"/>
        </w:rPr>
        <w:t>.</w:t>
      </w:r>
    </w:p>
    <w:p w14:paraId="4B7F2364" w14:textId="77777777" w:rsidR="000161A1" w:rsidRPr="00E66FAB" w:rsidRDefault="000161A1" w:rsidP="004572A0">
      <w:pPr>
        <w:pStyle w:val="Listepuces2"/>
        <w:rPr>
          <w:rFonts w:asciiTheme="minorHAnsi" w:hAnsiTheme="minorHAnsi" w:cstheme="minorHAnsi"/>
          <w:lang w:val="fr-FR"/>
        </w:rPr>
      </w:pPr>
      <w:r w:rsidRPr="00E66FAB">
        <w:rPr>
          <w:rFonts w:asciiTheme="minorHAnsi" w:hAnsiTheme="minorHAnsi" w:cstheme="minorHAnsi"/>
          <w:lang w:val="fr-FR"/>
        </w:rPr>
        <w:t xml:space="preserve">ABX464 présente également un fort effet anti-inflammatoire dans des modèles précliniques.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a initié une étude de Phase IIa dans la Rectocolite Hémorragique (RCH) ; une Maladie Inflammatoire Chronique de l’Intestin (MICI) ou Inflammatory Bowel Disease (IBD)</w:t>
      </w:r>
    </w:p>
    <w:p w14:paraId="677D7E7B" w14:textId="77777777"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De nouvelles données précliniques ont démontré un fort effet anti-inflammatoire</w:t>
      </w:r>
      <w:r w:rsidR="008F54DD" w:rsidRPr="00C73365">
        <w:rPr>
          <w:rFonts w:asciiTheme="minorHAnsi" w:hAnsiTheme="minorHAnsi" w:cstheme="minorHAnsi"/>
          <w:szCs w:val="20"/>
          <w:lang w:val="fr-FR"/>
        </w:rPr>
        <w:t xml:space="preserve"> d’ABX464</w:t>
      </w:r>
      <w:r w:rsidRPr="00C73365">
        <w:rPr>
          <w:rFonts w:asciiTheme="minorHAnsi" w:hAnsiTheme="minorHAnsi" w:cstheme="minorHAnsi"/>
          <w:szCs w:val="20"/>
          <w:lang w:val="fr-FR"/>
        </w:rPr>
        <w:t>.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maladies telles la Maladie Inflammatoire Chronique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 (MICI) ou Inflammatory Bowel Disease (IBD) (dont la Rectocolite Hémorragique et la maladie de Crohn</w:t>
      </w:r>
      <w:r w:rsidR="008F54DD" w:rsidRPr="00C73365">
        <w:rPr>
          <w:rFonts w:asciiTheme="minorHAnsi" w:hAnsiTheme="minorHAnsi" w:cstheme="minorHAnsi"/>
          <w:szCs w:val="20"/>
          <w:lang w:val="fr-FR"/>
        </w:rPr>
        <w:t xml:space="preserve"> par exemple</w:t>
      </w:r>
      <w:r w:rsidRPr="00C73365">
        <w:rPr>
          <w:rFonts w:asciiTheme="minorHAnsi" w:hAnsiTheme="minorHAnsi" w:cstheme="minorHAnsi"/>
          <w:szCs w:val="20"/>
          <w:lang w:val="fr-FR"/>
        </w:rPr>
        <w:t>). ABX464 a démontré un effet durable sur la prévention de symptômes typiquement observés dans le cas de colite inflammatoire (</w:t>
      </w:r>
      <w:r w:rsidR="008F54DD" w:rsidRPr="00C73365">
        <w:rPr>
          <w:rFonts w:asciiTheme="minorHAnsi" w:hAnsiTheme="minorHAnsi" w:cstheme="minorHAnsi"/>
          <w:szCs w:val="20"/>
          <w:lang w:val="fr-FR"/>
        </w:rPr>
        <w:t xml:space="preserve">avec </w:t>
      </w:r>
      <w:r w:rsidRPr="00C73365">
        <w:rPr>
          <w:rFonts w:asciiTheme="minorHAnsi" w:hAnsiTheme="minorHAnsi" w:cstheme="minorHAnsi"/>
          <w:szCs w:val="20"/>
          <w:lang w:val="fr-FR"/>
        </w:rPr>
        <w:t>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w:t>
      </w:r>
    </w:p>
    <w:p w14:paraId="546A15A4" w14:textId="658A0FA2"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Sur la base de ces résultats, la société a initié au cours du </w:t>
      </w:r>
      <w:r w:rsidR="00427AAE" w:rsidRPr="00C73365">
        <w:rPr>
          <w:rFonts w:asciiTheme="minorHAnsi" w:hAnsiTheme="minorHAnsi" w:cstheme="minorHAnsi"/>
          <w:szCs w:val="20"/>
          <w:lang w:val="fr-FR"/>
        </w:rPr>
        <w:t>3</w:t>
      </w:r>
      <w:r w:rsidR="00427AAE" w:rsidRPr="00C73365">
        <w:rPr>
          <w:rFonts w:asciiTheme="minorHAnsi" w:hAnsiTheme="minorHAnsi" w:cstheme="minorHAnsi"/>
          <w:szCs w:val="20"/>
          <w:vertAlign w:val="superscript"/>
          <w:lang w:val="fr-FR"/>
        </w:rPr>
        <w:t>ème</w:t>
      </w:r>
      <w:r w:rsidR="00427AAE"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trimestre 2017 une étude clinique de preuve de concept </w:t>
      </w:r>
      <w:r w:rsidRPr="00C73365">
        <w:rPr>
          <w:rFonts w:asciiTheme="minorHAnsi" w:hAnsiTheme="minorHAnsi" w:cstheme="minorHAnsi"/>
          <w:b/>
          <w:szCs w:val="20"/>
          <w:lang w:val="fr-FR"/>
        </w:rPr>
        <w:t>ABX464-101</w:t>
      </w:r>
      <w:r w:rsidRPr="00C73365">
        <w:rPr>
          <w:rFonts w:asciiTheme="minorHAnsi" w:hAnsiTheme="minorHAnsi" w:cstheme="minorHAnsi"/>
          <w:szCs w:val="20"/>
          <w:lang w:val="fr-FR"/>
        </w:rPr>
        <w:t xml:space="preserve">. Cette étude est conduite dans 8 pays européens (France, Belgique, Allemagne, Espagne, Autriche, République tchèque, Hongrie et Pologne) et évalue </w:t>
      </w:r>
      <w:r w:rsidR="008F54DD" w:rsidRPr="00C73365">
        <w:rPr>
          <w:rFonts w:asciiTheme="minorHAnsi" w:hAnsiTheme="minorHAnsi" w:cstheme="minorHAnsi"/>
          <w:szCs w:val="20"/>
          <w:lang w:val="fr-FR"/>
        </w:rPr>
        <w:t>l</w:t>
      </w:r>
      <w:r w:rsidRPr="00C73365">
        <w:rPr>
          <w:rFonts w:asciiTheme="minorHAnsi" w:hAnsiTheme="minorHAnsi" w:cstheme="minorHAnsi"/>
          <w:szCs w:val="20"/>
          <w:lang w:val="fr-FR"/>
        </w:rPr>
        <w:t xml:space="preserve">’activité et la tolérance d’ABX464 à la dose de 50mg par jour administré durant 8 semaines chez des patients atteints d’une rectocolite hémorragique active et résistante aux </w:t>
      </w:r>
      <w:r w:rsidRPr="00C73365">
        <w:rPr>
          <w:rFonts w:asciiTheme="minorHAnsi" w:hAnsiTheme="minorHAnsi" w:cstheme="minorHAnsi"/>
          <w:szCs w:val="20"/>
          <w:lang w:val="fr-FR"/>
        </w:rPr>
        <w:lastRenderedPageBreak/>
        <w:t>traitements actuels. Le premier patient a été inclus en Novembre 2017.</w:t>
      </w:r>
      <w:r w:rsidR="008F54DD"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Les résultats de cette étude clinique d’induction sont attendus en </w:t>
      </w:r>
      <w:r w:rsidR="006B119E" w:rsidRPr="00C73365">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14:paraId="04CD1012" w14:textId="77777777"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Cette étude d’induction est suivie d’une étude de maintenance</w:t>
      </w:r>
      <w:r w:rsidR="00451F56" w:rsidRPr="00C73365">
        <w:rPr>
          <w:rFonts w:asciiTheme="minorHAnsi" w:hAnsiTheme="minorHAnsi" w:cstheme="minorHAnsi"/>
          <w:szCs w:val="20"/>
          <w:lang w:val="fr-FR"/>
        </w:rPr>
        <w:t xml:space="preserve">, </w:t>
      </w:r>
      <w:r w:rsidR="00451F56" w:rsidRPr="00C73365">
        <w:rPr>
          <w:rFonts w:asciiTheme="minorHAnsi" w:hAnsiTheme="minorHAnsi" w:cstheme="minorHAnsi"/>
          <w:b/>
          <w:szCs w:val="20"/>
          <w:lang w:val="fr-FR"/>
        </w:rPr>
        <w:t>ABX464-102,</w:t>
      </w:r>
      <w:r w:rsidRPr="00C73365">
        <w:rPr>
          <w:rFonts w:asciiTheme="minorHAnsi" w:hAnsiTheme="minorHAnsi" w:cstheme="minorHAnsi"/>
          <w:szCs w:val="20"/>
          <w:lang w:val="fr-FR"/>
        </w:rPr>
        <w:t xml:space="preserve"> offrant la possibilité aux patients d’être traité par ABX464 pendant une période d’une année. Cette étude évaluera la tolérance et l’efficacité au long cours d’ABX464 chez</w:t>
      </w:r>
      <w:r w:rsidR="008F54DD" w:rsidRPr="00C73365">
        <w:rPr>
          <w:rFonts w:asciiTheme="minorHAnsi" w:hAnsiTheme="minorHAnsi" w:cstheme="minorHAnsi"/>
          <w:szCs w:val="20"/>
          <w:lang w:val="fr-FR"/>
        </w:rPr>
        <w:t xml:space="preserve"> les</w:t>
      </w:r>
      <w:r w:rsidRPr="00C73365">
        <w:rPr>
          <w:rFonts w:asciiTheme="minorHAnsi" w:hAnsiTheme="minorHAnsi" w:cstheme="minorHAnsi"/>
          <w:szCs w:val="20"/>
          <w:lang w:val="fr-FR"/>
        </w:rPr>
        <w:t xml:space="preserve"> patients atteints d’une rectocolite hémorragique active et résistante aux traitements actuels.</w:t>
      </w:r>
    </w:p>
    <w:p w14:paraId="49EE2DB3" w14:textId="77777777"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de maintenance sont attendus </w:t>
      </w:r>
      <w:r w:rsidR="00D8150A" w:rsidRPr="00C73365">
        <w:rPr>
          <w:rFonts w:asciiTheme="minorHAnsi" w:hAnsiTheme="minorHAnsi" w:cstheme="minorHAnsi"/>
          <w:szCs w:val="20"/>
          <w:lang w:val="fr-FR"/>
        </w:rPr>
        <w:t>pour mi-2019</w:t>
      </w:r>
      <w:r w:rsidRPr="00C73365">
        <w:rPr>
          <w:rFonts w:asciiTheme="minorHAnsi" w:hAnsiTheme="minorHAnsi" w:cstheme="minorHAnsi"/>
          <w:szCs w:val="20"/>
          <w:lang w:val="fr-FR"/>
        </w:rPr>
        <w:t>.</w:t>
      </w:r>
    </w:p>
    <w:p w14:paraId="515BF77B" w14:textId="63F851A4" w:rsidR="000F1ED8" w:rsidRPr="00C73365" w:rsidRDefault="004572A0" w:rsidP="00A96CCA">
      <w:pPr>
        <w:pStyle w:val="NormalWeb"/>
        <w:spacing w:before="0" w:beforeAutospacing="0" w:after="120" w:afterAutospacing="0"/>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ab/>
      </w:r>
      <w:r w:rsidR="000F1ED8" w:rsidRPr="00C73365">
        <w:rPr>
          <w:rFonts w:asciiTheme="minorHAnsi" w:hAnsiTheme="minorHAnsi" w:cstheme="minorHAnsi"/>
          <w:b/>
          <w:color w:val="7030A0"/>
          <w:szCs w:val="22"/>
          <w:lang w:val="fr-FR"/>
        </w:rPr>
        <w:t>Découverte de nouvelles molécules antivirales qui présentent le potentiel de traiter le virus de la Dengue</w:t>
      </w:r>
      <w:r w:rsidR="00E7732D">
        <w:rPr>
          <w:rFonts w:asciiTheme="minorHAnsi" w:hAnsiTheme="minorHAnsi" w:cstheme="minorHAnsi"/>
          <w:b/>
          <w:color w:val="7030A0"/>
          <w:szCs w:val="22"/>
          <w:lang w:val="fr-FR"/>
        </w:rPr>
        <w:t xml:space="preserve">, </w:t>
      </w:r>
      <w:r w:rsidR="00CA7218" w:rsidRPr="00C73365">
        <w:rPr>
          <w:rFonts w:asciiTheme="minorHAnsi" w:hAnsiTheme="minorHAnsi" w:cstheme="minorHAnsi"/>
          <w:b/>
          <w:color w:val="7030A0"/>
          <w:szCs w:val="22"/>
          <w:lang w:val="fr-FR"/>
        </w:rPr>
        <w:t>le Virus Respiratoire Syncitial</w:t>
      </w:r>
      <w:r w:rsidR="00E7732D">
        <w:rPr>
          <w:rFonts w:asciiTheme="minorHAnsi" w:hAnsiTheme="minorHAnsi" w:cstheme="minorHAnsi"/>
          <w:b/>
          <w:color w:val="7030A0"/>
          <w:szCs w:val="22"/>
          <w:lang w:val="fr-FR"/>
        </w:rPr>
        <w:t xml:space="preserve"> (VRS) ou la </w:t>
      </w:r>
      <w:r w:rsidR="008F3550">
        <w:rPr>
          <w:rFonts w:asciiTheme="minorHAnsi" w:hAnsiTheme="minorHAnsi" w:cstheme="minorHAnsi"/>
          <w:b/>
          <w:color w:val="7030A0"/>
          <w:szCs w:val="22"/>
          <w:lang w:val="fr-FR"/>
        </w:rPr>
        <w:t xml:space="preserve">grippe </w:t>
      </w:r>
      <w:r w:rsidR="008F3550" w:rsidRPr="00C73365">
        <w:rPr>
          <w:rFonts w:asciiTheme="minorHAnsi" w:hAnsiTheme="minorHAnsi" w:cstheme="minorHAnsi"/>
          <w:b/>
          <w:color w:val="7030A0"/>
          <w:szCs w:val="22"/>
          <w:lang w:val="fr-FR"/>
        </w:rPr>
        <w:t>(</w:t>
      </w:r>
      <w:r w:rsidR="000F1ED8" w:rsidRPr="00C73365">
        <w:rPr>
          <w:rFonts w:asciiTheme="minorHAnsi" w:hAnsiTheme="minorHAnsi" w:cstheme="minorHAnsi"/>
          <w:b/>
          <w:color w:val="7030A0"/>
          <w:szCs w:val="22"/>
          <w:lang w:val="fr-FR"/>
        </w:rPr>
        <w:t>plateforme « Antivirale »)</w:t>
      </w:r>
    </w:p>
    <w:p w14:paraId="50320026" w14:textId="0C8EB00E" w:rsidR="000F1ED8" w:rsidRPr="00C73365" w:rsidRDefault="00EF089C"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ABIVAX</w:t>
      </w:r>
      <w:r w:rsidR="000F1ED8" w:rsidRPr="00C73365">
        <w:rPr>
          <w:rFonts w:asciiTheme="minorHAnsi" w:hAnsiTheme="minorHAnsi" w:cstheme="minorHAnsi"/>
          <w:szCs w:val="20"/>
          <w:lang w:val="fr-FR"/>
        </w:rPr>
        <w:t xml:space="preserve"> est actuellement en train d</w:t>
      </w:r>
      <w:r w:rsidR="004572A0" w:rsidRPr="00C73365">
        <w:rPr>
          <w:rFonts w:asciiTheme="minorHAnsi" w:hAnsiTheme="minorHAnsi" w:cstheme="minorHAnsi"/>
          <w:szCs w:val="20"/>
          <w:lang w:val="fr-FR"/>
        </w:rPr>
        <w:t>’</w:t>
      </w:r>
      <w:r w:rsidR="000F1ED8" w:rsidRPr="00C73365">
        <w:rPr>
          <w:rFonts w:asciiTheme="minorHAnsi" w:hAnsiTheme="minorHAnsi" w:cstheme="minorHAnsi"/>
          <w:szCs w:val="20"/>
          <w:lang w:val="fr-FR"/>
        </w:rPr>
        <w:t xml:space="preserve">explorer sa chimiothèque ciblée de petites molécules dans le but de découvrir et de développer un candidat médicament antiviral contre la fièvre de la </w:t>
      </w:r>
      <w:r w:rsidR="008F54DD" w:rsidRPr="00C73365">
        <w:rPr>
          <w:rFonts w:asciiTheme="minorHAnsi" w:hAnsiTheme="minorHAnsi" w:cstheme="minorHAnsi"/>
          <w:szCs w:val="20"/>
          <w:lang w:val="fr-FR"/>
        </w:rPr>
        <w:t>d</w:t>
      </w:r>
      <w:r w:rsidR="000F1ED8" w:rsidRPr="00C73365">
        <w:rPr>
          <w:rFonts w:asciiTheme="minorHAnsi" w:hAnsiTheme="minorHAnsi" w:cstheme="minorHAnsi"/>
          <w:szCs w:val="20"/>
          <w:lang w:val="fr-FR"/>
        </w:rPr>
        <w:t>engue</w:t>
      </w:r>
      <w:r w:rsidR="00E7732D">
        <w:rPr>
          <w:rFonts w:asciiTheme="minorHAnsi" w:hAnsiTheme="minorHAnsi" w:cstheme="minorHAnsi"/>
          <w:szCs w:val="20"/>
          <w:lang w:val="fr-FR"/>
        </w:rPr>
        <w:t xml:space="preserve">, le VRS et la </w:t>
      </w:r>
      <w:r w:rsidR="00E7732D" w:rsidRPr="00841414">
        <w:rPr>
          <w:rFonts w:asciiTheme="minorHAnsi" w:hAnsiTheme="minorHAnsi" w:cstheme="minorHAnsi"/>
          <w:szCs w:val="20"/>
          <w:lang w:val="fr-FR"/>
        </w:rPr>
        <w:t>grippe</w:t>
      </w:r>
      <w:r w:rsidR="000F1ED8" w:rsidRPr="00841414">
        <w:rPr>
          <w:rFonts w:asciiTheme="minorHAnsi" w:hAnsiTheme="minorHAnsi" w:cstheme="minorHAnsi"/>
          <w:szCs w:val="20"/>
          <w:lang w:val="fr-FR"/>
        </w:rPr>
        <w:t xml:space="preserve">. </w:t>
      </w:r>
      <w:r w:rsidR="008F3550" w:rsidRPr="00841414">
        <w:rPr>
          <w:rFonts w:asciiTheme="minorHAnsi" w:hAnsiTheme="minorHAnsi" w:cstheme="minorHAnsi"/>
          <w:szCs w:val="20"/>
          <w:lang w:val="fr-FR"/>
        </w:rPr>
        <w:t xml:space="preserve">Concernant la fièvre de la dengue, </w:t>
      </w:r>
      <w:r w:rsidRPr="00841414">
        <w:rPr>
          <w:rFonts w:asciiTheme="minorHAnsi" w:hAnsiTheme="minorHAnsi" w:cstheme="minorHAnsi"/>
          <w:szCs w:val="20"/>
          <w:lang w:val="fr-FR"/>
        </w:rPr>
        <w:t>ABIVAX</w:t>
      </w:r>
      <w:r w:rsidR="000F1ED8" w:rsidRPr="00841414">
        <w:rPr>
          <w:rFonts w:asciiTheme="minorHAnsi" w:hAnsiTheme="minorHAnsi" w:cstheme="minorHAnsi"/>
          <w:szCs w:val="20"/>
          <w:lang w:val="fr-FR"/>
        </w:rPr>
        <w:t xml:space="preserve"> a récemment découvert plusieurs molécules qui sont actives contre le sérotype 2 et </w:t>
      </w:r>
      <w:r w:rsidR="008F3550" w:rsidRPr="00841414">
        <w:rPr>
          <w:rFonts w:asciiTheme="minorHAnsi" w:hAnsiTheme="minorHAnsi" w:cstheme="minorHAnsi"/>
          <w:szCs w:val="20"/>
          <w:lang w:val="fr-FR"/>
        </w:rPr>
        <w:t xml:space="preserve">a confirmé </w:t>
      </w:r>
      <w:r w:rsidR="000F1ED8" w:rsidRPr="00841414">
        <w:rPr>
          <w:rFonts w:asciiTheme="minorHAnsi" w:hAnsiTheme="minorHAnsi" w:cstheme="minorHAnsi"/>
          <w:szCs w:val="20"/>
          <w:lang w:val="fr-FR"/>
        </w:rPr>
        <w:t>l</w:t>
      </w:r>
      <w:r w:rsidR="008F3550" w:rsidRPr="00841414">
        <w:rPr>
          <w:rFonts w:asciiTheme="minorHAnsi" w:hAnsiTheme="minorHAnsi" w:cstheme="minorHAnsi"/>
          <w:szCs w:val="20"/>
          <w:lang w:val="fr-FR"/>
        </w:rPr>
        <w:t>a</w:t>
      </w:r>
      <w:r w:rsidR="000F1ED8" w:rsidRPr="00841414">
        <w:rPr>
          <w:rFonts w:asciiTheme="minorHAnsi" w:hAnsiTheme="minorHAnsi" w:cstheme="minorHAnsi"/>
          <w:szCs w:val="20"/>
          <w:lang w:val="fr-FR"/>
        </w:rPr>
        <w:t xml:space="preserve"> capacité</w:t>
      </w:r>
      <w:r w:rsidR="008F3550" w:rsidRPr="00841414">
        <w:rPr>
          <w:rFonts w:asciiTheme="minorHAnsi" w:hAnsiTheme="minorHAnsi" w:cstheme="minorHAnsi"/>
          <w:szCs w:val="20"/>
          <w:lang w:val="fr-FR"/>
        </w:rPr>
        <w:t xml:space="preserve"> de certaines</w:t>
      </w:r>
      <w:r w:rsidR="000F1ED8" w:rsidRPr="00841414">
        <w:rPr>
          <w:rFonts w:asciiTheme="minorHAnsi" w:hAnsiTheme="minorHAnsi" w:cstheme="minorHAnsi"/>
          <w:szCs w:val="20"/>
          <w:lang w:val="fr-FR"/>
        </w:rPr>
        <w:t xml:space="preserve"> à inhiber </w:t>
      </w:r>
      <w:r w:rsidR="008F3550" w:rsidRPr="00841414">
        <w:rPr>
          <w:rFonts w:asciiTheme="minorHAnsi" w:hAnsiTheme="minorHAnsi" w:cstheme="minorHAnsi"/>
          <w:szCs w:val="20"/>
          <w:lang w:val="fr-FR"/>
        </w:rPr>
        <w:t xml:space="preserve">également </w:t>
      </w:r>
      <w:r w:rsidR="000F1ED8" w:rsidRPr="00841414">
        <w:rPr>
          <w:rFonts w:asciiTheme="minorHAnsi" w:hAnsiTheme="minorHAnsi" w:cstheme="minorHAnsi"/>
          <w:szCs w:val="20"/>
          <w:lang w:val="fr-FR"/>
        </w:rPr>
        <w:t>la réplication de</w:t>
      </w:r>
      <w:r w:rsidR="00D21169">
        <w:rPr>
          <w:rFonts w:asciiTheme="minorHAnsi" w:hAnsiTheme="minorHAnsi" w:cstheme="minorHAnsi"/>
          <w:szCs w:val="20"/>
          <w:lang w:val="fr-FR"/>
        </w:rPr>
        <w:t>s</w:t>
      </w:r>
      <w:r w:rsidR="000F1ED8" w:rsidRPr="00841414">
        <w:rPr>
          <w:rFonts w:asciiTheme="minorHAnsi" w:hAnsiTheme="minorHAnsi" w:cstheme="minorHAnsi"/>
          <w:szCs w:val="20"/>
          <w:lang w:val="fr-FR"/>
        </w:rPr>
        <w:t xml:space="preserve"> 3 autres sérotypes du virus. </w:t>
      </w:r>
      <w:r w:rsidR="008F3550" w:rsidRPr="00841414">
        <w:rPr>
          <w:rFonts w:asciiTheme="minorHAnsi" w:hAnsiTheme="minorHAnsi" w:cstheme="minorHAnsi"/>
          <w:szCs w:val="20"/>
          <w:lang w:val="fr-FR"/>
        </w:rPr>
        <w:t>Le crible</w:t>
      </w:r>
      <w:r w:rsidR="008F3550">
        <w:rPr>
          <w:rFonts w:asciiTheme="minorHAnsi" w:hAnsiTheme="minorHAnsi" w:cstheme="minorHAnsi"/>
          <w:szCs w:val="20"/>
          <w:lang w:val="fr-FR"/>
        </w:rPr>
        <w:t xml:space="preserve"> de la chimiothèque sur le virus VRS et le virus de la grippe a permis d’identifier des molécules actives sur ces deux virus.</w:t>
      </w:r>
    </w:p>
    <w:p w14:paraId="293CA32C" w14:textId="77777777" w:rsidR="00776BB9" w:rsidRPr="00C73365" w:rsidRDefault="00776BB9" w:rsidP="00A96CCA">
      <w:pPr>
        <w:rPr>
          <w:rFonts w:asciiTheme="minorHAnsi" w:hAnsiTheme="minorHAnsi" w:cstheme="minorHAnsi"/>
          <w:szCs w:val="20"/>
          <w:lang w:val="fr-FR"/>
        </w:rPr>
      </w:pPr>
      <w:r w:rsidRPr="00C73365">
        <w:rPr>
          <w:rFonts w:asciiTheme="minorHAnsi" w:hAnsiTheme="minorHAnsi" w:cstheme="minorHAnsi"/>
          <w:szCs w:val="20"/>
          <w:lang w:val="fr-FR"/>
        </w:rPr>
        <w:br w:type="page"/>
      </w:r>
    </w:p>
    <w:p w14:paraId="164CA202" w14:textId="77777777"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215" w:name="_Toc478134724"/>
      <w:bookmarkStart w:id="216" w:name="_Toc478459531"/>
      <w:bookmarkStart w:id="217" w:name="_Toc478554737"/>
      <w:bookmarkStart w:id="218" w:name="_Toc478715722"/>
      <w:bookmarkStart w:id="219" w:name="_Toc478730307"/>
      <w:bookmarkStart w:id="220" w:name="_Toc478731099"/>
      <w:bookmarkStart w:id="221" w:name="_Toc479947054"/>
      <w:bookmarkStart w:id="222" w:name="_Toc478134725"/>
      <w:bookmarkStart w:id="223" w:name="_Toc478459532"/>
      <w:bookmarkStart w:id="224" w:name="_Toc478554738"/>
      <w:bookmarkStart w:id="225" w:name="_Toc478715723"/>
      <w:bookmarkStart w:id="226" w:name="_Toc478730308"/>
      <w:bookmarkStart w:id="227" w:name="_Toc478731100"/>
      <w:bookmarkStart w:id="228" w:name="_Toc479947055"/>
      <w:bookmarkStart w:id="229" w:name="_Toc478134726"/>
      <w:bookmarkStart w:id="230" w:name="_Toc478459533"/>
      <w:bookmarkStart w:id="231" w:name="_Toc478554739"/>
      <w:bookmarkStart w:id="232" w:name="_Toc478715724"/>
      <w:bookmarkStart w:id="233" w:name="_Toc478730309"/>
      <w:bookmarkStart w:id="234" w:name="_Toc478731101"/>
      <w:bookmarkStart w:id="235" w:name="_Toc479947056"/>
      <w:bookmarkStart w:id="236" w:name="_Toc478134727"/>
      <w:bookmarkStart w:id="237" w:name="_Toc478459534"/>
      <w:bookmarkStart w:id="238" w:name="_Toc478554740"/>
      <w:bookmarkStart w:id="239" w:name="_Toc478715725"/>
      <w:bookmarkStart w:id="240" w:name="_Toc478730310"/>
      <w:bookmarkStart w:id="241" w:name="_Toc478731102"/>
      <w:bookmarkStart w:id="242" w:name="_Toc479947057"/>
      <w:bookmarkStart w:id="243" w:name="_Toc478134728"/>
      <w:bookmarkStart w:id="244" w:name="_Toc478459535"/>
      <w:bookmarkStart w:id="245" w:name="_Toc478554741"/>
      <w:bookmarkStart w:id="246" w:name="_Toc478715726"/>
      <w:bookmarkStart w:id="247" w:name="_Toc478730311"/>
      <w:bookmarkStart w:id="248" w:name="_Toc478731103"/>
      <w:bookmarkStart w:id="249" w:name="_Toc479947058"/>
      <w:bookmarkStart w:id="250" w:name="_Toc478134729"/>
      <w:bookmarkStart w:id="251" w:name="_Toc478459536"/>
      <w:bookmarkStart w:id="252" w:name="_Toc478554742"/>
      <w:bookmarkStart w:id="253" w:name="_Toc478715727"/>
      <w:bookmarkStart w:id="254" w:name="_Toc478730312"/>
      <w:bookmarkStart w:id="255" w:name="_Toc478731104"/>
      <w:bookmarkStart w:id="256" w:name="_Toc479947059"/>
      <w:bookmarkStart w:id="257" w:name="_Toc478134730"/>
      <w:bookmarkStart w:id="258" w:name="_Toc478459537"/>
      <w:bookmarkStart w:id="259" w:name="_Toc478554743"/>
      <w:bookmarkStart w:id="260" w:name="_Toc478715728"/>
      <w:bookmarkStart w:id="261" w:name="_Toc478730313"/>
      <w:bookmarkStart w:id="262" w:name="_Toc478731105"/>
      <w:bookmarkStart w:id="263" w:name="_Toc479947060"/>
      <w:bookmarkStart w:id="264" w:name="_Toc478134731"/>
      <w:bookmarkStart w:id="265" w:name="_Toc478459538"/>
      <w:bookmarkStart w:id="266" w:name="_Toc478554744"/>
      <w:bookmarkStart w:id="267" w:name="_Toc478715729"/>
      <w:bookmarkStart w:id="268" w:name="_Toc478730314"/>
      <w:bookmarkStart w:id="269" w:name="_Toc478731106"/>
      <w:bookmarkStart w:id="270" w:name="_Toc479947061"/>
      <w:bookmarkStart w:id="271" w:name="_Toc478134732"/>
      <w:bookmarkStart w:id="272" w:name="_Toc478459539"/>
      <w:bookmarkStart w:id="273" w:name="_Toc478554745"/>
      <w:bookmarkStart w:id="274" w:name="_Toc478715730"/>
      <w:bookmarkStart w:id="275" w:name="_Toc478730315"/>
      <w:bookmarkStart w:id="276" w:name="_Toc478731107"/>
      <w:bookmarkStart w:id="277" w:name="_Toc479947062"/>
      <w:bookmarkStart w:id="278" w:name="_Toc462673239"/>
      <w:bookmarkStart w:id="279" w:name="_Toc467835585"/>
      <w:bookmarkStart w:id="280" w:name="_Toc510548410"/>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C73365">
        <w:rPr>
          <w:rFonts w:asciiTheme="minorHAnsi" w:hAnsiTheme="minorHAnsi" w:cstheme="minorHAnsi"/>
          <w:sz w:val="22"/>
          <w:szCs w:val="22"/>
          <w:lang w:val="fr-FR"/>
        </w:rPr>
        <w:lastRenderedPageBreak/>
        <w:t>Panorama des principaux actifs scientifiques d’</w:t>
      </w:r>
      <w:r w:rsidR="00EF089C" w:rsidRPr="00C73365">
        <w:rPr>
          <w:rFonts w:asciiTheme="minorHAnsi" w:hAnsiTheme="minorHAnsi" w:cstheme="minorHAnsi"/>
          <w:sz w:val="22"/>
          <w:szCs w:val="22"/>
          <w:lang w:val="fr-FR"/>
        </w:rPr>
        <w:t>ABIVAX</w:t>
      </w:r>
      <w:bookmarkEnd w:id="278"/>
      <w:bookmarkEnd w:id="279"/>
      <w:bookmarkEnd w:id="280"/>
    </w:p>
    <w:p w14:paraId="14EFE419" w14:textId="77777777" w:rsidR="00513EAD"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Portefeuille de produits à la date d’enregistrement du présent document de référence</w:t>
      </w:r>
    </w:p>
    <w:p w14:paraId="520E3D7E" w14:textId="77777777" w:rsidR="00421CB7" w:rsidRPr="00C73365" w:rsidRDefault="00427AAE">
      <w:pPr>
        <w:rPr>
          <w:rFonts w:asciiTheme="minorHAnsi" w:hAnsiTheme="minorHAnsi" w:cstheme="minorHAnsi"/>
          <w:b/>
          <w:color w:val="7030A0"/>
          <w:szCs w:val="22"/>
          <w:lang w:val="fr-FR"/>
        </w:rPr>
      </w:pPr>
      <w:r w:rsidRPr="00C73365">
        <w:rPr>
          <w:rFonts w:asciiTheme="minorHAnsi" w:hAnsiTheme="minorHAnsi" w:cstheme="minorHAnsi"/>
          <w:noProof/>
          <w:lang w:val="fr-FR" w:eastAsia="fr-FR"/>
        </w:rPr>
        <w:drawing>
          <wp:inline distT="0" distB="0" distL="0" distR="0" wp14:anchorId="52849074" wp14:editId="42A686A9">
            <wp:extent cx="6120765" cy="3027044"/>
            <wp:effectExtent l="0" t="0" r="0" b="254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027044"/>
                    </a:xfrm>
                    <a:prstGeom prst="rect">
                      <a:avLst/>
                    </a:prstGeom>
                    <a:noFill/>
                    <a:ln>
                      <a:noFill/>
                    </a:ln>
                  </pic:spPr>
                </pic:pic>
              </a:graphicData>
            </a:graphic>
          </wp:inline>
        </w:drawing>
      </w:r>
    </w:p>
    <w:p w14:paraId="0759DD46" w14:textId="77777777" w:rsidR="00A42047" w:rsidRPr="00C73365" w:rsidRDefault="00C7474D" w:rsidP="004572A0">
      <w:pPr>
        <w:pStyle w:val="Corpsdetexte"/>
        <w:rPr>
          <w:rFonts w:asciiTheme="minorHAnsi" w:hAnsiTheme="minorHAnsi" w:cstheme="minorHAnsi"/>
          <w:color w:val="000000" w:themeColor="text1"/>
          <w:lang w:val="fr-FR"/>
        </w:rPr>
      </w:pPr>
      <w:r w:rsidRPr="00C73365">
        <w:rPr>
          <w:rFonts w:asciiTheme="minorHAnsi" w:hAnsiTheme="minorHAnsi" w:cstheme="minorHAnsi"/>
          <w:noProof/>
          <w:lang w:val="fr-FR" w:eastAsia="fr-FR"/>
        </w:rPr>
        <mc:AlternateContent>
          <mc:Choice Requires="wps">
            <w:drawing>
              <wp:anchor distT="0" distB="0" distL="114300" distR="114300" simplePos="0" relativeHeight="251654144" behindDoc="0" locked="0" layoutInCell="1" allowOverlap="1" wp14:anchorId="0988D70B" wp14:editId="61AE65B6">
                <wp:simplePos x="0" y="0"/>
                <wp:positionH relativeFrom="column">
                  <wp:posOffset>6200581</wp:posOffset>
                </wp:positionH>
                <wp:positionV relativeFrom="paragraph">
                  <wp:posOffset>638838</wp:posOffset>
                </wp:positionV>
                <wp:extent cx="2582333" cy="465667"/>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582333" cy="465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C1046" w14:textId="77777777" w:rsidR="00F55A34" w:rsidRPr="00AA1CF7" w:rsidRDefault="00F55A34" w:rsidP="00F46C7B">
                            <w:pPr>
                              <w:rPr>
                                <w:rFonts w:asciiTheme="majorHAnsi" w:hAnsiTheme="majorHAnsi"/>
                                <w:sz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8D70B" id="Zone de texte 17" o:spid="_x0000_s1027" type="#_x0000_t202" style="position:absolute;left:0;text-align:left;margin-left:488.25pt;margin-top:50.3pt;width:203.35pt;height:3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" filled="f" stroked="f" strokeweight=".5pt">
                <v:textbox>
                  <w:txbxContent>
                    <w:p w14:paraId="069C1046" w14:textId="77777777" w:rsidR="00F55A34" w:rsidRPr="00AA1CF7" w:rsidRDefault="00F55A34" w:rsidP="00F46C7B">
                      <w:pPr>
                        <w:rPr>
                          <w:rFonts w:asciiTheme="majorHAnsi" w:hAnsiTheme="majorHAnsi"/>
                          <w:sz w:val="16"/>
                          <w:lang w:val="fr-FR"/>
                        </w:rPr>
                      </w:pPr>
                    </w:p>
                  </w:txbxContent>
                </v:textbox>
              </v:shape>
            </w:pict>
          </mc:Fallback>
        </mc:AlternateContent>
      </w:r>
      <w:r w:rsidR="00421CB7" w:rsidRPr="00C73365">
        <w:rPr>
          <w:rFonts w:asciiTheme="minorHAnsi" w:hAnsiTheme="minorHAnsi" w:cstheme="minorHAnsi"/>
          <w:noProof/>
          <w:lang w:val="fr-FR" w:eastAsia="fr-FR"/>
        </w:rPr>
        <mc:AlternateContent>
          <mc:Choice Requires="wps">
            <w:drawing>
              <wp:anchor distT="0" distB="0" distL="114300" distR="114300" simplePos="0" relativeHeight="251674624" behindDoc="0" locked="0" layoutInCell="1" allowOverlap="1" wp14:anchorId="7A80D11A" wp14:editId="3AE2D86B">
                <wp:simplePos x="0" y="0"/>
                <wp:positionH relativeFrom="column">
                  <wp:posOffset>789940</wp:posOffset>
                </wp:positionH>
                <wp:positionV relativeFrom="paragraph">
                  <wp:posOffset>861968</wp:posOffset>
                </wp:positionV>
                <wp:extent cx="330200" cy="202989"/>
                <wp:effectExtent l="0" t="0" r="0" b="6985"/>
                <wp:wrapNone/>
                <wp:docPr id="226" name="Zone de texte 226"/>
                <wp:cNvGraphicFramePr/>
                <a:graphic xmlns:a="http://schemas.openxmlformats.org/drawingml/2006/main">
                  <a:graphicData uri="http://schemas.microsoft.com/office/word/2010/wordprocessingShape">
                    <wps:wsp>
                      <wps:cNvSpPr txBox="1"/>
                      <wps:spPr>
                        <a:xfrm>
                          <a:off x="0" y="0"/>
                          <a:ext cx="330200" cy="202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838AB" w14:textId="77777777" w:rsidR="00F55A34" w:rsidRPr="006626A5" w:rsidRDefault="00F55A34">
                            <w:pPr>
                              <w:rPr>
                                <w:color w:val="00B0F0"/>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D11A" id="Zone de texte 226" o:spid="_x0000_s1028" type="#_x0000_t202" style="position:absolute;left:0;text-align:left;margin-left:62.2pt;margin-top:67.85pt;width:26pt;height: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" filled="f" stroked="f" strokeweight=".5pt">
                <v:textbox>
                  <w:txbxContent>
                    <w:p w14:paraId="3BD838AB" w14:textId="77777777" w:rsidR="00F55A34" w:rsidRPr="006626A5" w:rsidRDefault="00F55A34">
                      <w:pPr>
                        <w:rPr>
                          <w:color w:val="00B0F0"/>
                          <w:sz w:val="16"/>
                          <w:szCs w:val="16"/>
                          <w:lang w:val="fr-FR"/>
                        </w:rPr>
                      </w:pPr>
                    </w:p>
                  </w:txbxContent>
                </v:textbox>
              </v:shape>
            </w:pict>
          </mc:Fallback>
        </mc:AlternateContent>
      </w:r>
      <w:r w:rsidR="00A42047" w:rsidRPr="00C73365">
        <w:rPr>
          <w:rFonts w:asciiTheme="minorHAnsi" w:hAnsiTheme="minorHAnsi" w:cstheme="minorHAnsi"/>
          <w:lang w:val="fr-FR"/>
        </w:rPr>
        <w:t>Research</w:t>
      </w:r>
      <w:r w:rsidR="00A42047" w:rsidRPr="00C73365">
        <w:rPr>
          <w:rFonts w:asciiTheme="minorHAnsi" w:hAnsiTheme="minorHAnsi" w:cstheme="minorHAnsi"/>
          <w:color w:val="000000" w:themeColor="text1"/>
          <w:lang w:val="fr-FR"/>
        </w:rPr>
        <w:t xml:space="preserve"> : </w:t>
      </w:r>
    </w:p>
    <w:p w14:paraId="5BB834EA" w14:textId="222DAC33" w:rsidR="008F3550" w:rsidRPr="003B0F95" w:rsidRDefault="008F3550" w:rsidP="008F3550">
      <w:pPr>
        <w:pStyle w:val="Paragraphedeliste"/>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szCs w:val="20"/>
          <w:lang w:val="fr-FR"/>
        </w:rPr>
        <w:t>« Hit identification » : Criblage de la chimiothèque pour identifier des molécules actives sur un virus donné</w:t>
      </w:r>
    </w:p>
    <w:p w14:paraId="1D8A7962" w14:textId="363528B9" w:rsidR="00A42047" w:rsidRPr="003B0F95" w:rsidRDefault="00D60148" w:rsidP="008F3550">
      <w:pPr>
        <w:pStyle w:val="Paragraphedeliste"/>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szCs w:val="20"/>
          <w:lang w:val="fr-FR"/>
        </w:rPr>
        <w:t>« Lead Generation »</w:t>
      </w:r>
      <w:r w:rsidR="008F3550" w:rsidRPr="003B0F95">
        <w:rPr>
          <w:rFonts w:asciiTheme="minorHAnsi" w:hAnsiTheme="minorHAnsi" w:cstheme="minorHAnsi"/>
          <w:szCs w:val="20"/>
          <w:lang w:val="fr-FR"/>
        </w:rPr>
        <w:t xml:space="preserve"> : </w:t>
      </w:r>
      <w:r w:rsidR="008F3550" w:rsidRPr="003B0F95">
        <w:rPr>
          <w:rFonts w:asciiTheme="minorHAnsi" w:hAnsiTheme="minorHAnsi" w:cstheme="minorHAnsi"/>
          <w:color w:val="000000" w:themeColor="text1"/>
          <w:szCs w:val="20"/>
          <w:lang w:val="fr-FR"/>
        </w:rPr>
        <w:t xml:space="preserve">Optimisation des propriétés des molécules hits pour devenir un candidat médicament potentiel </w:t>
      </w:r>
      <w:r w:rsidR="00F46C7B" w:rsidRPr="003B0F95">
        <w:rPr>
          <w:rFonts w:asciiTheme="minorHAnsi" w:hAnsiTheme="minorHAnsi" w:cstheme="minorHAnsi"/>
          <w:color w:val="000000" w:themeColor="text1"/>
          <w:szCs w:val="20"/>
          <w:lang w:val="fr-FR"/>
        </w:rPr>
        <w:t xml:space="preserve"> </w:t>
      </w:r>
    </w:p>
    <w:p w14:paraId="645F6BDB" w14:textId="77777777" w:rsidR="00F46C7B" w:rsidRPr="003B0F95" w:rsidRDefault="00D60148" w:rsidP="00434C49">
      <w:pPr>
        <w:pStyle w:val="Paragraphedeliste"/>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color w:val="000000" w:themeColor="text1"/>
          <w:szCs w:val="20"/>
          <w:lang w:val="fr-FR"/>
        </w:rPr>
        <w:t>« Lead Optimisation » :</w:t>
      </w:r>
      <w:r w:rsidRPr="003B0F95">
        <w:rPr>
          <w:rFonts w:asciiTheme="minorHAnsi" w:hAnsiTheme="minorHAnsi" w:cstheme="minorHAnsi"/>
          <w:b/>
          <w:color w:val="000000" w:themeColor="text1"/>
          <w:szCs w:val="20"/>
          <w:lang w:val="fr-FR"/>
        </w:rPr>
        <w:t xml:space="preserve"> </w:t>
      </w:r>
      <w:r w:rsidR="00F46C7B" w:rsidRPr="003B0F95">
        <w:rPr>
          <w:rFonts w:asciiTheme="minorHAnsi" w:hAnsiTheme="minorHAnsi" w:cstheme="minorHAnsi"/>
          <w:color w:val="000000" w:themeColor="text1"/>
          <w:szCs w:val="20"/>
          <w:lang w:val="fr-FR"/>
        </w:rPr>
        <w:t>Optimisation des propriétés des composés pour obtenir un candidat médicament</w:t>
      </w:r>
    </w:p>
    <w:p w14:paraId="3BB9A6C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b/>
          <w:lang w:val="fr-FR"/>
        </w:rPr>
        <w:t>Préclinique </w:t>
      </w:r>
      <w:r w:rsidRPr="00C73365">
        <w:rPr>
          <w:rFonts w:asciiTheme="minorHAnsi" w:hAnsiTheme="minorHAnsi" w:cstheme="minorHAnsi"/>
          <w:lang w:val="fr-FR"/>
        </w:rPr>
        <w:t xml:space="preserve">: Les études précliniques comprennent les tests d’efficacité </w:t>
      </w:r>
      <w:r w:rsidRPr="00C73365">
        <w:rPr>
          <w:rFonts w:asciiTheme="minorHAnsi" w:hAnsiTheme="minorHAnsi" w:cstheme="minorHAnsi"/>
          <w:i/>
          <w:lang w:val="fr-FR"/>
        </w:rPr>
        <w:t>in vivo</w:t>
      </w:r>
      <w:r w:rsidRPr="00C73365">
        <w:rPr>
          <w:rFonts w:asciiTheme="minorHAnsi" w:hAnsiTheme="minorHAnsi" w:cstheme="minorHAnsi"/>
          <w:lang w:val="fr-FR"/>
        </w:rPr>
        <w:t xml:space="preserve"> et les études de toxicité règlementaire</w:t>
      </w:r>
    </w:p>
    <w:p w14:paraId="5C40ABB6" w14:textId="77777777" w:rsidR="00421CB7" w:rsidRPr="00C73365" w:rsidRDefault="00421CB7" w:rsidP="004572A0">
      <w:pPr>
        <w:pStyle w:val="Corpsdetexte"/>
        <w:rPr>
          <w:rFonts w:asciiTheme="minorHAnsi" w:hAnsiTheme="minorHAnsi" w:cstheme="minorHAnsi"/>
          <w:lang w:val="fr-FR"/>
        </w:rPr>
        <w:sectPr w:rsidR="00421CB7" w:rsidRPr="00C73365" w:rsidSect="007C607C">
          <w:footerReference w:type="default" r:id="rId16"/>
          <w:footerReference w:type="first" r:id="rId17"/>
          <w:pgSz w:w="11907" w:h="16840" w:code="9"/>
          <w:pgMar w:top="1134" w:right="1134" w:bottom="1134" w:left="1134" w:header="709" w:footer="709" w:gutter="0"/>
          <w:cols w:space="708"/>
          <w:titlePg/>
          <w:docGrid w:linePitch="360"/>
        </w:sectPr>
      </w:pPr>
    </w:p>
    <w:tbl>
      <w:tblPr>
        <w:tblW w:w="5000" w:type="pct"/>
        <w:jc w:val="center"/>
        <w:tblCellMar>
          <w:left w:w="70" w:type="dxa"/>
          <w:right w:w="70" w:type="dxa"/>
        </w:tblCellMar>
        <w:tblLook w:val="04A0" w:firstRow="1" w:lastRow="0" w:firstColumn="1" w:lastColumn="0" w:noHBand="0" w:noVBand="1"/>
      </w:tblPr>
      <w:tblGrid>
        <w:gridCol w:w="1315"/>
        <w:gridCol w:w="1881"/>
        <w:gridCol w:w="1831"/>
        <w:gridCol w:w="2804"/>
        <w:gridCol w:w="2183"/>
        <w:gridCol w:w="4558"/>
      </w:tblGrid>
      <w:tr w:rsidR="003E35B6" w:rsidRPr="00C73365" w14:paraId="137F13F4" w14:textId="77777777" w:rsidTr="00981866">
        <w:trPr>
          <w:trHeight w:val="398"/>
          <w:jc w:val="center"/>
        </w:trPr>
        <w:tc>
          <w:tcPr>
            <w:tcW w:w="451" w:type="pct"/>
            <w:tcBorders>
              <w:top w:val="single" w:sz="12" w:space="0" w:color="7030A0"/>
              <w:left w:val="nil"/>
              <w:bottom w:val="single" w:sz="8" w:space="0" w:color="7030A0"/>
              <w:right w:val="nil"/>
            </w:tcBorders>
            <w:shd w:val="clear" w:color="auto" w:fill="auto"/>
            <w:vAlign w:val="center"/>
            <w:hideMark/>
          </w:tcPr>
          <w:p w14:paraId="38084986" w14:textId="77777777" w:rsidR="003E35B6" w:rsidRPr="00C73365" w:rsidRDefault="003E35B6" w:rsidP="00A96CCA">
            <w:pPr>
              <w:spacing w:after="0"/>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lastRenderedPageBreak/>
              <w:t>Dénomination</w:t>
            </w:r>
          </w:p>
        </w:tc>
        <w:tc>
          <w:tcPr>
            <w:tcW w:w="645" w:type="pct"/>
            <w:tcBorders>
              <w:top w:val="single" w:sz="12" w:space="0" w:color="7030A0"/>
              <w:left w:val="nil"/>
              <w:bottom w:val="single" w:sz="8" w:space="0" w:color="7030A0"/>
              <w:right w:val="nil"/>
            </w:tcBorders>
            <w:shd w:val="clear" w:color="auto" w:fill="auto"/>
            <w:vAlign w:val="center"/>
            <w:hideMark/>
          </w:tcPr>
          <w:p w14:paraId="30F95C71" w14:textId="77777777"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Mécanisme d</w:t>
            </w:r>
            <w:r w:rsidR="004572A0" w:rsidRPr="00C73365">
              <w:rPr>
                <w:rFonts w:asciiTheme="minorHAnsi" w:hAnsiTheme="minorHAnsi" w:cstheme="minorHAnsi"/>
                <w:b/>
                <w:color w:val="000000"/>
                <w:sz w:val="16"/>
                <w:szCs w:val="16"/>
                <w:lang w:val="fr-FR"/>
              </w:rPr>
              <w:t>’</w:t>
            </w:r>
            <w:r w:rsidRPr="00C73365">
              <w:rPr>
                <w:rFonts w:asciiTheme="minorHAnsi" w:hAnsiTheme="minorHAnsi" w:cstheme="minorHAnsi"/>
                <w:b/>
                <w:color w:val="000000"/>
                <w:sz w:val="16"/>
                <w:szCs w:val="16"/>
                <w:lang w:val="fr-FR"/>
              </w:rPr>
              <w:t>action</w:t>
            </w:r>
          </w:p>
        </w:tc>
        <w:tc>
          <w:tcPr>
            <w:tcW w:w="628" w:type="pct"/>
            <w:tcBorders>
              <w:top w:val="single" w:sz="12" w:space="0" w:color="7030A0"/>
              <w:left w:val="nil"/>
              <w:bottom w:val="single" w:sz="8" w:space="0" w:color="7030A0"/>
              <w:right w:val="nil"/>
            </w:tcBorders>
            <w:shd w:val="clear" w:color="auto" w:fill="auto"/>
            <w:vAlign w:val="center"/>
            <w:hideMark/>
          </w:tcPr>
          <w:p w14:paraId="695C2ED2" w14:textId="77777777"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Indications visées / Marché et concurrence</w:t>
            </w:r>
          </w:p>
        </w:tc>
        <w:tc>
          <w:tcPr>
            <w:tcW w:w="962" w:type="pct"/>
            <w:tcBorders>
              <w:top w:val="single" w:sz="12" w:space="0" w:color="7030A0"/>
              <w:left w:val="nil"/>
              <w:bottom w:val="single" w:sz="8" w:space="0" w:color="7030A0"/>
              <w:right w:val="nil"/>
            </w:tcBorders>
            <w:shd w:val="clear" w:color="auto" w:fill="auto"/>
            <w:vAlign w:val="center"/>
            <w:hideMark/>
          </w:tcPr>
          <w:p w14:paraId="107D0AFB" w14:textId="77777777"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Propriété Intellectuelle</w:t>
            </w:r>
          </w:p>
        </w:tc>
        <w:tc>
          <w:tcPr>
            <w:tcW w:w="749" w:type="pct"/>
            <w:tcBorders>
              <w:top w:val="single" w:sz="12" w:space="0" w:color="7030A0"/>
              <w:left w:val="nil"/>
              <w:bottom w:val="single" w:sz="8" w:space="0" w:color="7030A0"/>
              <w:right w:val="nil"/>
            </w:tcBorders>
            <w:shd w:val="clear" w:color="auto" w:fill="auto"/>
            <w:vAlign w:val="center"/>
            <w:hideMark/>
          </w:tcPr>
          <w:p w14:paraId="281AE6BF" w14:textId="77777777"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Droits d</w:t>
            </w:r>
            <w:r w:rsidR="004572A0" w:rsidRPr="00C73365">
              <w:rPr>
                <w:rFonts w:asciiTheme="minorHAnsi" w:hAnsiTheme="minorHAnsi" w:cstheme="minorHAnsi"/>
                <w:b/>
                <w:color w:val="000000"/>
                <w:sz w:val="16"/>
                <w:szCs w:val="16"/>
                <w:lang w:val="fr-FR"/>
              </w:rPr>
              <w:t>’</w:t>
            </w:r>
            <w:r w:rsidRPr="00C73365">
              <w:rPr>
                <w:rFonts w:asciiTheme="minorHAnsi" w:hAnsiTheme="minorHAnsi" w:cstheme="minorHAnsi"/>
                <w:b/>
                <w:color w:val="000000"/>
                <w:sz w:val="16"/>
                <w:szCs w:val="16"/>
                <w:lang w:val="fr-FR"/>
              </w:rPr>
              <w:t xml:space="preserve">exploitation pour </w:t>
            </w:r>
            <w:r w:rsidR="00EF089C" w:rsidRPr="00C73365">
              <w:rPr>
                <w:rFonts w:asciiTheme="minorHAnsi" w:hAnsiTheme="minorHAnsi" w:cstheme="minorHAnsi"/>
                <w:b/>
                <w:color w:val="000000"/>
                <w:sz w:val="16"/>
                <w:szCs w:val="16"/>
                <w:lang w:val="fr-FR"/>
              </w:rPr>
              <w:t>ABIVAX</w:t>
            </w:r>
          </w:p>
        </w:tc>
        <w:tc>
          <w:tcPr>
            <w:tcW w:w="1564" w:type="pct"/>
            <w:tcBorders>
              <w:top w:val="single" w:sz="12" w:space="0" w:color="7030A0"/>
              <w:left w:val="nil"/>
              <w:bottom w:val="single" w:sz="8" w:space="0" w:color="7030A0"/>
              <w:right w:val="nil"/>
            </w:tcBorders>
            <w:shd w:val="clear" w:color="auto" w:fill="auto"/>
            <w:vAlign w:val="center"/>
            <w:hideMark/>
          </w:tcPr>
          <w:p w14:paraId="2B1303A1" w14:textId="77777777"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Stade de développement</w:t>
            </w:r>
          </w:p>
        </w:tc>
      </w:tr>
      <w:tr w:rsidR="003E35B6" w:rsidRPr="00C73365" w14:paraId="27A39C58" w14:textId="77777777" w:rsidTr="00981866">
        <w:trPr>
          <w:trHeight w:val="1082"/>
          <w:jc w:val="center"/>
        </w:trPr>
        <w:tc>
          <w:tcPr>
            <w:tcW w:w="451" w:type="pct"/>
            <w:tcBorders>
              <w:top w:val="nil"/>
              <w:left w:val="nil"/>
              <w:bottom w:val="single" w:sz="8" w:space="0" w:color="7030A0"/>
              <w:right w:val="nil"/>
            </w:tcBorders>
            <w:shd w:val="clear" w:color="auto" w:fill="auto"/>
            <w:hideMark/>
          </w:tcPr>
          <w:p w14:paraId="0D2D30AA" w14:textId="77777777"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ABX464</w:t>
            </w:r>
            <w:r w:rsidR="003E35B6" w:rsidRPr="00C73365">
              <w:rPr>
                <w:rFonts w:asciiTheme="minorHAnsi" w:hAnsiTheme="minorHAnsi" w:cstheme="minorHAnsi"/>
                <w:color w:val="000000"/>
                <w:sz w:val="17"/>
                <w:szCs w:val="17"/>
                <w:lang w:val="fr-FR" w:eastAsia="fr-FR"/>
              </w:rPr>
              <w:t xml:space="preserve"> </w:t>
            </w:r>
            <w:r w:rsidR="003E35B6" w:rsidRPr="00C73365">
              <w:rPr>
                <w:rFonts w:asciiTheme="minorHAnsi" w:hAnsiTheme="minorHAnsi" w:cstheme="minorHAnsi"/>
                <w:color w:val="000000"/>
                <w:sz w:val="17"/>
                <w:szCs w:val="17"/>
                <w:lang w:val="fr-FR" w:eastAsia="fr-FR"/>
              </w:rPr>
              <w:br/>
              <w:t>(§. 6.3.1)</w:t>
            </w:r>
          </w:p>
        </w:tc>
        <w:tc>
          <w:tcPr>
            <w:tcW w:w="645" w:type="pct"/>
            <w:tcBorders>
              <w:top w:val="nil"/>
              <w:left w:val="nil"/>
              <w:bottom w:val="single" w:sz="8" w:space="0" w:color="7030A0"/>
              <w:right w:val="nil"/>
            </w:tcBorders>
            <w:shd w:val="clear" w:color="auto" w:fill="auto"/>
            <w:hideMark/>
          </w:tcPr>
          <w:p w14:paraId="19B0A601"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Petite molécule bloquant la réplication virale</w:t>
            </w:r>
          </w:p>
        </w:tc>
        <w:tc>
          <w:tcPr>
            <w:tcW w:w="628" w:type="pct"/>
            <w:tcBorders>
              <w:top w:val="nil"/>
              <w:left w:val="nil"/>
              <w:bottom w:val="single" w:sz="8" w:space="0" w:color="7030A0"/>
              <w:right w:val="nil"/>
            </w:tcBorders>
            <w:shd w:val="clear" w:color="auto" w:fill="auto"/>
            <w:hideMark/>
          </w:tcPr>
          <w:p w14:paraId="28DD2957"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Traitement du VIH </w:t>
            </w:r>
            <w:r w:rsidRPr="00C73365">
              <w:rPr>
                <w:rFonts w:asciiTheme="minorHAnsi" w:hAnsiTheme="minorHAnsi" w:cstheme="minorHAnsi"/>
                <w:color w:val="000000"/>
                <w:sz w:val="17"/>
                <w:szCs w:val="17"/>
                <w:lang w:val="fr-FR" w:eastAsia="fr-FR"/>
              </w:rPr>
              <w:br/>
            </w:r>
          </w:p>
          <w:p w14:paraId="4787B231" w14:textId="77777777" w:rsidR="003E35B6" w:rsidRPr="00C73365" w:rsidRDefault="003E35B6" w:rsidP="00A96CCA">
            <w:pPr>
              <w:spacing w:after="0"/>
              <w:rPr>
                <w:rFonts w:asciiTheme="minorHAnsi" w:hAnsiTheme="minorHAnsi" w:cstheme="minorHAnsi"/>
                <w:color w:val="000000"/>
                <w:sz w:val="17"/>
                <w:szCs w:val="17"/>
                <w:lang w:val="fr-FR" w:eastAsia="fr-FR"/>
              </w:rPr>
            </w:pPr>
          </w:p>
        </w:tc>
        <w:tc>
          <w:tcPr>
            <w:tcW w:w="962" w:type="pct"/>
            <w:tcBorders>
              <w:top w:val="nil"/>
              <w:left w:val="nil"/>
              <w:bottom w:val="single" w:sz="8" w:space="0" w:color="7030A0"/>
              <w:right w:val="nil"/>
            </w:tcBorders>
            <w:shd w:val="clear" w:color="auto" w:fill="auto"/>
            <w:hideMark/>
          </w:tcPr>
          <w:p w14:paraId="3BCBD57F"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Produit issu de la recherche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en collaboration avec le CNRS, l’Université de Montpellier 2 et l’Institut Curie </w:t>
            </w:r>
            <w:r w:rsidRPr="00C73365">
              <w:rPr>
                <w:rFonts w:asciiTheme="minorHAnsi" w:hAnsiTheme="minorHAnsi" w:cstheme="minorHAnsi"/>
                <w:color w:val="000000"/>
                <w:sz w:val="17"/>
                <w:szCs w:val="17"/>
                <w:lang w:val="fr-FR" w:eastAsia="fr-FR"/>
              </w:rPr>
              <w:br/>
              <w:t>(§. 11.2.2.1)</w:t>
            </w:r>
            <w:r w:rsidRPr="00C73365">
              <w:rPr>
                <w:rFonts w:asciiTheme="minorHAnsi" w:hAnsiTheme="minorHAnsi" w:cstheme="minorHAnsi"/>
                <w:color w:val="000000"/>
                <w:sz w:val="17"/>
                <w:szCs w:val="17"/>
                <w:lang w:val="fr-FR" w:eastAsia="fr-FR"/>
              </w:rPr>
              <w:br/>
              <w:t>Protection</w:t>
            </w:r>
            <w:r w:rsidR="00D60148" w:rsidRPr="00C73365">
              <w:rPr>
                <w:rFonts w:asciiTheme="minorHAnsi" w:hAnsiTheme="minorHAnsi" w:cstheme="minorHAnsi"/>
                <w:color w:val="000000"/>
                <w:sz w:val="17"/>
                <w:szCs w:val="17"/>
                <w:lang w:val="fr-FR" w:eastAsia="fr-FR"/>
              </w:rPr>
              <w:t xml:space="preserve"> par</w:t>
            </w:r>
            <w:r w:rsidRPr="00C73365">
              <w:rPr>
                <w:rFonts w:asciiTheme="minorHAnsi" w:hAnsiTheme="minorHAnsi" w:cstheme="minorHAnsi"/>
                <w:color w:val="000000"/>
                <w:sz w:val="17"/>
                <w:szCs w:val="17"/>
                <w:lang w:val="fr-FR" w:eastAsia="fr-FR"/>
              </w:rPr>
              <w:t xml:space="preserve"> brevet jusqu’en juin 2030</w:t>
            </w:r>
          </w:p>
        </w:tc>
        <w:tc>
          <w:tcPr>
            <w:tcW w:w="749" w:type="pct"/>
            <w:tcBorders>
              <w:top w:val="nil"/>
              <w:left w:val="nil"/>
              <w:bottom w:val="single" w:sz="8" w:space="0" w:color="7030A0"/>
              <w:right w:val="nil"/>
            </w:tcBorders>
            <w:shd w:val="clear" w:color="auto" w:fill="auto"/>
            <w:hideMark/>
          </w:tcPr>
          <w:p w14:paraId="15CA3EDC"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14:paraId="0ADA299C"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11.3.1.)</w:t>
            </w:r>
          </w:p>
        </w:tc>
        <w:tc>
          <w:tcPr>
            <w:tcW w:w="1564" w:type="pct"/>
            <w:tcBorders>
              <w:top w:val="nil"/>
              <w:left w:val="nil"/>
              <w:bottom w:val="single" w:sz="8" w:space="0" w:color="7030A0"/>
              <w:right w:val="nil"/>
            </w:tcBorders>
            <w:shd w:val="clear" w:color="auto" w:fill="auto"/>
            <w:hideMark/>
          </w:tcPr>
          <w:p w14:paraId="6E7AF52D" w14:textId="77777777"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Indication HIV :</w:t>
            </w:r>
          </w:p>
          <w:p w14:paraId="7E1C9F54" w14:textId="6E0709AB"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 xml:space="preserve">Deux essais de Phase I finalisés en 2015 - Première Phase </w:t>
            </w:r>
            <w:r w:rsidR="0050466F" w:rsidRPr="00C73365">
              <w:rPr>
                <w:rFonts w:asciiTheme="minorHAnsi" w:hAnsiTheme="minorHAnsi" w:cstheme="minorHAnsi"/>
                <w:color w:val="000000"/>
                <w:spacing w:val="-6"/>
                <w:sz w:val="17"/>
                <w:szCs w:val="17"/>
                <w:lang w:val="fr-FR" w:eastAsia="fr-FR"/>
              </w:rPr>
              <w:t>IIa (</w:t>
            </w:r>
            <w:r w:rsidRPr="00C73365">
              <w:rPr>
                <w:rFonts w:asciiTheme="minorHAnsi" w:hAnsiTheme="minorHAnsi" w:cstheme="minorHAnsi"/>
                <w:color w:val="000000"/>
                <w:spacing w:val="-6"/>
                <w:sz w:val="17"/>
                <w:szCs w:val="17"/>
                <w:lang w:val="fr-FR" w:eastAsia="fr-FR"/>
              </w:rPr>
              <w:t xml:space="preserve">Ile  Maurice-Thaïlande) finalisée début 2016 - Une deuxième étude phase IIa </w:t>
            </w:r>
            <w:r w:rsidR="006626A5" w:rsidRPr="00C73365">
              <w:rPr>
                <w:rFonts w:asciiTheme="minorHAnsi" w:hAnsiTheme="minorHAnsi" w:cstheme="minorHAnsi"/>
                <w:color w:val="000000"/>
                <w:spacing w:val="-6"/>
                <w:sz w:val="17"/>
                <w:szCs w:val="17"/>
                <w:lang w:val="fr-FR" w:eastAsia="fr-FR"/>
              </w:rPr>
              <w:t xml:space="preserve">(ABX464-004) </w:t>
            </w:r>
            <w:r w:rsidRPr="00C73365">
              <w:rPr>
                <w:rFonts w:asciiTheme="minorHAnsi" w:hAnsiTheme="minorHAnsi" w:cstheme="minorHAnsi"/>
                <w:color w:val="000000"/>
                <w:spacing w:val="-6"/>
                <w:sz w:val="17"/>
                <w:szCs w:val="17"/>
                <w:lang w:val="fr-FR" w:eastAsia="fr-FR"/>
              </w:rPr>
              <w:t>a été initiée en 2016. Premiers résultats communiqués le 2 mai 2017 indiquent un impact important de l’</w:t>
            </w:r>
            <w:r w:rsidR="00E32CFE" w:rsidRPr="00C73365">
              <w:rPr>
                <w:rFonts w:asciiTheme="minorHAnsi" w:hAnsiTheme="minorHAnsi" w:cstheme="minorHAnsi"/>
                <w:color w:val="000000"/>
                <w:spacing w:val="-6"/>
                <w:sz w:val="17"/>
                <w:szCs w:val="17"/>
                <w:lang w:val="fr-FR" w:eastAsia="fr-FR"/>
              </w:rPr>
              <w:t>ABX464</w:t>
            </w:r>
            <w:r w:rsidRPr="00C73365">
              <w:rPr>
                <w:rFonts w:asciiTheme="minorHAnsi" w:hAnsiTheme="minorHAnsi" w:cstheme="minorHAnsi"/>
                <w:color w:val="000000"/>
                <w:spacing w:val="-6"/>
                <w:sz w:val="17"/>
                <w:szCs w:val="17"/>
                <w:lang w:val="fr-FR" w:eastAsia="fr-FR"/>
              </w:rPr>
              <w:t xml:space="preserve"> sur les cellules réservoirs sanguines - Une étude spécifique (mécanisme d’action) en Espagne (étude dite « compartimentale ») </w:t>
            </w:r>
            <w:r w:rsidR="006626A5" w:rsidRPr="00C73365">
              <w:rPr>
                <w:rFonts w:asciiTheme="minorHAnsi" w:hAnsiTheme="minorHAnsi" w:cstheme="minorHAnsi"/>
                <w:color w:val="000000"/>
                <w:spacing w:val="-6"/>
                <w:sz w:val="17"/>
                <w:szCs w:val="17"/>
                <w:lang w:val="fr-FR" w:eastAsia="fr-FR"/>
              </w:rPr>
              <w:t xml:space="preserve">(ABX464-005) </w:t>
            </w:r>
            <w:r w:rsidRPr="00C73365">
              <w:rPr>
                <w:rFonts w:asciiTheme="minorHAnsi" w:hAnsiTheme="minorHAnsi" w:cstheme="minorHAnsi"/>
                <w:color w:val="000000"/>
                <w:spacing w:val="-6"/>
                <w:sz w:val="17"/>
                <w:szCs w:val="17"/>
                <w:lang w:val="fr-FR" w:eastAsia="fr-FR"/>
              </w:rPr>
              <w:t xml:space="preserve">a débuté en avril 2017 sur les cellules réservoirs intestinales. </w:t>
            </w:r>
            <w:r w:rsidR="00A3483A" w:rsidRPr="00C73365">
              <w:rPr>
                <w:rFonts w:asciiTheme="minorHAnsi" w:hAnsiTheme="minorHAnsi" w:cstheme="minorHAnsi"/>
                <w:color w:val="000000"/>
                <w:spacing w:val="-6"/>
                <w:sz w:val="17"/>
                <w:szCs w:val="17"/>
                <w:lang w:val="fr-FR" w:eastAsia="fr-FR"/>
              </w:rPr>
              <w:t xml:space="preserve">Résultats sur la première cohorte de patients communiqués en </w:t>
            </w:r>
            <w:r w:rsidR="006B119E" w:rsidRPr="00C73365">
              <w:rPr>
                <w:rFonts w:asciiTheme="minorHAnsi" w:hAnsiTheme="minorHAnsi" w:cstheme="minorHAnsi"/>
                <w:color w:val="000000"/>
                <w:spacing w:val="-6"/>
                <w:sz w:val="17"/>
                <w:szCs w:val="17"/>
                <w:lang w:val="fr-FR" w:eastAsia="fr-FR"/>
              </w:rPr>
              <w:t>septembre</w:t>
            </w:r>
            <w:r w:rsidR="00A3483A" w:rsidRPr="00C73365">
              <w:rPr>
                <w:rFonts w:asciiTheme="minorHAnsi" w:hAnsiTheme="minorHAnsi" w:cstheme="minorHAnsi"/>
                <w:color w:val="000000"/>
                <w:spacing w:val="-6"/>
                <w:sz w:val="17"/>
                <w:szCs w:val="17"/>
                <w:lang w:val="fr-FR" w:eastAsia="fr-FR"/>
              </w:rPr>
              <w:t xml:space="preserve"> </w:t>
            </w:r>
            <w:r w:rsidR="0050466F" w:rsidRPr="00C73365">
              <w:rPr>
                <w:rFonts w:asciiTheme="minorHAnsi" w:hAnsiTheme="minorHAnsi" w:cstheme="minorHAnsi"/>
                <w:color w:val="000000"/>
                <w:spacing w:val="-6"/>
                <w:sz w:val="17"/>
                <w:szCs w:val="17"/>
                <w:lang w:val="fr-FR" w:eastAsia="fr-FR"/>
              </w:rPr>
              <w:t>2017 confirment</w:t>
            </w:r>
            <w:r w:rsidR="00A3483A" w:rsidRPr="00C73365">
              <w:rPr>
                <w:rFonts w:asciiTheme="minorHAnsi" w:hAnsiTheme="minorHAnsi" w:cstheme="minorHAnsi"/>
                <w:color w:val="000000"/>
                <w:spacing w:val="-6"/>
                <w:sz w:val="17"/>
                <w:szCs w:val="17"/>
                <w:lang w:val="fr-FR" w:eastAsia="fr-FR"/>
              </w:rPr>
              <w:t xml:space="preserve"> un impact important de l’</w:t>
            </w:r>
            <w:r w:rsidR="00E32CFE" w:rsidRPr="00C73365">
              <w:rPr>
                <w:rFonts w:asciiTheme="minorHAnsi" w:hAnsiTheme="minorHAnsi" w:cstheme="minorHAnsi"/>
                <w:color w:val="000000"/>
                <w:spacing w:val="-6"/>
                <w:sz w:val="17"/>
                <w:szCs w:val="17"/>
                <w:lang w:val="fr-FR" w:eastAsia="fr-FR"/>
              </w:rPr>
              <w:t>ABX464</w:t>
            </w:r>
            <w:r w:rsidR="00A3483A" w:rsidRPr="00C73365">
              <w:rPr>
                <w:rFonts w:asciiTheme="minorHAnsi" w:hAnsiTheme="minorHAnsi" w:cstheme="minorHAnsi"/>
                <w:color w:val="000000"/>
                <w:spacing w:val="-6"/>
                <w:sz w:val="17"/>
                <w:szCs w:val="17"/>
                <w:lang w:val="fr-FR" w:eastAsia="fr-FR"/>
              </w:rPr>
              <w:t xml:space="preserve"> sur les cellules réservoirs sanguines</w:t>
            </w:r>
            <w:r w:rsidR="004F6B63" w:rsidRPr="00C73365">
              <w:rPr>
                <w:rFonts w:asciiTheme="minorHAnsi" w:hAnsiTheme="minorHAnsi" w:cstheme="minorHAnsi"/>
                <w:color w:val="000000"/>
                <w:spacing w:val="-6"/>
                <w:sz w:val="17"/>
                <w:szCs w:val="17"/>
                <w:lang w:val="fr-FR" w:eastAsia="fr-FR"/>
              </w:rPr>
              <w:t xml:space="preserve">. Résultats seconde cohorte attendus au </w:t>
            </w:r>
            <w:r w:rsidR="003704A6">
              <w:rPr>
                <w:rFonts w:asciiTheme="minorHAnsi" w:hAnsiTheme="minorHAnsi" w:cstheme="minorHAnsi"/>
                <w:color w:val="000000"/>
                <w:spacing w:val="-6"/>
                <w:sz w:val="17"/>
                <w:szCs w:val="17"/>
                <w:lang w:val="fr-FR" w:eastAsia="fr-FR"/>
              </w:rPr>
              <w:t xml:space="preserve">début du </w:t>
            </w:r>
            <w:r w:rsidR="004F6B63" w:rsidRPr="00C73365">
              <w:rPr>
                <w:rFonts w:asciiTheme="minorHAnsi" w:hAnsiTheme="minorHAnsi" w:cstheme="minorHAnsi"/>
                <w:color w:val="000000"/>
                <w:spacing w:val="-6"/>
                <w:sz w:val="17"/>
                <w:szCs w:val="17"/>
                <w:lang w:val="fr-FR" w:eastAsia="fr-FR"/>
              </w:rPr>
              <w:t>3</w:t>
            </w:r>
            <w:r w:rsidR="004F6B63" w:rsidRPr="00C73365">
              <w:rPr>
                <w:rFonts w:asciiTheme="minorHAnsi" w:hAnsiTheme="minorHAnsi" w:cstheme="minorHAnsi"/>
                <w:color w:val="000000"/>
                <w:spacing w:val="-6"/>
                <w:sz w:val="17"/>
                <w:szCs w:val="17"/>
                <w:vertAlign w:val="superscript"/>
                <w:lang w:val="fr-FR" w:eastAsia="fr-FR"/>
              </w:rPr>
              <w:t>ème</w:t>
            </w:r>
            <w:r w:rsidR="004F6B63" w:rsidRPr="00C73365">
              <w:rPr>
                <w:rFonts w:asciiTheme="minorHAnsi" w:hAnsiTheme="minorHAnsi" w:cstheme="minorHAnsi"/>
                <w:color w:val="000000"/>
                <w:spacing w:val="-6"/>
                <w:sz w:val="17"/>
                <w:szCs w:val="17"/>
                <w:lang w:val="fr-FR" w:eastAsia="fr-FR"/>
              </w:rPr>
              <w:t xml:space="preserve"> trimestre 2018. Démarrage de Phase IIb dans l’indication HIV en fin d’année 2018.</w:t>
            </w:r>
          </w:p>
          <w:p w14:paraId="2B194D95" w14:textId="77777777" w:rsidR="003E35B6" w:rsidRPr="00C73365" w:rsidRDefault="003E35B6" w:rsidP="00A96CCA">
            <w:pPr>
              <w:spacing w:after="0"/>
              <w:rPr>
                <w:rFonts w:asciiTheme="minorHAnsi" w:hAnsiTheme="minorHAnsi" w:cstheme="minorHAnsi"/>
                <w:color w:val="000000"/>
                <w:spacing w:val="-6"/>
                <w:sz w:val="17"/>
                <w:szCs w:val="17"/>
                <w:lang w:val="fr-FR" w:eastAsia="fr-FR"/>
              </w:rPr>
            </w:pPr>
          </w:p>
          <w:p w14:paraId="04C20E8C" w14:textId="77777777"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Indication Inflammation :</w:t>
            </w:r>
          </w:p>
          <w:p w14:paraId="23B4B3EE" w14:textId="77777777"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Etude clinique Phase IIa sur l’effet anti-inflammatoire du produit en préparation</w:t>
            </w:r>
            <w:r w:rsidR="00A3483A" w:rsidRPr="00C73365">
              <w:rPr>
                <w:rFonts w:asciiTheme="minorHAnsi" w:hAnsiTheme="minorHAnsi" w:cstheme="minorHAnsi"/>
                <w:color w:val="000000"/>
                <w:spacing w:val="-6"/>
                <w:sz w:val="17"/>
                <w:szCs w:val="17"/>
                <w:lang w:val="fr-FR" w:eastAsia="fr-FR"/>
              </w:rPr>
              <w:t xml:space="preserve"> initié en </w:t>
            </w:r>
            <w:bookmarkStart w:id="281" w:name="_Hlk509508414"/>
            <w:r w:rsidR="00A3483A" w:rsidRPr="00C73365">
              <w:rPr>
                <w:rFonts w:asciiTheme="minorHAnsi" w:hAnsiTheme="minorHAnsi" w:cstheme="minorHAnsi"/>
                <w:color w:val="000000"/>
                <w:spacing w:val="-6"/>
                <w:sz w:val="17"/>
                <w:szCs w:val="17"/>
                <w:lang w:val="fr-FR" w:eastAsia="fr-FR"/>
              </w:rPr>
              <w:t xml:space="preserve">2017 </w:t>
            </w:r>
            <w:r w:rsidRPr="00C73365">
              <w:rPr>
                <w:rFonts w:asciiTheme="minorHAnsi" w:hAnsiTheme="minorHAnsi" w:cstheme="minorHAnsi"/>
                <w:color w:val="000000"/>
                <w:spacing w:val="-6"/>
                <w:sz w:val="17"/>
                <w:szCs w:val="17"/>
                <w:lang w:val="fr-FR" w:eastAsia="fr-FR"/>
              </w:rPr>
              <w:t xml:space="preserve">sur la </w:t>
            </w:r>
            <w:r w:rsidR="003C29E7" w:rsidRPr="00C73365">
              <w:rPr>
                <w:rFonts w:asciiTheme="minorHAnsi" w:hAnsiTheme="minorHAnsi" w:cstheme="minorHAnsi"/>
                <w:color w:val="000000"/>
                <w:spacing w:val="-6"/>
                <w:sz w:val="17"/>
                <w:szCs w:val="17"/>
                <w:lang w:val="fr-FR" w:eastAsia="fr-FR"/>
              </w:rPr>
              <w:t>M</w:t>
            </w:r>
            <w:r w:rsidRPr="00C73365">
              <w:rPr>
                <w:rFonts w:asciiTheme="minorHAnsi" w:hAnsiTheme="minorHAnsi" w:cstheme="minorHAnsi"/>
                <w:color w:val="000000"/>
                <w:spacing w:val="-6"/>
                <w:sz w:val="17"/>
                <w:szCs w:val="17"/>
                <w:lang w:val="fr-FR" w:eastAsia="fr-FR"/>
              </w:rPr>
              <w:t xml:space="preserve">aladie </w:t>
            </w:r>
            <w:r w:rsidR="003C29E7" w:rsidRPr="00C73365">
              <w:rPr>
                <w:rFonts w:asciiTheme="minorHAnsi" w:hAnsiTheme="minorHAnsi" w:cstheme="minorHAnsi"/>
                <w:color w:val="000000"/>
                <w:spacing w:val="-6"/>
                <w:sz w:val="17"/>
                <w:szCs w:val="17"/>
                <w:lang w:val="fr-FR" w:eastAsia="fr-FR"/>
              </w:rPr>
              <w:t>I</w:t>
            </w:r>
            <w:r w:rsidRPr="00C73365">
              <w:rPr>
                <w:rFonts w:asciiTheme="minorHAnsi" w:hAnsiTheme="minorHAnsi" w:cstheme="minorHAnsi"/>
                <w:color w:val="000000"/>
                <w:spacing w:val="-6"/>
                <w:sz w:val="17"/>
                <w:szCs w:val="17"/>
                <w:lang w:val="fr-FR" w:eastAsia="fr-FR"/>
              </w:rPr>
              <w:t xml:space="preserve">nflammatoire </w:t>
            </w:r>
            <w:r w:rsidR="003C29E7" w:rsidRPr="00C73365">
              <w:rPr>
                <w:rFonts w:asciiTheme="minorHAnsi" w:hAnsiTheme="minorHAnsi" w:cstheme="minorHAnsi"/>
                <w:color w:val="000000"/>
                <w:spacing w:val="-6"/>
                <w:sz w:val="17"/>
                <w:szCs w:val="17"/>
                <w:lang w:val="fr-FR" w:eastAsia="fr-FR"/>
              </w:rPr>
              <w:t>C</w:t>
            </w:r>
            <w:r w:rsidRPr="00C73365">
              <w:rPr>
                <w:rFonts w:asciiTheme="minorHAnsi" w:hAnsiTheme="minorHAnsi" w:cstheme="minorHAnsi"/>
                <w:color w:val="000000"/>
                <w:spacing w:val="-6"/>
                <w:sz w:val="17"/>
                <w:szCs w:val="17"/>
                <w:lang w:val="fr-FR" w:eastAsia="fr-FR"/>
              </w:rPr>
              <w:t>hronique de l’</w:t>
            </w:r>
            <w:r w:rsidR="003C29E7" w:rsidRPr="00C73365">
              <w:rPr>
                <w:rFonts w:asciiTheme="minorHAnsi" w:hAnsiTheme="minorHAnsi" w:cstheme="minorHAnsi"/>
                <w:color w:val="000000"/>
                <w:spacing w:val="-6"/>
                <w:sz w:val="17"/>
                <w:szCs w:val="17"/>
                <w:lang w:val="fr-FR" w:eastAsia="fr-FR"/>
              </w:rPr>
              <w:t>I</w:t>
            </w:r>
            <w:r w:rsidRPr="00C73365">
              <w:rPr>
                <w:rFonts w:asciiTheme="minorHAnsi" w:hAnsiTheme="minorHAnsi" w:cstheme="minorHAnsi"/>
                <w:color w:val="000000"/>
                <w:spacing w:val="-6"/>
                <w:sz w:val="17"/>
                <w:szCs w:val="17"/>
                <w:lang w:val="fr-FR" w:eastAsia="fr-FR"/>
              </w:rPr>
              <w:t>ntestin</w:t>
            </w:r>
            <w:r w:rsidR="003C29E7" w:rsidRPr="00C73365">
              <w:rPr>
                <w:rFonts w:asciiTheme="minorHAnsi" w:hAnsiTheme="minorHAnsi" w:cstheme="minorHAnsi"/>
                <w:color w:val="000000"/>
                <w:spacing w:val="-6"/>
                <w:sz w:val="17"/>
                <w:szCs w:val="17"/>
                <w:lang w:val="fr-FR" w:eastAsia="fr-FR"/>
              </w:rPr>
              <w:t xml:space="preserve"> (MICI) ou Inflammatory Bowel Disease (IBD)</w:t>
            </w:r>
            <w:bookmarkEnd w:id="281"/>
            <w:r w:rsidR="00E011E7" w:rsidRPr="00C73365">
              <w:rPr>
                <w:rFonts w:asciiTheme="minorHAnsi" w:hAnsiTheme="minorHAnsi" w:cstheme="minorHAnsi"/>
                <w:color w:val="000000"/>
                <w:spacing w:val="-6"/>
                <w:sz w:val="17"/>
                <w:szCs w:val="17"/>
                <w:lang w:val="fr-FR" w:eastAsia="fr-FR"/>
              </w:rPr>
              <w:t xml:space="preserve"> dont la </w:t>
            </w:r>
            <w:r w:rsidR="00357A37" w:rsidRPr="00C73365">
              <w:rPr>
                <w:rFonts w:asciiTheme="minorHAnsi" w:hAnsiTheme="minorHAnsi" w:cstheme="minorHAnsi"/>
                <w:color w:val="000000"/>
                <w:spacing w:val="-6"/>
                <w:sz w:val="17"/>
                <w:szCs w:val="17"/>
                <w:lang w:val="fr-FR" w:eastAsia="fr-FR"/>
              </w:rPr>
              <w:t>rectocolite hémorragique</w:t>
            </w:r>
            <w:r w:rsidR="00A3483A" w:rsidRPr="00C73365">
              <w:rPr>
                <w:rFonts w:asciiTheme="minorHAnsi" w:hAnsiTheme="minorHAnsi" w:cstheme="minorHAnsi"/>
                <w:color w:val="000000"/>
                <w:spacing w:val="-6"/>
                <w:sz w:val="17"/>
                <w:szCs w:val="17"/>
                <w:lang w:val="fr-FR" w:eastAsia="fr-FR"/>
              </w:rPr>
              <w:t xml:space="preserve">. Premiers résultats attendus en </w:t>
            </w:r>
            <w:r w:rsidR="006B119E" w:rsidRPr="00C73365">
              <w:rPr>
                <w:rFonts w:asciiTheme="minorHAnsi" w:hAnsiTheme="minorHAnsi" w:cstheme="minorHAnsi"/>
                <w:color w:val="000000"/>
                <w:spacing w:val="-6"/>
                <w:sz w:val="17"/>
                <w:szCs w:val="17"/>
                <w:lang w:val="fr-FR" w:eastAsia="fr-FR"/>
              </w:rPr>
              <w:t>septembre</w:t>
            </w:r>
            <w:r w:rsidR="00A3483A" w:rsidRPr="00C73365">
              <w:rPr>
                <w:rFonts w:asciiTheme="minorHAnsi" w:hAnsiTheme="minorHAnsi" w:cstheme="minorHAnsi"/>
                <w:color w:val="000000"/>
                <w:spacing w:val="-6"/>
                <w:sz w:val="17"/>
                <w:szCs w:val="17"/>
                <w:lang w:val="fr-FR" w:eastAsia="fr-FR"/>
              </w:rPr>
              <w:t xml:space="preserve"> 2018.</w:t>
            </w:r>
          </w:p>
          <w:p w14:paraId="6667653C" w14:textId="77777777" w:rsidR="004F6B63" w:rsidRPr="00C73365" w:rsidRDefault="004F6B63" w:rsidP="00A96CCA">
            <w:pPr>
              <w:spacing w:after="0"/>
              <w:rPr>
                <w:rFonts w:asciiTheme="minorHAnsi" w:hAnsiTheme="minorHAnsi" w:cstheme="minorHAnsi"/>
                <w:color w:val="000000"/>
                <w:spacing w:val="-6"/>
                <w:sz w:val="17"/>
                <w:szCs w:val="17"/>
                <w:lang w:val="fr-FR" w:eastAsia="fr-FR"/>
              </w:rPr>
            </w:pPr>
          </w:p>
        </w:tc>
      </w:tr>
      <w:tr w:rsidR="003E35B6" w:rsidRPr="0030056F" w14:paraId="1C484FC4" w14:textId="77777777" w:rsidTr="00981866">
        <w:trPr>
          <w:trHeight w:val="1040"/>
          <w:jc w:val="center"/>
        </w:trPr>
        <w:tc>
          <w:tcPr>
            <w:tcW w:w="451" w:type="pct"/>
            <w:tcBorders>
              <w:top w:val="nil"/>
              <w:left w:val="nil"/>
              <w:bottom w:val="single" w:sz="8" w:space="0" w:color="7030A0"/>
              <w:right w:val="nil"/>
            </w:tcBorders>
            <w:shd w:val="clear" w:color="auto" w:fill="auto"/>
            <w:hideMark/>
          </w:tcPr>
          <w:p w14:paraId="4AB1A4E0"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ABX311</w:t>
            </w:r>
            <w:r w:rsidRPr="00C73365">
              <w:rPr>
                <w:rFonts w:asciiTheme="minorHAnsi" w:hAnsiTheme="minorHAnsi" w:cstheme="minorHAnsi"/>
                <w:color w:val="000000"/>
                <w:sz w:val="17"/>
                <w:szCs w:val="17"/>
                <w:lang w:val="fr-FR" w:eastAsia="fr-FR"/>
              </w:rPr>
              <w:br/>
              <w:t>(§. 6.3.2)</w:t>
            </w:r>
          </w:p>
        </w:tc>
        <w:tc>
          <w:tcPr>
            <w:tcW w:w="645" w:type="pct"/>
            <w:tcBorders>
              <w:top w:val="nil"/>
              <w:left w:val="nil"/>
              <w:bottom w:val="single" w:sz="8" w:space="0" w:color="7030A0"/>
              <w:right w:val="nil"/>
            </w:tcBorders>
            <w:shd w:val="clear" w:color="auto" w:fill="auto"/>
            <w:hideMark/>
          </w:tcPr>
          <w:p w14:paraId="1C0EF51A"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Petite molécule antivirale </w:t>
            </w:r>
          </w:p>
        </w:tc>
        <w:tc>
          <w:tcPr>
            <w:tcW w:w="628" w:type="pct"/>
            <w:tcBorders>
              <w:top w:val="nil"/>
              <w:left w:val="nil"/>
              <w:bottom w:val="single" w:sz="8" w:space="0" w:color="7030A0"/>
              <w:right w:val="nil"/>
            </w:tcBorders>
            <w:shd w:val="clear" w:color="auto" w:fill="auto"/>
            <w:hideMark/>
          </w:tcPr>
          <w:p w14:paraId="04DDA41E"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Traitement du Chikungunya</w:t>
            </w:r>
          </w:p>
        </w:tc>
        <w:tc>
          <w:tcPr>
            <w:tcW w:w="962" w:type="pct"/>
            <w:tcBorders>
              <w:top w:val="nil"/>
              <w:left w:val="nil"/>
              <w:bottom w:val="single" w:sz="8" w:space="0" w:color="7030A0"/>
              <w:right w:val="nil"/>
            </w:tcBorders>
            <w:shd w:val="clear" w:color="auto" w:fill="auto"/>
            <w:hideMark/>
          </w:tcPr>
          <w:p w14:paraId="45EDB2D1"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Produit issu de la recherche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en collaboration avec le CNRS, l’Université de Montpellier 2 et l’Institut Curie </w:t>
            </w:r>
            <w:r w:rsidRPr="00C73365">
              <w:rPr>
                <w:rFonts w:asciiTheme="minorHAnsi" w:hAnsiTheme="minorHAnsi" w:cstheme="minorHAnsi"/>
                <w:color w:val="000000"/>
                <w:sz w:val="17"/>
                <w:szCs w:val="17"/>
                <w:lang w:val="fr-FR" w:eastAsia="fr-FR"/>
              </w:rPr>
              <w:br/>
              <w:t>(§. 11.2.2.1)</w:t>
            </w:r>
            <w:r w:rsidRPr="00C73365">
              <w:rPr>
                <w:rFonts w:asciiTheme="minorHAnsi" w:hAnsiTheme="minorHAnsi" w:cstheme="minorHAnsi"/>
                <w:color w:val="000000"/>
                <w:sz w:val="17"/>
                <w:szCs w:val="17"/>
                <w:lang w:val="fr-FR" w:eastAsia="fr-FR"/>
              </w:rPr>
              <w:br/>
              <w:t>Protection</w:t>
            </w:r>
            <w:r w:rsidR="00D60148" w:rsidRPr="00C73365">
              <w:rPr>
                <w:rFonts w:asciiTheme="minorHAnsi" w:hAnsiTheme="minorHAnsi" w:cstheme="minorHAnsi"/>
                <w:color w:val="000000"/>
                <w:sz w:val="17"/>
                <w:szCs w:val="17"/>
                <w:lang w:val="fr-FR" w:eastAsia="fr-FR"/>
              </w:rPr>
              <w:t xml:space="preserve"> par brevet</w:t>
            </w:r>
            <w:r w:rsidRPr="00C73365">
              <w:rPr>
                <w:rFonts w:asciiTheme="minorHAnsi" w:hAnsiTheme="minorHAnsi" w:cstheme="minorHAnsi"/>
                <w:color w:val="000000"/>
                <w:sz w:val="17"/>
                <w:szCs w:val="17"/>
                <w:lang w:val="fr-FR" w:eastAsia="fr-FR"/>
              </w:rPr>
              <w:t xml:space="preserve"> jusqu’en juin 2030</w:t>
            </w:r>
          </w:p>
        </w:tc>
        <w:tc>
          <w:tcPr>
            <w:tcW w:w="749" w:type="pct"/>
            <w:tcBorders>
              <w:top w:val="nil"/>
              <w:left w:val="nil"/>
              <w:bottom w:val="single" w:sz="8" w:space="0" w:color="7030A0"/>
              <w:right w:val="nil"/>
            </w:tcBorders>
            <w:shd w:val="clear" w:color="auto" w:fill="auto"/>
            <w:hideMark/>
          </w:tcPr>
          <w:p w14:paraId="4AF1E44D"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14:paraId="3CD038C9"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11.3.1.)</w:t>
            </w:r>
          </w:p>
        </w:tc>
        <w:tc>
          <w:tcPr>
            <w:tcW w:w="1564" w:type="pct"/>
            <w:tcBorders>
              <w:top w:val="nil"/>
              <w:left w:val="nil"/>
              <w:bottom w:val="single" w:sz="8" w:space="0" w:color="7030A0"/>
              <w:right w:val="nil"/>
            </w:tcBorders>
            <w:shd w:val="clear" w:color="auto" w:fill="auto"/>
            <w:hideMark/>
          </w:tcPr>
          <w:p w14:paraId="1B1F568E" w14:textId="77777777" w:rsidR="003E35B6" w:rsidRPr="00C73365" w:rsidRDefault="00A3483A" w:rsidP="00A96CCA">
            <w:pPr>
              <w:spacing w:after="0"/>
              <w:rPr>
                <w:rFonts w:asciiTheme="minorHAnsi" w:hAnsiTheme="minorHAnsi" w:cstheme="minorHAnsi"/>
                <w:color w:val="000000"/>
                <w:sz w:val="17"/>
                <w:szCs w:val="17"/>
                <w:highlight w:val="yellow"/>
                <w:lang w:val="fr-FR" w:eastAsia="fr-FR"/>
              </w:rPr>
            </w:pPr>
            <w:r w:rsidRPr="00C73365">
              <w:rPr>
                <w:rFonts w:asciiTheme="minorHAnsi" w:hAnsiTheme="minorHAnsi" w:cstheme="minorHAnsi"/>
                <w:color w:val="000000"/>
                <w:sz w:val="17"/>
                <w:szCs w:val="17"/>
                <w:lang w:val="fr-FR" w:eastAsia="fr-FR"/>
              </w:rPr>
              <w:t xml:space="preserve">Programme de développement suspendu </w:t>
            </w:r>
            <w:r w:rsidR="000F1A28" w:rsidRPr="00C73365">
              <w:rPr>
                <w:rFonts w:asciiTheme="minorHAnsi" w:hAnsiTheme="minorHAnsi" w:cstheme="minorHAnsi"/>
                <w:color w:val="000000"/>
                <w:sz w:val="17"/>
                <w:szCs w:val="17"/>
                <w:lang w:val="fr-FR" w:eastAsia="fr-FR"/>
              </w:rPr>
              <w:t>à la suite de</w:t>
            </w:r>
            <w:r w:rsidR="004F6B63" w:rsidRPr="00C73365">
              <w:rPr>
                <w:rFonts w:asciiTheme="minorHAnsi" w:hAnsiTheme="minorHAnsi" w:cstheme="minorHAnsi"/>
                <w:color w:val="000000"/>
                <w:sz w:val="17"/>
                <w:szCs w:val="17"/>
                <w:lang w:val="fr-FR" w:eastAsia="fr-FR"/>
              </w:rPr>
              <w:t xml:space="preserve"> la réévaluation à la baisse des</w:t>
            </w:r>
            <w:r w:rsidRPr="00C73365">
              <w:rPr>
                <w:rFonts w:asciiTheme="minorHAnsi" w:hAnsiTheme="minorHAnsi" w:cstheme="minorHAnsi"/>
                <w:color w:val="000000"/>
                <w:sz w:val="17"/>
                <w:szCs w:val="17"/>
                <w:lang w:val="fr-FR" w:eastAsia="fr-FR"/>
              </w:rPr>
              <w:t xml:space="preserve"> perspectives d’incidence et de marché.</w:t>
            </w:r>
          </w:p>
        </w:tc>
      </w:tr>
      <w:tr w:rsidR="003E35B6" w:rsidRPr="0030056F" w14:paraId="4C7FC113" w14:textId="77777777" w:rsidTr="00981866">
        <w:trPr>
          <w:trHeight w:val="1313"/>
          <w:jc w:val="center"/>
        </w:trPr>
        <w:tc>
          <w:tcPr>
            <w:tcW w:w="451" w:type="pct"/>
            <w:tcBorders>
              <w:top w:val="nil"/>
              <w:left w:val="nil"/>
              <w:bottom w:val="single" w:sz="8" w:space="0" w:color="7030A0"/>
              <w:right w:val="nil"/>
            </w:tcBorders>
            <w:shd w:val="clear" w:color="auto" w:fill="auto"/>
            <w:hideMark/>
          </w:tcPr>
          <w:p w14:paraId="1D28E54D" w14:textId="77777777"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ABX196</w:t>
            </w:r>
            <w:r w:rsidR="003E35B6" w:rsidRPr="00C73365">
              <w:rPr>
                <w:rFonts w:asciiTheme="minorHAnsi" w:hAnsiTheme="minorHAnsi" w:cstheme="minorHAnsi"/>
                <w:color w:val="000000"/>
                <w:sz w:val="17"/>
                <w:szCs w:val="17"/>
                <w:lang w:val="fr-FR" w:eastAsia="fr-FR"/>
              </w:rPr>
              <w:br/>
              <w:t>(§. 6.3.3)</w:t>
            </w:r>
          </w:p>
        </w:tc>
        <w:tc>
          <w:tcPr>
            <w:tcW w:w="645" w:type="pct"/>
            <w:tcBorders>
              <w:top w:val="nil"/>
              <w:left w:val="nil"/>
              <w:bottom w:val="single" w:sz="8" w:space="0" w:color="7030A0"/>
              <w:right w:val="nil"/>
            </w:tcBorders>
            <w:shd w:val="clear" w:color="auto" w:fill="auto"/>
            <w:hideMark/>
          </w:tcPr>
          <w:p w14:paraId="44F17F4F"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Agoniste des cellules iNKT</w:t>
            </w:r>
          </w:p>
        </w:tc>
        <w:tc>
          <w:tcPr>
            <w:tcW w:w="628" w:type="pct"/>
            <w:tcBorders>
              <w:top w:val="nil"/>
              <w:left w:val="nil"/>
              <w:bottom w:val="single" w:sz="8" w:space="0" w:color="7030A0"/>
              <w:right w:val="nil"/>
            </w:tcBorders>
            <w:shd w:val="clear" w:color="auto" w:fill="auto"/>
            <w:hideMark/>
          </w:tcPr>
          <w:p w14:paraId="7FADC659"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Stimulant immunitaire/Adjuvant</w:t>
            </w:r>
          </w:p>
        </w:tc>
        <w:tc>
          <w:tcPr>
            <w:tcW w:w="962" w:type="pct"/>
            <w:tcBorders>
              <w:top w:val="nil"/>
              <w:left w:val="nil"/>
              <w:bottom w:val="single" w:sz="8" w:space="0" w:color="7030A0"/>
              <w:right w:val="nil"/>
            </w:tcBorders>
            <w:shd w:val="clear" w:color="auto" w:fill="auto"/>
            <w:hideMark/>
          </w:tcPr>
          <w:p w14:paraId="489F3D91" w14:textId="77777777" w:rsidR="003E35B6" w:rsidRPr="00C73365" w:rsidRDefault="00EF089C"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ABIVAX</w:t>
            </w:r>
            <w:r w:rsidR="003E35B6" w:rsidRPr="00C73365">
              <w:rPr>
                <w:rFonts w:asciiTheme="minorHAnsi" w:hAnsiTheme="minorHAnsi" w:cstheme="minorHAnsi"/>
                <w:color w:val="000000"/>
                <w:sz w:val="17"/>
                <w:szCs w:val="17"/>
                <w:lang w:val="fr-FR" w:eastAsia="fr-FR"/>
              </w:rPr>
              <w:t xml:space="preserve"> avec le Research Sripps Institute (La Jolla- USA), l’University of Chicago (USA) et la Brigham Young University (USA) (§. 11.2.2.2)  </w:t>
            </w:r>
            <w:r w:rsidR="003E35B6" w:rsidRPr="00C73365">
              <w:rPr>
                <w:rFonts w:asciiTheme="minorHAnsi" w:hAnsiTheme="minorHAnsi" w:cstheme="minorHAnsi"/>
                <w:color w:val="000000"/>
                <w:sz w:val="17"/>
                <w:szCs w:val="17"/>
                <w:lang w:val="fr-FR" w:eastAsia="fr-FR"/>
              </w:rPr>
              <w:br/>
              <w:t>Protection brevetaire jusqu’en décembre 2028</w:t>
            </w:r>
          </w:p>
        </w:tc>
        <w:tc>
          <w:tcPr>
            <w:tcW w:w="749" w:type="pct"/>
            <w:tcBorders>
              <w:top w:val="nil"/>
              <w:left w:val="nil"/>
              <w:bottom w:val="single" w:sz="8" w:space="0" w:color="7030A0"/>
              <w:right w:val="nil"/>
            </w:tcBorders>
            <w:shd w:val="clear" w:color="auto" w:fill="auto"/>
            <w:hideMark/>
          </w:tcPr>
          <w:p w14:paraId="2009B99F"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14:paraId="3022C95A"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11.3.2.)</w:t>
            </w:r>
          </w:p>
        </w:tc>
        <w:tc>
          <w:tcPr>
            <w:tcW w:w="1564" w:type="pct"/>
            <w:tcBorders>
              <w:top w:val="nil"/>
              <w:left w:val="nil"/>
              <w:bottom w:val="single" w:sz="8" w:space="0" w:color="7030A0"/>
              <w:right w:val="nil"/>
            </w:tcBorders>
            <w:shd w:val="clear" w:color="auto" w:fill="auto"/>
            <w:hideMark/>
          </w:tcPr>
          <w:p w14:paraId="41934B33" w14:textId="77777777" w:rsidR="006626A5"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Premier essai de Phase I finalisé en 2013 a mis en évidence une forte immunogénicité mais aussi des effets secondaires aux doses testées.</w:t>
            </w:r>
          </w:p>
          <w:p w14:paraId="4AB8C4A2" w14:textId="31750828" w:rsidR="00A3483A" w:rsidRPr="00C73365" w:rsidRDefault="00A3483A"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Données d’efficacité Pré-Cliniques</w:t>
            </w:r>
            <w:r w:rsidR="000345FA" w:rsidRPr="00C73365">
              <w:rPr>
                <w:rFonts w:asciiTheme="minorHAnsi" w:hAnsiTheme="minorHAnsi" w:cstheme="minorHAnsi"/>
                <w:color w:val="000000"/>
                <w:sz w:val="17"/>
                <w:szCs w:val="17"/>
                <w:lang w:val="fr-FR" w:eastAsia="fr-FR"/>
              </w:rPr>
              <w:t xml:space="preserve"> générées en 2017 pour l’hépatocarcinome. </w:t>
            </w:r>
            <w:r w:rsidR="00116EAF" w:rsidRPr="00444607">
              <w:rPr>
                <w:rFonts w:asciiTheme="minorHAnsi" w:hAnsiTheme="minorHAnsi" w:cstheme="minorHAnsi"/>
                <w:color w:val="000000"/>
                <w:sz w:val="17"/>
                <w:szCs w:val="17"/>
                <w:lang w:val="fr-FR" w:eastAsia="fr-FR"/>
              </w:rPr>
              <w:t xml:space="preserve">ABIVAX prépare actuellement une étude de Phase I de preuve de concept pour </w:t>
            </w:r>
            <w:r w:rsidR="00116EAF" w:rsidRPr="00C73365">
              <w:rPr>
                <w:rFonts w:asciiTheme="minorHAnsi" w:hAnsiTheme="minorHAnsi" w:cstheme="minorHAnsi"/>
                <w:color w:val="000000"/>
                <w:sz w:val="17"/>
                <w:szCs w:val="17"/>
                <w:lang w:val="fr-FR" w:eastAsia="fr-FR"/>
              </w:rPr>
              <w:t xml:space="preserve">l’hépatocarcinome avancé </w:t>
            </w:r>
            <w:r w:rsidR="00116EAF" w:rsidRPr="00444607">
              <w:rPr>
                <w:rFonts w:asciiTheme="minorHAnsi" w:hAnsiTheme="minorHAnsi" w:cstheme="minorHAnsi"/>
                <w:color w:val="000000"/>
                <w:sz w:val="17"/>
                <w:szCs w:val="17"/>
                <w:lang w:val="fr-FR" w:eastAsia="fr-FR"/>
              </w:rPr>
              <w:t>avec un lancement prévu en fin d’année 2018</w:t>
            </w:r>
            <w:r w:rsidR="00116EAF">
              <w:rPr>
                <w:rFonts w:asciiTheme="minorHAnsi" w:hAnsiTheme="minorHAnsi" w:cstheme="minorHAnsi"/>
                <w:color w:val="000000"/>
                <w:sz w:val="17"/>
                <w:szCs w:val="17"/>
                <w:lang w:val="fr-FR" w:eastAsia="fr-FR"/>
              </w:rPr>
              <w:t>.</w:t>
            </w:r>
          </w:p>
          <w:p w14:paraId="2D5C6447" w14:textId="298F699B"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Recherche </w:t>
            </w:r>
            <w:r w:rsidR="00D8150A" w:rsidRPr="00C73365">
              <w:rPr>
                <w:rFonts w:asciiTheme="minorHAnsi" w:hAnsiTheme="minorHAnsi" w:cstheme="minorHAnsi"/>
                <w:color w:val="000000"/>
                <w:sz w:val="17"/>
                <w:szCs w:val="17"/>
                <w:lang w:val="fr-FR" w:eastAsia="fr-FR"/>
              </w:rPr>
              <w:t xml:space="preserve">en cours </w:t>
            </w:r>
            <w:r w:rsidRPr="00C73365">
              <w:rPr>
                <w:rFonts w:asciiTheme="minorHAnsi" w:hAnsiTheme="minorHAnsi" w:cstheme="minorHAnsi"/>
                <w:color w:val="000000"/>
                <w:sz w:val="17"/>
                <w:szCs w:val="17"/>
                <w:lang w:val="fr-FR" w:eastAsia="fr-FR"/>
              </w:rPr>
              <w:t>de partenaires dans l’immuno-oncologie</w:t>
            </w:r>
            <w:r w:rsidR="00D8150A" w:rsidRPr="00C73365">
              <w:rPr>
                <w:rFonts w:asciiTheme="minorHAnsi" w:hAnsiTheme="minorHAnsi" w:cstheme="minorHAnsi"/>
                <w:color w:val="000000"/>
                <w:sz w:val="17"/>
                <w:szCs w:val="17"/>
                <w:lang w:val="fr-FR" w:eastAsia="fr-FR"/>
              </w:rPr>
              <w:t xml:space="preserve"> après</w:t>
            </w:r>
            <w:r w:rsidR="004F6B63" w:rsidRPr="00C73365">
              <w:rPr>
                <w:rFonts w:asciiTheme="minorHAnsi" w:hAnsiTheme="minorHAnsi" w:cstheme="minorHAnsi"/>
                <w:color w:val="000000"/>
                <w:sz w:val="17"/>
                <w:szCs w:val="17"/>
                <w:lang w:val="fr-FR" w:eastAsia="fr-FR"/>
              </w:rPr>
              <w:t xml:space="preserve"> atteinte des </w:t>
            </w:r>
            <w:r w:rsidR="00D8150A" w:rsidRPr="00C73365">
              <w:rPr>
                <w:rFonts w:asciiTheme="minorHAnsi" w:hAnsiTheme="minorHAnsi" w:cstheme="minorHAnsi"/>
                <w:color w:val="000000"/>
                <w:sz w:val="17"/>
                <w:szCs w:val="17"/>
                <w:lang w:val="fr-FR" w:eastAsia="fr-FR"/>
              </w:rPr>
              <w:t xml:space="preserve">premiers résultats </w:t>
            </w:r>
            <w:r w:rsidR="00A728D1" w:rsidRPr="00C73365">
              <w:rPr>
                <w:rFonts w:asciiTheme="minorHAnsi" w:hAnsiTheme="minorHAnsi" w:cstheme="minorHAnsi"/>
                <w:color w:val="000000"/>
                <w:sz w:val="17"/>
                <w:szCs w:val="17"/>
                <w:lang w:val="fr-FR" w:eastAsia="fr-FR"/>
              </w:rPr>
              <w:t>cliniques d’efficacité dans l’hépatocarcinome</w:t>
            </w:r>
            <w:r w:rsidR="004F6B63" w:rsidRPr="00C73365">
              <w:rPr>
                <w:rFonts w:asciiTheme="minorHAnsi" w:hAnsiTheme="minorHAnsi" w:cstheme="minorHAnsi"/>
                <w:color w:val="000000"/>
                <w:sz w:val="17"/>
                <w:szCs w:val="17"/>
                <w:lang w:val="fr-FR" w:eastAsia="fr-FR"/>
              </w:rPr>
              <w:t xml:space="preserve"> avancé</w:t>
            </w:r>
            <w:r w:rsidR="00A728D1" w:rsidRPr="00C73365">
              <w:rPr>
                <w:rFonts w:asciiTheme="minorHAnsi" w:hAnsiTheme="minorHAnsi" w:cstheme="minorHAnsi"/>
                <w:color w:val="000000"/>
                <w:sz w:val="17"/>
                <w:szCs w:val="17"/>
                <w:lang w:val="fr-FR" w:eastAsia="fr-FR"/>
              </w:rPr>
              <w:t>.</w:t>
            </w:r>
            <w:r w:rsidR="00D8150A" w:rsidRPr="00C73365">
              <w:rPr>
                <w:rFonts w:asciiTheme="minorHAnsi" w:hAnsiTheme="minorHAnsi" w:cstheme="minorHAnsi"/>
                <w:color w:val="000000"/>
                <w:sz w:val="17"/>
                <w:szCs w:val="17"/>
                <w:lang w:val="fr-FR" w:eastAsia="fr-FR"/>
              </w:rPr>
              <w:t xml:space="preserve"> </w:t>
            </w:r>
          </w:p>
        </w:tc>
      </w:tr>
      <w:tr w:rsidR="003E35B6" w:rsidRPr="0030056F" w14:paraId="48B453E1" w14:textId="77777777" w:rsidTr="00981866">
        <w:trPr>
          <w:trHeight w:val="257"/>
          <w:jc w:val="center"/>
        </w:trPr>
        <w:tc>
          <w:tcPr>
            <w:tcW w:w="451" w:type="pct"/>
            <w:tcBorders>
              <w:top w:val="nil"/>
              <w:left w:val="nil"/>
              <w:bottom w:val="single" w:sz="8" w:space="0" w:color="7030A0"/>
              <w:right w:val="nil"/>
            </w:tcBorders>
            <w:shd w:val="clear" w:color="auto" w:fill="auto"/>
            <w:hideMark/>
          </w:tcPr>
          <w:p w14:paraId="5C1EC21A" w14:textId="77777777"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ABX544</w:t>
            </w:r>
            <w:r w:rsidR="003E35B6" w:rsidRPr="00C73365">
              <w:rPr>
                <w:rFonts w:asciiTheme="minorHAnsi" w:hAnsiTheme="minorHAnsi" w:cstheme="minorHAnsi"/>
                <w:color w:val="000000"/>
                <w:sz w:val="17"/>
                <w:szCs w:val="17"/>
                <w:lang w:val="fr-FR" w:eastAsia="fr-FR"/>
              </w:rPr>
              <w:br/>
              <w:t>(§. 6.3.4)</w:t>
            </w:r>
          </w:p>
        </w:tc>
        <w:tc>
          <w:tcPr>
            <w:tcW w:w="645" w:type="pct"/>
            <w:tcBorders>
              <w:top w:val="nil"/>
              <w:left w:val="nil"/>
              <w:bottom w:val="single" w:sz="8" w:space="0" w:color="7030A0"/>
              <w:right w:val="nil"/>
            </w:tcBorders>
            <w:shd w:val="clear" w:color="auto" w:fill="auto"/>
            <w:hideMark/>
          </w:tcPr>
          <w:p w14:paraId="2309553C"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Anticorps polyclonaux</w:t>
            </w:r>
          </w:p>
        </w:tc>
        <w:tc>
          <w:tcPr>
            <w:tcW w:w="628" w:type="pct"/>
            <w:tcBorders>
              <w:top w:val="nil"/>
              <w:left w:val="nil"/>
              <w:bottom w:val="single" w:sz="8" w:space="0" w:color="7030A0"/>
              <w:right w:val="nil"/>
            </w:tcBorders>
            <w:shd w:val="clear" w:color="auto" w:fill="auto"/>
            <w:hideMark/>
          </w:tcPr>
          <w:p w14:paraId="3817A6F4"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Traitement prophylactique et curatif de l’Ebola</w:t>
            </w:r>
          </w:p>
        </w:tc>
        <w:tc>
          <w:tcPr>
            <w:tcW w:w="962" w:type="pct"/>
            <w:tcBorders>
              <w:top w:val="nil"/>
              <w:left w:val="nil"/>
              <w:bottom w:val="single" w:sz="8" w:space="0" w:color="7030A0"/>
              <w:right w:val="nil"/>
            </w:tcBorders>
            <w:shd w:val="clear" w:color="auto" w:fill="auto"/>
            <w:hideMark/>
          </w:tcPr>
          <w:p w14:paraId="7E6CB567"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Technologie mise en œuvre par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w:t>
            </w:r>
          </w:p>
        </w:tc>
        <w:tc>
          <w:tcPr>
            <w:tcW w:w="749" w:type="pct"/>
            <w:tcBorders>
              <w:top w:val="nil"/>
              <w:left w:val="nil"/>
              <w:bottom w:val="single" w:sz="8" w:space="0" w:color="7030A0"/>
              <w:right w:val="nil"/>
            </w:tcBorders>
            <w:shd w:val="clear" w:color="auto" w:fill="auto"/>
            <w:hideMark/>
          </w:tcPr>
          <w:p w14:paraId="2B783DA9"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Savoir-faire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w:t>
            </w:r>
          </w:p>
          <w:p w14:paraId="3EE23F02" w14:textId="77777777"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Une demande de brevet déposée (§ 11.2.2.3)</w:t>
            </w:r>
          </w:p>
        </w:tc>
        <w:tc>
          <w:tcPr>
            <w:tcW w:w="1564" w:type="pct"/>
            <w:tcBorders>
              <w:top w:val="nil"/>
              <w:left w:val="nil"/>
              <w:bottom w:val="single" w:sz="8" w:space="0" w:color="7030A0"/>
              <w:right w:val="nil"/>
            </w:tcBorders>
            <w:shd w:val="clear" w:color="auto" w:fill="auto"/>
            <w:hideMark/>
          </w:tcPr>
          <w:p w14:paraId="0897F590" w14:textId="77777777" w:rsidR="003E35B6" w:rsidRPr="00C73365" w:rsidRDefault="003E35B6" w:rsidP="00A96CCA">
            <w:pPr>
              <w:spacing w:after="0"/>
              <w:rPr>
                <w:rFonts w:asciiTheme="minorHAnsi" w:hAnsiTheme="minorHAnsi" w:cstheme="minorHAnsi"/>
                <w:color w:val="000000"/>
                <w:sz w:val="17"/>
                <w:szCs w:val="17"/>
                <w:highlight w:val="yellow"/>
                <w:lang w:val="fr-FR" w:eastAsia="fr-FR"/>
              </w:rPr>
            </w:pPr>
            <w:r w:rsidRPr="00C73365">
              <w:rPr>
                <w:rFonts w:asciiTheme="minorHAnsi" w:hAnsiTheme="minorHAnsi" w:cstheme="minorHAnsi"/>
                <w:color w:val="000000"/>
                <w:sz w:val="17"/>
                <w:szCs w:val="17"/>
                <w:lang w:val="fr-FR" w:eastAsia="fr-FR"/>
              </w:rPr>
              <w:t xml:space="preserve">Passage en développement préclinique planifié </w:t>
            </w:r>
            <w:r w:rsidR="00A728D1" w:rsidRPr="00C73365">
              <w:rPr>
                <w:rFonts w:asciiTheme="minorHAnsi" w:hAnsiTheme="minorHAnsi" w:cstheme="minorHAnsi"/>
                <w:color w:val="000000"/>
                <w:sz w:val="17"/>
                <w:szCs w:val="17"/>
                <w:lang w:val="fr-FR" w:eastAsia="fr-FR"/>
              </w:rPr>
              <w:t>au cours de l’année 2018.</w:t>
            </w:r>
          </w:p>
        </w:tc>
      </w:tr>
    </w:tbl>
    <w:p w14:paraId="4902ABEA" w14:textId="77777777" w:rsidR="00F46C7B" w:rsidRPr="00C73365" w:rsidRDefault="00F46C7B" w:rsidP="004572A0">
      <w:pPr>
        <w:pStyle w:val="Corpsdetexte"/>
        <w:rPr>
          <w:rFonts w:asciiTheme="minorHAnsi" w:hAnsiTheme="minorHAnsi" w:cstheme="minorHAnsi"/>
          <w:lang w:val="fr-FR"/>
        </w:rPr>
        <w:sectPr w:rsidR="00F46C7B" w:rsidRPr="00C73365" w:rsidSect="007C607C">
          <w:pgSz w:w="16840" w:h="11907" w:orient="landscape" w:code="9"/>
          <w:pgMar w:top="1134" w:right="1134" w:bottom="1134" w:left="1134" w:header="709" w:footer="709" w:gutter="0"/>
          <w:cols w:space="708"/>
          <w:titlePg/>
          <w:docGrid w:linePitch="360"/>
        </w:sectPr>
      </w:pPr>
    </w:p>
    <w:p w14:paraId="068A0D4C" w14:textId="77777777" w:rsidR="000345FA" w:rsidRPr="00C73365" w:rsidRDefault="000345FA">
      <w:pPr>
        <w:pStyle w:val="Paragraphedeliste"/>
        <w:ind w:left="0"/>
        <w:rPr>
          <w:rFonts w:asciiTheme="minorHAnsi" w:hAnsiTheme="minorHAnsi" w:cstheme="minorHAnsi"/>
          <w:color w:val="000000" w:themeColor="text1"/>
          <w:szCs w:val="22"/>
          <w:lang w:val="fr-FR"/>
        </w:rPr>
      </w:pPr>
    </w:p>
    <w:p w14:paraId="792CD58D" w14:textId="77777777" w:rsidR="000345FA" w:rsidRPr="00C73365" w:rsidRDefault="000345FA">
      <w:pPr>
        <w:pStyle w:val="Paragraphedeliste"/>
        <w:ind w:left="0"/>
        <w:rPr>
          <w:rFonts w:asciiTheme="minorHAnsi" w:hAnsiTheme="minorHAnsi" w:cstheme="minorHAnsi"/>
          <w:color w:val="000000" w:themeColor="text1"/>
          <w:szCs w:val="22"/>
          <w:lang w:val="fr-FR"/>
        </w:rPr>
      </w:pPr>
    </w:p>
    <w:p w14:paraId="48098439" w14:textId="77777777" w:rsidR="00EA3D80" w:rsidRPr="00C73365" w:rsidRDefault="00F46C7B" w:rsidP="003B5C5D">
      <w:pPr>
        <w:pStyle w:val="Paragraphedeliste"/>
        <w:ind w:left="0"/>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L’évolution du portefeuille de R&amp;D d’</w:t>
      </w:r>
      <w:r w:rsidR="00EF089C" w:rsidRPr="00C73365">
        <w:rPr>
          <w:rFonts w:asciiTheme="minorHAnsi" w:hAnsiTheme="minorHAnsi" w:cstheme="minorHAnsi"/>
          <w:color w:val="000000" w:themeColor="text1"/>
          <w:szCs w:val="22"/>
          <w:lang w:val="fr-FR"/>
        </w:rPr>
        <w:t>ABIVAX</w:t>
      </w:r>
      <w:r w:rsidRPr="00C73365">
        <w:rPr>
          <w:rFonts w:asciiTheme="minorHAnsi" w:hAnsiTheme="minorHAnsi" w:cstheme="minorHAnsi"/>
          <w:color w:val="000000" w:themeColor="text1"/>
          <w:szCs w:val="22"/>
          <w:lang w:val="fr-FR"/>
        </w:rPr>
        <w:t xml:space="preserve"> par rapport à ce qui avait été décrit dans le </w:t>
      </w:r>
      <w:bookmarkStart w:id="282" w:name="_Hlk509241692"/>
      <w:r w:rsidRPr="00C73365">
        <w:rPr>
          <w:rFonts w:asciiTheme="minorHAnsi" w:hAnsiTheme="minorHAnsi" w:cstheme="minorHAnsi"/>
          <w:color w:val="000000" w:themeColor="text1"/>
          <w:szCs w:val="22"/>
          <w:lang w:val="fr-FR"/>
        </w:rPr>
        <w:t xml:space="preserve">Document de Base du 19 Mai 2015 </w:t>
      </w:r>
      <w:bookmarkEnd w:id="282"/>
      <w:r w:rsidRPr="00C73365">
        <w:rPr>
          <w:rFonts w:asciiTheme="minorHAnsi" w:hAnsiTheme="minorHAnsi" w:cstheme="minorHAnsi"/>
          <w:color w:val="000000" w:themeColor="text1"/>
          <w:szCs w:val="22"/>
          <w:lang w:val="fr-FR"/>
        </w:rPr>
        <w:t xml:space="preserve">est exposée dans le tableau de passage ci-dessous (en gras, programmes toujours actifs chez </w:t>
      </w:r>
      <w:r w:rsidR="00EF089C" w:rsidRPr="00C73365">
        <w:rPr>
          <w:rFonts w:asciiTheme="minorHAnsi" w:hAnsiTheme="minorHAnsi" w:cstheme="minorHAnsi"/>
          <w:color w:val="000000" w:themeColor="text1"/>
          <w:szCs w:val="22"/>
          <w:lang w:val="fr-FR"/>
        </w:rPr>
        <w:t>ABIVAX</w:t>
      </w:r>
      <w:r w:rsidRPr="00C73365">
        <w:rPr>
          <w:rFonts w:asciiTheme="minorHAnsi" w:hAnsiTheme="minorHAnsi" w:cstheme="minorHAnsi"/>
          <w:color w:val="000000" w:themeColor="text1"/>
          <w:szCs w:val="22"/>
          <w:lang w:val="fr-FR"/>
        </w:rPr>
        <w:t>)</w:t>
      </w:r>
      <w:r w:rsidR="003B5C5D" w:rsidRPr="00C73365">
        <w:rPr>
          <w:rFonts w:asciiTheme="minorHAnsi" w:hAnsiTheme="minorHAnsi" w:cstheme="minorHAnsi"/>
          <w:color w:val="000000" w:themeColor="text1"/>
          <w:szCs w:val="22"/>
          <w:lang w:val="fr-FR"/>
        </w:rPr>
        <w:t xml:space="preserve"> : </w:t>
      </w:r>
    </w:p>
    <w:tbl>
      <w:tblPr>
        <w:tblStyle w:val="TableauListe3-Accentuation1"/>
        <w:tblW w:w="15938" w:type="dxa"/>
        <w:tblInd w:w="-691" w:type="dxa"/>
        <w:tblLook w:val="04A0" w:firstRow="1" w:lastRow="0" w:firstColumn="1" w:lastColumn="0" w:noHBand="0" w:noVBand="1"/>
      </w:tblPr>
      <w:tblGrid>
        <w:gridCol w:w="1409"/>
        <w:gridCol w:w="1418"/>
        <w:gridCol w:w="2123"/>
        <w:gridCol w:w="2088"/>
        <w:gridCol w:w="2486"/>
        <w:gridCol w:w="3004"/>
        <w:gridCol w:w="3410"/>
      </w:tblGrid>
      <w:tr w:rsidR="00940C88" w:rsidRPr="0030056F" w14:paraId="60BBFB0B" w14:textId="77777777" w:rsidTr="00882FD7">
        <w:trPr>
          <w:cnfStyle w:val="100000000000" w:firstRow="1" w:lastRow="0" w:firstColumn="0" w:lastColumn="0" w:oddVBand="0" w:evenVBand="0" w:oddHBand="0" w:evenHBand="0" w:firstRowFirstColumn="0" w:firstRowLastColumn="0" w:lastRowFirstColumn="0" w:lastRowLastColumn="0"/>
          <w:trHeight w:val="475"/>
        </w:trPr>
        <w:tc>
          <w:tcPr>
            <w:cnfStyle w:val="001000000100" w:firstRow="0" w:lastRow="0" w:firstColumn="1" w:lastColumn="0" w:oddVBand="0" w:evenVBand="0" w:oddHBand="0" w:evenHBand="0" w:firstRowFirstColumn="1" w:firstRowLastColumn="0" w:lastRowFirstColumn="0" w:lastRowLastColumn="0"/>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225E3E" w14:textId="77777777" w:rsidR="00693528" w:rsidRPr="00C73365" w:rsidRDefault="00693528" w:rsidP="00693528">
            <w:pPr>
              <w:spacing w:after="0"/>
              <w:jc w:val="center"/>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Dénomination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863AB4" w14:textId="77777777"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Mécanisme d’action</w:t>
            </w:r>
          </w:p>
        </w:tc>
        <w:tc>
          <w:tcPr>
            <w:tcW w:w="2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86DE7D" w14:textId="77777777"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Indications visées</w:t>
            </w:r>
          </w:p>
        </w:tc>
        <w:tc>
          <w:tcPr>
            <w:tcW w:w="2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1225BF" w14:textId="77777777"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Stade de développement indiqué dans le Document de Base du 19 Mai 2015</w:t>
            </w:r>
          </w:p>
        </w:tc>
        <w:tc>
          <w:tcPr>
            <w:tcW w:w="24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3EDD0A" w14:textId="77777777"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2016 sur les projets</w:t>
            </w:r>
          </w:p>
        </w:tc>
        <w:tc>
          <w:tcPr>
            <w:tcW w:w="3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B29B80" w14:textId="77777777"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2017 sur les projets</w:t>
            </w:r>
          </w:p>
        </w:tc>
        <w:tc>
          <w:tcPr>
            <w:tcW w:w="3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0479A8" w14:textId="77777777"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w:t>
            </w:r>
            <w:r w:rsidRPr="00C73365">
              <w:rPr>
                <w:rFonts w:asciiTheme="minorHAnsi" w:hAnsiTheme="minorHAnsi" w:cstheme="minorHAnsi"/>
                <w:b w:val="0"/>
                <w:bCs w:val="0"/>
                <w:color w:val="FFFFFF"/>
                <w:szCs w:val="20"/>
                <w:lang w:val="fr-FR" w:eastAsia="fr-FR"/>
              </w:rPr>
              <w:t>8</w:t>
            </w:r>
            <w:r w:rsidRPr="00C73365">
              <w:rPr>
                <w:rFonts w:asciiTheme="minorHAnsi" w:hAnsiTheme="minorHAnsi" w:cstheme="minorHAnsi"/>
                <w:color w:val="FFFFFF"/>
                <w:szCs w:val="20"/>
                <w:lang w:val="fr-FR" w:eastAsia="fr-FR"/>
              </w:rPr>
              <w:t xml:space="preserve"> sur les projets</w:t>
            </w:r>
          </w:p>
        </w:tc>
      </w:tr>
      <w:tr w:rsidR="00940C88" w:rsidRPr="0030056F" w14:paraId="3663D5F2" w14:textId="77777777" w:rsidTr="00882FD7">
        <w:trPr>
          <w:cnfStyle w:val="000000100000" w:firstRow="0" w:lastRow="0" w:firstColumn="0" w:lastColumn="0" w:oddVBand="0" w:evenVBand="0" w:oddHBand="1" w:evenHBand="0" w:firstRowFirstColumn="0" w:firstRowLastColumn="0" w:lastRowFirstColumn="0" w:lastRowLastColumn="0"/>
          <w:trHeight w:val="3436"/>
        </w:trPr>
        <w:tc>
          <w:tcPr>
            <w:cnfStyle w:val="001000000000" w:firstRow="0" w:lastRow="0" w:firstColumn="1" w:lastColumn="0" w:oddVBand="0" w:evenVBand="0" w:oddHBand="0" w:evenHBand="0" w:firstRowFirstColumn="0" w:firstRowLastColumn="0" w:lastRowFirstColumn="0" w:lastRowLastColumn="0"/>
            <w:tcW w:w="1409" w:type="dxa"/>
            <w:tcBorders>
              <w:left w:val="single" w:sz="4" w:space="0" w:color="5B9BD5" w:themeColor="accent1"/>
              <w:right w:val="single" w:sz="4" w:space="0" w:color="5B9BD5" w:themeColor="accent1"/>
            </w:tcBorders>
            <w:hideMark/>
          </w:tcPr>
          <w:p w14:paraId="269ACD1C" w14:textId="77777777" w:rsidR="00940C88" w:rsidRPr="00C73365" w:rsidRDefault="00940C88" w:rsidP="00693528">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color w:val="000000"/>
                <w:sz w:val="14"/>
                <w:szCs w:val="14"/>
                <w:lang w:eastAsia="fr-FR"/>
              </w:rPr>
              <w:t>ABX464</w:t>
            </w:r>
          </w:p>
        </w:tc>
        <w:tc>
          <w:tcPr>
            <w:tcW w:w="1418" w:type="dxa"/>
            <w:tcBorders>
              <w:left w:val="single" w:sz="4" w:space="0" w:color="5B9BD5" w:themeColor="accent1"/>
              <w:right w:val="single" w:sz="4" w:space="0" w:color="5B9BD5" w:themeColor="accent1"/>
            </w:tcBorders>
            <w:hideMark/>
          </w:tcPr>
          <w:p w14:paraId="1BBB652B" w14:textId="77777777"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Petite molécule bloquant la réplication virale</w:t>
            </w:r>
          </w:p>
        </w:tc>
        <w:tc>
          <w:tcPr>
            <w:tcW w:w="2123" w:type="dxa"/>
            <w:tcBorders>
              <w:left w:val="single" w:sz="4" w:space="0" w:color="5B9BD5" w:themeColor="accent1"/>
              <w:right w:val="single" w:sz="4" w:space="0" w:color="5B9BD5" w:themeColor="accent1"/>
            </w:tcBorders>
            <w:hideMark/>
          </w:tcPr>
          <w:p w14:paraId="7F24ECB9" w14:textId="77777777"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Guérison fonctionnelle du VIH</w:t>
            </w:r>
          </w:p>
        </w:tc>
        <w:tc>
          <w:tcPr>
            <w:tcW w:w="2088" w:type="dxa"/>
            <w:tcBorders>
              <w:left w:val="single" w:sz="4" w:space="0" w:color="5B9BD5" w:themeColor="accent1"/>
              <w:right w:val="single" w:sz="4" w:space="0" w:color="5B9BD5" w:themeColor="accent1"/>
            </w:tcBorders>
            <w:hideMark/>
          </w:tcPr>
          <w:p w14:paraId="469A67B3" w14:textId="77777777"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Deux essais de Phase I finalisés en 2014 – Phase IIa  en cours à l’Ile  Maurice) – résultats attendus à l’automne 2015.</w:t>
            </w:r>
          </w:p>
          <w:p w14:paraId="2C89067C" w14:textId="77777777" w:rsidR="00882FD7" w:rsidRPr="00C73365" w:rsidRDefault="00882FD7"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14:paraId="1FCA8F53" w14:textId="77777777"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Etape suivante prévue au moment du Document de Base: deux essais de Phase IIb en monothérapie et en combinaison permettant d’envisager un début de phase III fin 2016 / début 2017.</w:t>
            </w:r>
          </w:p>
        </w:tc>
        <w:tc>
          <w:tcPr>
            <w:tcW w:w="2486" w:type="dxa"/>
            <w:tcBorders>
              <w:left w:val="single" w:sz="4" w:space="0" w:color="5B9BD5" w:themeColor="accent1"/>
              <w:right w:val="single" w:sz="4" w:space="0" w:color="5B9BD5" w:themeColor="accent1"/>
            </w:tcBorders>
            <w:hideMark/>
          </w:tcPr>
          <w:p w14:paraId="38E9398C" w14:textId="77777777"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Une deuxième phase IIa a été initiée en 2016. Premiers résultats attendus en Avril 2017. Si positifs, le recrutement des patients pour la phase IIb devrait commencer en 2017. Etude spécifique (mécanisme d’action) en attente d’approbation en </w:t>
            </w:r>
            <w:r w:rsidR="00C93577" w:rsidRPr="00C73365">
              <w:rPr>
                <w:rFonts w:asciiTheme="minorHAnsi" w:hAnsiTheme="minorHAnsi" w:cstheme="minorHAnsi"/>
                <w:b/>
                <w:bCs/>
                <w:color w:val="000000"/>
                <w:sz w:val="14"/>
                <w:szCs w:val="14"/>
                <w:lang w:val="fr-FR" w:eastAsia="fr-FR"/>
              </w:rPr>
              <w:t>Espagne (</w:t>
            </w:r>
            <w:r w:rsidRPr="00C73365">
              <w:rPr>
                <w:rFonts w:asciiTheme="minorHAnsi" w:hAnsiTheme="minorHAnsi" w:cstheme="minorHAnsi"/>
                <w:b/>
                <w:bCs/>
                <w:color w:val="000000"/>
                <w:sz w:val="14"/>
                <w:szCs w:val="14"/>
                <w:lang w:val="fr-FR" w:eastAsia="fr-FR"/>
              </w:rPr>
              <w:t>étude dite « compartimentale ») – Etude clinique sur l’effet anti inflammatoire du produit en préparation.</w:t>
            </w:r>
          </w:p>
        </w:tc>
        <w:tc>
          <w:tcPr>
            <w:tcW w:w="3004" w:type="dxa"/>
            <w:tcBorders>
              <w:left w:val="single" w:sz="4" w:space="0" w:color="5B9BD5" w:themeColor="accent1"/>
              <w:right w:val="single" w:sz="4" w:space="0" w:color="5B9BD5" w:themeColor="accent1"/>
            </w:tcBorders>
            <w:hideMark/>
          </w:tcPr>
          <w:p w14:paraId="665173E4" w14:textId="77777777"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HIV : Une deuxième étude de phase IIa (ABX464-004) a été initiée en 2016. Premiers résultats communiqués le 2 Mai 2017 indiquent un impact de l’</w:t>
            </w:r>
            <w:r w:rsidR="00E32CFE" w:rsidRPr="00C73365">
              <w:rPr>
                <w:rFonts w:asciiTheme="minorHAnsi" w:hAnsiTheme="minorHAnsi" w:cstheme="minorHAnsi"/>
                <w:b/>
                <w:bCs/>
                <w:color w:val="000000"/>
                <w:sz w:val="14"/>
                <w:szCs w:val="14"/>
                <w:lang w:val="fr-FR" w:eastAsia="fr-FR"/>
              </w:rPr>
              <w:t>ABX464</w:t>
            </w:r>
            <w:r w:rsidRPr="00C73365">
              <w:rPr>
                <w:rFonts w:asciiTheme="minorHAnsi" w:hAnsiTheme="minorHAnsi" w:cstheme="minorHAnsi"/>
                <w:b/>
                <w:bCs/>
                <w:color w:val="000000"/>
                <w:sz w:val="14"/>
                <w:szCs w:val="14"/>
                <w:lang w:val="fr-FR" w:eastAsia="fr-FR"/>
              </w:rPr>
              <w:t xml:space="preserve"> sur les cellules réservoir sanguines. Une troisième étude de Phase IIa spécifique (mécanisme d’action) en Espagne (étude dite « compartimentale ») (ABX464-005) a débuté en avril 2017 sur les cellules réservoir de l’intestin</w:t>
            </w:r>
          </w:p>
          <w:p w14:paraId="5DD7EF55" w14:textId="77777777"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14:paraId="4005733C" w14:textId="77777777"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Inflammation : Une première étude de Phase Iia (ABX464-101) sur l’effet anti inflammatoire du produit en préparation et démarrera durant le premier semestre 2017</w:t>
            </w:r>
          </w:p>
        </w:tc>
        <w:tc>
          <w:tcPr>
            <w:tcW w:w="3410" w:type="dxa"/>
            <w:tcBorders>
              <w:left w:val="single" w:sz="4" w:space="0" w:color="5B9BD5" w:themeColor="accent1"/>
              <w:right w:val="single" w:sz="4" w:space="0" w:color="5B9BD5" w:themeColor="accent1"/>
            </w:tcBorders>
          </w:tcPr>
          <w:p w14:paraId="2C229918" w14:textId="46FB2252" w:rsidR="00940C88" w:rsidRPr="00C73365" w:rsidRDefault="00940C88" w:rsidP="0050466F">
            <w:pPr>
              <w:pStyle w:val="NormalWeb"/>
              <w:shd w:val="clear" w:color="auto" w:fill="FFFFFF"/>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14"/>
                <w:lang w:val="fr-FR"/>
              </w:rPr>
            </w:pPr>
            <w:r w:rsidRPr="00C73365">
              <w:rPr>
                <w:rFonts w:asciiTheme="minorHAnsi" w:hAnsiTheme="minorHAnsi" w:cstheme="minorHAnsi"/>
                <w:b/>
                <w:bCs/>
                <w:color w:val="000000"/>
                <w:sz w:val="14"/>
                <w:szCs w:val="14"/>
                <w:lang w:val="fr-FR" w:eastAsia="fr-FR"/>
              </w:rPr>
              <w:t xml:space="preserve">HIV : Résultats de la troisième étude de phase IIa (ABX464-005) </w:t>
            </w:r>
            <w:r w:rsidRPr="00C73365">
              <w:rPr>
                <w:rFonts w:asciiTheme="minorHAnsi" w:hAnsiTheme="minorHAnsi" w:cstheme="minorHAnsi"/>
                <w:b/>
                <w:bCs/>
                <w:sz w:val="14"/>
                <w:szCs w:val="14"/>
                <w:lang w:val="fr-FR"/>
              </w:rPr>
              <w:t xml:space="preserve">communiqués en </w:t>
            </w:r>
            <w:r w:rsidR="006B119E" w:rsidRPr="00C73365">
              <w:rPr>
                <w:rFonts w:asciiTheme="minorHAnsi" w:hAnsiTheme="minorHAnsi" w:cstheme="minorHAnsi"/>
                <w:b/>
                <w:bCs/>
                <w:sz w:val="14"/>
                <w:szCs w:val="14"/>
                <w:lang w:val="fr-FR"/>
              </w:rPr>
              <w:t>Septembre</w:t>
            </w:r>
            <w:r w:rsidRPr="00C73365">
              <w:rPr>
                <w:rFonts w:asciiTheme="minorHAnsi" w:hAnsiTheme="minorHAnsi" w:cstheme="minorHAnsi"/>
                <w:b/>
                <w:bCs/>
                <w:sz w:val="14"/>
                <w:szCs w:val="14"/>
                <w:lang w:val="fr-FR"/>
              </w:rPr>
              <w:t xml:space="preserve"> 2017 montrent une diminution statistiquement significative (p&lt;0.01) de l’ADN viral dans les cellules de sang périphériques CD4+. Un deuxième groupe de patients recevant ABX464 pendant 84 jours est en cours de recrutement. Les résultats préliminaires de ce deuxième groupe sont attendus </w:t>
            </w:r>
            <w:r w:rsidR="001F273E" w:rsidRPr="00C73365">
              <w:rPr>
                <w:rFonts w:asciiTheme="minorHAnsi" w:hAnsiTheme="minorHAnsi" w:cstheme="minorHAnsi"/>
                <w:b/>
                <w:bCs/>
                <w:sz w:val="14"/>
                <w:szCs w:val="14"/>
                <w:lang w:val="fr-FR"/>
              </w:rPr>
              <w:t xml:space="preserve">au </w:t>
            </w:r>
            <w:r w:rsidR="003704A6">
              <w:rPr>
                <w:rFonts w:asciiTheme="minorHAnsi" w:hAnsiTheme="minorHAnsi" w:cstheme="minorHAnsi"/>
                <w:b/>
                <w:bCs/>
                <w:sz w:val="14"/>
                <w:szCs w:val="14"/>
                <w:lang w:val="fr-FR"/>
              </w:rPr>
              <w:t xml:space="preserve">début du </w:t>
            </w:r>
            <w:r w:rsidR="001F273E" w:rsidRPr="00C73365">
              <w:rPr>
                <w:rFonts w:asciiTheme="minorHAnsi" w:hAnsiTheme="minorHAnsi" w:cstheme="minorHAnsi"/>
                <w:b/>
                <w:bCs/>
                <w:sz w:val="14"/>
                <w:szCs w:val="14"/>
                <w:lang w:val="fr-FR"/>
              </w:rPr>
              <w:t>3</w:t>
            </w:r>
            <w:r w:rsidR="001F273E" w:rsidRPr="00C73365">
              <w:rPr>
                <w:rFonts w:asciiTheme="minorHAnsi" w:hAnsiTheme="minorHAnsi" w:cstheme="minorHAnsi"/>
                <w:b/>
                <w:bCs/>
                <w:sz w:val="14"/>
                <w:szCs w:val="14"/>
                <w:vertAlign w:val="superscript"/>
                <w:lang w:val="fr-FR"/>
              </w:rPr>
              <w:t>ème</w:t>
            </w:r>
            <w:r w:rsidR="001F273E" w:rsidRPr="00C73365">
              <w:rPr>
                <w:rFonts w:asciiTheme="minorHAnsi" w:hAnsiTheme="minorHAnsi" w:cstheme="minorHAnsi"/>
                <w:b/>
                <w:bCs/>
                <w:sz w:val="14"/>
                <w:szCs w:val="14"/>
                <w:lang w:val="fr-FR"/>
              </w:rPr>
              <w:t xml:space="preserve"> trimestre 2018</w:t>
            </w:r>
            <w:r w:rsidRPr="00C73365">
              <w:rPr>
                <w:rFonts w:asciiTheme="minorHAnsi" w:hAnsiTheme="minorHAnsi" w:cstheme="minorHAnsi"/>
                <w:b/>
                <w:bCs/>
                <w:sz w:val="14"/>
                <w:szCs w:val="14"/>
                <w:lang w:val="fr-FR"/>
              </w:rPr>
              <w:t xml:space="preserve">. </w:t>
            </w:r>
          </w:p>
          <w:p w14:paraId="4657EE75" w14:textId="21B28136" w:rsidR="00940C88" w:rsidRPr="00C73365" w:rsidRDefault="00940C88" w:rsidP="00D16FD8">
            <w:pPr>
              <w:pStyle w:val="NormalWeb"/>
              <w:shd w:val="clear" w:color="auto" w:fill="FFFFFF"/>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4"/>
                <w:lang w:val="fr-FR"/>
              </w:rPr>
            </w:pPr>
            <w:r w:rsidRPr="00C73365">
              <w:rPr>
                <w:rFonts w:asciiTheme="minorHAnsi" w:hAnsiTheme="minorHAnsi" w:cstheme="minorHAnsi"/>
                <w:b/>
                <w:bCs/>
                <w:sz w:val="14"/>
                <w:szCs w:val="14"/>
                <w:lang w:val="fr-FR"/>
              </w:rPr>
              <w:t xml:space="preserve">Inflammation : </w:t>
            </w:r>
            <w:r w:rsidRPr="00C73365">
              <w:rPr>
                <w:rFonts w:asciiTheme="minorHAnsi" w:hAnsiTheme="minorHAnsi" w:cstheme="minorHAnsi"/>
                <w:b/>
                <w:sz w:val="14"/>
                <w:szCs w:val="14"/>
                <w:lang w:val="fr-FR"/>
              </w:rPr>
              <w:t>la société a initié au</w:t>
            </w:r>
            <w:r w:rsidR="003704A6">
              <w:rPr>
                <w:rFonts w:asciiTheme="minorHAnsi" w:hAnsiTheme="minorHAnsi" w:cstheme="minorHAnsi"/>
                <w:b/>
                <w:sz w:val="14"/>
                <w:szCs w:val="14"/>
                <w:lang w:val="fr-FR"/>
              </w:rPr>
              <w:t xml:space="preserve"> cours </w:t>
            </w:r>
            <w:r w:rsidRPr="00C73365">
              <w:rPr>
                <w:rFonts w:asciiTheme="minorHAnsi" w:hAnsiTheme="minorHAnsi" w:cstheme="minorHAnsi"/>
                <w:b/>
                <w:sz w:val="14"/>
                <w:szCs w:val="14"/>
                <w:lang w:val="fr-FR"/>
              </w:rPr>
              <w:t xml:space="preserve">du troisième trimestre 2017 une étude clinique de preuve de concept </w:t>
            </w:r>
            <w:r w:rsidR="00E32CFE" w:rsidRPr="00C73365">
              <w:rPr>
                <w:rFonts w:asciiTheme="minorHAnsi" w:hAnsiTheme="minorHAnsi" w:cstheme="minorHAnsi"/>
                <w:b/>
                <w:sz w:val="14"/>
                <w:szCs w:val="14"/>
                <w:lang w:val="fr-FR"/>
              </w:rPr>
              <w:t>ABX464</w:t>
            </w:r>
            <w:r w:rsidRPr="00C73365">
              <w:rPr>
                <w:rFonts w:asciiTheme="minorHAnsi" w:hAnsiTheme="minorHAnsi" w:cstheme="minorHAnsi"/>
                <w:b/>
                <w:sz w:val="14"/>
                <w:szCs w:val="14"/>
                <w:lang w:val="fr-FR"/>
              </w:rPr>
              <w:t xml:space="preserve">-101 dans 8 pays européens. Les résultats de cette étude clinique d’induction sont attendus en </w:t>
            </w:r>
            <w:r w:rsidR="006B119E" w:rsidRPr="00C73365">
              <w:rPr>
                <w:rFonts w:asciiTheme="minorHAnsi" w:hAnsiTheme="minorHAnsi" w:cstheme="minorHAnsi"/>
                <w:b/>
                <w:sz w:val="14"/>
                <w:szCs w:val="14"/>
                <w:lang w:val="fr-FR"/>
              </w:rPr>
              <w:t>Septembre</w:t>
            </w:r>
            <w:r w:rsidRPr="00C73365">
              <w:rPr>
                <w:rFonts w:asciiTheme="minorHAnsi" w:hAnsiTheme="minorHAnsi" w:cstheme="minorHAnsi"/>
                <w:b/>
                <w:sz w:val="14"/>
                <w:szCs w:val="14"/>
                <w:lang w:val="fr-FR"/>
              </w:rPr>
              <w:t xml:space="preserve"> 2018. Cette étude d’induction est suivie d’une étude de maintenance, ABX464-102, offrant la possibilité aux patients d’être traité par </w:t>
            </w:r>
            <w:r w:rsidR="00E32CFE" w:rsidRPr="00C73365">
              <w:rPr>
                <w:rFonts w:asciiTheme="minorHAnsi" w:hAnsiTheme="minorHAnsi" w:cstheme="minorHAnsi"/>
                <w:b/>
                <w:sz w:val="14"/>
                <w:szCs w:val="14"/>
                <w:lang w:val="fr-FR"/>
              </w:rPr>
              <w:t>ABX464</w:t>
            </w:r>
            <w:r w:rsidRPr="00C73365">
              <w:rPr>
                <w:rFonts w:asciiTheme="minorHAnsi" w:hAnsiTheme="minorHAnsi" w:cstheme="minorHAnsi"/>
                <w:b/>
                <w:sz w:val="14"/>
                <w:szCs w:val="14"/>
                <w:lang w:val="fr-FR"/>
              </w:rPr>
              <w:t xml:space="preserve"> pendant une période d’une année. Les résultats de cette étude clinique de maintenance sont attendus </w:t>
            </w:r>
            <w:r w:rsidR="001F273E" w:rsidRPr="00C73365">
              <w:rPr>
                <w:rFonts w:asciiTheme="minorHAnsi" w:hAnsiTheme="minorHAnsi" w:cstheme="minorHAnsi"/>
                <w:b/>
                <w:sz w:val="14"/>
                <w:szCs w:val="14"/>
                <w:lang w:val="fr-FR"/>
              </w:rPr>
              <w:t>à mi-2019</w:t>
            </w:r>
            <w:r w:rsidRPr="00C73365">
              <w:rPr>
                <w:rFonts w:asciiTheme="minorHAnsi" w:hAnsiTheme="minorHAnsi" w:cstheme="minorHAnsi"/>
                <w:b/>
                <w:sz w:val="14"/>
                <w:szCs w:val="14"/>
                <w:lang w:val="fr-FR"/>
              </w:rPr>
              <w:t>.</w:t>
            </w:r>
          </w:p>
        </w:tc>
      </w:tr>
      <w:tr w:rsidR="00882FD7" w:rsidRPr="0030056F" w14:paraId="36427FCD" w14:textId="77777777" w:rsidTr="00882FD7">
        <w:trPr>
          <w:trHeight w:val="1729"/>
        </w:trPr>
        <w:tc>
          <w:tcPr>
            <w:cnfStyle w:val="001000000000" w:firstRow="0" w:lastRow="0" w:firstColumn="1" w:lastColumn="0" w:oddVBand="0" w:evenVBand="0" w:oddHBand="0" w:evenHBand="0" w:firstRowFirstColumn="0" w:firstRowLastColumn="0" w:lastRowFirstColumn="0" w:lastRowLastColumn="0"/>
            <w:tcW w:w="14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2F137DC8" w14:textId="77777777" w:rsidR="00693528" w:rsidRPr="00C73365" w:rsidRDefault="00693528" w:rsidP="00693528">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color w:val="000000"/>
                <w:sz w:val="14"/>
                <w:szCs w:val="14"/>
                <w:lang w:eastAsia="fr-FR"/>
              </w:rPr>
              <w:t>ABX196</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19CD2578" w14:textId="77777777"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Agoniste iNKT</w:t>
            </w:r>
          </w:p>
        </w:tc>
        <w:tc>
          <w:tcPr>
            <w:tcW w:w="21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6E232ED4" w14:textId="77777777"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Adjuvant vaccinal –Stimulant Immunitaire</w:t>
            </w:r>
          </w:p>
        </w:tc>
        <w:tc>
          <w:tcPr>
            <w:tcW w:w="208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6C86ABC" w14:textId="77777777"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Premier essai de Ph I finalisé en 2013 – Nouvelles voies d’administration (spray nasal, microneedles) en cours de validation préclinique– Nouvel essai de Phase I prévu en 2016</w:t>
            </w:r>
          </w:p>
        </w:tc>
        <w:tc>
          <w:tcPr>
            <w:tcW w:w="2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61B3818A" w14:textId="77777777" w:rsidR="00693528" w:rsidRPr="00C73365" w:rsidRDefault="00EF089C"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ABIVAX</w:t>
            </w:r>
            <w:r w:rsidR="00693528" w:rsidRPr="00C73365">
              <w:rPr>
                <w:rFonts w:asciiTheme="minorHAnsi" w:hAnsiTheme="minorHAnsi" w:cstheme="minorHAnsi"/>
                <w:b/>
                <w:bCs/>
                <w:color w:val="000000"/>
                <w:sz w:val="14"/>
                <w:szCs w:val="14"/>
                <w:lang w:val="fr-FR" w:eastAsia="fr-FR"/>
              </w:rPr>
              <w:t xml:space="preserve"> conduit des tests de preuve de concept précliniques pour des applications immuno-oncologiques et concentrent ses efforts sur ce domaine thérapeutique qui lui parait prioritaire dans le contexte actuel des thérapies anti-cancéreuses. En ce qui concerne les applications anti-infectieuses, de nouvelles études précliniques sont prévues en 2017</w:t>
            </w:r>
          </w:p>
        </w:tc>
        <w:tc>
          <w:tcPr>
            <w:tcW w:w="300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3E7D83C5" w14:textId="77777777" w:rsidR="00693528" w:rsidRPr="00C73365" w:rsidRDefault="00EF089C"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highlight w:val="yellow"/>
                <w:lang w:val="fr-FR" w:eastAsia="fr-FR"/>
              </w:rPr>
            </w:pPr>
            <w:r w:rsidRPr="00C73365">
              <w:rPr>
                <w:rFonts w:asciiTheme="minorHAnsi" w:hAnsiTheme="minorHAnsi" w:cstheme="minorHAnsi"/>
                <w:b/>
                <w:bCs/>
                <w:color w:val="000000"/>
                <w:sz w:val="14"/>
                <w:szCs w:val="14"/>
                <w:lang w:val="fr-FR" w:eastAsia="fr-FR"/>
              </w:rPr>
              <w:t>ABIVAX</w:t>
            </w:r>
            <w:r w:rsidR="00693528" w:rsidRPr="00C73365">
              <w:rPr>
                <w:rFonts w:asciiTheme="minorHAnsi" w:hAnsiTheme="minorHAnsi" w:cstheme="minorHAnsi"/>
                <w:b/>
                <w:bCs/>
                <w:color w:val="000000"/>
                <w:sz w:val="14"/>
                <w:szCs w:val="14"/>
                <w:lang w:val="fr-FR" w:eastAsia="fr-FR"/>
              </w:rPr>
              <w:t xml:space="preserve"> conduit des tests de preuve de concept précliniques pour des applications immuno-oncologiques et concentrent ses efforts sur ce domaine thérapeutique qui lui parait prioritaire dans le contexte actuel des thérapies anti-cancéreuses - suite à la décision de la société de proposer le produit en licence, une recherche active de partenaire est actuellement en cours dans le domaine de l’immuno-oncologie   </w:t>
            </w:r>
          </w:p>
        </w:tc>
        <w:tc>
          <w:tcPr>
            <w:tcW w:w="3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034E0F9" w14:textId="6372F96D" w:rsidR="003B5C5D" w:rsidRPr="00C73365" w:rsidRDefault="003B5C5D" w:rsidP="003B5C5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4"/>
                <w:szCs w:val="14"/>
                <w:lang w:val="fr-FR" w:eastAsia="fr-FR"/>
              </w:rPr>
            </w:pPr>
            <w:r w:rsidRPr="00C73365">
              <w:rPr>
                <w:rFonts w:asciiTheme="minorHAnsi" w:hAnsiTheme="minorHAnsi" w:cstheme="minorHAnsi"/>
                <w:b/>
                <w:color w:val="000000"/>
                <w:sz w:val="14"/>
                <w:szCs w:val="14"/>
                <w:lang w:val="fr-FR" w:eastAsia="fr-FR"/>
              </w:rPr>
              <w:t xml:space="preserve">Données d’efficacité Pré-Cliniques générées en 2017 pour l’hépatocarcinome. </w:t>
            </w:r>
            <w:r w:rsidR="00116EAF" w:rsidRPr="00116EAF">
              <w:rPr>
                <w:rFonts w:asciiTheme="minorHAnsi" w:hAnsiTheme="minorHAnsi" w:cstheme="minorHAnsi"/>
                <w:b/>
                <w:color w:val="000000"/>
                <w:sz w:val="14"/>
                <w:szCs w:val="14"/>
                <w:lang w:val="fr-FR" w:eastAsia="fr-FR"/>
              </w:rPr>
              <w:t>ABIVAX prépare actuellement une étude de Phase I de preuve de concept pour l’hépatocarcinome avancé avec un lancement prévu en fin d’année 2018.</w:t>
            </w:r>
          </w:p>
          <w:p w14:paraId="37A7AA71" w14:textId="77777777" w:rsidR="00693528" w:rsidRPr="00C73365" w:rsidRDefault="003B5C5D" w:rsidP="003B5C5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color w:val="000000"/>
                <w:sz w:val="14"/>
                <w:szCs w:val="14"/>
                <w:lang w:val="fr-FR" w:eastAsia="fr-FR"/>
              </w:rPr>
              <w:t>Recherche de partenaires dans l’immuno-oncologie</w:t>
            </w:r>
            <w:r w:rsidR="001F273E" w:rsidRPr="00C73365">
              <w:rPr>
                <w:rFonts w:asciiTheme="minorHAnsi" w:hAnsiTheme="minorHAnsi" w:cstheme="minorHAnsi"/>
                <w:b/>
                <w:color w:val="000000"/>
                <w:sz w:val="14"/>
                <w:szCs w:val="14"/>
                <w:lang w:val="fr-FR" w:eastAsia="fr-FR"/>
              </w:rPr>
              <w:t xml:space="preserve">, après </w:t>
            </w:r>
            <w:r w:rsidR="004F6B63" w:rsidRPr="00C73365">
              <w:rPr>
                <w:rFonts w:asciiTheme="minorHAnsi" w:hAnsiTheme="minorHAnsi" w:cstheme="minorHAnsi"/>
                <w:b/>
                <w:color w:val="000000"/>
                <w:sz w:val="14"/>
                <w:szCs w:val="14"/>
                <w:lang w:val="fr-FR" w:eastAsia="fr-FR"/>
              </w:rPr>
              <w:t xml:space="preserve">atteinte des </w:t>
            </w:r>
            <w:r w:rsidR="001F273E" w:rsidRPr="00C73365">
              <w:rPr>
                <w:rFonts w:asciiTheme="minorHAnsi" w:hAnsiTheme="minorHAnsi" w:cstheme="minorHAnsi"/>
                <w:b/>
                <w:color w:val="000000"/>
                <w:sz w:val="14"/>
                <w:szCs w:val="14"/>
                <w:lang w:val="fr-FR" w:eastAsia="fr-FR"/>
              </w:rPr>
              <w:t>premiers résultats cliniques d’efficacité dans l’hépatocarcinome</w:t>
            </w:r>
            <w:r w:rsidR="004F6B63" w:rsidRPr="00C73365">
              <w:rPr>
                <w:rFonts w:asciiTheme="minorHAnsi" w:hAnsiTheme="minorHAnsi" w:cstheme="minorHAnsi"/>
                <w:b/>
                <w:color w:val="000000"/>
                <w:sz w:val="14"/>
                <w:szCs w:val="14"/>
                <w:lang w:val="fr-FR" w:eastAsia="fr-FR"/>
              </w:rPr>
              <w:t xml:space="preserve"> avancé</w:t>
            </w:r>
            <w:r w:rsidR="001F273E" w:rsidRPr="00C73365">
              <w:rPr>
                <w:rFonts w:asciiTheme="minorHAnsi" w:hAnsiTheme="minorHAnsi" w:cstheme="minorHAnsi"/>
                <w:b/>
                <w:color w:val="000000"/>
                <w:sz w:val="14"/>
                <w:szCs w:val="14"/>
                <w:lang w:val="fr-FR" w:eastAsia="fr-FR"/>
              </w:rPr>
              <w:t>.</w:t>
            </w:r>
          </w:p>
        </w:tc>
      </w:tr>
      <w:tr w:rsidR="00882FD7" w:rsidRPr="0030056F" w14:paraId="02A3A3BE" w14:textId="77777777" w:rsidTr="00882FD7">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409" w:type="dxa"/>
            <w:tcBorders>
              <w:left w:val="single" w:sz="4" w:space="0" w:color="5B9BD5" w:themeColor="accent1"/>
              <w:right w:val="single" w:sz="4" w:space="0" w:color="5B9BD5" w:themeColor="accent1"/>
            </w:tcBorders>
          </w:tcPr>
          <w:p w14:paraId="302DB1A4" w14:textId="77777777" w:rsidR="00882FD7" w:rsidRPr="00C73365" w:rsidRDefault="00882FD7" w:rsidP="00882FD7">
            <w:pPr>
              <w:spacing w:after="0"/>
              <w:rPr>
                <w:rFonts w:asciiTheme="minorHAnsi" w:hAnsiTheme="minorHAnsi" w:cstheme="minorHAnsi"/>
                <w:b w:val="0"/>
                <w:bCs w:val="0"/>
                <w:color w:val="000000"/>
                <w:sz w:val="14"/>
                <w:szCs w:val="14"/>
                <w:lang w:eastAsia="fr-FR"/>
              </w:rPr>
            </w:pPr>
            <w:r w:rsidRPr="00C73365">
              <w:rPr>
                <w:rFonts w:asciiTheme="minorHAnsi" w:hAnsiTheme="minorHAnsi" w:cstheme="minorHAnsi"/>
                <w:color w:val="000000"/>
                <w:sz w:val="14"/>
                <w:szCs w:val="14"/>
                <w:lang w:eastAsia="fr-FR"/>
              </w:rPr>
              <w:t>ABX544</w:t>
            </w:r>
          </w:p>
        </w:tc>
        <w:tc>
          <w:tcPr>
            <w:tcW w:w="1418" w:type="dxa"/>
            <w:tcBorders>
              <w:left w:val="single" w:sz="4" w:space="0" w:color="5B9BD5" w:themeColor="accent1"/>
              <w:right w:val="single" w:sz="4" w:space="0" w:color="5B9BD5" w:themeColor="accent1"/>
            </w:tcBorders>
          </w:tcPr>
          <w:p w14:paraId="6404B612" w14:textId="77777777"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Anticorps Polyclonaux</w:t>
            </w:r>
          </w:p>
        </w:tc>
        <w:tc>
          <w:tcPr>
            <w:tcW w:w="2123" w:type="dxa"/>
            <w:tcBorders>
              <w:left w:val="single" w:sz="4" w:space="0" w:color="5B9BD5" w:themeColor="accent1"/>
              <w:right w:val="single" w:sz="4" w:space="0" w:color="5B9BD5" w:themeColor="accent1"/>
            </w:tcBorders>
          </w:tcPr>
          <w:p w14:paraId="23C9B40C" w14:textId="77777777"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Traitement de l’Ebola</w:t>
            </w:r>
          </w:p>
        </w:tc>
        <w:tc>
          <w:tcPr>
            <w:tcW w:w="2088" w:type="dxa"/>
            <w:tcBorders>
              <w:left w:val="single" w:sz="4" w:space="0" w:color="5B9BD5" w:themeColor="accent1"/>
              <w:right w:val="single" w:sz="4" w:space="0" w:color="5B9BD5" w:themeColor="accent1"/>
            </w:tcBorders>
          </w:tcPr>
          <w:p w14:paraId="0C0CEC3B" w14:textId="77777777"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Stade préclinique -  Phase I prévue pour 2016</w:t>
            </w:r>
          </w:p>
        </w:tc>
        <w:tc>
          <w:tcPr>
            <w:tcW w:w="2486" w:type="dxa"/>
            <w:tcBorders>
              <w:left w:val="single" w:sz="4" w:space="0" w:color="5B9BD5" w:themeColor="accent1"/>
              <w:right w:val="single" w:sz="4" w:space="0" w:color="5B9BD5" w:themeColor="accent1"/>
            </w:tcBorders>
          </w:tcPr>
          <w:p w14:paraId="66CF4BED" w14:textId="77777777"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La technologie d’expression d’anticorps, polyclonaux est maintenant opérationnelle. Un brevet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a été déposé pour la protéger. Des anticorps neutralisants ont été détectés dans le sérum. Des études précliniques de toxicité et d’efficacité seront conduites début 2017 et le démarrage de la Phase 1 est prévu pour la fin 2017-début 2018.</w:t>
            </w:r>
          </w:p>
        </w:tc>
        <w:tc>
          <w:tcPr>
            <w:tcW w:w="3004" w:type="dxa"/>
            <w:tcBorders>
              <w:left w:val="single" w:sz="4" w:space="0" w:color="5B9BD5" w:themeColor="accent1"/>
              <w:right w:val="single" w:sz="4" w:space="0" w:color="5B9BD5" w:themeColor="accent1"/>
            </w:tcBorders>
          </w:tcPr>
          <w:p w14:paraId="39A0C1A7" w14:textId="77777777"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La technologie d’expression d’anticorps, polyclonaux est maintenant opérationnelle. Un brevet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a été déposé pour la protéger. Des anticorps neutralisants ont été détectés dans le sérum. Des études précliniques de toxicité et d’efficacité seront conduites à compter du deuxième trimestre 2017</w:t>
            </w:r>
          </w:p>
        </w:tc>
        <w:tc>
          <w:tcPr>
            <w:tcW w:w="3410" w:type="dxa"/>
            <w:tcBorders>
              <w:left w:val="single" w:sz="4" w:space="0" w:color="5B9BD5" w:themeColor="accent1"/>
              <w:right w:val="single" w:sz="4" w:space="0" w:color="5B9BD5" w:themeColor="accent1"/>
            </w:tcBorders>
          </w:tcPr>
          <w:p w14:paraId="6731F57D" w14:textId="77777777"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4"/>
                <w:szCs w:val="14"/>
                <w:lang w:val="fr-FR" w:eastAsia="fr-FR"/>
              </w:rPr>
            </w:pPr>
            <w:r w:rsidRPr="00C73365">
              <w:rPr>
                <w:rFonts w:asciiTheme="minorHAnsi" w:hAnsiTheme="minorHAnsi" w:cstheme="minorHAnsi"/>
                <w:b/>
                <w:bCs/>
                <w:color w:val="000000"/>
                <w:sz w:val="14"/>
                <w:szCs w:val="14"/>
                <w:lang w:val="fr-FR" w:eastAsia="fr-FR"/>
              </w:rPr>
              <w:t>Prétests de Toxicité effectués en 2017 pour évaluer la possibilité d’une réaction croisée des anticorps purifiés contre des tissus humains ont été menées. Les données n’indiquent pas de risque spécifique à ce stade</w:t>
            </w:r>
          </w:p>
        </w:tc>
      </w:tr>
    </w:tbl>
    <w:tbl>
      <w:tblPr>
        <w:tblStyle w:val="TableauListe3-Accentuation1"/>
        <w:tblpPr w:leftFromText="180" w:rightFromText="180" w:vertAnchor="text" w:horzAnchor="margin" w:tblpX="-572" w:tblpY="-627"/>
        <w:tblW w:w="1573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409"/>
        <w:gridCol w:w="1209"/>
        <w:gridCol w:w="2212"/>
        <w:gridCol w:w="2104"/>
        <w:gridCol w:w="2580"/>
        <w:gridCol w:w="2975"/>
        <w:gridCol w:w="3246"/>
      </w:tblGrid>
      <w:tr w:rsidR="00882FD7" w:rsidRPr="0030056F" w14:paraId="0DE61290" w14:textId="77777777" w:rsidTr="002F629B">
        <w:trPr>
          <w:cnfStyle w:val="100000000000" w:firstRow="1" w:lastRow="0" w:firstColumn="0" w:lastColumn="0" w:oddVBand="0" w:evenVBand="0" w:oddHBand="0" w:evenHBand="0" w:firstRowFirstColumn="0" w:firstRowLastColumn="0" w:lastRowFirstColumn="0" w:lastRowLastColumn="0"/>
          <w:trHeight w:val="56"/>
        </w:trPr>
        <w:tc>
          <w:tcPr>
            <w:cnfStyle w:val="001000000100" w:firstRow="0" w:lastRow="0" w:firstColumn="1" w:lastColumn="0" w:oddVBand="0" w:evenVBand="0" w:oddHBand="0" w:evenHBand="0" w:firstRowFirstColumn="1" w:firstRowLastColumn="0" w:lastRowFirstColumn="0" w:lastRowLastColumn="0"/>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CD4FA4" w14:textId="77777777" w:rsidR="003B5C5D" w:rsidRPr="00C73365" w:rsidRDefault="003B5C5D" w:rsidP="00940C88">
            <w:pPr>
              <w:spacing w:after="0"/>
              <w:jc w:val="center"/>
              <w:rPr>
                <w:rFonts w:asciiTheme="minorHAnsi" w:hAnsiTheme="minorHAnsi" w:cstheme="minorHAnsi"/>
                <w:b w:val="0"/>
                <w:bCs w:val="0"/>
                <w:szCs w:val="20"/>
                <w:lang w:eastAsia="fr-FR"/>
              </w:rPr>
            </w:pPr>
            <w:r w:rsidRPr="00C73365">
              <w:rPr>
                <w:rFonts w:asciiTheme="minorHAnsi" w:hAnsiTheme="minorHAnsi" w:cstheme="minorHAnsi"/>
                <w:szCs w:val="20"/>
                <w:lang w:eastAsia="fr-FR"/>
              </w:rPr>
              <w:lastRenderedPageBreak/>
              <w:t>Dénomination</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753973" w14:textId="77777777"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eastAsia="fr-FR"/>
              </w:rPr>
            </w:pPr>
            <w:r w:rsidRPr="00C73365">
              <w:rPr>
                <w:rFonts w:asciiTheme="minorHAnsi" w:hAnsiTheme="minorHAnsi" w:cstheme="minorHAnsi"/>
                <w:szCs w:val="20"/>
                <w:lang w:eastAsia="fr-FR"/>
              </w:rPr>
              <w:t>Mécanisme d’action</w:t>
            </w:r>
          </w:p>
        </w:tc>
        <w:tc>
          <w:tcPr>
            <w:tcW w:w="2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29A65A" w14:textId="77777777"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eastAsia="fr-FR"/>
              </w:rPr>
            </w:pPr>
            <w:r w:rsidRPr="00C73365">
              <w:rPr>
                <w:rFonts w:asciiTheme="minorHAnsi" w:hAnsiTheme="minorHAnsi" w:cstheme="minorHAnsi"/>
                <w:szCs w:val="20"/>
                <w:lang w:eastAsia="fr-FR"/>
              </w:rPr>
              <w:t>Indications visées</w:t>
            </w:r>
          </w:p>
        </w:tc>
        <w:tc>
          <w:tcPr>
            <w:tcW w:w="2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F9FAA" w14:textId="77777777"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Stade de développement indiqué dans le Document de Base du 19 Mai 2015</w:t>
            </w:r>
          </w:p>
        </w:tc>
        <w:tc>
          <w:tcPr>
            <w:tcW w:w="2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D15D8" w14:textId="77777777"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2016 sur les projets</w:t>
            </w:r>
          </w:p>
        </w:tc>
        <w:tc>
          <w:tcPr>
            <w:tcW w:w="2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3BFE8C" w14:textId="77777777"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2017 sur les projets</w:t>
            </w:r>
          </w:p>
        </w:tc>
        <w:tc>
          <w:tcPr>
            <w:tcW w:w="3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A11D19" w14:textId="77777777"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w:t>
            </w:r>
            <w:r w:rsidRPr="00C73365">
              <w:rPr>
                <w:rFonts w:asciiTheme="minorHAnsi" w:hAnsiTheme="minorHAnsi" w:cstheme="minorHAnsi"/>
                <w:b w:val="0"/>
                <w:bCs w:val="0"/>
                <w:szCs w:val="20"/>
                <w:lang w:val="fr-FR" w:eastAsia="fr-FR"/>
              </w:rPr>
              <w:t xml:space="preserve">8 </w:t>
            </w:r>
            <w:r w:rsidRPr="00C73365">
              <w:rPr>
                <w:rFonts w:asciiTheme="minorHAnsi" w:hAnsiTheme="minorHAnsi" w:cstheme="minorHAnsi"/>
                <w:szCs w:val="20"/>
                <w:lang w:val="fr-FR" w:eastAsia="fr-FR"/>
              </w:rPr>
              <w:t>sur les projets</w:t>
            </w:r>
          </w:p>
        </w:tc>
      </w:tr>
      <w:tr w:rsidR="00882FD7" w:rsidRPr="0030056F" w14:paraId="639BB7CC" w14:textId="77777777" w:rsidTr="00882FD7">
        <w:trPr>
          <w:cnfStyle w:val="000000100000" w:firstRow="0" w:lastRow="0" w:firstColumn="0" w:lastColumn="0" w:oddVBand="0" w:evenVBand="0" w:oddHBand="1" w:evenHBand="0" w:firstRowFirstColumn="0" w:firstRowLastColumn="0" w:lastRowFirstColumn="0" w:lastRowLastColumn="0"/>
          <w:trHeight w:val="2734"/>
        </w:trPr>
        <w:tc>
          <w:tcPr>
            <w:cnfStyle w:val="001000000000" w:firstRow="0" w:lastRow="0" w:firstColumn="1" w:lastColumn="0" w:oddVBand="0" w:evenVBand="0" w:oddHBand="0" w:evenHBand="0" w:firstRowFirstColumn="0" w:firstRowLastColumn="0" w:lastRowFirstColumn="0" w:lastRowLastColumn="0"/>
            <w:tcW w:w="1409" w:type="dxa"/>
            <w:hideMark/>
          </w:tcPr>
          <w:p w14:paraId="4E62E6EB" w14:textId="77777777" w:rsidR="00882FD7" w:rsidRPr="00C73365" w:rsidRDefault="00882FD7" w:rsidP="00940C88">
            <w:pPr>
              <w:spacing w:after="0"/>
              <w:rPr>
                <w:rFonts w:asciiTheme="minorHAnsi" w:hAnsiTheme="minorHAnsi" w:cstheme="minorHAnsi"/>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p w14:paraId="43419F96" w14:textId="77777777" w:rsidR="00882FD7" w:rsidRPr="00C73365" w:rsidRDefault="00882FD7" w:rsidP="00940C88">
            <w:pPr>
              <w:spacing w:after="0"/>
              <w:rPr>
                <w:rFonts w:asciiTheme="minorHAnsi" w:hAnsiTheme="minorHAnsi" w:cstheme="minorHAnsi"/>
                <w:sz w:val="16"/>
                <w:szCs w:val="16"/>
                <w:lang w:val="fr-FR" w:eastAsia="fr-FR"/>
              </w:rPr>
            </w:pPr>
          </w:p>
          <w:p w14:paraId="47940BA4" w14:textId="77777777" w:rsidR="00882FD7" w:rsidRPr="00C73365" w:rsidRDefault="00882FD7" w:rsidP="00940C88">
            <w:pPr>
              <w:spacing w:after="0"/>
              <w:rPr>
                <w:rFonts w:asciiTheme="minorHAnsi" w:hAnsiTheme="minorHAnsi" w:cstheme="minorHAnsi"/>
                <w:sz w:val="16"/>
                <w:szCs w:val="16"/>
                <w:lang w:val="fr-FR" w:eastAsia="fr-FR"/>
              </w:rPr>
            </w:pPr>
          </w:p>
          <w:p w14:paraId="158F7DBA" w14:textId="77777777" w:rsidR="00882FD7" w:rsidRPr="00C73365" w:rsidRDefault="00882FD7" w:rsidP="00940C88">
            <w:pPr>
              <w:spacing w:after="0"/>
              <w:rPr>
                <w:rFonts w:asciiTheme="minorHAnsi" w:hAnsiTheme="minorHAnsi" w:cstheme="minorHAnsi"/>
                <w:sz w:val="16"/>
                <w:szCs w:val="16"/>
                <w:lang w:val="fr-FR" w:eastAsia="fr-FR"/>
              </w:rPr>
            </w:pPr>
          </w:p>
          <w:p w14:paraId="3CD718AB" w14:textId="77777777" w:rsidR="00882FD7" w:rsidRPr="00C73365" w:rsidRDefault="00882FD7" w:rsidP="00940C88">
            <w:pPr>
              <w:spacing w:after="0"/>
              <w:rPr>
                <w:rFonts w:asciiTheme="minorHAnsi" w:hAnsiTheme="minorHAnsi" w:cstheme="minorHAnsi"/>
                <w:sz w:val="16"/>
                <w:szCs w:val="16"/>
                <w:lang w:val="fr-FR" w:eastAsia="fr-FR"/>
              </w:rPr>
            </w:pPr>
          </w:p>
          <w:p w14:paraId="22DA38A1" w14:textId="77777777" w:rsidR="00882FD7" w:rsidRPr="00C73365" w:rsidRDefault="00882FD7" w:rsidP="00940C88">
            <w:pPr>
              <w:spacing w:after="0"/>
              <w:rPr>
                <w:rFonts w:asciiTheme="minorHAnsi" w:hAnsiTheme="minorHAnsi" w:cstheme="minorHAnsi"/>
                <w:sz w:val="16"/>
                <w:szCs w:val="16"/>
                <w:lang w:val="fr-FR" w:eastAsia="fr-FR"/>
              </w:rPr>
            </w:pPr>
          </w:p>
          <w:p w14:paraId="28BB5088" w14:textId="77777777" w:rsidR="00882FD7" w:rsidRPr="00C73365" w:rsidRDefault="00882FD7" w:rsidP="00940C88">
            <w:pPr>
              <w:spacing w:after="0"/>
              <w:rPr>
                <w:rFonts w:asciiTheme="minorHAnsi" w:hAnsiTheme="minorHAnsi" w:cstheme="minorHAnsi"/>
                <w:sz w:val="16"/>
                <w:szCs w:val="16"/>
                <w:lang w:val="fr-FR" w:eastAsia="fr-FR"/>
              </w:rPr>
            </w:pPr>
          </w:p>
          <w:p w14:paraId="350D354B" w14:textId="77777777" w:rsidR="00882FD7" w:rsidRPr="00C73365" w:rsidRDefault="00882FD7" w:rsidP="00940C88">
            <w:pPr>
              <w:spacing w:after="0"/>
              <w:rPr>
                <w:rFonts w:asciiTheme="minorHAnsi" w:hAnsiTheme="minorHAnsi" w:cstheme="minorHAnsi"/>
                <w:sz w:val="16"/>
                <w:szCs w:val="16"/>
                <w:lang w:val="fr-FR" w:eastAsia="fr-FR"/>
              </w:rPr>
            </w:pPr>
          </w:p>
          <w:p w14:paraId="56C24773" w14:textId="77777777" w:rsidR="00882FD7" w:rsidRPr="00C73365" w:rsidRDefault="00882FD7" w:rsidP="00940C88">
            <w:pPr>
              <w:spacing w:after="0"/>
              <w:rPr>
                <w:rFonts w:asciiTheme="minorHAnsi" w:hAnsiTheme="minorHAnsi" w:cstheme="minorHAnsi"/>
                <w:sz w:val="16"/>
                <w:szCs w:val="16"/>
                <w:lang w:val="fr-FR" w:eastAsia="fr-FR"/>
              </w:rPr>
            </w:pPr>
          </w:p>
          <w:p w14:paraId="763BF25F" w14:textId="77777777" w:rsidR="00882FD7" w:rsidRPr="00C73365" w:rsidRDefault="00882FD7" w:rsidP="00940C88">
            <w:pPr>
              <w:spacing w:after="0"/>
              <w:rPr>
                <w:rFonts w:asciiTheme="minorHAnsi" w:hAnsiTheme="minorHAnsi" w:cstheme="minorHAnsi"/>
                <w:sz w:val="16"/>
                <w:szCs w:val="16"/>
                <w:lang w:val="fr-FR" w:eastAsia="fr-FR"/>
              </w:rPr>
            </w:pPr>
          </w:p>
          <w:p w14:paraId="74CE206B" w14:textId="77777777" w:rsidR="00882FD7" w:rsidRPr="00C73365" w:rsidRDefault="00882FD7" w:rsidP="00940C88">
            <w:pPr>
              <w:spacing w:after="0"/>
              <w:rPr>
                <w:rFonts w:asciiTheme="minorHAnsi" w:hAnsiTheme="minorHAnsi" w:cstheme="minorHAnsi"/>
                <w:sz w:val="16"/>
                <w:szCs w:val="16"/>
                <w:lang w:val="fr-FR" w:eastAsia="fr-FR"/>
              </w:rPr>
            </w:pPr>
          </w:p>
          <w:p w14:paraId="22BE9718" w14:textId="77777777" w:rsidR="00882FD7" w:rsidRPr="00C73365" w:rsidRDefault="00882FD7" w:rsidP="00940C88">
            <w:pPr>
              <w:tabs>
                <w:tab w:val="left" w:pos="1102"/>
              </w:tabs>
              <w:spacing w:after="0"/>
              <w:rPr>
                <w:rFonts w:asciiTheme="minorHAnsi" w:hAnsiTheme="minorHAnsi" w:cstheme="minorHAnsi"/>
                <w:sz w:val="16"/>
                <w:szCs w:val="16"/>
                <w:lang w:val="fr-FR" w:eastAsia="fr-FR"/>
              </w:rPr>
            </w:pPr>
          </w:p>
        </w:tc>
        <w:tc>
          <w:tcPr>
            <w:tcW w:w="1209" w:type="dxa"/>
            <w:hideMark/>
          </w:tcPr>
          <w:p w14:paraId="04B72EB1"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14:paraId="0286EDE8"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0D619A34"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746563DA"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70B4A46B"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5D149162"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791A47D2"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004240B9"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08B9AF62"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568A0297"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079247B8"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11D6257A"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5F6885AC"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47DCF4D8"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tc>
        <w:tc>
          <w:tcPr>
            <w:tcW w:w="2212" w:type="dxa"/>
            <w:hideMark/>
          </w:tcPr>
          <w:p w14:paraId="02A9E8C0"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Traitement de la dengue</w:t>
            </w:r>
          </w:p>
          <w:p w14:paraId="4B52BEE7"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407283C1"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043559CF"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0DC313BF"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0FD94D0C"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1E6D83DA"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6A680867"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341738D3"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79EBD595"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676DBAA6"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779E6684"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14:paraId="12CFCB98"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tc>
        <w:tc>
          <w:tcPr>
            <w:tcW w:w="2104" w:type="dxa"/>
            <w:hideMark/>
          </w:tcPr>
          <w:p w14:paraId="48C24096"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Stade préclinique – Phase I p</w:t>
            </w:r>
            <w:r w:rsidR="002F629B" w:rsidRPr="00C73365">
              <w:rPr>
                <w:rFonts w:asciiTheme="minorHAnsi" w:hAnsiTheme="minorHAnsi" w:cstheme="minorHAnsi"/>
                <w:b/>
                <w:bCs/>
                <w:color w:val="000000"/>
                <w:sz w:val="14"/>
                <w:szCs w:val="14"/>
                <w:lang w:val="fr-FR" w:eastAsia="fr-FR"/>
              </w:rPr>
              <w:t>r</w:t>
            </w:r>
            <w:r w:rsidRPr="00C73365">
              <w:rPr>
                <w:rFonts w:asciiTheme="minorHAnsi" w:hAnsiTheme="minorHAnsi" w:cstheme="minorHAnsi"/>
                <w:b/>
                <w:bCs/>
                <w:color w:val="000000"/>
                <w:sz w:val="14"/>
                <w:szCs w:val="14"/>
                <w:lang w:val="fr-FR" w:eastAsia="fr-FR"/>
              </w:rPr>
              <w:t>évue pour 2016</w:t>
            </w:r>
          </w:p>
        </w:tc>
        <w:tc>
          <w:tcPr>
            <w:tcW w:w="2580" w:type="dxa"/>
            <w:hideMark/>
          </w:tcPr>
          <w:p w14:paraId="5F34A770" w14:textId="32A120C3"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Un nouveau criblage de toute la chimiothèque antivirale d’</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est en cours et devrait conduire à la sélection de nouveaux </w:t>
            </w:r>
            <w:r w:rsidR="008F3550">
              <w:rPr>
                <w:rFonts w:asciiTheme="minorHAnsi" w:hAnsiTheme="minorHAnsi" w:cstheme="minorHAnsi"/>
                <w:b/>
                <w:bCs/>
                <w:color w:val="000000"/>
                <w:sz w:val="14"/>
                <w:szCs w:val="14"/>
                <w:lang w:val="fr-FR" w:eastAsia="fr-FR"/>
              </w:rPr>
              <w:t>hits</w:t>
            </w:r>
            <w:r w:rsidRPr="00C73365">
              <w:rPr>
                <w:rFonts w:asciiTheme="minorHAnsi" w:hAnsiTheme="minorHAnsi" w:cstheme="minorHAnsi"/>
                <w:b/>
                <w:bCs/>
                <w:color w:val="000000"/>
                <w:sz w:val="14"/>
                <w:szCs w:val="14"/>
                <w:lang w:val="fr-FR" w:eastAsia="fr-FR"/>
              </w:rPr>
              <w:t xml:space="preserve"> à optimiser dans les mois qui viennent.  Projet toujours actif chez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mais encore au stade de « lead generation ».</w:t>
            </w:r>
          </w:p>
          <w:p w14:paraId="02085194"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14:paraId="142E3EBC"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14:paraId="4D296CF8"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14:paraId="49463930"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14:paraId="260CD123"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14:paraId="54BFF85E"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14:paraId="63A80104"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tc>
        <w:tc>
          <w:tcPr>
            <w:tcW w:w="2975" w:type="dxa"/>
            <w:hideMark/>
          </w:tcPr>
          <w:p w14:paraId="3F3BF29C" w14:textId="77777777" w:rsidR="00882FD7" w:rsidRPr="00C73365" w:rsidRDefault="00EF089C"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ABIVAX</w:t>
            </w:r>
            <w:r w:rsidR="00882FD7" w:rsidRPr="00C73365">
              <w:rPr>
                <w:rFonts w:asciiTheme="minorHAnsi" w:hAnsiTheme="minorHAnsi" w:cstheme="minorHAnsi"/>
                <w:b/>
                <w:bCs/>
                <w:color w:val="000000"/>
                <w:sz w:val="14"/>
                <w:szCs w:val="14"/>
                <w:lang w:val="fr-FR" w:eastAsia="fr-FR"/>
              </w:rPr>
              <w:t xml:space="preserve"> est actuellement en train d’explorer sa chimiothèque antivirale ciblant la biogénèse des ARN pour identifier des molécules qui sont actives contre 4 sérotypes du virus. Au cours d’un premier screening, la société a identifié plusieurs molécules actives contre le sérotype 2 et commence à analyser cette piste quant à leur capacité à inhiber la réplication d’autres sérotypes.</w:t>
            </w:r>
          </w:p>
          <w:p w14:paraId="79D723AF" w14:textId="77777777"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14:paraId="4D80E8AF" w14:textId="77777777" w:rsidR="00882FD7" w:rsidRPr="00C73365" w:rsidRDefault="00882FD7" w:rsidP="006372F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val="fr-FR" w:eastAsia="fr-FR"/>
              </w:rPr>
            </w:pPr>
            <w:r w:rsidRPr="00C73365">
              <w:rPr>
                <w:rFonts w:asciiTheme="minorHAnsi" w:hAnsiTheme="minorHAnsi" w:cstheme="minorHAnsi"/>
                <w:b/>
                <w:bCs/>
                <w:color w:val="000000"/>
                <w:sz w:val="14"/>
                <w:szCs w:val="14"/>
                <w:lang w:val="fr-FR" w:eastAsia="fr-FR"/>
              </w:rPr>
              <w:t>L</w:t>
            </w:r>
            <w:r w:rsidR="004572A0" w:rsidRPr="00C73365">
              <w:rPr>
                <w:rFonts w:asciiTheme="minorHAnsi" w:hAnsiTheme="minorHAnsi" w:cstheme="minorHAnsi"/>
                <w:b/>
                <w:bCs/>
                <w:color w:val="000000"/>
                <w:sz w:val="14"/>
                <w:szCs w:val="14"/>
                <w:lang w:val="fr-FR" w:eastAsia="fr-FR"/>
              </w:rPr>
              <w:t>’</w:t>
            </w:r>
            <w:r w:rsidRPr="00C73365">
              <w:rPr>
                <w:rFonts w:asciiTheme="minorHAnsi" w:hAnsiTheme="minorHAnsi" w:cstheme="minorHAnsi"/>
                <w:b/>
                <w:bCs/>
                <w:color w:val="000000"/>
                <w:sz w:val="14"/>
                <w:szCs w:val="14"/>
                <w:lang w:val="fr-FR" w:eastAsia="fr-FR"/>
              </w:rPr>
              <w:t>objectif d</w:t>
            </w:r>
            <w:r w:rsidR="004572A0" w:rsidRPr="00C73365">
              <w:rPr>
                <w:rFonts w:asciiTheme="minorHAnsi" w:hAnsiTheme="minorHAnsi" w:cstheme="minorHAnsi"/>
                <w:b/>
                <w:bCs/>
                <w:color w:val="000000"/>
                <w:sz w:val="14"/>
                <w:szCs w:val="14"/>
                <w:lang w:val="fr-FR" w:eastAsia="fr-FR"/>
              </w:rPr>
              <w:t>’</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est de développer une seule molécule active contre tous les sérotypes de la dengue. Le projet passera en </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lead optimization</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 courant 2017</w:t>
            </w:r>
          </w:p>
        </w:tc>
        <w:tc>
          <w:tcPr>
            <w:tcW w:w="3246" w:type="dxa"/>
          </w:tcPr>
          <w:p w14:paraId="656B6201" w14:textId="6EEE2FD8"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Le projet est en phase de </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lead </w:t>
            </w:r>
            <w:r w:rsidR="008F3550">
              <w:rPr>
                <w:rFonts w:asciiTheme="minorHAnsi" w:hAnsiTheme="minorHAnsi" w:cstheme="minorHAnsi"/>
                <w:b/>
                <w:bCs/>
                <w:color w:val="000000"/>
                <w:sz w:val="14"/>
                <w:szCs w:val="14"/>
                <w:lang w:val="fr-FR" w:eastAsia="fr-FR"/>
              </w:rPr>
              <w:t>generation</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 courant 2017</w:t>
            </w:r>
          </w:p>
        </w:tc>
      </w:tr>
      <w:tr w:rsidR="00294ACE" w:rsidRPr="007C507C" w14:paraId="2E730EB1" w14:textId="77777777" w:rsidTr="00294ACE">
        <w:trPr>
          <w:trHeight w:val="683"/>
        </w:trPr>
        <w:tc>
          <w:tcPr>
            <w:cnfStyle w:val="001000000000" w:firstRow="0" w:lastRow="0" w:firstColumn="1" w:lastColumn="0" w:oddVBand="0" w:evenVBand="0" w:oddHBand="0" w:evenHBand="0" w:firstRowFirstColumn="0" w:firstRowLastColumn="0" w:lastRowFirstColumn="0" w:lastRowLastColumn="0"/>
            <w:tcW w:w="1409" w:type="dxa"/>
          </w:tcPr>
          <w:p w14:paraId="5ABCF351" w14:textId="433C13DB" w:rsidR="00294ACE" w:rsidRPr="00294ACE" w:rsidRDefault="00294ACE" w:rsidP="00294ACE">
            <w:pPr>
              <w:spacing w:after="0"/>
              <w:rPr>
                <w:rFonts w:asciiTheme="minorHAnsi" w:hAnsiTheme="minorHAnsi" w:cstheme="minorHAnsi"/>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tc>
        <w:tc>
          <w:tcPr>
            <w:tcW w:w="1209" w:type="dxa"/>
          </w:tcPr>
          <w:p w14:paraId="08ED6BD6"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14:paraId="1DCF51C1" w14:textId="77777777"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212" w:type="dxa"/>
          </w:tcPr>
          <w:p w14:paraId="35801F19" w14:textId="5C06A4EB"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Pr>
                <w:rFonts w:asciiTheme="minorHAnsi" w:hAnsiTheme="minorHAnsi" w:cstheme="minorHAnsi"/>
                <w:b/>
                <w:bCs/>
                <w:color w:val="000000"/>
                <w:sz w:val="14"/>
                <w:szCs w:val="14"/>
                <w:lang w:val="fr-FR" w:eastAsia="fr-FR"/>
              </w:rPr>
              <w:t>Traitement de la grippe</w:t>
            </w:r>
          </w:p>
        </w:tc>
        <w:tc>
          <w:tcPr>
            <w:tcW w:w="2104" w:type="dxa"/>
          </w:tcPr>
          <w:p w14:paraId="0F35CE96"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580" w:type="dxa"/>
          </w:tcPr>
          <w:p w14:paraId="1E43156E"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975" w:type="dxa"/>
          </w:tcPr>
          <w:p w14:paraId="0E99D4A3"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3246" w:type="dxa"/>
          </w:tcPr>
          <w:p w14:paraId="3E7F231E" w14:textId="5C339DDD"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Pr>
                <w:rFonts w:asciiTheme="minorHAnsi" w:hAnsiTheme="minorHAnsi" w:cstheme="minorHAnsi"/>
                <w:b/>
                <w:bCs/>
                <w:color w:val="000000"/>
                <w:sz w:val="14"/>
                <w:szCs w:val="14"/>
                <w:lang w:val="fr-FR" w:eastAsia="fr-FR"/>
              </w:rPr>
              <w:t>Stade préclinique : u</w:t>
            </w:r>
            <w:r w:rsidRPr="00294ACE">
              <w:rPr>
                <w:rFonts w:asciiTheme="minorHAnsi" w:hAnsiTheme="minorHAnsi" w:cstheme="minorHAnsi"/>
                <w:b/>
                <w:bCs/>
                <w:color w:val="000000"/>
                <w:sz w:val="14"/>
                <w:szCs w:val="14"/>
                <w:lang w:val="fr-FR" w:eastAsia="fr-FR"/>
              </w:rPr>
              <w:t>n cribl</w:t>
            </w:r>
            <w:r>
              <w:rPr>
                <w:rFonts w:asciiTheme="minorHAnsi" w:hAnsiTheme="minorHAnsi" w:cstheme="minorHAnsi"/>
                <w:b/>
                <w:bCs/>
                <w:color w:val="000000"/>
                <w:sz w:val="14"/>
                <w:szCs w:val="14"/>
                <w:lang w:val="fr-FR" w:eastAsia="fr-FR"/>
              </w:rPr>
              <w:t>a</w:t>
            </w:r>
            <w:r w:rsidRPr="00294ACE">
              <w:rPr>
                <w:rFonts w:asciiTheme="minorHAnsi" w:hAnsiTheme="minorHAnsi" w:cstheme="minorHAnsi"/>
                <w:b/>
                <w:bCs/>
                <w:color w:val="000000"/>
                <w:sz w:val="14"/>
                <w:szCs w:val="14"/>
                <w:lang w:val="fr-FR" w:eastAsia="fr-FR"/>
              </w:rPr>
              <w:t>ge de la chimiothèque à permis d’identifier des molécules contre le virus de la grippe</w:t>
            </w:r>
            <w:r>
              <w:rPr>
                <w:rFonts w:asciiTheme="minorHAnsi" w:hAnsiTheme="minorHAnsi" w:cstheme="minorHAnsi"/>
                <w:b/>
                <w:bCs/>
                <w:color w:val="000000"/>
                <w:sz w:val="14"/>
                <w:szCs w:val="14"/>
                <w:lang w:val="fr-FR" w:eastAsia="fr-FR"/>
              </w:rPr>
              <w:t>.  La phase de lead generation sera initiée en 2018</w:t>
            </w:r>
          </w:p>
        </w:tc>
      </w:tr>
      <w:tr w:rsidR="00294ACE" w:rsidRPr="007C507C" w14:paraId="72D86241" w14:textId="77777777" w:rsidTr="00294AC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409" w:type="dxa"/>
          </w:tcPr>
          <w:p w14:paraId="0EBA7E64" w14:textId="7C28EFE7" w:rsidR="00294ACE" w:rsidRPr="00C73365" w:rsidRDefault="00294ACE" w:rsidP="00294ACE">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tc>
        <w:tc>
          <w:tcPr>
            <w:tcW w:w="1209" w:type="dxa"/>
          </w:tcPr>
          <w:p w14:paraId="49885AF1" w14:textId="77777777"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14:paraId="238F725C" w14:textId="77777777" w:rsidR="00294ACE" w:rsidRPr="00294ACE"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212" w:type="dxa"/>
          </w:tcPr>
          <w:p w14:paraId="5122F775" w14:textId="699E973B" w:rsidR="00294ACE" w:rsidRPr="00294ACE"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Pr>
                <w:rFonts w:asciiTheme="minorHAnsi" w:hAnsiTheme="minorHAnsi" w:cstheme="minorHAnsi"/>
                <w:b/>
                <w:bCs/>
                <w:color w:val="000000"/>
                <w:sz w:val="14"/>
                <w:szCs w:val="14"/>
                <w:lang w:val="fr-FR" w:eastAsia="fr-FR"/>
              </w:rPr>
              <w:t>Traitement du virus r</w:t>
            </w:r>
            <w:r w:rsidRPr="00294ACE">
              <w:rPr>
                <w:rFonts w:asciiTheme="minorHAnsi" w:hAnsiTheme="minorHAnsi" w:cstheme="minorHAnsi"/>
                <w:b/>
                <w:bCs/>
                <w:color w:val="000000"/>
                <w:sz w:val="14"/>
                <w:szCs w:val="14"/>
                <w:lang w:val="fr-FR" w:eastAsia="fr-FR"/>
              </w:rPr>
              <w:t xml:space="preserve">espiratoire </w:t>
            </w:r>
            <w:r>
              <w:rPr>
                <w:rFonts w:asciiTheme="minorHAnsi" w:hAnsiTheme="minorHAnsi" w:cstheme="minorHAnsi"/>
                <w:b/>
                <w:bCs/>
                <w:color w:val="000000"/>
                <w:sz w:val="14"/>
                <w:szCs w:val="14"/>
                <w:lang w:val="fr-FR" w:eastAsia="fr-FR"/>
              </w:rPr>
              <w:t>s</w:t>
            </w:r>
            <w:r w:rsidRPr="00294ACE">
              <w:rPr>
                <w:rFonts w:asciiTheme="minorHAnsi" w:hAnsiTheme="minorHAnsi" w:cstheme="minorHAnsi"/>
                <w:b/>
                <w:bCs/>
                <w:color w:val="000000"/>
                <w:sz w:val="14"/>
                <w:szCs w:val="14"/>
                <w:lang w:val="fr-FR" w:eastAsia="fr-FR"/>
              </w:rPr>
              <w:t>yncitial</w:t>
            </w:r>
            <w:r>
              <w:rPr>
                <w:rFonts w:asciiTheme="minorHAnsi" w:hAnsiTheme="minorHAnsi" w:cstheme="minorHAnsi"/>
                <w:b/>
                <w:bCs/>
                <w:color w:val="000000"/>
                <w:sz w:val="14"/>
                <w:szCs w:val="14"/>
                <w:lang w:val="fr-FR" w:eastAsia="fr-FR"/>
              </w:rPr>
              <w:t xml:space="preserve"> (VRS)</w:t>
            </w:r>
          </w:p>
        </w:tc>
        <w:tc>
          <w:tcPr>
            <w:tcW w:w="2104" w:type="dxa"/>
          </w:tcPr>
          <w:p w14:paraId="457C1AA5" w14:textId="77777777"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580" w:type="dxa"/>
          </w:tcPr>
          <w:p w14:paraId="45170F4C" w14:textId="77777777"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975" w:type="dxa"/>
          </w:tcPr>
          <w:p w14:paraId="20B2AAE8" w14:textId="77777777"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3246" w:type="dxa"/>
          </w:tcPr>
          <w:p w14:paraId="01534706" w14:textId="23182532"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lang w:val="fr-FR" w:eastAsia="fr-FR"/>
              </w:rPr>
            </w:pPr>
            <w:r>
              <w:rPr>
                <w:rFonts w:asciiTheme="minorHAnsi" w:hAnsiTheme="minorHAnsi" w:cstheme="minorHAnsi"/>
                <w:b/>
                <w:bCs/>
                <w:color w:val="000000"/>
                <w:sz w:val="14"/>
                <w:szCs w:val="14"/>
                <w:lang w:val="fr-FR" w:eastAsia="fr-FR"/>
              </w:rPr>
              <w:t>Stade préclinique : u</w:t>
            </w:r>
            <w:r w:rsidRPr="00294ACE">
              <w:rPr>
                <w:rFonts w:asciiTheme="minorHAnsi" w:hAnsiTheme="minorHAnsi" w:cstheme="minorHAnsi"/>
                <w:b/>
                <w:bCs/>
                <w:color w:val="000000"/>
                <w:sz w:val="14"/>
                <w:szCs w:val="14"/>
                <w:lang w:val="fr-FR" w:eastAsia="fr-FR"/>
              </w:rPr>
              <w:t>n cribl</w:t>
            </w:r>
            <w:r>
              <w:rPr>
                <w:rFonts w:asciiTheme="minorHAnsi" w:hAnsiTheme="minorHAnsi" w:cstheme="minorHAnsi"/>
                <w:b/>
                <w:bCs/>
                <w:color w:val="000000"/>
                <w:sz w:val="14"/>
                <w:szCs w:val="14"/>
                <w:lang w:val="fr-FR" w:eastAsia="fr-FR"/>
              </w:rPr>
              <w:t>a</w:t>
            </w:r>
            <w:r w:rsidRPr="00294ACE">
              <w:rPr>
                <w:rFonts w:asciiTheme="minorHAnsi" w:hAnsiTheme="minorHAnsi" w:cstheme="minorHAnsi"/>
                <w:b/>
                <w:bCs/>
                <w:color w:val="000000"/>
                <w:sz w:val="14"/>
                <w:szCs w:val="14"/>
                <w:lang w:val="fr-FR" w:eastAsia="fr-FR"/>
              </w:rPr>
              <w:t>ge de la chimiothèque à permis d’identifier des molécules contre le</w:t>
            </w:r>
            <w:r>
              <w:rPr>
                <w:rFonts w:asciiTheme="minorHAnsi" w:hAnsiTheme="minorHAnsi" w:cstheme="minorHAnsi"/>
                <w:b/>
                <w:bCs/>
                <w:color w:val="000000"/>
                <w:sz w:val="14"/>
                <w:szCs w:val="14"/>
                <w:lang w:val="fr-FR" w:eastAsia="fr-FR"/>
              </w:rPr>
              <w:t xml:space="preserve"> VRS. Le projet est enphase de lead generation.</w:t>
            </w:r>
          </w:p>
        </w:tc>
      </w:tr>
      <w:tr w:rsidR="00294ACE" w:rsidRPr="0030056F" w14:paraId="32BBC168" w14:textId="77777777" w:rsidTr="00882FD7">
        <w:trPr>
          <w:trHeight w:val="1025"/>
        </w:trPr>
        <w:tc>
          <w:tcPr>
            <w:cnfStyle w:val="001000000000" w:firstRow="0" w:lastRow="0" w:firstColumn="1" w:lastColumn="0" w:oddVBand="0" w:evenVBand="0" w:oddHBand="0" w:evenHBand="0" w:firstRowFirstColumn="0" w:firstRowLastColumn="0" w:lastRowFirstColumn="0" w:lastRowLastColumn="0"/>
            <w:tcW w:w="1409" w:type="dxa"/>
            <w:hideMark/>
          </w:tcPr>
          <w:p w14:paraId="67E6FB7A" w14:textId="77777777" w:rsidR="00294ACE" w:rsidRPr="00C73365" w:rsidRDefault="00294ACE" w:rsidP="00294ACE">
            <w:pPr>
              <w:spacing w:after="0"/>
              <w:rPr>
                <w:rFonts w:asciiTheme="minorHAnsi" w:hAnsiTheme="minorHAnsi" w:cstheme="minorHAnsi"/>
                <w:b w:val="0"/>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p w14:paraId="234A6684" w14:textId="77777777" w:rsidR="00294ACE" w:rsidRPr="00C73365" w:rsidRDefault="00294ACE" w:rsidP="00294ACE">
            <w:pPr>
              <w:spacing w:after="0"/>
              <w:rPr>
                <w:rFonts w:asciiTheme="minorHAnsi" w:hAnsiTheme="minorHAnsi" w:cstheme="minorHAnsi"/>
                <w:b w:val="0"/>
                <w:bCs w:val="0"/>
                <w:color w:val="000000"/>
                <w:sz w:val="14"/>
                <w:szCs w:val="14"/>
                <w:lang w:val="fr-FR" w:eastAsia="fr-FR"/>
              </w:rPr>
            </w:pPr>
          </w:p>
        </w:tc>
        <w:tc>
          <w:tcPr>
            <w:tcW w:w="1209" w:type="dxa"/>
            <w:hideMark/>
          </w:tcPr>
          <w:p w14:paraId="784B9EB5"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eastAsia="fr-FR"/>
              </w:rPr>
              <w:t xml:space="preserve">Petite molécule antivirale </w:t>
            </w:r>
          </w:p>
        </w:tc>
        <w:tc>
          <w:tcPr>
            <w:tcW w:w="2212" w:type="dxa"/>
            <w:hideMark/>
          </w:tcPr>
          <w:p w14:paraId="08146DE8"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eastAsia="fr-FR"/>
              </w:rPr>
              <w:t>Traitement du Chikungunya</w:t>
            </w:r>
          </w:p>
        </w:tc>
        <w:tc>
          <w:tcPr>
            <w:tcW w:w="2104" w:type="dxa"/>
            <w:hideMark/>
          </w:tcPr>
          <w:p w14:paraId="12C92358"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Stade préclinique – Phase I prévue pour 2017</w:t>
            </w:r>
          </w:p>
        </w:tc>
        <w:tc>
          <w:tcPr>
            <w:tcW w:w="2580" w:type="dxa"/>
            <w:hideMark/>
          </w:tcPr>
          <w:p w14:paraId="495D9413"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ABX 311 est le nom du nouveau lead. Le projet est en phase préclinique. </w:t>
            </w:r>
          </w:p>
        </w:tc>
        <w:tc>
          <w:tcPr>
            <w:tcW w:w="2975" w:type="dxa"/>
            <w:hideMark/>
          </w:tcPr>
          <w:p w14:paraId="26068415"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ABX 311 est le nom du nouveau lead.</w:t>
            </w:r>
          </w:p>
          <w:p w14:paraId="6305D1AC"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projet est en phase préclinique. </w:t>
            </w:r>
          </w:p>
        </w:tc>
        <w:tc>
          <w:tcPr>
            <w:tcW w:w="3246" w:type="dxa"/>
          </w:tcPr>
          <w:p w14:paraId="7149AE97"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color w:val="000000"/>
                <w:sz w:val="14"/>
                <w:szCs w:val="14"/>
                <w:lang w:val="fr-FR" w:eastAsia="fr-FR"/>
              </w:rPr>
              <w:t>Programme de développement suspendu à la suite de la réévaluation à la baisse des perspectives d’incidence et de marché.</w:t>
            </w:r>
          </w:p>
        </w:tc>
      </w:tr>
      <w:tr w:rsidR="00294ACE" w:rsidRPr="00C73365" w14:paraId="6C5F0505" w14:textId="77777777" w:rsidTr="00882FD7">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409" w:type="dxa"/>
          </w:tcPr>
          <w:p w14:paraId="67F771A5" w14:textId="77777777" w:rsidR="00294ACE" w:rsidRPr="00C73365" w:rsidRDefault="00294ACE" w:rsidP="00294ACE">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b w:val="0"/>
                <w:color w:val="000000"/>
                <w:sz w:val="14"/>
                <w:szCs w:val="14"/>
                <w:lang w:eastAsia="fr-FR"/>
              </w:rPr>
              <w:t>ABX 220</w:t>
            </w:r>
          </w:p>
        </w:tc>
        <w:tc>
          <w:tcPr>
            <w:tcW w:w="1209" w:type="dxa"/>
          </w:tcPr>
          <w:p w14:paraId="1ACFAFFE" w14:textId="77777777"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Peptide inhibant l’entrée du virus de la dengue</w:t>
            </w:r>
          </w:p>
        </w:tc>
        <w:tc>
          <w:tcPr>
            <w:tcW w:w="2212" w:type="dxa"/>
          </w:tcPr>
          <w:p w14:paraId="2C9F7014" w14:textId="77777777"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eastAsia="fr-FR"/>
              </w:rPr>
            </w:pPr>
            <w:r w:rsidRPr="00C73365">
              <w:rPr>
                <w:rFonts w:asciiTheme="minorHAnsi" w:hAnsiTheme="minorHAnsi" w:cstheme="minorHAnsi"/>
                <w:bCs/>
                <w:color w:val="000000"/>
                <w:sz w:val="14"/>
                <w:szCs w:val="14"/>
                <w:lang w:eastAsia="fr-FR"/>
              </w:rPr>
              <w:t>Traitement de la dengue</w:t>
            </w:r>
          </w:p>
        </w:tc>
        <w:tc>
          <w:tcPr>
            <w:tcW w:w="2104" w:type="dxa"/>
          </w:tcPr>
          <w:p w14:paraId="7B9B69B5" w14:textId="77777777"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Stade préclinique – Phase I prévue pour 2016</w:t>
            </w:r>
          </w:p>
        </w:tc>
        <w:tc>
          <w:tcPr>
            <w:tcW w:w="2580" w:type="dxa"/>
          </w:tcPr>
          <w:p w14:paraId="143338AC" w14:textId="77777777"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contrat n’a pas été encore formellement dénoncé dans l’attente d’informations contradictoires probantes de la part du partenaire cubain. Notre partenaire doit conduire une nouvelle série de tests afin de conclure définitivement sur l’activité ou non antivirale de ce peptide anti Dengue. En attendant, le produit est exclu du portefeuille d’ABIVAX.</w:t>
            </w:r>
          </w:p>
        </w:tc>
        <w:tc>
          <w:tcPr>
            <w:tcW w:w="2975" w:type="dxa"/>
          </w:tcPr>
          <w:p w14:paraId="0C11D1F7" w14:textId="77777777"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contrat n’a pas été encore formellement dénoncé dans l’attente d’informations contradictoires probantes de la part du partenaire cubain. Notre partenaire doit conduire une nouvelle série de tests afin de conclure définitivement sur l’activité ou non antivirale de ce peptide anti Dengue. En attendant, le produit est exclu du portefeuille d’ABIVAX.</w:t>
            </w:r>
          </w:p>
        </w:tc>
        <w:tc>
          <w:tcPr>
            <w:tcW w:w="3246" w:type="dxa"/>
          </w:tcPr>
          <w:p w14:paraId="22B09C0B" w14:textId="77777777"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lang w:val="fr-FR" w:eastAsia="fr-FR"/>
              </w:rPr>
            </w:pPr>
            <w:r w:rsidRPr="00C73365">
              <w:rPr>
                <w:rFonts w:asciiTheme="minorHAnsi" w:hAnsiTheme="minorHAnsi" w:cstheme="minorHAnsi"/>
                <w:bCs/>
                <w:color w:val="000000"/>
                <w:sz w:val="14"/>
                <w:szCs w:val="14"/>
                <w:lang w:val="fr-FR" w:eastAsia="fr-FR"/>
              </w:rPr>
              <w:t xml:space="preserve">Position inchangée. </w:t>
            </w:r>
          </w:p>
        </w:tc>
      </w:tr>
      <w:tr w:rsidR="00294ACE" w:rsidRPr="00C73365" w14:paraId="0BF53434" w14:textId="77777777" w:rsidTr="00882FD7">
        <w:trPr>
          <w:trHeight w:val="1025"/>
        </w:trPr>
        <w:tc>
          <w:tcPr>
            <w:cnfStyle w:val="001000000000" w:firstRow="0" w:lastRow="0" w:firstColumn="1" w:lastColumn="0" w:oddVBand="0" w:evenVBand="0" w:oddHBand="0" w:evenHBand="0" w:firstRowFirstColumn="0" w:firstRowLastColumn="0" w:lastRowFirstColumn="0" w:lastRowLastColumn="0"/>
            <w:tcW w:w="1409" w:type="dxa"/>
          </w:tcPr>
          <w:p w14:paraId="14508568" w14:textId="77777777" w:rsidR="00294ACE" w:rsidRPr="00C73365" w:rsidRDefault="00294ACE" w:rsidP="00294ACE">
            <w:pPr>
              <w:spacing w:after="0"/>
              <w:rPr>
                <w:rFonts w:asciiTheme="minorHAnsi" w:hAnsiTheme="minorHAnsi" w:cstheme="minorHAnsi"/>
                <w:b w:val="0"/>
                <w:bCs w:val="0"/>
                <w:color w:val="000000"/>
                <w:sz w:val="14"/>
                <w:szCs w:val="14"/>
                <w:lang w:eastAsia="fr-FR"/>
              </w:rPr>
            </w:pPr>
            <w:r w:rsidRPr="00C73365">
              <w:rPr>
                <w:rFonts w:asciiTheme="minorHAnsi" w:hAnsiTheme="minorHAnsi" w:cstheme="minorHAnsi"/>
                <w:b w:val="0"/>
                <w:color w:val="000000"/>
                <w:sz w:val="14"/>
                <w:szCs w:val="14"/>
                <w:lang w:eastAsia="fr-FR"/>
              </w:rPr>
              <w:t>ABX203</w:t>
            </w:r>
          </w:p>
        </w:tc>
        <w:tc>
          <w:tcPr>
            <w:tcW w:w="1209" w:type="dxa"/>
          </w:tcPr>
          <w:p w14:paraId="701AB288"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Vaccin thérapeutique combinant deux antigènes du virus de l’hépatite B (HBsAg, HBcAg)</w:t>
            </w:r>
          </w:p>
        </w:tc>
        <w:tc>
          <w:tcPr>
            <w:tcW w:w="2212" w:type="dxa"/>
          </w:tcPr>
          <w:p w14:paraId="4B3FFDBF"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Traitement fonctionnel de l’Hépatite B Chronique</w:t>
            </w:r>
          </w:p>
        </w:tc>
        <w:tc>
          <w:tcPr>
            <w:tcW w:w="2104" w:type="dxa"/>
          </w:tcPr>
          <w:p w14:paraId="70F6696B"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Phases I et  II finalisées par le CIGB</w:t>
            </w:r>
          </w:p>
          <w:p w14:paraId="38371054"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Ph  IIb/III en cours par ABIVAX dans 9 pays d’Asie Pacifique– Résultats attendus au troisième trimestre 2016</w:t>
            </w:r>
          </w:p>
        </w:tc>
        <w:tc>
          <w:tcPr>
            <w:tcW w:w="2580" w:type="dxa"/>
          </w:tcPr>
          <w:p w14:paraId="337A3411"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Essai de Phase IIb/III réalisée dans 9 pays d’Asie Pacifique qui n’a pas démontré d’efficacité. Projet suspendu dans l’attente d’informations complémentaires de la part des partenaires cubains.</w:t>
            </w:r>
          </w:p>
        </w:tc>
        <w:tc>
          <w:tcPr>
            <w:tcW w:w="2975" w:type="dxa"/>
          </w:tcPr>
          <w:p w14:paraId="722C49F0"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Essai de Phase IIb/III réalisée dans 9 pays d’Asie Pacifique qui n’a pas démontré d’efficacité. Projet suspendu dans l’attente d’informations complémentaires de la part des partenaires cubains.</w:t>
            </w:r>
          </w:p>
        </w:tc>
        <w:tc>
          <w:tcPr>
            <w:tcW w:w="3246" w:type="dxa"/>
          </w:tcPr>
          <w:p w14:paraId="281D6D42" w14:textId="77777777"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Position inchangée.</w:t>
            </w:r>
          </w:p>
        </w:tc>
      </w:tr>
    </w:tbl>
    <w:p w14:paraId="58E05D58" w14:textId="77777777" w:rsidR="00693528" w:rsidRPr="00C73365" w:rsidRDefault="00693528" w:rsidP="00693528">
      <w:pPr>
        <w:rPr>
          <w:rFonts w:asciiTheme="minorHAnsi" w:hAnsiTheme="minorHAnsi" w:cstheme="minorHAnsi"/>
          <w:lang w:val="fr-FR"/>
        </w:rPr>
      </w:pPr>
    </w:p>
    <w:p w14:paraId="3269EA7C" w14:textId="77777777" w:rsidR="00693528" w:rsidRPr="00C73365" w:rsidRDefault="00693528" w:rsidP="00693528">
      <w:pPr>
        <w:rPr>
          <w:rFonts w:asciiTheme="minorHAnsi" w:hAnsiTheme="minorHAnsi" w:cstheme="minorHAnsi"/>
          <w:lang w:val="fr-FR"/>
        </w:rPr>
      </w:pPr>
    </w:p>
    <w:p w14:paraId="7DE999D9" w14:textId="77777777" w:rsidR="00693528" w:rsidRPr="00ED5051" w:rsidRDefault="00693528" w:rsidP="00ED5051">
      <w:pPr>
        <w:tabs>
          <w:tab w:val="left" w:pos="8760"/>
        </w:tabs>
        <w:outlineLvl w:val="2"/>
        <w:rPr>
          <w:rFonts w:asciiTheme="minorHAnsi" w:hAnsiTheme="minorHAnsi" w:cstheme="minorHAnsi"/>
          <w:b/>
          <w:color w:val="7030A0"/>
          <w:szCs w:val="22"/>
          <w:lang w:val="fr-FR"/>
        </w:rPr>
        <w:sectPr w:rsidR="00693528" w:rsidRPr="00ED5051" w:rsidSect="001F73EF">
          <w:headerReference w:type="even" r:id="rId18"/>
          <w:headerReference w:type="default" r:id="rId19"/>
          <w:footerReference w:type="even" r:id="rId20"/>
          <w:footerReference w:type="default" r:id="rId21"/>
          <w:headerReference w:type="first" r:id="rId22"/>
          <w:footerReference w:type="first" r:id="rId23"/>
          <w:type w:val="continuous"/>
          <w:pgSz w:w="16840" w:h="11907" w:orient="landscape" w:code="9"/>
          <w:pgMar w:top="1134" w:right="1134" w:bottom="1134" w:left="1134" w:header="709" w:footer="709" w:gutter="0"/>
          <w:cols w:space="708"/>
          <w:docGrid w:linePitch="360"/>
        </w:sectPr>
      </w:pPr>
    </w:p>
    <w:p w14:paraId="05C011B9" w14:textId="77777777" w:rsidR="00F46C7B" w:rsidRPr="00C73365" w:rsidRDefault="00F46C7B" w:rsidP="007A1897">
      <w:pPr>
        <w:pStyle w:val="ConmainL3"/>
        <w:numPr>
          <w:ilvl w:val="2"/>
          <w:numId w:val="9"/>
        </w:numPr>
        <w:spacing w:after="120"/>
        <w:ind w:left="1276" w:hanging="556"/>
        <w:rPr>
          <w:rFonts w:asciiTheme="minorHAnsi" w:hAnsiTheme="minorHAnsi" w:cstheme="minorHAnsi"/>
          <w:b/>
          <w:color w:val="7030A0"/>
          <w:lang w:val="fr-FR"/>
        </w:rPr>
      </w:pPr>
      <w:bookmarkStart w:id="283" w:name="_Hlk509508778"/>
      <w:r w:rsidRPr="00C73365">
        <w:rPr>
          <w:rFonts w:asciiTheme="minorHAnsi" w:hAnsiTheme="minorHAnsi" w:cstheme="minorHAnsi"/>
          <w:b/>
          <w:color w:val="7030A0"/>
          <w:lang w:val="fr-FR"/>
        </w:rPr>
        <w:lastRenderedPageBreak/>
        <w:t>ABX464, une petite molécule novatrice capable d’inhiber la réplication du VIH</w:t>
      </w:r>
    </w:p>
    <w:bookmarkEnd w:id="283"/>
    <w:p w14:paraId="34748B4C" w14:textId="77777777" w:rsidR="000161A1" w:rsidRPr="00C73365" w:rsidRDefault="000161A1" w:rsidP="004572A0">
      <w:pPr>
        <w:pStyle w:val="Corpsdetexte"/>
        <w:rPr>
          <w:rFonts w:asciiTheme="minorHAnsi" w:hAnsiTheme="minorHAnsi" w:cstheme="minorHAnsi"/>
          <w:lang w:val="fr-FR"/>
        </w:rPr>
      </w:pPr>
      <w:r w:rsidRPr="00C73365">
        <w:rPr>
          <w:rFonts w:asciiTheme="minorHAnsi" w:hAnsiTheme="minorHAnsi" w:cstheme="minorHAnsi"/>
          <w:lang w:val="fr-FR"/>
        </w:rPr>
        <w:t>ABX464 est une petite molécule novatrice « </w:t>
      </w:r>
      <w:r w:rsidRPr="00C73365">
        <w:rPr>
          <w:rFonts w:asciiTheme="minorHAnsi" w:hAnsiTheme="minorHAnsi" w:cstheme="minorHAnsi"/>
          <w:i/>
          <w:lang w:val="fr-FR"/>
        </w:rPr>
        <w:t>First-in-class</w:t>
      </w:r>
      <w:r w:rsidRPr="00C73365">
        <w:rPr>
          <w:rFonts w:asciiTheme="minorHAnsi" w:hAnsiTheme="minorHAnsi" w:cstheme="minorHAnsi"/>
          <w:lang w:val="fr-FR"/>
        </w:rPr>
        <w:t xml:space="preserve"> » aux propriétés et mode d’action uniques qui est issue de sa chimiothèque propriétaire d’antiviraux générée par sa plateforme « antivirale ».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a non seulement démontré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elle inhibait la réplication virale </w:t>
      </w:r>
      <w:r w:rsidRPr="00C73365">
        <w:rPr>
          <w:rFonts w:asciiTheme="minorHAnsi" w:hAnsiTheme="minorHAnsi" w:cstheme="minorHAnsi"/>
          <w:i/>
          <w:lang w:val="fr-FR"/>
        </w:rPr>
        <w:t>in vitro</w:t>
      </w:r>
      <w:r w:rsidRPr="00C73365">
        <w:rPr>
          <w:rFonts w:asciiTheme="minorHAnsi" w:hAnsiTheme="minorHAnsi" w:cstheme="minorHAnsi"/>
          <w:lang w:val="fr-FR"/>
        </w:rPr>
        <w:t xml:space="preserve"> et </w:t>
      </w:r>
      <w:r w:rsidRPr="00C73365">
        <w:rPr>
          <w:rFonts w:asciiTheme="minorHAnsi" w:hAnsiTheme="minorHAnsi" w:cstheme="minorHAnsi"/>
          <w:i/>
          <w:lang w:val="fr-FR"/>
        </w:rPr>
        <w:t>in vivo</w:t>
      </w:r>
      <w:r w:rsidRPr="00C73365">
        <w:rPr>
          <w:rFonts w:asciiTheme="minorHAnsi" w:hAnsiTheme="minorHAnsi" w:cstheme="minorHAnsi"/>
          <w:lang w:val="fr-FR"/>
        </w:rPr>
        <w:t>, mais également qu</w:t>
      </w:r>
      <w:r w:rsidR="004572A0" w:rsidRPr="00C73365">
        <w:rPr>
          <w:rFonts w:asciiTheme="minorHAnsi" w:hAnsiTheme="minorHAnsi" w:cstheme="minorHAnsi"/>
          <w:lang w:val="fr-FR"/>
        </w:rPr>
        <w:t>’</w:t>
      </w:r>
      <w:r w:rsidRPr="00C73365">
        <w:rPr>
          <w:rFonts w:asciiTheme="minorHAnsi" w:hAnsiTheme="minorHAnsi" w:cstheme="minorHAnsi"/>
          <w:lang w:val="fr-FR"/>
        </w:rPr>
        <w:t>elle induisait, dans un modèle animal, une réduction à long terme de la charge virale après arrêt du traitement chez la souris, sans toutefois induire de résistances.</w:t>
      </w:r>
    </w:p>
    <w:p w14:paraId="7610B913" w14:textId="77777777" w:rsidR="000161A1" w:rsidRPr="00C73365" w:rsidRDefault="000161A1" w:rsidP="004572A0">
      <w:pPr>
        <w:pStyle w:val="Corpsdetexte"/>
        <w:rPr>
          <w:rFonts w:asciiTheme="minorHAnsi" w:hAnsiTheme="minorHAnsi" w:cstheme="minorHAnsi"/>
          <w:lang w:val="fr-FR"/>
        </w:rPr>
      </w:pPr>
      <w:r w:rsidRPr="00C73365">
        <w:rPr>
          <w:rFonts w:asciiTheme="minorHAnsi" w:hAnsiTheme="minorHAnsi" w:cstheme="minorHAnsi"/>
          <w:lang w:val="fr-FR"/>
        </w:rPr>
        <w:t>Cette molécule dispose d</w:t>
      </w:r>
      <w:r w:rsidR="004572A0" w:rsidRPr="00C73365">
        <w:rPr>
          <w:rFonts w:asciiTheme="minorHAnsi" w:hAnsiTheme="minorHAnsi" w:cstheme="minorHAnsi"/>
          <w:lang w:val="fr-FR"/>
        </w:rPr>
        <w:t>’</w:t>
      </w:r>
      <w:r w:rsidRPr="00C73365">
        <w:rPr>
          <w:rFonts w:asciiTheme="minorHAnsi" w:hAnsiTheme="minorHAnsi" w:cstheme="minorHAnsi"/>
          <w:lang w:val="fr-FR"/>
        </w:rPr>
        <w:t>un important potentiel dans le cadre du développement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une nouvelle classe de médicaments antirétroviraux, susceptibles éventuellement de conduire à une guérison fonctionnelle des patients. </w:t>
      </w:r>
    </w:p>
    <w:p w14:paraId="7A98FF44" w14:textId="77777777" w:rsidR="000161A1" w:rsidRPr="00C73365" w:rsidRDefault="000161A1" w:rsidP="004572A0">
      <w:pPr>
        <w:pStyle w:val="Corpsdetexte"/>
        <w:rPr>
          <w:rFonts w:asciiTheme="minorHAnsi" w:hAnsiTheme="minorHAnsi" w:cstheme="minorHAnsi"/>
          <w:lang w:val="fr-FR"/>
        </w:rPr>
      </w:pPr>
      <w:r w:rsidRPr="00C73365">
        <w:rPr>
          <w:rFonts w:asciiTheme="minorHAnsi" w:hAnsiTheme="minorHAnsi" w:cstheme="minorHAnsi"/>
          <w:lang w:val="fr-FR"/>
        </w:rPr>
        <w:t>Deux études de phase I réalisées sur 72 sujets sains ont démontré que le produit était bien toléré aux doses thérapeutiques prévues. Une première étude de phase IIa sur 66 sujets infectés par le VIH-1 conduite en 2015 a apporté une première preuve de l’activité antivirale de l’ABX464 chez l’homme tout en confirmant sa bonne tolérance.</w:t>
      </w:r>
    </w:p>
    <w:p w14:paraId="5A85CD29" w14:textId="77777777" w:rsidR="000161A1" w:rsidRPr="00C73365" w:rsidRDefault="000161A1" w:rsidP="004572A0">
      <w:pPr>
        <w:pStyle w:val="Corpsdetexte"/>
        <w:rPr>
          <w:rFonts w:asciiTheme="minorHAnsi" w:hAnsiTheme="minorHAnsi" w:cstheme="minorHAnsi"/>
          <w:lang w:val="fr-FR"/>
        </w:rPr>
      </w:pPr>
      <w:r w:rsidRPr="00C73365">
        <w:rPr>
          <w:rFonts w:asciiTheme="minorHAnsi" w:hAnsiTheme="minorHAnsi" w:cstheme="minorHAnsi"/>
          <w:lang w:val="fr-FR"/>
        </w:rPr>
        <w:t>Une deuxième étude de phase IIa (ABX464-004) a été lancée à partir d’Avril 2016 en Espagne, en Belgique et en France pour explorer l’effet thérapeutique à long terme de l’ABX464 lorsqu’il est utilisé en combinaison avec d’autres antiviraux. Les résultats préliminaires de cette étude ont été communiqués le 2 mai 2017. Ils mettent en évidence une baisse des réservoirs du VIH induite par ABX464.</w:t>
      </w:r>
    </w:p>
    <w:p w14:paraId="5A1C88AB" w14:textId="77777777" w:rsidR="000161A1" w:rsidRPr="00C73365" w:rsidRDefault="000161A1" w:rsidP="00A96CCA">
      <w:pPr>
        <w:pStyle w:val="NormalWeb"/>
        <w:shd w:val="clear" w:color="auto" w:fill="FFFFFF"/>
        <w:spacing w:before="0" w:beforeAutospacing="0" w:after="120" w:afterAutospacing="0"/>
        <w:rPr>
          <w:rFonts w:asciiTheme="minorHAnsi" w:hAnsiTheme="minorHAnsi" w:cstheme="minorHAnsi"/>
          <w:bCs/>
          <w:lang w:val="fr-FR"/>
        </w:rPr>
      </w:pPr>
      <w:r w:rsidRPr="00C73365">
        <w:rPr>
          <w:rFonts w:asciiTheme="minorHAnsi" w:hAnsiTheme="minorHAnsi" w:cstheme="minorHAnsi"/>
          <w:lang w:val="fr-FR"/>
        </w:rPr>
        <w:t xml:space="preserve">Par ailleurs et afin de mieux comprendre le mode d’action de la molécule sur les cellules « réservoirs » du virus, une étude clinique spécifique de Phase IIa (ABX464-005) est conduite depuis avril 2017 dans un centre d’excellence en Espagne (étude dite « compartimentale »). </w:t>
      </w:r>
      <w:r w:rsidRPr="00C73365">
        <w:rPr>
          <w:rFonts w:asciiTheme="minorHAnsi" w:hAnsiTheme="minorHAnsi" w:cstheme="minorHAnsi"/>
          <w:bCs/>
          <w:lang w:val="fr-FR"/>
        </w:rPr>
        <w:t xml:space="preserve">Les résultats provenant d’un premier groupe de 11 patients ont été communiqués en </w:t>
      </w:r>
      <w:r w:rsidR="006B119E" w:rsidRPr="00C73365">
        <w:rPr>
          <w:rFonts w:asciiTheme="minorHAnsi" w:hAnsiTheme="minorHAnsi" w:cstheme="minorHAnsi"/>
          <w:bCs/>
          <w:lang w:val="fr-FR"/>
        </w:rPr>
        <w:t>Septembre</w:t>
      </w:r>
      <w:r w:rsidRPr="00C73365">
        <w:rPr>
          <w:rFonts w:asciiTheme="minorHAnsi" w:hAnsiTheme="minorHAnsi" w:cstheme="minorHAnsi"/>
          <w:bCs/>
          <w:lang w:val="fr-FR"/>
        </w:rPr>
        <w:t xml:space="preserve"> 2017. Ils confirment </w:t>
      </w:r>
      <w:r w:rsidRPr="00C73365">
        <w:rPr>
          <w:rFonts w:asciiTheme="minorHAnsi" w:hAnsiTheme="minorHAnsi" w:cstheme="minorHAnsi"/>
          <w:lang w:val="fr-FR"/>
        </w:rPr>
        <w:t xml:space="preserve">une baisse des réservoirs du VIH induite par ABX464. </w:t>
      </w:r>
      <w:r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1F273E" w:rsidRPr="00C73365">
        <w:rPr>
          <w:rFonts w:asciiTheme="minorHAnsi" w:hAnsiTheme="minorHAnsi" w:cstheme="minorHAnsi"/>
          <w:bCs/>
          <w:lang w:val="fr-FR"/>
        </w:rPr>
        <w:t>au 3</w:t>
      </w:r>
      <w:r w:rsidR="001F273E" w:rsidRPr="00C73365">
        <w:rPr>
          <w:rFonts w:asciiTheme="minorHAnsi" w:hAnsiTheme="minorHAnsi" w:cstheme="minorHAnsi"/>
          <w:bCs/>
          <w:vertAlign w:val="superscript"/>
          <w:lang w:val="fr-FR"/>
        </w:rPr>
        <w:t>ème</w:t>
      </w:r>
      <w:r w:rsidR="001F273E" w:rsidRPr="00C73365">
        <w:rPr>
          <w:rFonts w:asciiTheme="minorHAnsi" w:hAnsiTheme="minorHAnsi" w:cstheme="minorHAnsi"/>
          <w:bCs/>
          <w:lang w:val="fr-FR"/>
        </w:rPr>
        <w:t xml:space="preserve"> trimestre </w:t>
      </w:r>
      <w:r w:rsidRPr="00C73365">
        <w:rPr>
          <w:rFonts w:asciiTheme="minorHAnsi" w:hAnsiTheme="minorHAnsi" w:cstheme="minorHAnsi"/>
          <w:bCs/>
          <w:lang w:val="fr-FR"/>
        </w:rPr>
        <w:t>2018.</w:t>
      </w:r>
    </w:p>
    <w:p w14:paraId="13B3DBBE" w14:textId="77777777"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Les résultats des études ABX464-004 et 005 sont de nature à justifier le démarrage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une étude de phase IIb (ABX464-006) en Europe et aux Etats-Unis </w:t>
      </w:r>
      <w:r w:rsidR="001F273E" w:rsidRPr="00C73365">
        <w:rPr>
          <w:rFonts w:asciiTheme="minorHAnsi" w:hAnsiTheme="minorHAnsi" w:cstheme="minorHAnsi"/>
          <w:szCs w:val="20"/>
          <w:lang w:val="fr-FR"/>
        </w:rPr>
        <w:t xml:space="preserve">à </w:t>
      </w:r>
      <w:r w:rsidRPr="00C73365">
        <w:rPr>
          <w:rFonts w:asciiTheme="minorHAnsi" w:hAnsiTheme="minorHAnsi" w:cstheme="minorHAnsi"/>
          <w:szCs w:val="20"/>
          <w:lang w:val="fr-FR"/>
        </w:rPr>
        <w:t>la fin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année 2018.</w:t>
      </w:r>
    </w:p>
    <w:p w14:paraId="7601D6C5" w14:textId="2F3C3E0C"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En conséquence,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prévoit de soumettre en 2018 une demande d’IND (Investigational New Drug) auprès de la Food and Drug Administration (FDA) qui permettrait la conduite de l’étude de phase IIb (ABX464-006) aux Etats-Unis.</w:t>
      </w:r>
    </w:p>
    <w:p w14:paraId="3F994019" w14:textId="77777777"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lang w:val="fr-FR"/>
        </w:rPr>
        <w:t xml:space="preserve">Par ailleurs, </w:t>
      </w:r>
      <w:r w:rsidRPr="00C73365">
        <w:rPr>
          <w:rFonts w:asciiTheme="minorHAnsi" w:hAnsiTheme="minorHAnsi" w:cstheme="minorHAnsi"/>
          <w:szCs w:val="20"/>
          <w:lang w:val="fr-FR"/>
        </w:rPr>
        <w:t>de nouvelles données précliniques sur ABX464 ont démontré que la molécule a un fort effet anti-inflammatoire.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autres maladies telles que la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intestin (dont la </w:t>
      </w:r>
      <w:r w:rsidR="00357A37" w:rsidRPr="00C73365">
        <w:rPr>
          <w:rFonts w:asciiTheme="minorHAnsi" w:hAnsiTheme="minorHAnsi" w:cstheme="minorHAnsi"/>
          <w:szCs w:val="20"/>
          <w:lang w:val="fr-FR"/>
        </w:rPr>
        <w:t>rectocolite hémorragique</w:t>
      </w:r>
      <w:r w:rsidRPr="00C73365">
        <w:rPr>
          <w:rFonts w:asciiTheme="minorHAnsi" w:hAnsiTheme="minorHAnsi" w:cstheme="minorHAnsi"/>
          <w:szCs w:val="20"/>
          <w:lang w:val="fr-FR"/>
        </w:rPr>
        <w:t xml:space="preserve"> et la maladie de Crohn). ABX464 a démontré un effet durable sur la prévention de symptômes typiquement observés dans le cas de colite inflammatoire (dont 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intestin. </w:t>
      </w:r>
    </w:p>
    <w:p w14:paraId="753CD4B9" w14:textId="285DDFA1"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Sur la base de ces résultats, la société a initié au cours du troisième trimestre 2017 une étude clinique de preuve de concept ABX464-101</w:t>
      </w:r>
      <w:r w:rsidR="00E011E7" w:rsidRPr="00C73365">
        <w:rPr>
          <w:rFonts w:asciiTheme="minorHAnsi" w:hAnsiTheme="minorHAnsi" w:cstheme="minorHAnsi"/>
          <w:b/>
          <w:szCs w:val="20"/>
          <w:lang w:val="fr-FR"/>
        </w:rPr>
        <w:t xml:space="preserve"> </w:t>
      </w:r>
      <w:r w:rsidR="00E011E7" w:rsidRPr="00C73365">
        <w:rPr>
          <w:rFonts w:asciiTheme="minorHAnsi" w:hAnsiTheme="minorHAnsi" w:cstheme="minorHAnsi"/>
          <w:szCs w:val="20"/>
          <w:lang w:val="fr-FR"/>
        </w:rPr>
        <w:t xml:space="preserve">sur la propriété anti-inflammatoire à destination de la Maladie Inflammatoire Chronique de l’Intestin (MICI) ou Inflammatory Bowel Disease (IBD) dont fait partie la </w:t>
      </w:r>
      <w:r w:rsidR="00357A37" w:rsidRPr="00C73365">
        <w:rPr>
          <w:rFonts w:asciiTheme="minorHAnsi" w:hAnsiTheme="minorHAnsi" w:cstheme="minorHAnsi"/>
          <w:szCs w:val="20"/>
          <w:lang w:val="fr-FR"/>
        </w:rPr>
        <w:t>rectocolite hémorragique</w:t>
      </w:r>
      <w:r w:rsidR="00E011E7"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Cette étude est conduite dans 8 pays européens (France, Belgique, Allemagne, Espagne, Autriche, République tchèque, Hongrie et Pologne) et évalue d’activité et la tolérance d’ABX464 à la dose de 50mg par jour administré durant 8 semaines chez des patients atteints d’une rectocolite hémorragique active et résistante aux traitements actuels. Le premier patient a été inclus en Novembre 2017.</w:t>
      </w:r>
    </w:p>
    <w:p w14:paraId="39B9AEA6" w14:textId="77777777"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bookmarkStart w:id="284" w:name="_Hlk509508760"/>
      <w:r w:rsidRPr="00C73365">
        <w:rPr>
          <w:rFonts w:asciiTheme="minorHAnsi" w:hAnsiTheme="minorHAnsi" w:cstheme="minorHAnsi"/>
          <w:szCs w:val="20"/>
          <w:lang w:val="fr-FR"/>
        </w:rPr>
        <w:t xml:space="preserve">Les résultats de cette étude clinique d’induction sont attendus en </w:t>
      </w:r>
      <w:r w:rsidR="006B119E" w:rsidRPr="00C73365">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14:paraId="236DF072" w14:textId="77777777" w:rsidR="000161A1" w:rsidRPr="00C73365" w:rsidRDefault="00EF089C" w:rsidP="00A96CCA">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1F64B5" w:rsidRPr="00C73365">
        <w:rPr>
          <w:rFonts w:asciiTheme="minorHAnsi" w:hAnsiTheme="minorHAnsi" w:cstheme="minorHAnsi"/>
          <w:lang w:val="fr-FR"/>
        </w:rPr>
        <w:t xml:space="preserve"> estime que les résultats obtenus au cours des études successives de phase IIa et IIb dans le HIV ainsi que d</w:t>
      </w:r>
      <w:r w:rsidR="000161A1" w:rsidRPr="00C73365">
        <w:rPr>
          <w:rFonts w:asciiTheme="minorHAnsi" w:hAnsiTheme="minorHAnsi" w:cstheme="minorHAnsi"/>
          <w:szCs w:val="20"/>
          <w:lang w:val="fr-FR"/>
        </w:rPr>
        <w:t>es résultats cliniques</w:t>
      </w:r>
      <w:r w:rsidR="001F64B5" w:rsidRPr="00C73365">
        <w:rPr>
          <w:rFonts w:asciiTheme="minorHAnsi" w:hAnsiTheme="minorHAnsi" w:cstheme="minorHAnsi"/>
          <w:szCs w:val="20"/>
          <w:lang w:val="fr-FR"/>
        </w:rPr>
        <w:t xml:space="preserve"> de phase I</w:t>
      </w:r>
      <w:r w:rsidR="001219E1" w:rsidRPr="00C73365">
        <w:rPr>
          <w:rFonts w:asciiTheme="minorHAnsi" w:hAnsiTheme="minorHAnsi" w:cstheme="minorHAnsi"/>
          <w:szCs w:val="20"/>
          <w:lang w:val="fr-FR"/>
        </w:rPr>
        <w:t>I</w:t>
      </w:r>
      <w:r w:rsidR="001F64B5" w:rsidRPr="00C73365">
        <w:rPr>
          <w:rFonts w:asciiTheme="minorHAnsi" w:hAnsiTheme="minorHAnsi" w:cstheme="minorHAnsi"/>
          <w:szCs w:val="20"/>
          <w:lang w:val="fr-FR"/>
        </w:rPr>
        <w:t xml:space="preserve">a </w:t>
      </w:r>
      <w:r w:rsidR="000161A1" w:rsidRPr="00C73365">
        <w:rPr>
          <w:rFonts w:asciiTheme="minorHAnsi" w:hAnsiTheme="minorHAnsi" w:cstheme="minorHAnsi"/>
          <w:szCs w:val="20"/>
          <w:lang w:val="fr-FR"/>
        </w:rPr>
        <w:t>positifs dans</w:t>
      </w:r>
      <w:r w:rsidR="001F64B5" w:rsidRPr="00C73365">
        <w:rPr>
          <w:rFonts w:asciiTheme="minorHAnsi" w:hAnsiTheme="minorHAnsi" w:cstheme="minorHAnsi"/>
          <w:szCs w:val="20"/>
          <w:lang w:val="fr-FR"/>
        </w:rPr>
        <w:t xml:space="preserve"> l’</w:t>
      </w:r>
      <w:r w:rsidR="000161A1" w:rsidRPr="00C73365">
        <w:rPr>
          <w:rFonts w:asciiTheme="minorHAnsi" w:hAnsiTheme="minorHAnsi" w:cstheme="minorHAnsi"/>
          <w:szCs w:val="20"/>
          <w:lang w:val="fr-FR"/>
        </w:rPr>
        <w:t>indication</w:t>
      </w:r>
      <w:r w:rsidR="001F64B5" w:rsidRPr="00C73365">
        <w:rPr>
          <w:rFonts w:asciiTheme="minorHAnsi" w:hAnsiTheme="minorHAnsi" w:cstheme="minorHAnsi"/>
          <w:szCs w:val="20"/>
          <w:lang w:val="fr-FR"/>
        </w:rPr>
        <w:t xml:space="preserve"> rectocolite hémorragique </w:t>
      </w:r>
      <w:r w:rsidR="000161A1" w:rsidRPr="00C73365">
        <w:rPr>
          <w:rFonts w:asciiTheme="minorHAnsi" w:hAnsiTheme="minorHAnsi" w:cstheme="minorHAnsi"/>
          <w:lang w:val="fr-FR"/>
        </w:rPr>
        <w:t>permettraient</w:t>
      </w:r>
      <w:r w:rsidR="00B22DA2" w:rsidRPr="00C73365">
        <w:rPr>
          <w:rFonts w:asciiTheme="minorHAnsi" w:hAnsiTheme="minorHAnsi" w:cstheme="minorHAnsi"/>
          <w:lang w:val="fr-FR"/>
        </w:rPr>
        <w:t xml:space="preserve"> d’accélérer</w:t>
      </w:r>
      <w:r w:rsidR="000161A1" w:rsidRPr="00C73365">
        <w:rPr>
          <w:rFonts w:asciiTheme="minorHAnsi" w:hAnsiTheme="minorHAnsi" w:cstheme="minorHAnsi"/>
          <w:lang w:val="fr-FR"/>
        </w:rPr>
        <w:t xml:space="preserve"> la conclusion d’un accord de licence, ou de co-développement et de co-commercialisation, avant l’entrée en phase III, avec une ou plusieurs grandes sociétés pharmaceutiques ou des sociétés de biotechnologie actives dans le domaine du VIH et/ou des MICI.</w:t>
      </w:r>
    </w:p>
    <w:bookmarkEnd w:id="284"/>
    <w:p w14:paraId="4BAE0C98" w14:textId="77777777"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 xml:space="preserve">Trois plateformes technologiques de pointe </w:t>
      </w:r>
    </w:p>
    <w:p w14:paraId="6F26127C" w14:textId="77777777" w:rsidR="00056EF5"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056EF5" w:rsidRPr="00C73365">
        <w:rPr>
          <w:rFonts w:asciiTheme="minorHAnsi" w:hAnsiTheme="minorHAnsi" w:cstheme="minorHAnsi"/>
          <w:lang w:val="fr-FR"/>
        </w:rPr>
        <w:t>, en collaboration avec des centres de recherche académiques de premier plan mondial,</w:t>
      </w:r>
      <w:r w:rsidR="00A94ACE" w:rsidRPr="00C73365">
        <w:rPr>
          <w:rFonts w:asciiTheme="minorHAnsi" w:hAnsiTheme="minorHAnsi" w:cstheme="minorHAnsi"/>
          <w:lang w:val="fr-FR"/>
        </w:rPr>
        <w:t xml:space="preserve"> </w:t>
      </w:r>
      <w:r w:rsidR="00056EF5" w:rsidRPr="00C73365">
        <w:rPr>
          <w:rFonts w:asciiTheme="minorHAnsi" w:hAnsiTheme="minorHAnsi" w:cstheme="minorHAnsi"/>
          <w:lang w:val="fr-FR"/>
        </w:rPr>
        <w:t>a développé des plateformes technologiques uniques, permettant de générer des antiviraux et des immuno-stimulateurs novateurs qui alimentent le pipeline de produits en développement de la Société.</w:t>
      </w:r>
    </w:p>
    <w:p w14:paraId="22A01523" w14:textId="77777777" w:rsidR="00A640BD" w:rsidRPr="00C73365" w:rsidRDefault="00A640BD">
      <w:pPr>
        <w:rPr>
          <w:rFonts w:asciiTheme="minorHAnsi" w:hAnsiTheme="minorHAnsi" w:cstheme="minorHAnsi"/>
          <w:b/>
          <w:color w:val="7030A0"/>
          <w:szCs w:val="22"/>
          <w:lang w:val="fr-FR"/>
        </w:rPr>
      </w:pPr>
    </w:p>
    <w:p w14:paraId="72579D61" w14:textId="77777777" w:rsidR="007F48F1" w:rsidRPr="00C73365" w:rsidRDefault="00103D8C">
      <w:pPr>
        <w:jc w:val="center"/>
        <w:rPr>
          <w:rFonts w:asciiTheme="minorHAnsi" w:hAnsiTheme="minorHAnsi" w:cstheme="minorHAnsi"/>
          <w:b/>
          <w:color w:val="7030A0"/>
          <w:szCs w:val="22"/>
          <w:lang w:val="fr-FR"/>
        </w:rPr>
      </w:pPr>
      <w:r w:rsidRPr="00C73365">
        <w:rPr>
          <w:rFonts w:asciiTheme="minorHAnsi" w:hAnsiTheme="minorHAnsi" w:cstheme="minorHAnsi"/>
          <w:noProof/>
          <w:lang w:val="fr-FR" w:eastAsia="fr-FR"/>
        </w:rPr>
        <w:lastRenderedPageBreak/>
        <w:drawing>
          <wp:inline distT="0" distB="0" distL="0" distR="0" wp14:anchorId="2B955205" wp14:editId="1A7858CB">
            <wp:extent cx="4594860" cy="2766060"/>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4860" cy="2766060"/>
                    </a:xfrm>
                    <a:prstGeom prst="rect">
                      <a:avLst/>
                    </a:prstGeom>
                    <a:noFill/>
                  </pic:spPr>
                </pic:pic>
              </a:graphicData>
            </a:graphic>
          </wp:inline>
        </w:drawing>
      </w:r>
    </w:p>
    <w:p w14:paraId="263D7EE3" w14:textId="77777777" w:rsidR="007F48F1" w:rsidRPr="00C73365" w:rsidRDefault="007F48F1" w:rsidP="004572A0">
      <w:pPr>
        <w:pStyle w:val="Corpsdetexte"/>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14:paraId="20398CA1"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 plateforme technologique «Antivirale»:</w:t>
      </w:r>
    </w:p>
    <w:p w14:paraId="5AD4BEE0"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plateforme technologique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(auparavant nommée « épissage » mais renommée pour prendre en compte les autres mécanismes d’action antivirale de sa chimiothèque) est dédiée à la génération de petites molécules antivirales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novateur. Elle est basée sur une connaissance approfondie des processus de transformation de l</w:t>
      </w:r>
      <w:r w:rsidR="004572A0" w:rsidRPr="00C73365">
        <w:rPr>
          <w:rFonts w:asciiTheme="minorHAnsi" w:hAnsiTheme="minorHAnsi" w:cstheme="minorHAnsi"/>
          <w:lang w:val="fr-FR"/>
        </w:rPr>
        <w:t>’</w:t>
      </w:r>
      <w:r w:rsidRPr="00C73365">
        <w:rPr>
          <w:rFonts w:asciiTheme="minorHAnsi" w:hAnsiTheme="minorHAnsi" w:cstheme="minorHAnsi"/>
          <w:lang w:val="fr-FR"/>
        </w:rPr>
        <w:t>ARN viral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intérieur des cellules humaines hôtes et de la capacité de ces composés chimiques propriétaires à moduler les interactions ARN/protéines. Cette plateforme permet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s’intéresser à un large éventail de cibles virales. Cette plateforme a généré une chimiothèque propriétaire ciblée constituée de plus de 1 </w:t>
      </w:r>
      <w:r w:rsidR="008B16FF" w:rsidRPr="00C73365">
        <w:rPr>
          <w:rFonts w:asciiTheme="minorHAnsi" w:hAnsiTheme="minorHAnsi" w:cstheme="minorHAnsi"/>
          <w:lang w:val="fr-FR"/>
        </w:rPr>
        <w:t>2</w:t>
      </w:r>
      <w:r w:rsidRPr="00C73365">
        <w:rPr>
          <w:rFonts w:asciiTheme="minorHAnsi" w:hAnsiTheme="minorHAnsi" w:cstheme="minorHAnsi"/>
          <w:lang w:val="fr-FR"/>
        </w:rPr>
        <w:t>00 petites molécules disposant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potentiel thérapeutique contre les maladies infectieuses. Le programme de découverte de candidats-médicaments se focalise sur une cible médicamenteuse prometteuse, le complexe ribonucléoprotéinique (RNP) et sur l’altération de la biogénèse des ARN. </w:t>
      </w:r>
    </w:p>
    <w:p w14:paraId="2EAB6EAB"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En plus de l’ABX464 contre le VIH/SIDA, </w:t>
      </w:r>
      <w:r w:rsidR="008B16FF" w:rsidRPr="00C73365">
        <w:rPr>
          <w:rFonts w:asciiTheme="minorHAnsi" w:hAnsiTheme="minorHAnsi" w:cstheme="minorHAnsi"/>
          <w:lang w:val="fr-FR"/>
        </w:rPr>
        <w:t>et contre les MICI, l</w:t>
      </w:r>
      <w:r w:rsidRPr="00C73365">
        <w:rPr>
          <w:rFonts w:asciiTheme="minorHAnsi" w:hAnsiTheme="minorHAnsi" w:cstheme="minorHAnsi"/>
          <w:lang w:val="fr-FR"/>
        </w:rPr>
        <w:t>a Plateforme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pourrait à terme permettre l’élaboration de médicaments permettant de traiter d</w:t>
      </w:r>
      <w:r w:rsidR="004572A0" w:rsidRPr="00C73365">
        <w:rPr>
          <w:rFonts w:asciiTheme="minorHAnsi" w:hAnsiTheme="minorHAnsi" w:cstheme="minorHAnsi"/>
          <w:lang w:val="fr-FR"/>
        </w:rPr>
        <w:t>’</w:t>
      </w:r>
      <w:r w:rsidRPr="00C73365">
        <w:rPr>
          <w:rFonts w:asciiTheme="minorHAnsi" w:hAnsiTheme="minorHAnsi" w:cstheme="minorHAnsi"/>
          <w:lang w:val="fr-FR"/>
        </w:rPr>
        <w:t>autres grands virus, comme la Dengue, le Virus Respiratoire Syncitial (VRS), le Virus de l’Hépatite B (HBV), le Virus de l’Herpès (HSV), le Cytomégalovirus (CMV) ou le Virus de la Grippe. Il est probable que certaines de ces autres indications potentielles soient développées au travers de collaborations.</w:t>
      </w:r>
    </w:p>
    <w:p w14:paraId="01C1610E"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 plateforme technologique «Stimulation Immunitaire»:</w:t>
      </w:r>
    </w:p>
    <w:p w14:paraId="72B4FBC6" w14:textId="77777777" w:rsidR="00056EF5"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056EF5" w:rsidRPr="00C73365">
        <w:rPr>
          <w:rFonts w:asciiTheme="minorHAnsi" w:hAnsiTheme="minorHAnsi" w:cstheme="minorHAnsi"/>
          <w:lang w:val="fr-FR"/>
        </w:rPr>
        <w:t xml:space="preserve"> développe également une plateforme susceptible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 xml:space="preserve">aboutir à une nouvelle classe de Stimulants Immunitaires pour une utilisation dans les domaines de l’immuno-oncologie et de l’immuno-virologie. Cette plateforme (auparavant dénommée </w:t>
      </w:r>
      <w:r w:rsidR="00E16C9A" w:rsidRPr="00C73365">
        <w:rPr>
          <w:rFonts w:asciiTheme="minorHAnsi" w:hAnsiTheme="minorHAnsi" w:cstheme="minorHAnsi"/>
          <w:lang w:val="fr-FR"/>
        </w:rPr>
        <w:t>plateforme adjuvante</w:t>
      </w:r>
      <w:r w:rsidR="00056EF5" w:rsidRPr="00C73365">
        <w:rPr>
          <w:rFonts w:asciiTheme="minorHAnsi" w:hAnsiTheme="minorHAnsi" w:cstheme="minorHAnsi"/>
          <w:lang w:val="fr-FR"/>
        </w:rPr>
        <w:t>, mais renommée pour prendre en compte les applications possibles en immuno-oncologie des composés) s</w:t>
      </w:r>
      <w:r w:rsidR="004572A0" w:rsidRPr="00C73365">
        <w:rPr>
          <w:rFonts w:asciiTheme="minorHAnsi" w:hAnsiTheme="minorHAnsi" w:cstheme="minorHAnsi"/>
          <w:lang w:val="fr-FR"/>
        </w:rPr>
        <w:t>’</w:t>
      </w:r>
      <w:r w:rsidR="00056EF5" w:rsidRPr="00C73365">
        <w:rPr>
          <w:rFonts w:asciiTheme="minorHAnsi" w:hAnsiTheme="minorHAnsi" w:cstheme="minorHAnsi"/>
          <w:lang w:val="fr-FR"/>
        </w:rPr>
        <w:t>appuie sur une technologie et des droits exclusifs acquis auprès du Scripps Research Institute, de l</w:t>
      </w:r>
      <w:r w:rsidR="004572A0" w:rsidRPr="00C73365">
        <w:rPr>
          <w:rFonts w:asciiTheme="minorHAnsi" w:hAnsiTheme="minorHAnsi" w:cstheme="minorHAnsi"/>
          <w:lang w:val="fr-FR"/>
        </w:rPr>
        <w:t>’</w:t>
      </w:r>
      <w:r w:rsidR="00056EF5" w:rsidRPr="00C73365">
        <w:rPr>
          <w:rFonts w:asciiTheme="minorHAnsi" w:hAnsiTheme="minorHAnsi" w:cstheme="minorHAnsi"/>
          <w:lang w:val="fr-FR"/>
        </w:rPr>
        <w:t>Université de Chicago et de la Brigham Young University.</w:t>
      </w:r>
    </w:p>
    <w:p w14:paraId="242BC2C9" w14:textId="77777777" w:rsidR="00056EF5" w:rsidRPr="00C73365" w:rsidRDefault="00056EF5" w:rsidP="004572A0">
      <w:pPr>
        <w:pStyle w:val="Corpsdetexte"/>
        <w:rPr>
          <w:rFonts w:asciiTheme="minorHAnsi" w:hAnsiTheme="minorHAnsi" w:cstheme="minorHAnsi"/>
          <w:lang w:val="fr-FR"/>
        </w:rPr>
      </w:pPr>
      <w:r w:rsidRPr="00C73365">
        <w:rPr>
          <w:rFonts w:asciiTheme="minorHAnsi" w:hAnsiTheme="minorHAnsi" w:cstheme="minorHAnsi"/>
          <w:lang w:val="fr-FR"/>
        </w:rPr>
        <w:t>La technologie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sert d’agonistes des cellules iNKT comme stimulants, afin de renforcer et moduler la réponse immunitaire à un antigène. Les agonistes iNKT sont capables de stimuler de manière spécifique un petit sous-ensemble de lymphocytes régulateurs appelé cellules NKT (cellules « Natural Killer T »), qui constituent de puissants stimulant</w:t>
      </w:r>
      <w:r w:rsidR="001F64B5" w:rsidRPr="00C73365">
        <w:rPr>
          <w:rFonts w:asciiTheme="minorHAnsi" w:hAnsiTheme="minorHAnsi" w:cstheme="minorHAnsi"/>
          <w:lang w:val="fr-FR"/>
        </w:rPr>
        <w:t xml:space="preserve">s </w:t>
      </w:r>
      <w:r w:rsidRPr="00C73365">
        <w:rPr>
          <w:rFonts w:asciiTheme="minorHAnsi" w:hAnsiTheme="minorHAnsi" w:cstheme="minorHAnsi"/>
          <w:lang w:val="fr-FR"/>
        </w:rPr>
        <w:t>immunitaires.</w:t>
      </w:r>
    </w:p>
    <w:p w14:paraId="3DDC5A22" w14:textId="77777777" w:rsidR="00056EF5" w:rsidRPr="00C73365" w:rsidRDefault="00056EF5" w:rsidP="004572A0">
      <w:pPr>
        <w:pStyle w:val="Corpsdetexte"/>
        <w:rPr>
          <w:rFonts w:asciiTheme="minorHAnsi" w:hAnsiTheme="minorHAnsi" w:cstheme="minorHAnsi"/>
          <w:lang w:val="fr-FR"/>
        </w:rPr>
      </w:pPr>
      <w:r w:rsidRPr="00C73365">
        <w:rPr>
          <w:rFonts w:asciiTheme="minorHAnsi" w:hAnsiTheme="minorHAnsi" w:cstheme="minorHAnsi"/>
          <w:lang w:val="fr-FR"/>
        </w:rPr>
        <w:t>ABX196 est un candidat-stimulant immunitaire novateur pour la vaccination basée sur les agonistes des cellules NKT. Un essai clinique de phase I avec un vaccin prophylactique contre l</w:t>
      </w:r>
      <w:r w:rsidR="004572A0" w:rsidRPr="00C73365">
        <w:rPr>
          <w:rFonts w:asciiTheme="minorHAnsi" w:hAnsiTheme="minorHAnsi" w:cstheme="minorHAnsi"/>
          <w:lang w:val="fr-FR"/>
        </w:rPr>
        <w:t>’</w:t>
      </w:r>
      <w:r w:rsidRPr="00C73365">
        <w:rPr>
          <w:rFonts w:asciiTheme="minorHAnsi" w:hAnsiTheme="minorHAnsi" w:cstheme="minorHAnsi"/>
          <w:lang w:val="fr-FR"/>
        </w:rPr>
        <w:t>hépatite B a été réalisé en 2013. L</w:t>
      </w:r>
      <w:r w:rsidR="004572A0" w:rsidRPr="00C73365">
        <w:rPr>
          <w:rFonts w:asciiTheme="minorHAnsi" w:hAnsiTheme="minorHAnsi" w:cstheme="minorHAnsi"/>
          <w:lang w:val="fr-FR"/>
        </w:rPr>
        <w:t>’</w:t>
      </w:r>
      <w:r w:rsidRPr="00C73365">
        <w:rPr>
          <w:rFonts w:asciiTheme="minorHAnsi" w:hAnsiTheme="minorHAnsi" w:cstheme="minorHAnsi"/>
          <w:lang w:val="fr-FR"/>
        </w:rPr>
        <w:t>ajout d</w:t>
      </w:r>
      <w:r w:rsidR="004572A0" w:rsidRPr="00C73365">
        <w:rPr>
          <w:rFonts w:asciiTheme="minorHAnsi" w:hAnsiTheme="minorHAnsi" w:cstheme="minorHAnsi"/>
          <w:lang w:val="fr-FR"/>
        </w:rPr>
        <w:t>’</w:t>
      </w:r>
      <w:r w:rsidRPr="00C73365">
        <w:rPr>
          <w:rFonts w:asciiTheme="minorHAnsi" w:hAnsiTheme="minorHAnsi" w:cstheme="minorHAnsi"/>
          <w:lang w:val="fr-FR"/>
        </w:rPr>
        <w:t>ABX196 à l</w:t>
      </w:r>
      <w:r w:rsidR="004572A0" w:rsidRPr="00C73365">
        <w:rPr>
          <w:rFonts w:asciiTheme="minorHAnsi" w:hAnsiTheme="minorHAnsi" w:cstheme="minorHAnsi"/>
          <w:lang w:val="fr-FR"/>
        </w:rPr>
        <w:t>’</w:t>
      </w:r>
      <w:r w:rsidRPr="00C73365">
        <w:rPr>
          <w:rFonts w:asciiTheme="minorHAnsi" w:hAnsiTheme="minorHAnsi" w:cstheme="minorHAnsi"/>
          <w:lang w:val="fr-FR"/>
        </w:rPr>
        <w:t>antigène HBs immunogène a causé une réponse protectrice des anticorps anti-HBs chez la majorité des patients. Les résultats de l</w:t>
      </w:r>
      <w:r w:rsidR="004572A0" w:rsidRPr="00C73365">
        <w:rPr>
          <w:rFonts w:asciiTheme="minorHAnsi" w:hAnsiTheme="minorHAnsi" w:cstheme="minorHAnsi"/>
          <w:lang w:val="fr-FR"/>
        </w:rPr>
        <w:t>’</w:t>
      </w:r>
      <w:r w:rsidRPr="00C73365">
        <w:rPr>
          <w:rFonts w:asciiTheme="minorHAnsi" w:hAnsiTheme="minorHAnsi" w:cstheme="minorHAnsi"/>
          <w:lang w:val="fr-FR"/>
        </w:rPr>
        <w:t>étude indiquent que chez les patients/volontaires ayant reçu ABX196 accompagné d</w:t>
      </w:r>
      <w:r w:rsidR="004572A0" w:rsidRPr="00C73365">
        <w:rPr>
          <w:rFonts w:asciiTheme="minorHAnsi" w:hAnsiTheme="minorHAnsi" w:cstheme="minorHAnsi"/>
          <w:lang w:val="fr-FR"/>
        </w:rPr>
        <w:t>’</w:t>
      </w:r>
      <w:r w:rsidRPr="00C73365">
        <w:rPr>
          <w:rFonts w:asciiTheme="minorHAnsi" w:hAnsiTheme="minorHAnsi" w:cstheme="minorHAnsi"/>
          <w:lang w:val="fr-FR"/>
        </w:rPr>
        <w:t>un antigène HBs, une injection unique semble suffisante pour procurer une protection contre l’hépatite B. Cette plateforme offre la possibilité d</w:t>
      </w:r>
      <w:r w:rsidR="004572A0" w:rsidRPr="00C73365">
        <w:rPr>
          <w:rFonts w:asciiTheme="minorHAnsi" w:hAnsiTheme="minorHAnsi" w:cstheme="minorHAnsi"/>
          <w:lang w:val="fr-FR"/>
        </w:rPr>
        <w:t>’</w:t>
      </w:r>
      <w:r w:rsidRPr="00C73365">
        <w:rPr>
          <w:rFonts w:asciiTheme="minorHAnsi" w:hAnsiTheme="minorHAnsi" w:cstheme="minorHAnsi"/>
          <w:lang w:val="fr-FR"/>
        </w:rPr>
        <w:t>être également utilisée dans une gamme plus large d</w:t>
      </w:r>
      <w:r w:rsidR="004572A0" w:rsidRPr="00C73365">
        <w:rPr>
          <w:rFonts w:asciiTheme="minorHAnsi" w:hAnsiTheme="minorHAnsi" w:cstheme="minorHAnsi"/>
          <w:lang w:val="fr-FR"/>
        </w:rPr>
        <w:t>’</w:t>
      </w:r>
      <w:r w:rsidRPr="00C73365">
        <w:rPr>
          <w:rFonts w:asciiTheme="minorHAnsi" w:hAnsiTheme="minorHAnsi" w:cstheme="minorHAnsi"/>
          <w:lang w:val="fr-FR"/>
        </w:rPr>
        <w:t>indications dans le domaine des infections (grippe, chlamydia), et pour la potentialisation immunitaire spécifique ou non dans les domaines des maladies auto-immunes, des allergies et du cancer.</w:t>
      </w:r>
    </w:p>
    <w:p w14:paraId="497A9E45" w14:textId="77777777" w:rsidR="001F64B5" w:rsidRPr="00C73365" w:rsidRDefault="00056EF5"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E</w:t>
      </w:r>
      <w:r w:rsidR="001F64B5" w:rsidRPr="00C73365">
        <w:rPr>
          <w:rFonts w:asciiTheme="minorHAnsi" w:hAnsiTheme="minorHAnsi" w:cstheme="minorHAnsi"/>
          <w:lang w:val="fr-FR"/>
        </w:rPr>
        <w:t>nfin</w:t>
      </w:r>
      <w:r w:rsidRPr="00C73365">
        <w:rPr>
          <w:rFonts w:asciiTheme="minorHAnsi" w:hAnsiTheme="minorHAnsi" w:cstheme="minorHAnsi"/>
          <w:lang w:val="fr-FR"/>
        </w:rPr>
        <w:t xml:space="preserve">, de nouvelles études pré-cliniques en immuno-oncologie ont </w:t>
      </w:r>
      <w:r w:rsidR="001F64B5" w:rsidRPr="00C73365">
        <w:rPr>
          <w:rFonts w:asciiTheme="minorHAnsi" w:hAnsiTheme="minorHAnsi" w:cstheme="minorHAnsi"/>
          <w:lang w:val="fr-FR"/>
        </w:rPr>
        <w:t xml:space="preserve">été </w:t>
      </w:r>
      <w:r w:rsidRPr="00C73365">
        <w:rPr>
          <w:rFonts w:asciiTheme="minorHAnsi" w:hAnsiTheme="minorHAnsi" w:cstheme="minorHAnsi"/>
          <w:lang w:val="fr-FR"/>
        </w:rPr>
        <w:t xml:space="preserve">réalisées afin de démontrer le potentiel </w:t>
      </w:r>
      <w:r w:rsidR="00CA7218" w:rsidRPr="00C73365">
        <w:rPr>
          <w:rFonts w:asciiTheme="minorHAnsi" w:hAnsiTheme="minorHAnsi" w:cstheme="minorHAnsi"/>
          <w:lang w:val="fr-FR"/>
        </w:rPr>
        <w:t>antitumoral</w:t>
      </w:r>
      <w:r w:rsidRPr="00C73365">
        <w:rPr>
          <w:rFonts w:asciiTheme="minorHAnsi" w:hAnsiTheme="minorHAnsi" w:cstheme="minorHAnsi"/>
          <w:lang w:val="fr-FR"/>
        </w:rPr>
        <w:t xml:space="preserve"> d’ABX196. Dans ce cadre,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en recherche de partenaires pour octroi de licence sur l’utilisation d’ABX196 dans une indication immuno-oncologie</w:t>
      </w:r>
      <w:r w:rsidR="008B16FF" w:rsidRPr="00C73365">
        <w:rPr>
          <w:rFonts w:asciiTheme="minorHAnsi" w:hAnsiTheme="minorHAnsi" w:cstheme="minorHAnsi"/>
          <w:lang w:val="fr-FR"/>
        </w:rPr>
        <w:t xml:space="preserve">, </w:t>
      </w:r>
      <w:r w:rsidR="001F64B5" w:rsidRPr="00C73365">
        <w:rPr>
          <w:rFonts w:asciiTheme="minorHAnsi" w:hAnsiTheme="minorHAnsi" w:cstheme="minorHAnsi"/>
          <w:lang w:val="fr-FR"/>
        </w:rPr>
        <w:t>après atteinte des premiers résultats cliniques d’efficacité dans l’hépatocarcinome avancé.</w:t>
      </w:r>
    </w:p>
    <w:p w14:paraId="0016A7B2"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La plateforme « Anticorps Polyclonaux »</w:t>
      </w:r>
    </w:p>
    <w:p w14:paraId="002BF6FD" w14:textId="77777777" w:rsidR="00F46C7B" w:rsidRPr="00C73365" w:rsidRDefault="00F46C7B" w:rsidP="004572A0">
      <w:pPr>
        <w:pStyle w:val="Corpsdetexte"/>
        <w:rPr>
          <w:rFonts w:asciiTheme="minorHAnsi" w:eastAsiaTheme="minorEastAsia" w:hAnsiTheme="minorHAnsi" w:cstheme="minorHAnsi"/>
          <w:lang w:val="fr-FR"/>
        </w:rPr>
      </w:pPr>
      <w:r w:rsidRPr="00C73365">
        <w:rPr>
          <w:rFonts w:asciiTheme="minorHAnsi" w:eastAsiaTheme="minorEastAsia" w:hAnsiTheme="minorHAnsi" w:cstheme="minorHAnsi"/>
          <w:lang w:val="fr-FR"/>
        </w:rPr>
        <w:t>Sur la base de l</w:t>
      </w:r>
      <w:r w:rsidR="004572A0" w:rsidRPr="00C73365">
        <w:rPr>
          <w:rFonts w:asciiTheme="minorHAnsi" w:eastAsiaTheme="minorEastAsia" w:hAnsiTheme="minorHAnsi" w:cstheme="minorHAnsi"/>
          <w:lang w:val="fr-FR"/>
        </w:rPr>
        <w:t>’</w:t>
      </w:r>
      <w:r w:rsidRPr="00C73365">
        <w:rPr>
          <w:rFonts w:asciiTheme="minorHAnsi" w:eastAsiaTheme="minorEastAsia" w:hAnsiTheme="minorHAnsi" w:cstheme="minorHAnsi"/>
          <w:lang w:val="fr-FR"/>
        </w:rPr>
        <w:t>expertise précédemment acquise dans le développement d</w:t>
      </w:r>
      <w:r w:rsidR="004572A0" w:rsidRPr="00C73365">
        <w:rPr>
          <w:rFonts w:asciiTheme="minorHAnsi" w:eastAsiaTheme="minorEastAsia" w:hAnsiTheme="minorHAnsi" w:cstheme="minorHAnsi"/>
          <w:lang w:val="fr-FR"/>
        </w:rPr>
        <w:t>’</w:t>
      </w:r>
      <w:r w:rsidRPr="00C73365">
        <w:rPr>
          <w:rFonts w:asciiTheme="minorHAnsi" w:eastAsiaTheme="minorEastAsia" w:hAnsiTheme="minorHAnsi" w:cstheme="minorHAnsi"/>
          <w:lang w:val="fr-FR"/>
        </w:rPr>
        <w:t xml:space="preserve">anticorps polyclonaux employés dans la prévention des rejets de greffe, </w:t>
      </w:r>
      <w:r w:rsidR="00EF089C" w:rsidRPr="00C73365">
        <w:rPr>
          <w:rFonts w:asciiTheme="minorHAnsi" w:eastAsiaTheme="minorEastAsia" w:hAnsiTheme="minorHAnsi" w:cstheme="minorHAnsi"/>
          <w:lang w:val="fr-FR"/>
        </w:rPr>
        <w:t>ABIVAX</w:t>
      </w:r>
      <w:r w:rsidRPr="00C73365">
        <w:rPr>
          <w:rFonts w:asciiTheme="minorHAnsi" w:eastAsiaTheme="minorEastAsia" w:hAnsiTheme="minorHAnsi" w:cstheme="minorHAnsi"/>
          <w:lang w:val="fr-FR"/>
        </w:rPr>
        <w:t xml:space="preserve"> a décidé de développer des anticorps polyclonaux destinés au traitement des personnes infectées par le virus Ebola et à la protection des personnes en contact avec les malades </w:t>
      </w:r>
      <w:r w:rsidR="00E16C9A" w:rsidRPr="00C73365">
        <w:rPr>
          <w:rFonts w:asciiTheme="minorHAnsi" w:eastAsiaTheme="minorEastAsia" w:hAnsiTheme="minorHAnsi" w:cstheme="minorHAnsi"/>
          <w:lang w:val="fr-FR"/>
        </w:rPr>
        <w:t>et le</w:t>
      </w:r>
      <w:r w:rsidRPr="00C73365">
        <w:rPr>
          <w:rFonts w:asciiTheme="minorHAnsi" w:eastAsiaTheme="minorEastAsia" w:hAnsiTheme="minorHAnsi" w:cstheme="minorHAnsi"/>
          <w:lang w:val="fr-FR"/>
        </w:rPr>
        <w:t xml:space="preserve"> personnel soignant. </w:t>
      </w:r>
      <w:r w:rsidR="00EF089C" w:rsidRPr="00C73365">
        <w:rPr>
          <w:rFonts w:asciiTheme="minorHAnsi" w:eastAsiaTheme="minorEastAsia" w:hAnsiTheme="minorHAnsi" w:cstheme="minorHAnsi"/>
          <w:lang w:val="fr-FR"/>
        </w:rPr>
        <w:t>ABIVAX</w:t>
      </w:r>
      <w:r w:rsidRPr="00C73365">
        <w:rPr>
          <w:rFonts w:asciiTheme="minorHAnsi" w:eastAsiaTheme="minorEastAsia" w:hAnsiTheme="minorHAnsi" w:cstheme="minorHAnsi"/>
          <w:lang w:val="fr-FR"/>
        </w:rPr>
        <w:t xml:space="preserve"> est l’une des rares compagnies de biotechnologie internationales qui a l’expertise dans ce domaine.</w:t>
      </w:r>
    </w:p>
    <w:p w14:paraId="31AEF88B" w14:textId="77777777" w:rsidR="000C5E80" w:rsidRPr="00C73365" w:rsidRDefault="000C5E80" w:rsidP="000C5E80">
      <w:pPr>
        <w:pStyle w:val="Paragraphedeliste"/>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Un partenariat avec des organismes cubains des sciences de la vie</w:t>
      </w:r>
    </w:p>
    <w:p w14:paraId="2081A935" w14:textId="77777777" w:rsidR="000C5E80" w:rsidRPr="00C73365" w:rsidRDefault="000C5E80" w:rsidP="000C5E80">
      <w:pPr>
        <w:pStyle w:val="Paragraphedeliste"/>
        <w:ind w:left="0"/>
        <w:rPr>
          <w:rFonts w:asciiTheme="minorHAnsi" w:hAnsiTheme="minorHAnsi" w:cstheme="minorHAnsi"/>
          <w:color w:val="7030A0"/>
          <w:szCs w:val="22"/>
          <w:lang w:val="fr-FR"/>
        </w:rPr>
      </w:pPr>
    </w:p>
    <w:p w14:paraId="29452A53" w14:textId="77777777" w:rsidR="000C5E80" w:rsidRPr="00C73365" w:rsidRDefault="000C5E80" w:rsidP="000C5E80">
      <w:pPr>
        <w:pStyle w:val="Paragraphedeliste"/>
        <w:numPr>
          <w:ilvl w:val="3"/>
          <w:numId w:val="9"/>
        </w:numPr>
        <w:spacing w:after="0"/>
        <w:outlineLvl w:val="2"/>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Un partenariat avec le Centre d’Ingénierie Génétique et Biotechnologique de Cuba</w:t>
      </w:r>
      <w:r w:rsidRPr="00C73365" w:rsidDel="00CE0F50">
        <w:rPr>
          <w:rFonts w:asciiTheme="minorHAnsi" w:hAnsiTheme="minorHAnsi" w:cstheme="minorHAnsi"/>
          <w:color w:val="000000" w:themeColor="text1"/>
          <w:szCs w:val="22"/>
          <w:lang w:val="fr-FR"/>
        </w:rPr>
        <w:t xml:space="preserve"> </w:t>
      </w:r>
    </w:p>
    <w:p w14:paraId="5D758459" w14:textId="77777777" w:rsidR="000C5E80" w:rsidRPr="00C73365" w:rsidRDefault="000C5E80" w:rsidP="000C5E80">
      <w:pPr>
        <w:pStyle w:val="ConmainL5"/>
        <w:widowControl w:val="0"/>
        <w:tabs>
          <w:tab w:val="num" w:pos="567"/>
        </w:tabs>
        <w:spacing w:after="0" w:line="240" w:lineRule="atLeast"/>
        <w:outlineLvl w:val="9"/>
        <w:rPr>
          <w:rFonts w:asciiTheme="minorHAnsi" w:eastAsiaTheme="minorEastAsia" w:hAnsiTheme="minorHAnsi" w:cstheme="minorHAnsi"/>
          <w:bCs/>
          <w:i w:val="0"/>
          <w:color w:val="000000"/>
          <w:lang w:val="fr-FR" w:eastAsia="fr-FR"/>
        </w:rPr>
      </w:pPr>
    </w:p>
    <w:p w14:paraId="00632E24" w14:textId="77777777" w:rsidR="000C5E80" w:rsidRPr="00C73365" w:rsidRDefault="00EF089C" w:rsidP="000C5E80">
      <w:pPr>
        <w:pStyle w:val="ConmainL5"/>
        <w:widowControl w:val="0"/>
        <w:spacing w:after="0" w:line="240" w:lineRule="atLeast"/>
        <w:outlineLvl w:val="9"/>
        <w:rPr>
          <w:rFonts w:asciiTheme="minorHAnsi" w:eastAsiaTheme="minorEastAsia" w:hAnsiTheme="minorHAnsi" w:cstheme="minorHAnsi"/>
          <w:bCs/>
          <w:i w:val="0"/>
          <w:color w:val="000000"/>
          <w:lang w:val="fr-FR" w:eastAsia="fr-FR"/>
        </w:rPr>
      </w:pPr>
      <w:r w:rsidRPr="00C73365">
        <w:rPr>
          <w:rFonts w:asciiTheme="minorHAnsi" w:eastAsiaTheme="minorEastAsia" w:hAnsiTheme="minorHAnsi" w:cstheme="minorHAnsi"/>
          <w:bCs/>
          <w:i w:val="0"/>
          <w:color w:val="000000"/>
          <w:lang w:val="fr-FR" w:eastAsia="fr-FR"/>
        </w:rPr>
        <w:t>ABIVAX</w:t>
      </w:r>
      <w:r w:rsidR="000C5E80" w:rsidRPr="00C73365">
        <w:rPr>
          <w:rFonts w:asciiTheme="minorHAnsi" w:eastAsiaTheme="minorEastAsia" w:hAnsiTheme="minorHAnsi" w:cstheme="minorHAnsi"/>
          <w:bCs/>
          <w:i w:val="0"/>
          <w:color w:val="000000"/>
          <w:lang w:val="fr-FR" w:eastAsia="fr-FR"/>
        </w:rPr>
        <w:t xml:space="preserve"> avait établi un partenariat avec le Centre d’Ingénierie en Génétique et Biotechnologie (CIGB) de Cuba, avec lequel elle co-développe </w:t>
      </w:r>
      <w:r w:rsidR="00E32CFE" w:rsidRPr="00C73365">
        <w:rPr>
          <w:rFonts w:asciiTheme="minorHAnsi" w:eastAsiaTheme="minorEastAsia" w:hAnsiTheme="minorHAnsi" w:cstheme="minorHAnsi"/>
          <w:bCs/>
          <w:i w:val="0"/>
          <w:color w:val="000000"/>
          <w:lang w:val="fr-FR" w:eastAsia="fr-FR"/>
        </w:rPr>
        <w:t>ABX203</w:t>
      </w:r>
      <w:r w:rsidR="000C5E80" w:rsidRPr="00C73365">
        <w:rPr>
          <w:rFonts w:asciiTheme="minorHAnsi" w:eastAsiaTheme="minorEastAsia" w:hAnsiTheme="minorHAnsi" w:cstheme="minorHAnsi"/>
          <w:bCs/>
          <w:i w:val="0"/>
          <w:color w:val="000000"/>
          <w:lang w:val="fr-FR" w:eastAsia="fr-FR"/>
        </w:rPr>
        <w:t>, un produit d’immunothérapie pour le traitement de l’Hépatite B Chronique.</w:t>
      </w:r>
    </w:p>
    <w:p w14:paraId="77EDCC74" w14:textId="77777777" w:rsidR="000C5E80" w:rsidRPr="00C73365" w:rsidRDefault="000C5E8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Heber Biotec, S.A., créée en 1991 en tant qu’entreprise de valorisation et commercialisation des produits biotechnologiques découvert par le CIGB, dispose des droits exclusifs de commercialisation des brevets et technologies du CIGB et d’autres centres académiques cubains, dont les droits portant sur le vaccin contre l’hépatite B, objet de l’accord de partenariat avec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14:paraId="78C972E1" w14:textId="77777777" w:rsidR="000C5E80" w:rsidRPr="00C73365" w:rsidRDefault="000C5E8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Début 2015,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mis en place une étude pivot (</w:t>
      </w:r>
      <w:r w:rsidR="00E32CFE" w:rsidRPr="00C73365">
        <w:rPr>
          <w:rFonts w:asciiTheme="minorHAnsi" w:hAnsiTheme="minorHAnsi" w:cstheme="minorHAnsi"/>
          <w:lang w:val="fr-FR"/>
        </w:rPr>
        <w:t>ABX203</w:t>
      </w:r>
      <w:r w:rsidRPr="00C73365">
        <w:rPr>
          <w:rFonts w:asciiTheme="minorHAnsi" w:hAnsiTheme="minorHAnsi" w:cstheme="minorHAnsi"/>
          <w:lang w:val="fr-FR"/>
        </w:rPr>
        <w:t>-002) ouverte, randomisée et comparative visant à évaluer l’efficacité d’</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à contrôler le virus de l’hépatite B après l’arrêt d’un traitement à base d’analogues nucléosidiques (NUC), notamment grâce à la maîtrise durable de la charge virale sur une période plus longue comparée aux traitements standards actuels. </w:t>
      </w:r>
    </w:p>
    <w:p w14:paraId="634909D0" w14:textId="77777777" w:rsidR="00025EEE" w:rsidRPr="00C73365" w:rsidRDefault="000C5E80" w:rsidP="004572A0">
      <w:pPr>
        <w:pStyle w:val="Corpsdetexte"/>
        <w:rPr>
          <w:rFonts w:asciiTheme="minorHAnsi" w:hAnsiTheme="minorHAnsi" w:cstheme="minorHAnsi"/>
          <w:lang w:val="fr-FR"/>
        </w:rPr>
      </w:pPr>
      <w:r w:rsidRPr="00C73365">
        <w:rPr>
          <w:rFonts w:asciiTheme="minorHAnsi" w:hAnsiTheme="minorHAnsi" w:cstheme="minorHAnsi"/>
          <w:lang w:val="fr-FR"/>
        </w:rPr>
        <w:t>En Juin 2016, une analyse de futilité a été conduite en raison d’une augmentation récente du nombre de patients exclus de l’étude du fait du rebond de leur charge virale. Une analyse de futilité est une analyse réalisée pendant le déroulement d’une étude clinique afin de décrire la probabilité de l’étude d’atteindre son critère d’évaluation principal.</w:t>
      </w:r>
      <w:r w:rsidR="00025EEE" w:rsidRPr="00C73365">
        <w:rPr>
          <w:rFonts w:asciiTheme="minorHAnsi" w:hAnsiTheme="minorHAnsi" w:cstheme="minorHAnsi"/>
          <w:iCs/>
          <w:szCs w:val="22"/>
          <w:lang w:val="fr-FR"/>
        </w:rPr>
        <w:t xml:space="preserve"> </w:t>
      </w:r>
      <w:r w:rsidRPr="00C73365">
        <w:rPr>
          <w:rFonts w:asciiTheme="minorHAnsi" w:hAnsiTheme="minorHAnsi" w:cstheme="minorHAnsi"/>
          <w:lang w:val="fr-FR"/>
        </w:rPr>
        <w:t xml:space="preserve">Le résultat de cette analyse a mis en évidence qu’un résultat positif de l’étude sur son critère d’évaluation principal </w:t>
      </w:r>
      <w:r w:rsidRPr="00C73365">
        <w:rPr>
          <w:rFonts w:asciiTheme="minorHAnsi" w:hAnsiTheme="minorHAnsi" w:cstheme="minorHAnsi"/>
          <w:iCs/>
          <w:color w:val="222222"/>
          <w:shd w:val="clear" w:color="auto" w:fill="FFFFFF"/>
          <w:lang w:val="fr-FR"/>
        </w:rPr>
        <w:t xml:space="preserve">(i.e. contrôle de l’infection 24 semaines après l’interruption des analogues des nucléosides (NUCs)) </w:t>
      </w:r>
      <w:r w:rsidRPr="00C73365">
        <w:rPr>
          <w:rFonts w:asciiTheme="minorHAnsi" w:hAnsiTheme="minorHAnsi" w:cstheme="minorHAnsi"/>
          <w:lang w:val="fr-FR"/>
        </w:rPr>
        <w:t>était improbable.</w:t>
      </w:r>
      <w:r w:rsidR="00025EEE" w:rsidRPr="00C73365">
        <w:rPr>
          <w:rFonts w:asciiTheme="minorHAnsi" w:hAnsiTheme="minorHAnsi" w:cstheme="minorHAnsi"/>
          <w:lang w:val="fr-FR"/>
        </w:rPr>
        <w:t xml:space="preserve"> </w:t>
      </w:r>
      <w:r w:rsidRPr="00C73365">
        <w:rPr>
          <w:rFonts w:asciiTheme="minorHAnsi" w:hAnsiTheme="minorHAnsi" w:cstheme="minorHAnsi"/>
          <w:lang w:val="fr-FR"/>
        </w:rPr>
        <w:t>Les résultats finaux de l’étude clinique obtenus en Décembre 2016 ont confirmé les conclusions de l’étude de futilité. Le développement d’</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est donc suspendu chez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14:paraId="040A55F2" w14:textId="77777777" w:rsidR="000C5E80" w:rsidRPr="00C73365" w:rsidRDefault="000C5E80" w:rsidP="004572A0">
      <w:pPr>
        <w:pStyle w:val="Corpsdetexte"/>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5 Novembre 2014,</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Heber Biotec a également signé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un accord exclusif de licence, de co-développement et de collaboration à long terme pour développer et commercialiser un agent antiviral contre la Dengue découvert par le CIGB au sein de l’Union européenne (tous pays), en Suisse, Norvège, Turquie, Israël, Libye, Egypte, Afrique Central et Asie (Australie, Nouvelle Zélande, Corée du Sud, Indonésie, Pakistan, Philippines, Thaïlande, Singapour, Afghanistan, Malaisie). </w:t>
      </w:r>
      <w:r w:rsidRPr="00C73365">
        <w:rPr>
          <w:rFonts w:asciiTheme="minorHAnsi" w:hAnsiTheme="minorHAnsi" w:cstheme="minorHAnsi"/>
          <w:iCs/>
          <w:color w:val="000000" w:themeColor="text1"/>
          <w:lang w:val="fr-FR"/>
        </w:rPr>
        <w:t xml:space="preserve">Cet accord conclu contenait une condition suspensive pour sa mise en application qui concernait le droit pour </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de conduire à sa charge des diligences précliniques. Si les résultats de ces diligences ne satisfaisaient pas les attentes d’</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concernant la performance du produit en tant qu’agent contre la dengue, </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avait le droit de ne pas mettre en œuvre le contrat. </w:t>
      </w:r>
    </w:p>
    <w:p w14:paraId="1B8FCF2D" w14:textId="77777777" w:rsidR="000C5E80" w:rsidRPr="00C73365" w:rsidRDefault="000C5E8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En 2015,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mandaté des sociétés de service spécialisées pour conduire une série de tests précliniques, tests qui se sont avérés négatifs concernant l’efficacité du produit comme candidat médicament contre la dengue. Ceci a été signalé à notre partenaire cubain</w:t>
      </w:r>
      <w:r w:rsidR="00CF258A" w:rsidRPr="00C73365">
        <w:rPr>
          <w:rFonts w:asciiTheme="minorHAnsi" w:hAnsiTheme="minorHAnsi" w:cstheme="minorHAnsi"/>
          <w:lang w:val="fr-FR"/>
        </w:rPr>
        <w:t>.</w:t>
      </w:r>
      <w:r w:rsidR="00025EEE" w:rsidRPr="00C73365">
        <w:rPr>
          <w:rFonts w:asciiTheme="minorHAnsi" w:hAnsiTheme="minorHAnsi" w:cstheme="minorHAnsi"/>
          <w:lang w:val="fr-FR"/>
        </w:rPr>
        <w:t xml:space="preserve"> Les</w:t>
      </w:r>
      <w:r w:rsidR="00014788" w:rsidRPr="00C73365">
        <w:rPr>
          <w:rFonts w:asciiTheme="minorHAnsi" w:hAnsiTheme="minorHAnsi" w:cstheme="minorHAnsi"/>
          <w:lang w:val="fr-FR"/>
        </w:rPr>
        <w:t xml:space="preserve"> activités associées</w:t>
      </w:r>
      <w:r w:rsidR="00CF258A" w:rsidRPr="00C73365">
        <w:rPr>
          <w:rFonts w:asciiTheme="minorHAnsi" w:hAnsiTheme="minorHAnsi" w:cstheme="minorHAnsi"/>
          <w:lang w:val="fr-FR"/>
        </w:rPr>
        <w:t xml:space="preserve"> </w:t>
      </w:r>
      <w:r w:rsidR="00025EEE" w:rsidRPr="00C73365">
        <w:rPr>
          <w:rFonts w:asciiTheme="minorHAnsi" w:hAnsiTheme="minorHAnsi" w:cstheme="minorHAnsi"/>
          <w:lang w:val="fr-FR"/>
        </w:rPr>
        <w:t xml:space="preserve">à ce projet chez </w:t>
      </w:r>
      <w:r w:rsidR="00EF089C" w:rsidRPr="00C73365">
        <w:rPr>
          <w:rFonts w:asciiTheme="minorHAnsi" w:hAnsiTheme="minorHAnsi" w:cstheme="minorHAnsi"/>
          <w:lang w:val="fr-FR"/>
        </w:rPr>
        <w:t>ABIVAX</w:t>
      </w:r>
      <w:r w:rsidR="00025EEE" w:rsidRPr="00C73365">
        <w:rPr>
          <w:rFonts w:asciiTheme="minorHAnsi" w:hAnsiTheme="minorHAnsi" w:cstheme="minorHAnsi"/>
          <w:lang w:val="fr-FR"/>
        </w:rPr>
        <w:t xml:space="preserve"> </w:t>
      </w:r>
      <w:r w:rsidR="00CF258A" w:rsidRPr="00C73365">
        <w:rPr>
          <w:rFonts w:asciiTheme="minorHAnsi" w:hAnsiTheme="minorHAnsi" w:cstheme="minorHAnsi"/>
          <w:lang w:val="fr-FR"/>
        </w:rPr>
        <w:t>ont ainsi été arrêtés</w:t>
      </w:r>
      <w:r w:rsidR="00025EEE" w:rsidRPr="00C73365">
        <w:rPr>
          <w:rFonts w:asciiTheme="minorHAnsi" w:hAnsiTheme="minorHAnsi" w:cstheme="minorHAnsi"/>
          <w:lang w:val="fr-FR"/>
        </w:rPr>
        <w:t xml:space="preserve"> </w:t>
      </w:r>
      <w:r w:rsidR="00CF258A" w:rsidRPr="00C73365">
        <w:rPr>
          <w:rFonts w:asciiTheme="minorHAnsi" w:hAnsiTheme="minorHAnsi" w:cstheme="minorHAnsi"/>
          <w:lang w:val="fr-FR"/>
        </w:rPr>
        <w:t xml:space="preserve">et les différentes parties sont en cours de </w:t>
      </w:r>
      <w:r w:rsidR="00014788" w:rsidRPr="00C73365">
        <w:rPr>
          <w:rFonts w:asciiTheme="minorHAnsi" w:hAnsiTheme="minorHAnsi" w:cstheme="minorHAnsi"/>
          <w:lang w:val="fr-FR"/>
        </w:rPr>
        <w:t>discussion pour une voie de sortie rapide.</w:t>
      </w:r>
    </w:p>
    <w:p w14:paraId="770BB5E7" w14:textId="77777777" w:rsidR="000C5E80" w:rsidRPr="00C73365" w:rsidRDefault="000C5E80" w:rsidP="000C5E80">
      <w:pPr>
        <w:pStyle w:val="Paragraphedeliste"/>
        <w:numPr>
          <w:ilvl w:val="3"/>
          <w:numId w:val="9"/>
        </w:numPr>
        <w:spacing w:after="0"/>
        <w:outlineLvl w:val="2"/>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Un partenariat commercial avec Vacunas Finlay</w:t>
      </w:r>
    </w:p>
    <w:p w14:paraId="174E66D7" w14:textId="77777777" w:rsidR="000C5E80" w:rsidRPr="00C73365" w:rsidRDefault="000C5E80" w:rsidP="000C5E80">
      <w:pPr>
        <w:widowControl w:val="0"/>
        <w:autoSpaceDE w:val="0"/>
        <w:autoSpaceDN w:val="0"/>
        <w:adjustRightInd w:val="0"/>
        <w:rPr>
          <w:rFonts w:asciiTheme="minorHAnsi" w:hAnsiTheme="minorHAnsi" w:cstheme="minorHAnsi"/>
          <w:szCs w:val="20"/>
          <w:lang w:val="fr-FR"/>
        </w:rPr>
      </w:pPr>
    </w:p>
    <w:p w14:paraId="35CC0CC4" w14:textId="77777777" w:rsidR="000C5E80" w:rsidRPr="00C73365" w:rsidRDefault="000C5E8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En 2014, la Société avait conclu trois accords de distribution commerciale avec Vacunas Finlay. Aux termes de ces accords,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avait acquis les droits de distribution, exclusifs ou non-exclusifs selon le pays, pour trois vaccins actuellement commercialisés avec succès par Vacunas Finlay à Cuba, pour une période de 10 ans avec option de renouvellement pour 5 ans supplémentaires : </w:t>
      </w:r>
    </w:p>
    <w:p w14:paraId="701279B1" w14:textId="77777777" w:rsidR="000C5E80" w:rsidRPr="00C73365" w:rsidRDefault="00025EEE" w:rsidP="00434C49">
      <w:pPr>
        <w:pStyle w:val="Paragraphedeliste"/>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t>T</w:t>
      </w:r>
      <w:r w:rsidR="000C5E80" w:rsidRPr="00C73365">
        <w:rPr>
          <w:rFonts w:asciiTheme="minorHAnsi" w:hAnsiTheme="minorHAnsi" w:cstheme="minorHAnsi"/>
          <w:szCs w:val="20"/>
          <w:lang w:val="fr-FR"/>
        </w:rPr>
        <w:t>yphoïde : vax‐TyVi – ciblant la fièvre typhoïde</w:t>
      </w:r>
    </w:p>
    <w:p w14:paraId="0FD367E0" w14:textId="77777777" w:rsidR="000C5E80" w:rsidRPr="00C73365" w:rsidRDefault="00025EEE" w:rsidP="00434C49">
      <w:pPr>
        <w:pStyle w:val="Paragraphedeliste"/>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lastRenderedPageBreak/>
        <w:t>M</w:t>
      </w:r>
      <w:r w:rsidR="000C5E80" w:rsidRPr="00C73365">
        <w:rPr>
          <w:rFonts w:asciiTheme="minorHAnsi" w:hAnsiTheme="minorHAnsi" w:cstheme="minorHAnsi"/>
          <w:szCs w:val="20"/>
          <w:lang w:val="fr-FR"/>
        </w:rPr>
        <w:t>éningocoque : VA‐MENGOC‐BC – ciblant les méningocoques des groupes B &amp; C</w:t>
      </w:r>
    </w:p>
    <w:p w14:paraId="3C44B77E" w14:textId="77777777" w:rsidR="000C5E80" w:rsidRPr="00C73365" w:rsidRDefault="00025EEE" w:rsidP="00434C49">
      <w:pPr>
        <w:pStyle w:val="Paragraphedeliste"/>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t>L</w:t>
      </w:r>
      <w:r w:rsidR="000C5E80" w:rsidRPr="00C73365">
        <w:rPr>
          <w:rFonts w:asciiTheme="minorHAnsi" w:hAnsiTheme="minorHAnsi" w:cstheme="minorHAnsi"/>
          <w:szCs w:val="20"/>
          <w:lang w:val="fr-FR"/>
        </w:rPr>
        <w:t xml:space="preserve">eptospirose : vax‐SPIRAL - ciblant la leptospirose </w:t>
      </w:r>
    </w:p>
    <w:p w14:paraId="334042AD" w14:textId="77777777" w:rsidR="00025EEE" w:rsidRPr="00C73365" w:rsidRDefault="00025EEE" w:rsidP="00025EEE">
      <w:pPr>
        <w:pStyle w:val="Paragraphedeliste"/>
        <w:spacing w:after="0" w:line="240" w:lineRule="atLeast"/>
        <w:ind w:left="720"/>
        <w:contextualSpacing/>
        <w:rPr>
          <w:rFonts w:asciiTheme="minorHAnsi" w:hAnsiTheme="minorHAnsi" w:cstheme="minorHAnsi"/>
          <w:i/>
          <w:szCs w:val="20"/>
          <w:lang w:val="fr-FR"/>
        </w:rPr>
      </w:pPr>
    </w:p>
    <w:p w14:paraId="434AC1E3" w14:textId="77777777" w:rsidR="000C5E80"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devait commercialiser ces produits dans différents pays d’Asie, notamment en Inde, en Indonésie et aux Philippines, et d</w:t>
      </w:r>
      <w:r w:rsidR="004572A0" w:rsidRPr="00C73365">
        <w:rPr>
          <w:rFonts w:asciiTheme="minorHAnsi" w:hAnsiTheme="minorHAnsi" w:cstheme="minorHAnsi"/>
          <w:lang w:val="fr-FR"/>
        </w:rPr>
        <w:t>’</w:t>
      </w:r>
      <w:r w:rsidR="000C5E80" w:rsidRPr="00C73365">
        <w:rPr>
          <w:rFonts w:asciiTheme="minorHAnsi" w:hAnsiTheme="minorHAnsi" w:cstheme="minorHAnsi"/>
          <w:lang w:val="fr-FR"/>
        </w:rPr>
        <w:t xml:space="preserve">Amérique latine, notamment au Brésil, au Mexique et en Uruguay.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avait donc acquis les droits de distribution de nouveaux produits intéressants, ciblant entre autres la typhoïde en Inde.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était responsable de l’obtention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enregistrement des produits sur les marchés pour lesquels la Société détient les droits de distribution exclusifs.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Institut Finlay était responsable de la production de chacun de ces trois vaccins, ainsi que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enregistrement et/ou du maintien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 xml:space="preserve">enregistrement des produits dans les marchés où ceux-ci sont déjà commercialisés et où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détient des droits de distribution non-exclusifs. </w:t>
      </w:r>
    </w:p>
    <w:p w14:paraId="25FCEF8B" w14:textId="77777777" w:rsidR="000C5E80" w:rsidRPr="00C73365" w:rsidRDefault="000C5E8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 ce jour, aucune exploitation commerciale de ces contrats n’a pu être mise en œuvre soit pour des raisons financières (pas de rentabilité financière identifiée sur </w:t>
      </w:r>
      <w:r w:rsidR="00025EEE" w:rsidRPr="00C73365">
        <w:rPr>
          <w:rFonts w:asciiTheme="minorHAnsi" w:hAnsiTheme="minorHAnsi" w:cstheme="minorHAnsi"/>
          <w:lang w:val="fr-FR"/>
        </w:rPr>
        <w:t>un</w:t>
      </w:r>
      <w:r w:rsidRPr="00C73365">
        <w:rPr>
          <w:rFonts w:asciiTheme="minorHAnsi" w:hAnsiTheme="minorHAnsi" w:cstheme="minorHAnsi"/>
          <w:lang w:val="fr-FR"/>
        </w:rPr>
        <w:t xml:space="preserve"> territoire </w:t>
      </w:r>
      <w:r w:rsidR="00025EEE" w:rsidRPr="00C73365">
        <w:rPr>
          <w:rFonts w:asciiTheme="minorHAnsi" w:hAnsiTheme="minorHAnsi" w:cstheme="minorHAnsi"/>
          <w:lang w:val="fr-FR"/>
        </w:rPr>
        <w:t xml:space="preserve">spécifique </w:t>
      </w:r>
      <w:r w:rsidRPr="00C73365">
        <w:rPr>
          <w:rFonts w:asciiTheme="minorHAnsi" w:hAnsiTheme="minorHAnsi" w:cstheme="minorHAnsi"/>
          <w:lang w:val="fr-FR"/>
        </w:rPr>
        <w:t xml:space="preserve">ou </w:t>
      </w:r>
      <w:r w:rsidR="00025EEE" w:rsidRPr="00C73365">
        <w:rPr>
          <w:rFonts w:asciiTheme="minorHAnsi" w:hAnsiTheme="minorHAnsi" w:cstheme="minorHAnsi"/>
          <w:lang w:val="fr-FR"/>
        </w:rPr>
        <w:t>sur un produit spécifique</w:t>
      </w:r>
      <w:r w:rsidR="009D2497" w:rsidRPr="00C73365">
        <w:rPr>
          <w:rFonts w:asciiTheme="minorHAnsi" w:hAnsiTheme="minorHAnsi" w:cstheme="minorHAnsi"/>
          <w:lang w:val="fr-FR"/>
        </w:rPr>
        <w:t xml:space="preserve"> en raison du </w:t>
      </w:r>
      <w:r w:rsidRPr="00C73365">
        <w:rPr>
          <w:rFonts w:asciiTheme="minorHAnsi" w:eastAsia="Arial" w:hAnsiTheme="minorHAnsi" w:cstheme="minorHAnsi"/>
          <w:u w:color="3366FF"/>
          <w:lang w:val="fr-FR"/>
        </w:rPr>
        <w:t>niveau de prix</w:t>
      </w:r>
      <w:r w:rsidR="009D2497" w:rsidRPr="00C73365">
        <w:rPr>
          <w:rFonts w:asciiTheme="minorHAnsi" w:eastAsia="Arial" w:hAnsiTheme="minorHAnsi" w:cstheme="minorHAnsi"/>
          <w:u w:color="3366FF"/>
          <w:lang w:val="fr-FR"/>
        </w:rPr>
        <w:t xml:space="preserve"> et/ou du </w:t>
      </w:r>
      <w:r w:rsidRPr="00C73365">
        <w:rPr>
          <w:rFonts w:asciiTheme="minorHAnsi" w:eastAsia="Arial" w:hAnsiTheme="minorHAnsi" w:cstheme="minorHAnsi"/>
          <w:u w:color="3366FF"/>
          <w:lang w:val="fr-FR"/>
        </w:rPr>
        <w:t>coût d’obtention des autorisations de mise sur le marché</w:t>
      </w:r>
      <w:r w:rsidRPr="00C73365">
        <w:rPr>
          <w:rFonts w:asciiTheme="minorHAnsi" w:hAnsiTheme="minorHAnsi" w:cstheme="minorHAnsi"/>
          <w:lang w:val="fr-FR"/>
        </w:rPr>
        <w:t>) soit du fait de l’impossibilité légale (exclusivité antérieure accordée à des distributeurs locaux) d’exécuter ces accords commerciaux.</w:t>
      </w:r>
    </w:p>
    <w:p w14:paraId="737E654F" w14:textId="77777777" w:rsidR="000C5E80" w:rsidRPr="00C73365" w:rsidRDefault="000C5E80" w:rsidP="004572A0">
      <w:pPr>
        <w:pStyle w:val="Corpsdetexte"/>
        <w:rPr>
          <w:rFonts w:asciiTheme="minorHAnsi" w:hAnsiTheme="minorHAnsi" w:cstheme="minorHAnsi"/>
          <w:lang w:val="fr-FR"/>
        </w:rPr>
      </w:pPr>
      <w:r w:rsidRPr="00C73365">
        <w:rPr>
          <w:rFonts w:asciiTheme="minorHAnsi" w:hAnsiTheme="minorHAnsi" w:cstheme="minorHAnsi"/>
          <w:lang w:val="fr-FR"/>
        </w:rPr>
        <w:t>La société a donc mis fin, d’un commun accord avec Vacunas Finlay, aux engagements contractuels réciproques. Il n’y a eu aucune compensation économique et/ou financière entre les parties.</w:t>
      </w:r>
    </w:p>
    <w:p w14:paraId="53018248" w14:textId="77777777" w:rsidR="00943434" w:rsidRPr="00C73365" w:rsidRDefault="00943434" w:rsidP="00943434">
      <w:pPr>
        <w:pStyle w:val="ConmainL2"/>
        <w:numPr>
          <w:ilvl w:val="1"/>
          <w:numId w:val="9"/>
        </w:numPr>
        <w:rPr>
          <w:rFonts w:asciiTheme="minorHAnsi" w:hAnsiTheme="minorHAnsi" w:cstheme="minorHAnsi"/>
          <w:sz w:val="22"/>
          <w:szCs w:val="22"/>
          <w:lang w:val="fr-FR"/>
        </w:rPr>
      </w:pPr>
      <w:bookmarkStart w:id="285" w:name="_Toc462673240"/>
      <w:bookmarkStart w:id="286" w:name="_Toc467835586"/>
      <w:bookmarkStart w:id="287" w:name="_Toc482695258"/>
      <w:bookmarkStart w:id="288" w:name="_Toc510548411"/>
      <w:r w:rsidRPr="00C73365">
        <w:rPr>
          <w:rFonts w:asciiTheme="minorHAnsi" w:hAnsiTheme="minorHAnsi" w:cstheme="minorHAnsi"/>
          <w:sz w:val="22"/>
          <w:szCs w:val="22"/>
          <w:lang w:val="fr-FR"/>
        </w:rPr>
        <w:t>Présentation détaillée des principaux produits d’</w:t>
      </w:r>
      <w:r w:rsidR="00EF089C" w:rsidRPr="00C73365">
        <w:rPr>
          <w:rFonts w:asciiTheme="minorHAnsi" w:hAnsiTheme="minorHAnsi" w:cstheme="minorHAnsi"/>
          <w:sz w:val="22"/>
          <w:szCs w:val="22"/>
          <w:lang w:val="fr-FR"/>
        </w:rPr>
        <w:t>ABIVAX</w:t>
      </w:r>
      <w:bookmarkEnd w:id="285"/>
      <w:bookmarkEnd w:id="286"/>
      <w:bookmarkEnd w:id="287"/>
      <w:bookmarkEnd w:id="288"/>
    </w:p>
    <w:p w14:paraId="7BEFE449" w14:textId="77777777" w:rsidR="00943434" w:rsidRPr="00C73365" w:rsidRDefault="00943434" w:rsidP="00943434">
      <w:pPr>
        <w:pStyle w:val="Paragraphedeliste"/>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ABX464 : une petite molécule inhibant la réplication du VIH </w:t>
      </w:r>
    </w:p>
    <w:p w14:paraId="3D15C672" w14:textId="77777777" w:rsidR="00943434" w:rsidRPr="00C73365" w:rsidRDefault="00943434" w:rsidP="00943434">
      <w:pPr>
        <w:pStyle w:val="Paragraphedeliste"/>
        <w:ind w:left="1980"/>
        <w:rPr>
          <w:rFonts w:asciiTheme="minorHAnsi" w:hAnsiTheme="minorHAnsi" w:cstheme="minorHAnsi"/>
          <w:b/>
          <w:color w:val="7030A0"/>
          <w:szCs w:val="22"/>
          <w:lang w:val="fr-FR"/>
        </w:rPr>
      </w:pPr>
    </w:p>
    <w:p w14:paraId="076ADC0F" w14:textId="77777777" w:rsidR="00943434" w:rsidRPr="00C73365" w:rsidRDefault="00943434" w:rsidP="00943434">
      <w:pPr>
        <w:pStyle w:val="Paragraphedeliste"/>
        <w:numPr>
          <w:ilvl w:val="3"/>
          <w:numId w:val="9"/>
        </w:numPr>
        <w:spacing w:after="0"/>
        <w:outlineLvl w:val="2"/>
        <w:rPr>
          <w:rFonts w:asciiTheme="minorHAnsi" w:hAnsiTheme="minorHAnsi" w:cstheme="minorHAnsi"/>
          <w:sz w:val="18"/>
          <w:szCs w:val="22"/>
          <w:lang w:val="fr-FR"/>
        </w:rPr>
      </w:pPr>
      <w:r w:rsidRPr="00C73365">
        <w:rPr>
          <w:rFonts w:asciiTheme="minorHAnsi" w:hAnsiTheme="minorHAnsi" w:cstheme="minorHAnsi"/>
          <w:lang w:val="fr-FR"/>
        </w:rPr>
        <w:t>VIH - Pathologie et prévalence</w:t>
      </w:r>
    </w:p>
    <w:p w14:paraId="48DEA635" w14:textId="77777777" w:rsidR="007A4925" w:rsidRDefault="007A4925" w:rsidP="004572A0">
      <w:pPr>
        <w:pStyle w:val="Corpsdetexte"/>
        <w:rPr>
          <w:rFonts w:asciiTheme="minorHAnsi" w:hAnsiTheme="minorHAnsi" w:cstheme="minorHAnsi"/>
          <w:lang w:val="fr-FR"/>
        </w:rPr>
      </w:pPr>
    </w:p>
    <w:p w14:paraId="022DA3AA" w14:textId="429D55FF"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Depuis l</w:t>
      </w:r>
      <w:r w:rsidR="004572A0" w:rsidRPr="00C73365">
        <w:rPr>
          <w:rFonts w:asciiTheme="minorHAnsi" w:hAnsiTheme="minorHAnsi" w:cstheme="minorHAnsi"/>
          <w:lang w:val="fr-FR"/>
        </w:rPr>
        <w:t>’</w:t>
      </w:r>
      <w:r w:rsidRPr="00C73365">
        <w:rPr>
          <w:rFonts w:asciiTheme="minorHAnsi" w:hAnsiTheme="minorHAnsi" w:cstheme="minorHAnsi"/>
          <w:lang w:val="fr-FR"/>
        </w:rPr>
        <w:t>apparition et l’identification officielle du virus du SIDA aux Etats-Unis en 1981, la maladie a gagné du terrain jusqu</w:t>
      </w:r>
      <w:r w:rsidR="004572A0" w:rsidRPr="00C73365">
        <w:rPr>
          <w:rFonts w:asciiTheme="minorHAnsi" w:hAnsiTheme="minorHAnsi" w:cstheme="minorHAnsi"/>
          <w:lang w:val="fr-FR"/>
        </w:rPr>
        <w:t>’</w:t>
      </w:r>
      <w:r w:rsidRPr="00C73365">
        <w:rPr>
          <w:rFonts w:asciiTheme="minorHAnsi" w:hAnsiTheme="minorHAnsi" w:cstheme="minorHAnsi"/>
          <w:lang w:val="fr-FR"/>
        </w:rPr>
        <w:t>à devenir un enjeu majeur de santé publique, avec, selon les données de l’UNAIDS</w:t>
      </w:r>
      <w:r w:rsidR="004E53D0" w:rsidRPr="00860311">
        <w:rPr>
          <w:rFonts w:asciiTheme="minorHAnsi" w:hAnsiTheme="minorHAnsi" w:cstheme="minorHAnsi"/>
          <w:vertAlign w:val="superscript"/>
          <w:lang w:val="fr-FR"/>
        </w:rPr>
        <w:t>5</w:t>
      </w:r>
      <w:r w:rsidRPr="00C73365">
        <w:rPr>
          <w:rFonts w:asciiTheme="minorHAnsi" w:hAnsiTheme="minorHAnsi" w:cstheme="minorHAnsi"/>
          <w:lang w:val="fr-FR"/>
        </w:rPr>
        <w:t xml:space="preserve"> (The Joint United Nations Programme on HIV/AIDS) de 2016, près de 35 millions de décès liés au VIH dans le monde depuis le début de l’épidémie.</w:t>
      </w:r>
      <w:r w:rsidR="006F3437" w:rsidRPr="00C73365">
        <w:rPr>
          <w:rFonts w:asciiTheme="minorHAnsi" w:hAnsiTheme="minorHAnsi" w:cstheme="minorHAnsi"/>
          <w:lang w:val="fr-FR"/>
        </w:rPr>
        <w:t xml:space="preserve"> </w:t>
      </w:r>
      <w:r w:rsidRPr="00C73365">
        <w:rPr>
          <w:rFonts w:asciiTheme="minorHAnsi" w:hAnsiTheme="minorHAnsi" w:cstheme="minorHAnsi"/>
          <w:lang w:val="fr-FR"/>
        </w:rPr>
        <w:t>UNAIDS a dénombré en 2016 environ 36,7 millions de personnes toujours infectées par ce virus et 1,8 millions nouveaux cas d’infection.</w:t>
      </w:r>
    </w:p>
    <w:p w14:paraId="2BEC52A1"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agent étiologique de la maladie est le VIH, un lentivirus de la famille des retroviridae. Deux types de VIH ont été identifiés : le VIH-1 et le VIH-2. Le VIH-1 est le type le plus virulent, le plus infectieux, et est responsable de la grande majorité des infections au VIH dans le monde.</w:t>
      </w:r>
    </w:p>
    <w:p w14:paraId="242AA1DD"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et le SIDA se caractérise par une raréfaction progressive des lymphocytes T CD4, qui sont la cible privilégiée du virus. Ceci a pour conséquence un syndrome immunodéficitaire qui ouvre la voie à des infections opportunistes, comme la tuberculose pulmonaire, la toxoplasmose, la candidose, la cryptosporidiose, diverses infections virales (ex. : le CMV, l</w:t>
      </w:r>
      <w:r w:rsidR="004572A0" w:rsidRPr="00C73365">
        <w:rPr>
          <w:rFonts w:asciiTheme="minorHAnsi" w:hAnsiTheme="minorHAnsi" w:cstheme="minorHAnsi"/>
          <w:lang w:val="fr-FR"/>
        </w:rPr>
        <w:t>’</w:t>
      </w:r>
      <w:r w:rsidRPr="00C73365">
        <w:rPr>
          <w:rFonts w:asciiTheme="minorHAnsi" w:hAnsiTheme="minorHAnsi" w:cstheme="minorHAnsi"/>
          <w:lang w:val="fr-FR"/>
        </w:rPr>
        <w:t>hépatite C, l</w:t>
      </w:r>
      <w:r w:rsidR="004572A0" w:rsidRPr="00C73365">
        <w:rPr>
          <w:rFonts w:asciiTheme="minorHAnsi" w:hAnsiTheme="minorHAnsi" w:cstheme="minorHAnsi"/>
          <w:lang w:val="fr-FR"/>
        </w:rPr>
        <w:t>’</w:t>
      </w:r>
      <w:r w:rsidRPr="00C73365">
        <w:rPr>
          <w:rFonts w:asciiTheme="minorHAnsi" w:hAnsiTheme="minorHAnsi" w:cstheme="minorHAnsi"/>
          <w:lang w:val="fr-FR"/>
        </w:rPr>
        <w:t>herpès simplex) ou des cancers comme la maladie de Kaposi ou les lymphomes à cellules B non-hodgkiniens. 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comprend trois principales étapes : l</w:t>
      </w:r>
      <w:r w:rsidR="004572A0" w:rsidRPr="00C73365">
        <w:rPr>
          <w:rFonts w:asciiTheme="minorHAnsi" w:hAnsiTheme="minorHAnsi" w:cstheme="minorHAnsi"/>
          <w:lang w:val="fr-FR"/>
        </w:rPr>
        <w:t>’</w:t>
      </w:r>
      <w:r w:rsidRPr="00C73365">
        <w:rPr>
          <w:rFonts w:asciiTheme="minorHAnsi" w:hAnsiTheme="minorHAnsi" w:cstheme="minorHAnsi"/>
          <w:lang w:val="fr-FR"/>
        </w:rPr>
        <w:t>infection aiguë, la latence clinique et le SIDA. La période initiale, subséquente à la contraction du VIH, se caractérise par une réplication massive du virus. Cependant, la plupart des individus infectés ne développe rien de plus grave que des symptômes similaires à ceux de la grippe ou de la mononucléose, tandis que d</w:t>
      </w:r>
      <w:r w:rsidR="004572A0" w:rsidRPr="00C73365">
        <w:rPr>
          <w:rFonts w:asciiTheme="minorHAnsi" w:hAnsiTheme="minorHAnsi" w:cstheme="minorHAnsi"/>
          <w:lang w:val="fr-FR"/>
        </w:rPr>
        <w:t>’</w:t>
      </w:r>
      <w:r w:rsidRPr="00C73365">
        <w:rPr>
          <w:rFonts w:asciiTheme="minorHAnsi" w:hAnsiTheme="minorHAnsi" w:cstheme="minorHAnsi"/>
          <w:lang w:val="fr-FR"/>
        </w:rPr>
        <w:t>autres personnes ne présentent aucun symptôme significatif.</w:t>
      </w:r>
    </w:p>
    <w:p w14:paraId="12906EAF"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La première phase aiguë de l</w:t>
      </w:r>
      <w:r w:rsidR="004572A0" w:rsidRPr="00C73365">
        <w:rPr>
          <w:rFonts w:asciiTheme="minorHAnsi" w:hAnsiTheme="minorHAnsi" w:cstheme="minorHAnsi"/>
          <w:lang w:val="fr-FR"/>
        </w:rPr>
        <w:t>’</w:t>
      </w:r>
      <w:r w:rsidRPr="00C73365">
        <w:rPr>
          <w:rFonts w:asciiTheme="minorHAnsi" w:hAnsiTheme="minorHAnsi" w:cstheme="minorHAnsi"/>
          <w:lang w:val="fr-FR"/>
        </w:rPr>
        <w:t>infection prend fin lorsque le système immunitaire cellulaire se déclenche. Il s</w:t>
      </w:r>
      <w:r w:rsidR="004572A0" w:rsidRPr="00C73365">
        <w:rPr>
          <w:rFonts w:asciiTheme="minorHAnsi" w:hAnsiTheme="minorHAnsi" w:cstheme="minorHAnsi"/>
          <w:lang w:val="fr-FR"/>
        </w:rPr>
        <w:t>’</w:t>
      </w:r>
      <w:r w:rsidRPr="00C73365">
        <w:rPr>
          <w:rFonts w:asciiTheme="minorHAnsi" w:hAnsiTheme="minorHAnsi" w:cstheme="minorHAnsi"/>
          <w:lang w:val="fr-FR"/>
        </w:rPr>
        <w:t>ensuit une longue période asymptomatique de latence clinique, qui correspond à la phase chronique de l</w:t>
      </w:r>
      <w:r w:rsidR="004572A0" w:rsidRPr="00C73365">
        <w:rPr>
          <w:rFonts w:asciiTheme="minorHAnsi" w:hAnsiTheme="minorHAnsi" w:cstheme="minorHAnsi"/>
          <w:lang w:val="fr-FR"/>
        </w:rPr>
        <w:t>’</w:t>
      </w:r>
      <w:r w:rsidRPr="00C73365">
        <w:rPr>
          <w:rFonts w:asciiTheme="minorHAnsi" w:hAnsiTheme="minorHAnsi" w:cstheme="minorHAnsi"/>
          <w:lang w:val="fr-FR"/>
        </w:rPr>
        <w:t>infection. Au cours de cette phase, une diminution lente mais continue du nombre de lymphocytes T CD4 est observée. En l</w:t>
      </w:r>
      <w:r w:rsidR="004572A0" w:rsidRPr="00C73365">
        <w:rPr>
          <w:rFonts w:asciiTheme="minorHAnsi" w:hAnsiTheme="minorHAnsi" w:cstheme="minorHAnsi"/>
          <w:lang w:val="fr-FR"/>
        </w:rPr>
        <w:t>’</w:t>
      </w:r>
      <w:r w:rsidRPr="00C73365">
        <w:rPr>
          <w:rFonts w:asciiTheme="minorHAnsi" w:hAnsiTheme="minorHAnsi" w:cstheme="minorHAnsi"/>
          <w:lang w:val="fr-FR"/>
        </w:rPr>
        <w:t>absence de traitement, cette phase asymptomatique peut durer de quelques mois à plus de 25 ans. Bien qu</w:t>
      </w:r>
      <w:r w:rsidR="004572A0" w:rsidRPr="00C73365">
        <w:rPr>
          <w:rFonts w:asciiTheme="minorHAnsi" w:hAnsiTheme="minorHAnsi" w:cstheme="minorHAnsi"/>
          <w:lang w:val="fr-FR"/>
        </w:rPr>
        <w:t>’</w:t>
      </w:r>
      <w:r w:rsidRPr="00C73365">
        <w:rPr>
          <w:rFonts w:asciiTheme="minorHAnsi" w:hAnsiTheme="minorHAnsi" w:cstheme="minorHAnsi"/>
          <w:lang w:val="fr-FR"/>
        </w:rPr>
        <w:t>initialement il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y ait généralement pas ou peu de symptômes, vers la fin de cette étape de nombreux individus souffrent de fièvre, de perte de poids, de problèmes gastro-intestinaux et de douleurs musculaires. </w:t>
      </w:r>
    </w:p>
    <w:p w14:paraId="49F2E96B"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étape d</w:t>
      </w:r>
      <w:r w:rsidR="004572A0" w:rsidRPr="00C73365">
        <w:rPr>
          <w:rFonts w:asciiTheme="minorHAnsi" w:hAnsiTheme="minorHAnsi" w:cstheme="minorHAnsi"/>
          <w:lang w:val="fr-FR"/>
        </w:rPr>
        <w:t>’</w:t>
      </w:r>
      <w:r w:rsidRPr="00C73365">
        <w:rPr>
          <w:rFonts w:asciiTheme="minorHAnsi" w:hAnsiTheme="minorHAnsi" w:cstheme="minorHAnsi"/>
          <w:lang w:val="fr-FR"/>
        </w:rPr>
        <w:t>immunodéficience acquise se définit par un nombre de lymphocytes T CD4 inférieur à 200 cellules par mm</w:t>
      </w:r>
      <w:r w:rsidRPr="00C73365">
        <w:rPr>
          <w:rFonts w:asciiTheme="minorHAnsi" w:hAnsiTheme="minorHAnsi" w:cstheme="minorHAnsi"/>
          <w:vertAlign w:val="superscript"/>
          <w:lang w:val="fr-FR"/>
        </w:rPr>
        <w:t>3</w:t>
      </w:r>
      <w:r w:rsidRPr="00C73365">
        <w:rPr>
          <w:rFonts w:asciiTheme="minorHAnsi" w:hAnsiTheme="minorHAnsi" w:cstheme="minorHAnsi"/>
          <w:lang w:val="fr-FR"/>
        </w:rPr>
        <w:t xml:space="preserve"> de sang. En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absence de traitement spécifique, environ 50% des personnes infectées par le VIH développent la maladie </w:t>
      </w:r>
      <w:r w:rsidRPr="00C73365">
        <w:rPr>
          <w:rFonts w:asciiTheme="minorHAnsi" w:hAnsiTheme="minorHAnsi" w:cstheme="minorHAnsi"/>
          <w:lang w:val="fr-FR"/>
        </w:rPr>
        <w:lastRenderedPageBreak/>
        <w:t>dans les dix ans qui suivent leur infection</w:t>
      </w:r>
      <w:r w:rsidRPr="00C73365">
        <w:rPr>
          <w:rStyle w:val="Appelnotedebasdep"/>
          <w:rFonts w:asciiTheme="minorHAnsi" w:eastAsia="SimSun" w:hAnsiTheme="minorHAnsi" w:cstheme="minorHAnsi"/>
          <w:lang w:val="fr-FR"/>
        </w:rPr>
        <w:footnoteReference w:id="4"/>
      </w:r>
      <w:r w:rsidRPr="00C73365">
        <w:rPr>
          <w:rFonts w:asciiTheme="minorHAnsi" w:hAnsiTheme="minorHAnsi" w:cstheme="minorHAnsi"/>
          <w:lang w:val="fr-FR"/>
        </w:rPr>
        <w:t>. Cette étape se caractérise par l</w:t>
      </w:r>
      <w:r w:rsidR="004572A0" w:rsidRPr="00C73365">
        <w:rPr>
          <w:rFonts w:asciiTheme="minorHAnsi" w:hAnsiTheme="minorHAnsi" w:cstheme="minorHAnsi"/>
          <w:lang w:val="fr-FR"/>
        </w:rPr>
        <w:t>’</w:t>
      </w:r>
      <w:r w:rsidRPr="00C73365">
        <w:rPr>
          <w:rFonts w:asciiTheme="minorHAnsi" w:hAnsiTheme="minorHAnsi" w:cstheme="minorHAnsi"/>
          <w:lang w:val="fr-FR"/>
        </w:rPr>
        <w:t>apparition d</w:t>
      </w:r>
      <w:r w:rsidR="004572A0" w:rsidRPr="00C73365">
        <w:rPr>
          <w:rFonts w:asciiTheme="minorHAnsi" w:hAnsiTheme="minorHAnsi" w:cstheme="minorHAnsi"/>
          <w:lang w:val="fr-FR"/>
        </w:rPr>
        <w:t>’</w:t>
      </w:r>
      <w:r w:rsidRPr="00C73365">
        <w:rPr>
          <w:rFonts w:asciiTheme="minorHAnsi" w:hAnsiTheme="minorHAnsi" w:cstheme="minorHAnsi"/>
          <w:lang w:val="fr-FR"/>
        </w:rPr>
        <w:t>infections opportunistes causées par des bactéries, des virus, des champignons et des parasites, normalement contrôlés par le système immunitaire. Les personnes atteintes du SIDA ont également un risque accru de développer différents cancers viro-induits.</w:t>
      </w:r>
    </w:p>
    <w:p w14:paraId="06F19068"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Le VIH se transmet par trois voies principales : les relations sexuelles, l</w:t>
      </w:r>
      <w:r w:rsidR="004572A0" w:rsidRPr="00C73365">
        <w:rPr>
          <w:rFonts w:asciiTheme="minorHAnsi" w:hAnsiTheme="minorHAnsi" w:cstheme="minorHAnsi"/>
          <w:lang w:val="fr-FR"/>
        </w:rPr>
        <w:t>’</w:t>
      </w:r>
      <w:r w:rsidRPr="00C73365">
        <w:rPr>
          <w:rFonts w:asciiTheme="minorHAnsi" w:hAnsiTheme="minorHAnsi" w:cstheme="minorHAnsi"/>
          <w:lang w:val="fr-FR"/>
        </w:rPr>
        <w:t>exposition à des fluides corporels ou à des tissus infectés (ex : transfusion sanguine, emploi d</w:t>
      </w:r>
      <w:r w:rsidR="004572A0" w:rsidRPr="00C73365">
        <w:rPr>
          <w:rFonts w:asciiTheme="minorHAnsi" w:hAnsiTheme="minorHAnsi" w:cstheme="minorHAnsi"/>
          <w:lang w:val="fr-FR"/>
        </w:rPr>
        <w:t>’</w:t>
      </w:r>
      <w:r w:rsidRPr="00C73365">
        <w:rPr>
          <w:rFonts w:asciiTheme="minorHAnsi" w:hAnsiTheme="minorHAnsi" w:cstheme="minorHAnsi"/>
          <w:lang w:val="fr-FR"/>
        </w:rPr>
        <w:t>aiguilles infectées) et de la mère à son enfant durant la grossesse, l</w:t>
      </w:r>
      <w:r w:rsidR="004572A0" w:rsidRPr="00C73365">
        <w:rPr>
          <w:rFonts w:asciiTheme="minorHAnsi" w:hAnsiTheme="minorHAnsi" w:cstheme="minorHAnsi"/>
          <w:lang w:val="fr-FR"/>
        </w:rPr>
        <w:t>’</w:t>
      </w:r>
      <w:r w:rsidRPr="00C73365">
        <w:rPr>
          <w:rFonts w:asciiTheme="minorHAnsi" w:hAnsiTheme="minorHAnsi" w:cstheme="minorHAnsi"/>
          <w:lang w:val="fr-FR"/>
        </w:rPr>
        <w:t>accouchement ou l</w:t>
      </w:r>
      <w:r w:rsidR="004572A0" w:rsidRPr="00C73365">
        <w:rPr>
          <w:rFonts w:asciiTheme="minorHAnsi" w:hAnsiTheme="minorHAnsi" w:cstheme="minorHAnsi"/>
          <w:lang w:val="fr-FR"/>
        </w:rPr>
        <w:t>’</w:t>
      </w:r>
      <w:r w:rsidRPr="00C73365">
        <w:rPr>
          <w:rFonts w:asciiTheme="minorHAnsi" w:hAnsiTheme="minorHAnsi" w:cstheme="minorHAnsi"/>
          <w:lang w:val="fr-FR"/>
        </w:rPr>
        <w:t>allaitement.</w:t>
      </w:r>
    </w:p>
    <w:p w14:paraId="7C3D93C9" w14:textId="77777777" w:rsidR="00943434" w:rsidRPr="00C73365" w:rsidRDefault="00943434" w:rsidP="004572A0">
      <w:pPr>
        <w:pStyle w:val="Corpsdetexte"/>
        <w:rPr>
          <w:rFonts w:asciiTheme="minorHAnsi" w:hAnsiTheme="minorHAnsi" w:cstheme="minorHAnsi"/>
          <w:b/>
          <w:lang w:val="fr-FR"/>
        </w:rPr>
      </w:pPr>
      <w:r w:rsidRPr="00C73365">
        <w:rPr>
          <w:rFonts w:asciiTheme="minorHAnsi" w:hAnsiTheme="minorHAnsi" w:cstheme="minorHAnsi"/>
          <w:b/>
          <w:lang w:val="fr-FR"/>
        </w:rPr>
        <w:t>Le VIH/SIDA, la maladie infectieuse responsable du plus grand nombre de décès au monde</w:t>
      </w:r>
    </w:p>
    <w:p w14:paraId="615B7416"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Le VIH, virus responsable du SIDA, est l</w:t>
      </w:r>
      <w:r w:rsidR="004572A0" w:rsidRPr="00C73365">
        <w:rPr>
          <w:rFonts w:asciiTheme="minorHAnsi" w:hAnsiTheme="minorHAnsi" w:cstheme="minorHAnsi"/>
          <w:lang w:val="fr-FR"/>
        </w:rPr>
        <w:t>’</w:t>
      </w:r>
      <w:r w:rsidRPr="00C73365">
        <w:rPr>
          <w:rFonts w:asciiTheme="minorHAnsi" w:hAnsiTheme="minorHAnsi" w:cstheme="minorHAnsi"/>
          <w:lang w:val="fr-FR"/>
        </w:rPr>
        <w:t>un des principaux défis de santé dans le monde. L’UNAIDS (The Joint United Nations Program on HIV/AIDS) indique ainsi que</w:t>
      </w:r>
      <w:r w:rsidRPr="00C73365">
        <w:rPr>
          <w:rStyle w:val="Appelnotedebasdep"/>
          <w:rFonts w:asciiTheme="minorHAnsi" w:eastAsia="SimSun" w:hAnsiTheme="minorHAnsi" w:cstheme="minorHAnsi"/>
          <w:lang w:val="fr-FR"/>
        </w:rPr>
        <w:footnoteReference w:id="5"/>
      </w:r>
      <w:r w:rsidRPr="00C73365">
        <w:rPr>
          <w:rFonts w:asciiTheme="minorHAnsi" w:hAnsiTheme="minorHAnsi" w:cstheme="minorHAnsi"/>
          <w:lang w:val="fr-FR"/>
        </w:rPr>
        <w:t>:</w:t>
      </w:r>
    </w:p>
    <w:p w14:paraId="0C8169C1" w14:textId="605A4361" w:rsidR="00943434" w:rsidRPr="00C73365" w:rsidRDefault="00943434" w:rsidP="00434C49">
      <w:pPr>
        <w:pStyle w:val="Paragraphedeliste"/>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36,7 millions de personnes environ vivaient avec le VIH/SIDA en 2016, dont 2,1 millions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enfants (&lt;15 ans). Sur ces 36,7 millions de personnes infectées, </w:t>
      </w:r>
      <w:r w:rsidR="00713CB6">
        <w:rPr>
          <w:rFonts w:asciiTheme="minorHAnsi" w:hAnsiTheme="minorHAnsi" w:cstheme="minorHAnsi"/>
          <w:szCs w:val="20"/>
          <w:lang w:val="fr-FR"/>
        </w:rPr>
        <w:t>[</w:t>
      </w:r>
      <w:r w:rsidRPr="00C73365">
        <w:rPr>
          <w:rFonts w:asciiTheme="minorHAnsi" w:hAnsiTheme="minorHAnsi" w:cstheme="minorHAnsi"/>
          <w:szCs w:val="20"/>
          <w:lang w:val="fr-FR"/>
        </w:rPr>
        <w:t>19 millions</w:t>
      </w:r>
      <w:r w:rsidR="00713CB6">
        <w:rPr>
          <w:rFonts w:asciiTheme="minorHAnsi" w:hAnsiTheme="minorHAnsi" w:cstheme="minorHAnsi"/>
          <w:szCs w:val="20"/>
          <w:lang w:val="fr-FR"/>
        </w:rPr>
        <w:t>]</w:t>
      </w:r>
      <w:r w:rsidRPr="00C73365">
        <w:rPr>
          <w:rFonts w:asciiTheme="minorHAnsi" w:hAnsiTheme="minorHAnsi" w:cstheme="minorHAnsi"/>
          <w:szCs w:val="20"/>
          <w:lang w:val="fr-FR"/>
        </w:rPr>
        <w:t xml:space="preserve"> ignorent qu’elles sont infectées par le virus du VIH.</w:t>
      </w:r>
    </w:p>
    <w:p w14:paraId="5BC2CAF5" w14:textId="77777777" w:rsidR="00943434" w:rsidRPr="00C73365" w:rsidRDefault="00943434" w:rsidP="00434C49">
      <w:pPr>
        <w:pStyle w:val="Paragraphedeliste"/>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Selon des estimations, 1,8 millions de personnes ont été nouvellement infectées par le VIH dans le monde en 2016, dont 160 000 enfants (&lt;15 ans). La majorité de ces enfants vivent en Afrique sub-saharienne et ont été infectés par leur mère séropositive au cours de la grossesse,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accouchement ou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allaitement.</w:t>
      </w:r>
    </w:p>
    <w:p w14:paraId="5AF0FB89" w14:textId="77777777" w:rsidR="00943434" w:rsidRPr="00C73365" w:rsidRDefault="00943434" w:rsidP="00434C49">
      <w:pPr>
        <w:pStyle w:val="Paragraphedeliste"/>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On dénombre 35 millions de décès liés au SIDA depuis les premiers cas signalés en 1981.</w:t>
      </w:r>
    </w:p>
    <w:p w14:paraId="69EE8B23" w14:textId="77777777" w:rsidR="00943434" w:rsidRPr="00C73365" w:rsidRDefault="00943434" w:rsidP="00434C49">
      <w:pPr>
        <w:pStyle w:val="Paragraphedeliste"/>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1 million de personnes sont décédées de causes liées au SIDA en 2016.</w:t>
      </w:r>
    </w:p>
    <w:p w14:paraId="7F5CABC8" w14:textId="77777777" w:rsidR="00943434" w:rsidRPr="00C73365" w:rsidRDefault="00943434" w:rsidP="00943434">
      <w:pPr>
        <w:spacing w:line="240" w:lineRule="atLeast"/>
        <w:rPr>
          <w:rFonts w:asciiTheme="minorHAnsi" w:hAnsiTheme="minorHAnsi" w:cstheme="minorHAnsi"/>
          <w:szCs w:val="20"/>
          <w:lang w:val="fr-FR"/>
        </w:rPr>
      </w:pPr>
    </w:p>
    <w:p w14:paraId="21371158" w14:textId="206C6E6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Malgré les avancées scientifiques et les connaissances sur le VIH, l’amélioration de la prévention et des traitements ainsi que des années d</w:t>
      </w:r>
      <w:r w:rsidR="004572A0" w:rsidRPr="00C73365">
        <w:rPr>
          <w:rFonts w:asciiTheme="minorHAnsi" w:hAnsiTheme="minorHAnsi" w:cstheme="minorHAnsi"/>
          <w:lang w:val="fr-FR"/>
        </w:rPr>
        <w:t>’</w:t>
      </w:r>
      <w:r w:rsidRPr="00C73365">
        <w:rPr>
          <w:rFonts w:asciiTheme="minorHAnsi" w:hAnsiTheme="minorHAnsi" w:cstheme="minorHAnsi"/>
          <w:lang w:val="fr-FR"/>
        </w:rPr>
        <w:t>efforts de la communauté sanitaire mondiale, des grands organismes gouvernementaux et de la société civile, la majorité des personnes vivant avec le VIH ou risquant de le contracter n</w:t>
      </w:r>
      <w:r w:rsidR="004572A0" w:rsidRPr="00C73365">
        <w:rPr>
          <w:rFonts w:asciiTheme="minorHAnsi" w:hAnsiTheme="minorHAnsi" w:cstheme="minorHAnsi"/>
          <w:lang w:val="fr-FR"/>
        </w:rPr>
        <w:t>’</w:t>
      </w:r>
      <w:r w:rsidRPr="00C73365">
        <w:rPr>
          <w:rFonts w:asciiTheme="minorHAnsi" w:hAnsiTheme="minorHAnsi" w:cstheme="minorHAnsi"/>
          <w:lang w:val="fr-FR"/>
        </w:rPr>
        <w:t>ont aucun accès à la prévention, aux soins ou aux traitements. Seuls 53% des malades ont accès à des traitements anti-viraux</w:t>
      </w:r>
      <w:r w:rsidR="00480CE7">
        <w:rPr>
          <w:rFonts w:asciiTheme="minorHAnsi" w:hAnsiTheme="minorHAnsi" w:cstheme="minorHAnsi"/>
          <w:vertAlign w:val="superscript"/>
          <w:lang w:val="fr-FR"/>
        </w:rPr>
        <w:t>5</w:t>
      </w:r>
      <w:r w:rsidR="00480CE7" w:rsidRPr="00C73365">
        <w:rPr>
          <w:rFonts w:asciiTheme="minorHAnsi" w:hAnsiTheme="minorHAnsi" w:cstheme="minorHAnsi"/>
          <w:vertAlign w:val="superscript"/>
          <w:lang w:val="fr-FR"/>
        </w:rPr>
        <w:t xml:space="preserve"> </w:t>
      </w:r>
      <w:r w:rsidR="00CF1121">
        <w:rPr>
          <w:rFonts w:asciiTheme="minorHAnsi" w:hAnsiTheme="minorHAnsi" w:cstheme="minorHAnsi"/>
          <w:vertAlign w:val="superscript"/>
          <w:lang w:val="fr-FR"/>
        </w:rPr>
        <w:t xml:space="preserve"> </w:t>
      </w:r>
      <w:r w:rsidR="00CF1121">
        <w:rPr>
          <w:rFonts w:asciiTheme="minorHAnsi" w:hAnsiTheme="minorHAnsi" w:cstheme="minorHAnsi"/>
          <w:lang w:val="fr-FR"/>
        </w:rPr>
        <w:t>(</w:t>
      </w:r>
      <w:r w:rsidRPr="00C73365">
        <w:rPr>
          <w:rFonts w:asciiTheme="minorHAnsi" w:hAnsiTheme="minorHAnsi" w:cstheme="minorHAnsi"/>
          <w:lang w:val="fr-FR"/>
        </w:rPr>
        <w:t xml:space="preserve">TAR). </w:t>
      </w:r>
    </w:p>
    <w:p w14:paraId="58A10FD8" w14:textId="3D3407FA"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La très grande majorité des personnes vivant avec le VIH se trouvent dans des pays à faible et moyen revenu. L</w:t>
      </w:r>
      <w:r w:rsidR="004572A0" w:rsidRPr="00C73365">
        <w:rPr>
          <w:rFonts w:asciiTheme="minorHAnsi" w:hAnsiTheme="minorHAnsi" w:cstheme="minorHAnsi"/>
          <w:lang w:val="fr-FR"/>
        </w:rPr>
        <w:t>’</w:t>
      </w:r>
      <w:r w:rsidRPr="00C73365">
        <w:rPr>
          <w:rFonts w:asciiTheme="minorHAnsi" w:hAnsiTheme="minorHAnsi" w:cstheme="minorHAnsi"/>
          <w:lang w:val="fr-FR"/>
        </w:rPr>
        <w:t>Afrique sub-saharienne est la zone la plus touch</w:t>
      </w:r>
      <w:r w:rsidRPr="002B0D0F">
        <w:rPr>
          <w:rFonts w:asciiTheme="minorHAnsi" w:hAnsiTheme="minorHAnsi" w:cstheme="minorHAnsi"/>
          <w:lang w:val="fr-FR"/>
        </w:rPr>
        <w:t>ée, avec 25,5 millions de séropositifs en 2016, soit 70% de la population séropositive mondiale</w:t>
      </w:r>
      <w:r w:rsidR="00860311" w:rsidRPr="002B0D0F">
        <w:rPr>
          <w:rFonts w:asciiTheme="minorHAnsi" w:hAnsiTheme="minorHAnsi" w:cstheme="minorHAnsi"/>
          <w:vertAlign w:val="superscript"/>
          <w:lang w:val="fr-FR"/>
        </w:rPr>
        <w:t>6</w:t>
      </w:r>
    </w:p>
    <w:p w14:paraId="35E9B81F" w14:textId="7AD42960"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En Europe et aux Etats-Unis, on estime à fin 2016 à 2,1 million le nombre d’individus infectés dont </w:t>
      </w:r>
      <w:r w:rsidR="00713CB6">
        <w:rPr>
          <w:rFonts w:asciiTheme="minorHAnsi" w:hAnsiTheme="minorHAnsi" w:cstheme="minorHAnsi"/>
          <w:lang w:val="fr-FR"/>
        </w:rPr>
        <w:t>[</w:t>
      </w:r>
      <w:r w:rsidRPr="00C73365">
        <w:rPr>
          <w:rFonts w:asciiTheme="minorHAnsi" w:hAnsiTheme="minorHAnsi" w:cstheme="minorHAnsi"/>
          <w:lang w:val="fr-FR"/>
        </w:rPr>
        <w:t>58 % sont traités</w:t>
      </w:r>
      <w:r w:rsidR="00860311">
        <w:rPr>
          <w:rStyle w:val="Appelnotedebasdep"/>
          <w:rFonts w:asciiTheme="minorHAnsi" w:hAnsiTheme="minorHAnsi"/>
          <w:lang w:val="fr-FR"/>
        </w:rPr>
        <w:footnoteReference w:id="6"/>
      </w:r>
      <w:r w:rsidR="00713CB6">
        <w:rPr>
          <w:rFonts w:asciiTheme="minorHAnsi" w:hAnsiTheme="minorHAnsi" w:cstheme="minorHAnsi"/>
          <w:lang w:val="fr-FR"/>
        </w:rPr>
        <w:t>].</w:t>
      </w:r>
    </w:p>
    <w:p w14:paraId="62495141"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De nouvelles initiatives mondiales ont été développées pour combattre cette épidémie, en particulier au cours de la dernière décennie. La prévention a permis de réduire les taux de prévalence du VIH dans un nombre encore limité, mais grandissant de pays, et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on considère que les nouvelles infections par le VIH sont en baisse. Malgré ces améliorations, le nombre de séropositifs traités dans les pays pauvres a augmenté de manière significative ces dix dernières années. </w:t>
      </w:r>
    </w:p>
    <w:p w14:paraId="31BF1C35"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Bien que les thérapies antirétrovirales les plus modernes soient efficaces et permettent de maintenir les patients en vie, elles ne les guérissent pas de leur maladie.</w:t>
      </w:r>
    </w:p>
    <w:p w14:paraId="0BA9DED2" w14:textId="61D100B3" w:rsidR="00943434" w:rsidRPr="00C73365" w:rsidRDefault="00943434" w:rsidP="00943434">
      <w:pPr>
        <w:pStyle w:val="Paragraphedeliste"/>
        <w:numPr>
          <w:ilvl w:val="3"/>
          <w:numId w:val="9"/>
        </w:numPr>
        <w:spacing w:after="0"/>
        <w:outlineLvl w:val="2"/>
        <w:rPr>
          <w:rFonts w:asciiTheme="minorHAnsi" w:hAnsiTheme="minorHAnsi" w:cstheme="minorHAnsi"/>
          <w:b/>
          <w:szCs w:val="20"/>
          <w:lang w:val="fr-FR"/>
        </w:rPr>
      </w:pPr>
      <w:bookmarkStart w:id="289" w:name="_Toc408918385"/>
      <w:bookmarkStart w:id="290" w:name="_Toc409537466"/>
      <w:r w:rsidRPr="00C73365">
        <w:rPr>
          <w:rFonts w:asciiTheme="minorHAnsi" w:hAnsiTheme="minorHAnsi" w:cstheme="minorHAnsi"/>
          <w:lang w:val="fr-FR"/>
        </w:rPr>
        <w:t>Options thérapeutiques contre le VIH</w:t>
      </w:r>
      <w:bookmarkEnd w:id="289"/>
      <w:bookmarkEnd w:id="290"/>
    </w:p>
    <w:p w14:paraId="0ED5CF4C" w14:textId="77777777" w:rsidR="00943434" w:rsidRPr="00C73365" w:rsidRDefault="00943434" w:rsidP="00943434">
      <w:pPr>
        <w:spacing w:line="240" w:lineRule="atLeast"/>
        <w:rPr>
          <w:rFonts w:asciiTheme="minorHAnsi" w:hAnsiTheme="minorHAnsi" w:cstheme="minorHAnsi"/>
          <w:szCs w:val="20"/>
          <w:lang w:val="fr-FR"/>
        </w:rPr>
      </w:pPr>
    </w:p>
    <w:p w14:paraId="3B7E4225"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Six classes d</w:t>
      </w:r>
      <w:r w:rsidR="004572A0" w:rsidRPr="00C73365">
        <w:rPr>
          <w:rFonts w:asciiTheme="minorHAnsi" w:hAnsiTheme="minorHAnsi" w:cstheme="minorHAnsi"/>
          <w:lang w:val="fr-FR"/>
        </w:rPr>
        <w:t>’</w:t>
      </w:r>
      <w:r w:rsidRPr="00C73365">
        <w:rPr>
          <w:rFonts w:asciiTheme="minorHAnsi" w:hAnsiTheme="minorHAnsi" w:cstheme="minorHAnsi"/>
          <w:lang w:val="fr-FR"/>
        </w:rPr>
        <w:t>antiviraux et plus de 30 produits antirétroviraux (ARV) ont été lancés depuis la mise sur le marché de la première molécule, la zidovudine (ViiVs Retrovir, ZDV), un inhibiteur nucléosidique de la transcriptase inverse (NRTI), en 1987. Chaque classe de médicament s</w:t>
      </w:r>
      <w:r w:rsidR="004572A0" w:rsidRPr="00C73365">
        <w:rPr>
          <w:rFonts w:asciiTheme="minorHAnsi" w:hAnsiTheme="minorHAnsi" w:cstheme="minorHAnsi"/>
          <w:lang w:val="fr-FR"/>
        </w:rPr>
        <w:t>’</w:t>
      </w:r>
      <w:r w:rsidRPr="00C73365">
        <w:rPr>
          <w:rFonts w:asciiTheme="minorHAnsi" w:hAnsiTheme="minorHAnsi" w:cstheme="minorHAnsi"/>
          <w:lang w:val="fr-FR"/>
        </w:rPr>
        <w:t>attaque au virus au travers d</w:t>
      </w:r>
      <w:r w:rsidR="004572A0" w:rsidRPr="00C73365">
        <w:rPr>
          <w:rFonts w:asciiTheme="minorHAnsi" w:hAnsiTheme="minorHAnsi" w:cstheme="minorHAnsi"/>
          <w:lang w:val="fr-FR"/>
        </w:rPr>
        <w:t>’</w:t>
      </w:r>
      <w:r w:rsidRPr="00C73365">
        <w:rPr>
          <w:rFonts w:asciiTheme="minorHAnsi" w:hAnsiTheme="minorHAnsi" w:cstheme="minorHAnsi"/>
          <w:lang w:val="fr-FR"/>
        </w:rPr>
        <w:t>un mode d</w:t>
      </w:r>
      <w:r w:rsidR="004572A0" w:rsidRPr="00C73365">
        <w:rPr>
          <w:rFonts w:asciiTheme="minorHAnsi" w:hAnsiTheme="minorHAnsi" w:cstheme="minorHAnsi"/>
          <w:lang w:val="fr-FR"/>
        </w:rPr>
        <w:t>’</w:t>
      </w:r>
      <w:r w:rsidRPr="00C73365">
        <w:rPr>
          <w:rFonts w:asciiTheme="minorHAnsi" w:hAnsiTheme="minorHAnsi" w:cstheme="minorHAnsi"/>
          <w:lang w:val="fr-FR"/>
        </w:rPr>
        <w:t>action différent :</w:t>
      </w:r>
    </w:p>
    <w:p w14:paraId="75BC4D5F"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w:t>
      </w:r>
      <w:r w:rsidRPr="00C73365">
        <w:rPr>
          <w:rFonts w:asciiTheme="minorHAnsi" w:hAnsiTheme="minorHAnsi" w:cstheme="minorHAnsi"/>
          <w:szCs w:val="20"/>
          <w:lang w:val="fr-FR"/>
        </w:rPr>
        <w:t xml:space="preserve"> </w:t>
      </w:r>
      <w:r w:rsidRPr="00C73365">
        <w:rPr>
          <w:rFonts w:asciiTheme="minorHAnsi" w:hAnsiTheme="minorHAnsi" w:cstheme="minorHAnsi"/>
          <w:b/>
          <w:szCs w:val="20"/>
          <w:lang w:val="fr-FR"/>
        </w:rPr>
        <w:t>inhibiteurs nucléosidiques de la transcriptase inverse (NRTI)</w:t>
      </w:r>
      <w:r w:rsidRPr="00C73365">
        <w:rPr>
          <w:rFonts w:asciiTheme="minorHAnsi" w:hAnsiTheme="minorHAnsi" w:cstheme="minorHAnsi"/>
          <w:szCs w:val="20"/>
          <w:lang w:val="fr-FR"/>
        </w:rPr>
        <w:t xml:space="preserve"> inhibent la transcription inverse en servant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inhibiteurs de substrat de façon compétitive ;</w:t>
      </w:r>
    </w:p>
    <w:p w14:paraId="53F11DBC"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lastRenderedPageBreak/>
        <w:t>les inhibiteurs de la transcriptase inverse non-nucléosidiques (NNRTI)</w:t>
      </w:r>
      <w:r w:rsidRPr="00C73365">
        <w:rPr>
          <w:rFonts w:asciiTheme="minorHAnsi" w:hAnsiTheme="minorHAnsi" w:cstheme="minorHAnsi"/>
          <w:szCs w:val="20"/>
          <w:lang w:val="fr-FR"/>
        </w:rPr>
        <w:t xml:space="preserve"> inhibent la transcriptase inverse au travers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 mécanisme différent, en se liant directement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enzyme ;</w:t>
      </w:r>
    </w:p>
    <w:p w14:paraId="640EA89C"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protéase (IP)</w:t>
      </w:r>
      <w:r w:rsidRPr="00C73365">
        <w:rPr>
          <w:rFonts w:asciiTheme="minorHAnsi" w:hAnsiTheme="minorHAnsi" w:cstheme="minorHAnsi"/>
          <w:szCs w:val="20"/>
          <w:lang w:val="fr-FR"/>
        </w:rPr>
        <w:t xml:space="preserve"> bloquent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enzyme de la protéase virale nécessaire à la production de virions matures lors de leur émergence de la membrane hôte ;</w:t>
      </w:r>
    </w:p>
    <w:p w14:paraId="2167576B"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fusion (IF)</w:t>
      </w:r>
      <w:r w:rsidRPr="00C73365">
        <w:rPr>
          <w:rFonts w:asciiTheme="minorHAnsi" w:hAnsiTheme="minorHAnsi" w:cstheme="minorHAnsi"/>
          <w:szCs w:val="20"/>
          <w:lang w:val="fr-FR"/>
        </w:rPr>
        <w:t xml:space="preserve"> interfèrent avec la liaison, la fusion et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entrée du VIH en bloquant une ou plusieurs cibles ;</w:t>
      </w:r>
    </w:p>
    <w:p w14:paraId="1491692F"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intégrase (INSTI)</w:t>
      </w:r>
      <w:r w:rsidRPr="00C73365">
        <w:rPr>
          <w:rFonts w:asciiTheme="minorHAnsi" w:hAnsiTheme="minorHAnsi" w:cstheme="minorHAnsi"/>
          <w:szCs w:val="20"/>
          <w:lang w:val="fr-FR"/>
        </w:rPr>
        <w:t xml:space="preserve"> inhibent l’intégrase, une enzyme virale responsable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intégration de la copie ADN du génome ARN viral sur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ADN de la cellule infectée ;</w:t>
      </w:r>
    </w:p>
    <w:p w14:paraId="297CE43A"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antagonistes du récepteur CCR</w:t>
      </w:r>
      <w:r w:rsidRPr="00C73365">
        <w:rPr>
          <w:rFonts w:asciiTheme="minorHAnsi" w:hAnsiTheme="minorHAnsi" w:cstheme="minorHAnsi"/>
          <w:szCs w:val="20"/>
          <w:lang w:val="fr-FR"/>
        </w:rPr>
        <w:t xml:space="preserve"> empêchent le VIH-1 de pénétrer et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infecter les cellules immunitaires en bloquant le récepteur transmembranaire (le VIH pénètre des cellules hôtes dans le sang en se fixant sur des récepteurs se trouvant à la surface des cellules CD4+).</w:t>
      </w:r>
    </w:p>
    <w:p w14:paraId="374C48BB" w14:textId="77777777" w:rsidR="00943434" w:rsidRPr="00C73365" w:rsidRDefault="00943434" w:rsidP="00943434">
      <w:pPr>
        <w:spacing w:line="240" w:lineRule="atLeast"/>
        <w:rPr>
          <w:rFonts w:asciiTheme="minorHAnsi" w:hAnsiTheme="minorHAnsi" w:cstheme="minorHAnsi"/>
          <w:szCs w:val="20"/>
          <w:lang w:val="fr-FR"/>
        </w:rPr>
      </w:pPr>
    </w:p>
    <w:p w14:paraId="048F089A"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La thérapie antirétrovirale (TAR), qui s</w:t>
      </w:r>
      <w:r w:rsidR="004572A0" w:rsidRPr="00C73365">
        <w:rPr>
          <w:rFonts w:asciiTheme="minorHAnsi" w:hAnsiTheme="minorHAnsi" w:cstheme="minorHAnsi"/>
          <w:lang w:val="fr-FR"/>
        </w:rPr>
        <w:t>’</w:t>
      </w:r>
      <w:r w:rsidRPr="00C73365">
        <w:rPr>
          <w:rFonts w:asciiTheme="minorHAnsi" w:hAnsiTheme="minorHAnsi" w:cstheme="minorHAnsi"/>
          <w:lang w:val="fr-FR"/>
        </w:rPr>
        <w:t>appuie sur l</w:t>
      </w:r>
      <w:r w:rsidR="004572A0" w:rsidRPr="00C73365">
        <w:rPr>
          <w:rFonts w:asciiTheme="minorHAnsi" w:hAnsiTheme="minorHAnsi" w:cstheme="minorHAnsi"/>
          <w:lang w:val="fr-FR"/>
        </w:rPr>
        <w:t>’</w:t>
      </w:r>
      <w:r w:rsidRPr="00C73365">
        <w:rPr>
          <w:rFonts w:asciiTheme="minorHAnsi" w:hAnsiTheme="minorHAnsi" w:cstheme="minorHAnsi"/>
          <w:lang w:val="fr-FR"/>
        </w:rPr>
        <w:t>association d’inhibiteurs de protéase (IP) et d’inhibiteurs de transcriptase inverse (NNRTI), a fait évoluer de manière très positive le diagnostic de l</w:t>
      </w:r>
      <w:r w:rsidR="004572A0" w:rsidRPr="00C73365">
        <w:rPr>
          <w:rFonts w:asciiTheme="minorHAnsi" w:hAnsiTheme="minorHAnsi" w:cstheme="minorHAnsi"/>
          <w:lang w:val="fr-FR"/>
        </w:rPr>
        <w:t>’</w:t>
      </w:r>
      <w:r w:rsidRPr="00C73365">
        <w:rPr>
          <w:rFonts w:asciiTheme="minorHAnsi" w:hAnsiTheme="minorHAnsi" w:cstheme="minorHAnsi"/>
          <w:lang w:val="fr-FR"/>
        </w:rPr>
        <w:t>infection au VIH.  En conséquence, le VIH est désormais considéré comme une maladie chronique dans les pays développés. L</w:t>
      </w:r>
      <w:r w:rsidR="004572A0" w:rsidRPr="00C73365">
        <w:rPr>
          <w:rFonts w:asciiTheme="minorHAnsi" w:hAnsiTheme="minorHAnsi" w:cstheme="minorHAnsi"/>
          <w:lang w:val="fr-FR"/>
        </w:rPr>
        <w:t>’</w:t>
      </w:r>
      <w:r w:rsidRPr="00C73365">
        <w:rPr>
          <w:rFonts w:asciiTheme="minorHAnsi" w:hAnsiTheme="minorHAnsi" w:cstheme="minorHAnsi"/>
          <w:lang w:val="fr-FR"/>
        </w:rPr>
        <w:t>accès à la TAR pose cependant toujours problème dans les pays en voie de développement.</w:t>
      </w:r>
    </w:p>
    <w:p w14:paraId="7E49A72D"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A l</w:t>
      </w:r>
      <w:r w:rsidR="004572A0" w:rsidRPr="00C73365">
        <w:rPr>
          <w:rFonts w:asciiTheme="minorHAnsi" w:hAnsiTheme="minorHAnsi" w:cstheme="minorHAnsi"/>
          <w:lang w:val="fr-FR"/>
        </w:rPr>
        <w:t>’</w:t>
      </w:r>
      <w:r w:rsidRPr="00C73365">
        <w:rPr>
          <w:rFonts w:asciiTheme="minorHAnsi" w:hAnsiTheme="minorHAnsi" w:cstheme="minorHAnsi"/>
          <w:lang w:val="fr-FR"/>
        </w:rPr>
        <w:t>heure actuelle, le traitement du VIH s</w:t>
      </w:r>
      <w:r w:rsidR="004572A0" w:rsidRPr="00C73365">
        <w:rPr>
          <w:rFonts w:asciiTheme="minorHAnsi" w:hAnsiTheme="minorHAnsi" w:cstheme="minorHAnsi"/>
          <w:lang w:val="fr-FR"/>
        </w:rPr>
        <w:t>’</w:t>
      </w:r>
      <w:r w:rsidRPr="00C73365">
        <w:rPr>
          <w:rFonts w:asciiTheme="minorHAnsi" w:hAnsiTheme="minorHAnsi" w:cstheme="minorHAnsi"/>
          <w:lang w:val="fr-FR"/>
        </w:rPr>
        <w:t>appuie sur des régimes posologiques comportant généralement au moins deux classes thérapeutiques et un minimum de trois agents antirétroviraux (ARV). Le régime initial standard comprend un NNRTI ou un IP renforcé de Ritonavir en association avec deux NRTI. La possibilité de disposer de plusieurs classes de médicaments permet de mieux adapter ces associations thérapeutiques au rythme de vie des patients, à leur éventuelle résistance aux médicaments et à leur état de santé. Il n</w:t>
      </w:r>
      <w:r w:rsidR="004572A0" w:rsidRPr="00C73365">
        <w:rPr>
          <w:rFonts w:asciiTheme="minorHAnsi" w:hAnsiTheme="minorHAnsi" w:cstheme="minorHAnsi"/>
          <w:lang w:val="fr-FR"/>
        </w:rPr>
        <w:t>’</w:t>
      </w:r>
      <w:r w:rsidRPr="00C73365">
        <w:rPr>
          <w:rFonts w:asciiTheme="minorHAnsi" w:hAnsiTheme="minorHAnsi" w:cstheme="minorHAnsi"/>
          <w:lang w:val="fr-FR"/>
        </w:rPr>
        <w:t>existe cependant pas de remède contre 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même si des traitements par antirétroviraux sont efficaces et permettent de contrôler le virus.</w:t>
      </w:r>
    </w:p>
    <w:p w14:paraId="6A9F6221"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Les TAR actuelles présentent également certaines limites, car, bien qu</w:t>
      </w:r>
      <w:r w:rsidR="004572A0" w:rsidRPr="00C73365">
        <w:rPr>
          <w:rFonts w:asciiTheme="minorHAnsi" w:hAnsiTheme="minorHAnsi" w:cstheme="minorHAnsi"/>
          <w:lang w:val="fr-FR"/>
        </w:rPr>
        <w:t>’</w:t>
      </w:r>
      <w:r w:rsidRPr="00C73365">
        <w:rPr>
          <w:rFonts w:asciiTheme="minorHAnsi" w:hAnsiTheme="minorHAnsi" w:cstheme="minorHAnsi"/>
          <w:lang w:val="fr-FR"/>
        </w:rPr>
        <w:t>efficaces pour réduire la charge virale, elles ne présentent pas d</w:t>
      </w:r>
      <w:r w:rsidR="004572A0" w:rsidRPr="00C73365">
        <w:rPr>
          <w:rFonts w:asciiTheme="minorHAnsi" w:hAnsiTheme="minorHAnsi" w:cstheme="minorHAnsi"/>
          <w:lang w:val="fr-FR"/>
        </w:rPr>
        <w:t>’</w:t>
      </w:r>
      <w:r w:rsidRPr="00C73365">
        <w:rPr>
          <w:rFonts w:asciiTheme="minorHAnsi" w:hAnsiTheme="minorHAnsi" w:cstheme="minorHAnsi"/>
          <w:lang w:val="fr-FR"/>
        </w:rPr>
        <w:t>efficacité à long terme, sont contraignantes pour les patients en raison de leur prise quotidienne et induisent un rebond de la charge virale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En effet, l’existence de réservoirs viraux, déjà bien documentée, permet au virus de se « cacher » et de se réactiver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Aucune des thérapies actuelles n</w:t>
      </w:r>
      <w:r w:rsidR="004572A0" w:rsidRPr="00C73365">
        <w:rPr>
          <w:rFonts w:asciiTheme="minorHAnsi" w:hAnsiTheme="minorHAnsi" w:cstheme="minorHAnsi"/>
          <w:lang w:val="fr-FR"/>
        </w:rPr>
        <w:t>’</w:t>
      </w:r>
      <w:r w:rsidRPr="00C73365">
        <w:rPr>
          <w:rFonts w:asciiTheme="minorHAnsi" w:hAnsiTheme="minorHAnsi" w:cstheme="minorHAnsi"/>
          <w:lang w:val="fr-FR"/>
        </w:rPr>
        <w:t>est en mesure de cibler le virus dans ces réservoirs.</w:t>
      </w:r>
    </w:p>
    <w:p w14:paraId="7F8484B2"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Ainsi, l</w:t>
      </w:r>
      <w:r w:rsidR="004572A0" w:rsidRPr="00C73365">
        <w:rPr>
          <w:rFonts w:asciiTheme="minorHAnsi" w:hAnsiTheme="minorHAnsi" w:cstheme="minorHAnsi"/>
          <w:lang w:val="fr-FR"/>
        </w:rPr>
        <w:t>’</w:t>
      </w:r>
      <w:r w:rsidRPr="00C73365">
        <w:rPr>
          <w:rFonts w:asciiTheme="minorHAnsi" w:hAnsiTheme="minorHAnsi" w:cstheme="minorHAnsi"/>
          <w:lang w:val="fr-FR"/>
        </w:rPr>
        <w:t>utilisation à long terme des TAR est-elle limitée par des problèmes de résistance aux médicaments et par leurs effets secondaires. Par exemple, une résistance à de nouvelles classes thérapeutiques contre le VIH/SIDA, comme le Raltegravir® (inhibiteur de l</w:t>
      </w:r>
      <w:r w:rsidR="004572A0" w:rsidRPr="00C73365">
        <w:rPr>
          <w:rFonts w:asciiTheme="minorHAnsi" w:hAnsiTheme="minorHAnsi" w:cstheme="minorHAnsi"/>
          <w:lang w:val="fr-FR"/>
        </w:rPr>
        <w:t>’</w:t>
      </w:r>
      <w:r w:rsidRPr="00C73365">
        <w:rPr>
          <w:rFonts w:asciiTheme="minorHAnsi" w:hAnsiTheme="minorHAnsi" w:cstheme="minorHAnsi"/>
          <w:lang w:val="fr-FR"/>
        </w:rPr>
        <w:t>intégrase) ou l</w:t>
      </w:r>
      <w:r w:rsidR="004572A0" w:rsidRPr="00C73365">
        <w:rPr>
          <w:rFonts w:asciiTheme="minorHAnsi" w:hAnsiTheme="minorHAnsi" w:cstheme="minorHAnsi"/>
          <w:lang w:val="fr-FR"/>
        </w:rPr>
        <w:t>’</w:t>
      </w:r>
      <w:r w:rsidRPr="00C73365">
        <w:rPr>
          <w:rFonts w:asciiTheme="minorHAnsi" w:hAnsiTheme="minorHAnsi" w:cstheme="minorHAnsi"/>
          <w:lang w:val="fr-FR"/>
        </w:rPr>
        <w:t>Enfuvirtide® (inhibiteur de fusion), a déjà été observée</w:t>
      </w:r>
      <w:r w:rsidRPr="00C73365">
        <w:rPr>
          <w:rStyle w:val="Appelnotedebasdep"/>
          <w:rFonts w:asciiTheme="minorHAnsi" w:eastAsia="SimSun" w:hAnsiTheme="minorHAnsi" w:cstheme="minorHAnsi"/>
          <w:lang w:val="fr-FR"/>
        </w:rPr>
        <w:footnoteReference w:id="7"/>
      </w:r>
      <w:r w:rsidRPr="00C73365">
        <w:rPr>
          <w:rFonts w:asciiTheme="minorHAnsi" w:hAnsiTheme="minorHAnsi" w:cstheme="minorHAnsi"/>
          <w:lang w:val="fr-FR"/>
        </w:rPr>
        <w:t xml:space="preserve">. </w:t>
      </w:r>
    </w:p>
    <w:p w14:paraId="19E39268"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Il existe donc un besoin continu pour de nouveaux produits, en particulier des médicaments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nouveau et jusqu</w:t>
      </w:r>
      <w:r w:rsidR="004572A0" w:rsidRPr="00C73365">
        <w:rPr>
          <w:rFonts w:asciiTheme="minorHAnsi" w:hAnsiTheme="minorHAnsi" w:cstheme="minorHAnsi"/>
          <w:lang w:val="fr-FR"/>
        </w:rPr>
        <w:t>’</w:t>
      </w:r>
      <w:r w:rsidRPr="00C73365">
        <w:rPr>
          <w:rFonts w:asciiTheme="minorHAnsi" w:hAnsiTheme="minorHAnsi" w:cstheme="minorHAnsi"/>
          <w:lang w:val="fr-FR"/>
        </w:rPr>
        <w:t>ici inexploré, afin d</w:t>
      </w:r>
      <w:r w:rsidR="004572A0" w:rsidRPr="00C73365">
        <w:rPr>
          <w:rFonts w:asciiTheme="minorHAnsi" w:hAnsiTheme="minorHAnsi" w:cstheme="minorHAnsi"/>
          <w:lang w:val="fr-FR"/>
        </w:rPr>
        <w:t>’</w:t>
      </w:r>
      <w:r w:rsidRPr="00C73365">
        <w:rPr>
          <w:rFonts w:asciiTheme="minorHAnsi" w:hAnsiTheme="minorHAnsi" w:cstheme="minorHAnsi"/>
          <w:lang w:val="fr-FR"/>
        </w:rPr>
        <w:t>obtenir une efficacité à long terme et tendre vers un remède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infection par le VIH. </w:t>
      </w:r>
    </w:p>
    <w:p w14:paraId="4A746F6E"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Bien que les traitements antiviraux soient en mesure de contrôler le virus et de contenir la maladie, un certain nombre de problèmes cruciaux restent sans solution, notamment : </w:t>
      </w:r>
    </w:p>
    <w:p w14:paraId="6FE3AC05"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t>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innocuité et la tolérance à long terme des thérapies actuelles :</w:t>
      </w:r>
    </w:p>
    <w:p w14:paraId="0C4B2C96" w14:textId="77777777" w:rsidR="00943434" w:rsidRPr="00C73365" w:rsidRDefault="00943434" w:rsidP="00434C49">
      <w:pPr>
        <w:pStyle w:val="Paragraphedeliste"/>
        <w:numPr>
          <w:ilvl w:val="0"/>
          <w:numId w:val="75"/>
        </w:numPr>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le besoin de traitements réduisant les effets secondaires à long-terme (néphrotoxicité) et minimisant les interactions médicamenteuses ;</w:t>
      </w:r>
    </w:p>
    <w:p w14:paraId="3AFA3834" w14:textId="77777777" w:rsidR="00943434" w:rsidRPr="00C73365" w:rsidRDefault="00943434" w:rsidP="00434C49">
      <w:pPr>
        <w:pStyle w:val="Paragraphedeliste"/>
        <w:numPr>
          <w:ilvl w:val="0"/>
          <w:numId w:val="75"/>
        </w:numPr>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le besoin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posologie plus pratique, qui réduirait le nombre de comprimés à prendre, un facteur essentiel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observance des patients. A ce titre, le lancement de régimes à comprimé unique (STR) constitue un progrès et ceux-ci devraient se vendre à un prix plus élevé ; cependant, les STR seront probablement réservés au traitement des stades avancés de la maladie, en raison de leur coût, et, en ce qui concerne certains produits, en raison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interrogations quant à leur tolérance</w:t>
      </w:r>
    </w:p>
    <w:p w14:paraId="2C4B0832"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t>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émergence de souches de VIH très résistantes aux médicaments, ce qui renforce 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importance pour les cliniciens d</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avoir accès à un large éventail de traitements contre le VIH ;</w:t>
      </w:r>
    </w:p>
    <w:p w14:paraId="55862FD1"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lastRenderedPageBreak/>
        <w:t>la nécessité de découvrir un médicament fonctionnel, qui assurerait une suppression virale à long terme ou qui permettrait des arrêts temporaires de traitement.</w:t>
      </w:r>
    </w:p>
    <w:p w14:paraId="17E553F9" w14:textId="77777777" w:rsidR="00943434" w:rsidRPr="00C73365" w:rsidRDefault="00943434" w:rsidP="00943434">
      <w:pPr>
        <w:pStyle w:val="Paragraphedeliste"/>
        <w:ind w:left="0"/>
        <w:rPr>
          <w:rFonts w:asciiTheme="minorHAnsi" w:hAnsiTheme="minorHAnsi" w:cstheme="minorHAnsi"/>
          <w:b/>
          <w:szCs w:val="20"/>
          <w:u w:val="single"/>
          <w:lang w:val="fr-FR"/>
        </w:rPr>
      </w:pPr>
    </w:p>
    <w:p w14:paraId="53D33246" w14:textId="77777777" w:rsidR="00943434" w:rsidRPr="00C73365" w:rsidRDefault="00943434" w:rsidP="00943434">
      <w:pPr>
        <w:pStyle w:val="Paragraphedeliste"/>
        <w:numPr>
          <w:ilvl w:val="3"/>
          <w:numId w:val="9"/>
        </w:numPr>
        <w:spacing w:after="0"/>
        <w:outlineLvl w:val="2"/>
        <w:rPr>
          <w:rFonts w:asciiTheme="minorHAnsi" w:hAnsiTheme="minorHAnsi" w:cstheme="minorHAnsi"/>
          <w:lang w:val="fr-FR"/>
        </w:rPr>
      </w:pPr>
      <w:bookmarkStart w:id="291" w:name="_Toc408918386"/>
      <w:bookmarkStart w:id="292" w:name="_Toc409537467"/>
      <w:r w:rsidRPr="00C73365">
        <w:rPr>
          <w:rFonts w:asciiTheme="minorHAnsi" w:hAnsiTheme="minorHAnsi" w:cstheme="minorHAnsi"/>
          <w:lang w:val="fr-FR"/>
        </w:rPr>
        <w:t xml:space="preserve">Le marché des </w:t>
      </w:r>
      <w:bookmarkEnd w:id="291"/>
      <w:bookmarkEnd w:id="292"/>
      <w:r w:rsidRPr="00C73365">
        <w:rPr>
          <w:rFonts w:asciiTheme="minorHAnsi" w:hAnsiTheme="minorHAnsi" w:cstheme="minorHAnsi"/>
          <w:lang w:val="fr-FR"/>
        </w:rPr>
        <w:t>médicaments contre le VIH/SIDA</w:t>
      </w:r>
    </w:p>
    <w:p w14:paraId="683C97D2" w14:textId="77777777" w:rsidR="00943434" w:rsidRPr="00C73365" w:rsidRDefault="00943434" w:rsidP="00943434">
      <w:pPr>
        <w:rPr>
          <w:rFonts w:asciiTheme="minorHAnsi" w:hAnsiTheme="minorHAnsi" w:cstheme="minorHAnsi"/>
          <w:szCs w:val="20"/>
          <w:lang w:val="fr-FR"/>
        </w:rPr>
      </w:pPr>
    </w:p>
    <w:p w14:paraId="77993ECF"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Au total, le marché des médicaments contre le VIH s’élevait à 18 Mds$ en 2014</w:t>
      </w:r>
      <w:r w:rsidRPr="00C73365">
        <w:rPr>
          <w:rStyle w:val="Appelnotedebasdep"/>
          <w:rFonts w:asciiTheme="minorHAnsi" w:eastAsia="SimSun" w:hAnsiTheme="minorHAnsi" w:cstheme="minorHAnsi"/>
          <w:lang w:val="fr-FR"/>
        </w:rPr>
        <w:footnoteReference w:id="8"/>
      </w:r>
      <w:r w:rsidRPr="00C73365">
        <w:rPr>
          <w:rFonts w:asciiTheme="minorHAnsi" w:hAnsiTheme="minorHAnsi" w:cstheme="minorHAnsi"/>
          <w:lang w:val="fr-FR"/>
        </w:rPr>
        <w:t xml:space="preserve"> et se situait aux alentours des 23,3 Mds$ en 2016.</w:t>
      </w:r>
    </w:p>
    <w:p w14:paraId="1FFF94D7" w14:textId="5B868DF5" w:rsidR="00943434" w:rsidRPr="00657220" w:rsidRDefault="00943434" w:rsidP="00657220">
      <w:pPr>
        <w:jc w:val="center"/>
        <w:rPr>
          <w:rFonts w:asciiTheme="minorHAnsi" w:hAnsiTheme="minorHAnsi" w:cstheme="minorHAnsi"/>
          <w:i/>
          <w:color w:val="7030A0"/>
          <w:szCs w:val="20"/>
        </w:rPr>
      </w:pPr>
      <w:r w:rsidRPr="00C73365">
        <w:rPr>
          <w:rFonts w:asciiTheme="minorHAnsi" w:hAnsiTheme="minorHAnsi" w:cstheme="minorHAnsi"/>
          <w:i/>
          <w:noProof/>
          <w:color w:val="7030A0"/>
          <w:szCs w:val="20"/>
          <w:lang w:val="fr-FR" w:eastAsia="fr-FR"/>
        </w:rPr>
        <w:drawing>
          <wp:inline distT="0" distB="0" distL="0" distR="0" wp14:anchorId="15F32875" wp14:editId="2C63D9A3">
            <wp:extent cx="5915385" cy="1987826"/>
            <wp:effectExtent l="0" t="0" r="3175"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3385" cy="1993875"/>
                    </a:xfrm>
                    <a:prstGeom prst="rect">
                      <a:avLst/>
                    </a:prstGeom>
                  </pic:spPr>
                </pic:pic>
              </a:graphicData>
            </a:graphic>
          </wp:inline>
        </w:drawing>
      </w:r>
      <w:r w:rsidRPr="00C73365">
        <w:rPr>
          <w:rFonts w:asciiTheme="minorHAnsi" w:hAnsiTheme="minorHAnsi" w:cstheme="minorHAnsi"/>
          <w:i/>
          <w:iCs/>
        </w:rPr>
        <w:t xml:space="preserve">Source: UNAIDS – 2017, </w:t>
      </w:r>
      <w:r w:rsidRPr="00C73365">
        <w:rPr>
          <w:rFonts w:asciiTheme="minorHAnsi" w:hAnsiTheme="minorHAnsi" w:cstheme="minorHAnsi"/>
          <w:i/>
        </w:rPr>
        <w:t xml:space="preserve">Global Data-2017, </w:t>
      </w:r>
      <w:r w:rsidR="00EF089C" w:rsidRPr="00C73365">
        <w:rPr>
          <w:rFonts w:asciiTheme="minorHAnsi" w:hAnsiTheme="minorHAnsi" w:cstheme="minorHAnsi"/>
          <w:i/>
        </w:rPr>
        <w:t>ABIVAX</w:t>
      </w:r>
      <w:r w:rsidRPr="00C73365">
        <w:rPr>
          <w:rFonts w:asciiTheme="minorHAnsi" w:hAnsiTheme="minorHAnsi" w:cstheme="minorHAnsi"/>
          <w:i/>
        </w:rPr>
        <w:t xml:space="preserve"> estimation</w:t>
      </w:r>
    </w:p>
    <w:p w14:paraId="2AFDCC81" w14:textId="3D419A38" w:rsidR="00943434" w:rsidRDefault="00943434" w:rsidP="00434C49">
      <w:pPr>
        <w:pStyle w:val="Paragraphedeliste"/>
        <w:numPr>
          <w:ilvl w:val="0"/>
          <w:numId w:val="76"/>
        </w:numPr>
        <w:spacing w:after="0"/>
        <w:contextualSpacing/>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Pays du G7 (Etats-Unis, EU5, Japon) :</w:t>
      </w:r>
    </w:p>
    <w:p w14:paraId="18C62399" w14:textId="77777777" w:rsidR="00D66373" w:rsidRPr="00C73365" w:rsidRDefault="00D66373" w:rsidP="00D66373">
      <w:pPr>
        <w:pStyle w:val="Paragraphedeliste"/>
        <w:spacing w:after="0"/>
        <w:ind w:left="720"/>
        <w:contextualSpacing/>
        <w:rPr>
          <w:rFonts w:asciiTheme="minorHAnsi" w:hAnsiTheme="minorHAnsi" w:cstheme="minorHAnsi"/>
          <w:b/>
          <w:color w:val="7030A0"/>
          <w:szCs w:val="20"/>
          <w:lang w:val="fr-FR"/>
        </w:rPr>
      </w:pPr>
    </w:p>
    <w:p w14:paraId="659B46E1"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Dans les pays du G7 (Etats-Unis, EU5, Japon), selon l’étude « </w:t>
      </w:r>
      <w:r w:rsidRPr="00C73365">
        <w:rPr>
          <w:rFonts w:asciiTheme="minorHAnsi" w:eastAsiaTheme="minorHAnsi" w:hAnsiTheme="minorHAnsi" w:cstheme="minorHAnsi"/>
          <w:color w:val="000000" w:themeColor="text1"/>
          <w:lang w:val="fr-FR"/>
        </w:rPr>
        <w:t>Human Immunodeficiency Virus - Disease Landscape &amp; Forecast »</w:t>
      </w:r>
      <w:r w:rsidRPr="00C73365">
        <w:rPr>
          <w:rFonts w:asciiTheme="minorHAnsi" w:hAnsiTheme="minorHAnsi" w:cstheme="minorHAnsi"/>
          <w:lang w:val="fr-FR"/>
        </w:rPr>
        <w:t xml:space="preserve"> publiée par le cabinet Decision Resources en Juin 2016, le marché des antirétroviraux devrait évoluer de 16,3 Mds USD en 2014 à 23 Mds en 2024.</w:t>
      </w:r>
    </w:p>
    <w:p w14:paraId="10FB13A9"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Cette évolution du marché sera portée par l’importance croissante d’agents antirétroviraux nouveaux et bénéficiant d’un premium de prix, en particulier les régimes à comprimé unique qui compenseront l’érosion en valeur due à la tombée des brevets de certains produits princeps fortement prescrits comme le Sustiva (efavirenz) de Bristol Myers S</w:t>
      </w:r>
      <w:r w:rsidR="008B16FF" w:rsidRPr="00C73365">
        <w:rPr>
          <w:rFonts w:asciiTheme="minorHAnsi" w:hAnsiTheme="minorHAnsi" w:cstheme="minorHAnsi"/>
          <w:szCs w:val="20"/>
          <w:lang w:val="fr-FR"/>
        </w:rPr>
        <w:t>q</w:t>
      </w:r>
      <w:r w:rsidRPr="00C73365">
        <w:rPr>
          <w:rFonts w:asciiTheme="minorHAnsi" w:hAnsiTheme="minorHAnsi" w:cstheme="minorHAnsi"/>
          <w:szCs w:val="20"/>
          <w:lang w:val="fr-FR"/>
        </w:rPr>
        <w:t xml:space="preserve">uibb et le Viread (tenofovir disoproxil fumarate) de Gilead. </w:t>
      </w:r>
    </w:p>
    <w:p w14:paraId="0B2DFFC8"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Elle sera aussi alimentée par l’allongement de la durée de traitement, les autorités de santé ayant actualisé leurs recommandations pour que les patients soient diagnostiqués et traités le plus tôt possible indépendamment des niveaux de cellules CD4. </w:t>
      </w:r>
    </w:p>
    <w:p w14:paraId="7EBA56C5" w14:textId="77777777" w:rsidR="00943434" w:rsidRPr="00C73365" w:rsidRDefault="00943434"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Les traitements leaders du marché en 2014 restent les combinaisons à doses fixes (FDC), mais leur part de marché élevée connaît un début d’érosion en raison de la concurrence croissante des régimes à comprimé unique (STR) lancés récemment :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Atripla de Gilead/BMS, le Stribild de Gilead/Japan Tobacco et le Triumeq de ViiV. Le lancement de 9 nouvelles combinaisons sur les années 2014-2024 fourniront des traitements à des patients naïfs ou déjà traités. Ces nouveaux agents incluent 4 régimes à comprimé unique et 4 combinaisons à dose fixe. Decision Resource Group (Human Immunodeficiency Virus 2016 All rights reserved) considère que les régimes à comprimé unique représenteront 60% du marché en 2024.</w:t>
      </w:r>
    </w:p>
    <w:p w14:paraId="6F0A62AE" w14:textId="77777777" w:rsidR="007B6524" w:rsidRPr="00C73365" w:rsidRDefault="007B6524" w:rsidP="00943434">
      <w:pPr>
        <w:pStyle w:val="Paragraphedeliste"/>
        <w:rPr>
          <w:rFonts w:asciiTheme="minorHAnsi" w:hAnsiTheme="minorHAnsi" w:cstheme="minorHAnsi"/>
          <w:lang w:val="fr-FR"/>
        </w:rPr>
      </w:pPr>
    </w:p>
    <w:p w14:paraId="277E4E0B" w14:textId="77777777" w:rsidR="00B30068" w:rsidRDefault="00B30068">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14:paraId="06F4F96C" w14:textId="3A95FFAC" w:rsidR="00943434" w:rsidRPr="00C73365" w:rsidRDefault="00943434" w:rsidP="004572A0">
      <w:pPr>
        <w:pStyle w:val="Corpsdetexte"/>
        <w:rPr>
          <w:rFonts w:asciiTheme="minorHAnsi" w:hAnsiTheme="minorHAnsi" w:cstheme="minorHAnsi"/>
          <w:b/>
          <w:lang w:val="fr-FR"/>
        </w:rPr>
      </w:pPr>
      <w:r w:rsidRPr="00C73365">
        <w:rPr>
          <w:rFonts w:asciiTheme="minorHAnsi" w:hAnsiTheme="minorHAnsi" w:cstheme="minorHAnsi"/>
          <w:b/>
          <w:lang w:val="fr-FR"/>
        </w:rPr>
        <w:lastRenderedPageBreak/>
        <w:t>Prévisions 2014-2024 du marché des antiviraux du VIH  Pays du G7</w:t>
      </w:r>
      <w:r w:rsidR="000B0F94" w:rsidRPr="00C73365">
        <w:rPr>
          <w:rStyle w:val="Appelnotedebasdep"/>
          <w:rFonts w:asciiTheme="minorHAnsi" w:hAnsiTheme="minorHAnsi" w:cstheme="minorHAnsi"/>
          <w:b/>
          <w:color w:val="7030A0"/>
          <w:lang w:val="fr-FR"/>
        </w:rPr>
        <w:footnoteReference w:id="9"/>
      </w:r>
    </w:p>
    <w:p w14:paraId="7F114BF1" w14:textId="77777777" w:rsidR="00943434" w:rsidRPr="00C73365" w:rsidRDefault="00943434" w:rsidP="00943434">
      <w:pPr>
        <w:pStyle w:val="Paragraphedeliste"/>
        <w:ind w:left="0"/>
        <w:contextualSpacing/>
        <w:rPr>
          <w:rFonts w:asciiTheme="minorHAnsi" w:hAnsiTheme="minorHAnsi" w:cstheme="minorHAnsi"/>
          <w:b/>
          <w:color w:val="7030A0"/>
          <w:szCs w:val="20"/>
          <w:lang w:val="fr-FR"/>
        </w:rPr>
      </w:pPr>
      <w:r w:rsidRPr="00C73365">
        <w:rPr>
          <w:rFonts w:asciiTheme="minorHAnsi" w:hAnsiTheme="minorHAnsi" w:cstheme="minorHAnsi"/>
          <w:noProof/>
          <w:lang w:val="fr-FR" w:eastAsia="fr-FR"/>
        </w:rPr>
        <w:drawing>
          <wp:inline distT="0" distB="0" distL="0" distR="0" wp14:anchorId="0DA1007C" wp14:editId="749C4659">
            <wp:extent cx="6118887" cy="16059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733" cy="1606924"/>
                    </a:xfrm>
                    <a:prstGeom prst="rect">
                      <a:avLst/>
                    </a:prstGeom>
                    <a:noFill/>
                    <a:ln>
                      <a:noFill/>
                    </a:ln>
                  </pic:spPr>
                </pic:pic>
              </a:graphicData>
            </a:graphic>
          </wp:inline>
        </w:drawing>
      </w:r>
    </w:p>
    <w:p w14:paraId="559B6718" w14:textId="77777777" w:rsidR="00943434" w:rsidRPr="00C73365" w:rsidRDefault="00943434" w:rsidP="00943434">
      <w:pPr>
        <w:pStyle w:val="Paragraphedeliste"/>
        <w:ind w:left="0"/>
        <w:contextualSpacing/>
        <w:rPr>
          <w:rFonts w:asciiTheme="minorHAnsi" w:hAnsiTheme="minorHAnsi" w:cstheme="minorHAnsi"/>
          <w:b/>
          <w:color w:val="7030A0"/>
          <w:szCs w:val="20"/>
        </w:rPr>
      </w:pPr>
    </w:p>
    <w:p w14:paraId="45CED803" w14:textId="77777777" w:rsidR="00943434" w:rsidRPr="00C73365" w:rsidRDefault="00943434" w:rsidP="00943434">
      <w:pPr>
        <w:pStyle w:val="Paragraphedeliste"/>
        <w:ind w:left="0"/>
        <w:contextualSpacing/>
        <w:rPr>
          <w:rFonts w:asciiTheme="minorHAnsi" w:hAnsiTheme="minorHAnsi" w:cstheme="minorHAnsi"/>
          <w:b/>
          <w:color w:val="7030A0"/>
          <w:szCs w:val="20"/>
        </w:rPr>
      </w:pPr>
    </w:p>
    <w:p w14:paraId="2B41D231" w14:textId="6DD270E3" w:rsidR="00943434" w:rsidRPr="00C73365" w:rsidRDefault="00943434" w:rsidP="00943434">
      <w:pPr>
        <w:pStyle w:val="Paragraphedeliste"/>
        <w:ind w:left="0"/>
        <w:contextualSpacing/>
        <w:rPr>
          <w:rFonts w:asciiTheme="minorHAnsi" w:hAnsiTheme="minorHAnsi" w:cstheme="minorHAnsi"/>
          <w:b/>
          <w:color w:val="7030A0"/>
          <w:szCs w:val="20"/>
          <w:lang w:val="fr-FR"/>
        </w:rPr>
      </w:pPr>
      <w:r w:rsidRPr="00D66373">
        <w:rPr>
          <w:rFonts w:asciiTheme="minorHAnsi" w:hAnsiTheme="minorHAnsi" w:cstheme="minorHAnsi"/>
          <w:b/>
          <w:color w:val="7030A0"/>
          <w:szCs w:val="20"/>
          <w:lang w:val="fr-FR"/>
        </w:rPr>
        <w:t>Parts de marché des TAR dans les marchés du</w:t>
      </w:r>
      <w:r w:rsidRPr="00C73365">
        <w:rPr>
          <w:rFonts w:asciiTheme="minorHAnsi" w:hAnsiTheme="minorHAnsi" w:cstheme="minorHAnsi"/>
          <w:b/>
          <w:color w:val="7030A0"/>
          <w:szCs w:val="20"/>
          <w:lang w:val="fr-FR"/>
        </w:rPr>
        <w:t xml:space="preserve"> </w:t>
      </w:r>
      <w:r w:rsidR="00D66373">
        <w:rPr>
          <w:rFonts w:asciiTheme="minorHAnsi" w:hAnsiTheme="minorHAnsi" w:cstheme="minorHAnsi"/>
          <w:b/>
          <w:color w:val="7030A0"/>
          <w:szCs w:val="20"/>
          <w:lang w:val="fr-FR"/>
        </w:rPr>
        <w:t xml:space="preserve">G7 : </w:t>
      </w:r>
    </w:p>
    <w:p w14:paraId="44003972" w14:textId="77777777" w:rsidR="007B6524" w:rsidRDefault="00943434" w:rsidP="007B6524">
      <w:pPr>
        <w:pStyle w:val="Paragraphedeliste"/>
        <w:ind w:left="0"/>
        <w:contextualSpacing/>
        <w:rPr>
          <w:rFonts w:asciiTheme="minorHAnsi" w:hAnsiTheme="minorHAnsi" w:cstheme="minorHAnsi"/>
          <w:b/>
          <w:color w:val="7030A0"/>
          <w:szCs w:val="20"/>
        </w:rPr>
      </w:pPr>
      <w:r w:rsidRPr="0030056F">
        <w:rPr>
          <w:rFonts w:asciiTheme="minorHAnsi" w:hAnsiTheme="minorHAnsi" w:cstheme="minorHAnsi"/>
          <w:b/>
          <w:color w:val="7030A0"/>
          <w:szCs w:val="20"/>
        </w:rPr>
        <w:br w:type="textWrapping" w:clear="all"/>
      </w:r>
      <w:r w:rsidRPr="00C73365">
        <w:rPr>
          <w:rFonts w:asciiTheme="minorHAnsi" w:hAnsiTheme="minorHAnsi" w:cstheme="minorHAnsi"/>
          <w:b/>
          <w:color w:val="7030A0"/>
          <w:szCs w:val="20"/>
        </w:rPr>
        <w:t>2014 Total = $ 16.3 B</w:t>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t xml:space="preserve">         2024 Total = $ 23.0 B</w:t>
      </w:r>
    </w:p>
    <w:p w14:paraId="503D7823" w14:textId="18605DEE" w:rsidR="00943434" w:rsidRPr="007B6524" w:rsidRDefault="006F3437" w:rsidP="007B6524">
      <w:pPr>
        <w:pStyle w:val="Paragraphedeliste"/>
        <w:ind w:left="0"/>
        <w:contextualSpacing/>
        <w:rPr>
          <w:rFonts w:asciiTheme="minorHAnsi" w:hAnsiTheme="minorHAnsi" w:cstheme="minorHAnsi"/>
          <w:b/>
          <w:color w:val="7030A0"/>
          <w:szCs w:val="20"/>
        </w:rPr>
      </w:pPr>
      <w:r w:rsidRPr="00C73365">
        <w:rPr>
          <w:rFonts w:asciiTheme="minorHAnsi" w:hAnsiTheme="minorHAnsi" w:cstheme="minorHAnsi"/>
          <w:b/>
          <w:noProof/>
          <w:color w:val="7030A0"/>
          <w:szCs w:val="20"/>
          <w:lang w:val="fr-FR" w:eastAsia="fr-FR"/>
        </w:rPr>
        <mc:AlternateContent>
          <mc:Choice Requires="wps">
            <w:drawing>
              <wp:anchor distT="0" distB="0" distL="114300" distR="114300" simplePos="0" relativeHeight="251683840" behindDoc="0" locked="0" layoutInCell="1" allowOverlap="1" wp14:anchorId="2A43B21B" wp14:editId="02146D56">
                <wp:simplePos x="0" y="0"/>
                <wp:positionH relativeFrom="column">
                  <wp:posOffset>-85090</wp:posOffset>
                </wp:positionH>
                <wp:positionV relativeFrom="paragraph">
                  <wp:posOffset>179070</wp:posOffset>
                </wp:positionV>
                <wp:extent cx="3017289" cy="2049203"/>
                <wp:effectExtent l="0" t="0" r="12065" b="27305"/>
                <wp:wrapNone/>
                <wp:docPr id="13" name="Rectangle 13"/>
                <wp:cNvGraphicFramePr/>
                <a:graphic xmlns:a="http://schemas.openxmlformats.org/drawingml/2006/main">
                  <a:graphicData uri="http://schemas.microsoft.com/office/word/2010/wordprocessingShape">
                    <wps:wsp>
                      <wps:cNvSpPr/>
                      <wps:spPr>
                        <a:xfrm>
                          <a:off x="0" y="0"/>
                          <a:ext cx="3017289" cy="2049203"/>
                        </a:xfrm>
                        <a:prstGeom prst="rect">
                          <a:avLst/>
                        </a:prstGeom>
                        <a:noFill/>
                        <a:ln w="12700">
                          <a:solidFill>
                            <a:srgbClr val="7030A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185B5" id="Rectangle 13" o:spid="_x0000_s1026" style="position:absolute;margin-left:-6.7pt;margin-top:14.1pt;width:237.6pt;height:16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" filled="f" strokecolor="#7030a0" strokeweight="1pt"/>
            </w:pict>
          </mc:Fallback>
        </mc:AlternateContent>
      </w:r>
      <w:r w:rsidR="00943434" w:rsidRPr="00C73365">
        <w:rPr>
          <w:rFonts w:asciiTheme="minorHAnsi" w:hAnsiTheme="minorHAnsi" w:cstheme="minorHAnsi"/>
          <w:b/>
          <w:noProof/>
          <w:color w:val="7030A0"/>
          <w:szCs w:val="20"/>
          <w:lang w:val="fr-FR" w:eastAsia="fr-FR"/>
        </w:rPr>
        <mc:AlternateContent>
          <mc:Choice Requires="wps">
            <w:drawing>
              <wp:anchor distT="0" distB="0" distL="114300" distR="114300" simplePos="0" relativeHeight="251684864" behindDoc="0" locked="0" layoutInCell="1" allowOverlap="1" wp14:anchorId="64B32035" wp14:editId="46E7724A">
                <wp:simplePos x="0" y="0"/>
                <wp:positionH relativeFrom="margin">
                  <wp:posOffset>2958465</wp:posOffset>
                </wp:positionH>
                <wp:positionV relativeFrom="paragraph">
                  <wp:posOffset>179070</wp:posOffset>
                </wp:positionV>
                <wp:extent cx="3151910" cy="2049203"/>
                <wp:effectExtent l="0" t="0" r="10795" b="27305"/>
                <wp:wrapNone/>
                <wp:docPr id="11" name="Rectangle 11"/>
                <wp:cNvGraphicFramePr/>
                <a:graphic xmlns:a="http://schemas.openxmlformats.org/drawingml/2006/main">
                  <a:graphicData uri="http://schemas.microsoft.com/office/word/2010/wordprocessingShape">
                    <wps:wsp>
                      <wps:cNvSpPr/>
                      <wps:spPr>
                        <a:xfrm>
                          <a:off x="0" y="0"/>
                          <a:ext cx="3151910" cy="2049203"/>
                        </a:xfrm>
                        <a:prstGeom prst="rect">
                          <a:avLst/>
                        </a:prstGeom>
                        <a:noFill/>
                        <a:ln w="12700">
                          <a:solidFill>
                            <a:srgbClr val="7030A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95D66" id="Rectangle 11" o:spid="_x0000_s1026" style="position:absolute;margin-left:232.95pt;margin-top:14.1pt;width:248.2pt;height:161.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" filled="f" strokecolor="#7030a0" strokeweight="1pt">
                <w10:wrap anchorx="margin"/>
              </v:rect>
            </w:pict>
          </mc:Fallback>
        </mc:AlternateContent>
      </w:r>
    </w:p>
    <w:p w14:paraId="0C564FC9" w14:textId="4EC84EB9" w:rsidR="00943434" w:rsidRPr="00657220" w:rsidRDefault="00943434" w:rsidP="00657220">
      <w:pPr>
        <w:pStyle w:val="Paragraphedeliste"/>
        <w:ind w:left="0"/>
        <w:contextualSpacing/>
        <w:jc w:val="right"/>
        <w:rPr>
          <w:rFonts w:asciiTheme="minorHAnsi" w:hAnsiTheme="minorHAnsi" w:cstheme="minorHAnsi"/>
          <w:color w:val="444444"/>
          <w:szCs w:val="20"/>
        </w:rPr>
      </w:pPr>
      <w:r w:rsidRPr="00C73365">
        <w:rPr>
          <w:rFonts w:asciiTheme="minorHAnsi" w:hAnsiTheme="minorHAnsi" w:cstheme="minorHAnsi"/>
          <w:noProof/>
          <w:lang w:val="fr-FR" w:eastAsia="fr-FR"/>
        </w:rPr>
        <w:drawing>
          <wp:inline distT="0" distB="0" distL="0" distR="0" wp14:anchorId="381853FB" wp14:editId="185A8885">
            <wp:extent cx="2913575" cy="1980000"/>
            <wp:effectExtent l="0" t="0" r="127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3575" cy="1980000"/>
                    </a:xfrm>
                    <a:prstGeom prst="rect">
                      <a:avLst/>
                    </a:prstGeom>
                  </pic:spPr>
                </pic:pic>
              </a:graphicData>
            </a:graphic>
          </wp:inline>
        </w:drawing>
      </w:r>
      <w:r w:rsidRPr="00C73365">
        <w:rPr>
          <w:rFonts w:asciiTheme="minorHAnsi" w:hAnsiTheme="minorHAnsi" w:cstheme="minorHAnsi"/>
          <w:noProof/>
          <w:lang w:eastAsia="fr-FR"/>
        </w:rPr>
        <w:t xml:space="preserve"> </w:t>
      </w:r>
      <w:r w:rsidRPr="00C73365">
        <w:rPr>
          <w:rFonts w:asciiTheme="minorHAnsi" w:hAnsiTheme="minorHAnsi" w:cstheme="minorHAnsi"/>
          <w:noProof/>
          <w:lang w:val="fr-FR" w:eastAsia="fr-FR"/>
        </w:rPr>
        <w:drawing>
          <wp:inline distT="0" distB="0" distL="0" distR="0" wp14:anchorId="643422F7" wp14:editId="3F2E56F7">
            <wp:extent cx="3158445" cy="1980000"/>
            <wp:effectExtent l="0" t="0" r="4445" b="127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8445" cy="1980000"/>
                    </a:xfrm>
                    <a:prstGeom prst="rect">
                      <a:avLst/>
                    </a:prstGeom>
                  </pic:spPr>
                </pic:pic>
              </a:graphicData>
            </a:graphic>
          </wp:inline>
        </w:drawing>
      </w:r>
    </w:p>
    <w:p w14:paraId="663F7ED3" w14:textId="15F0B7CF" w:rsidR="00943434" w:rsidRPr="00657220" w:rsidRDefault="00943434" w:rsidP="00657220">
      <w:pPr>
        <w:pStyle w:val="Corpsdetexte"/>
        <w:jc w:val="center"/>
        <w:rPr>
          <w:rFonts w:asciiTheme="minorHAnsi" w:hAnsiTheme="minorHAnsi" w:cstheme="minorHAnsi"/>
          <w:i/>
        </w:rPr>
      </w:pPr>
      <w:r w:rsidRPr="00657220">
        <w:rPr>
          <w:rFonts w:asciiTheme="minorHAnsi" w:hAnsiTheme="minorHAnsi" w:cstheme="minorHAnsi"/>
          <w:i/>
        </w:rPr>
        <w:t>Source: Decision Resources Group – HIV 2015</w:t>
      </w:r>
    </w:p>
    <w:p w14:paraId="2CF15652" w14:textId="5400E50A"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Le total des ventes de dolutegravir</w:t>
      </w:r>
      <w:r w:rsidR="00657220">
        <w:rPr>
          <w:rFonts w:asciiTheme="minorHAnsi" w:hAnsiTheme="minorHAnsi" w:cstheme="minorHAnsi"/>
          <w:lang w:val="fr-FR"/>
        </w:rPr>
        <w:t xml:space="preserve"> </w:t>
      </w:r>
      <w:r w:rsidRPr="00C73365">
        <w:rPr>
          <w:rFonts w:asciiTheme="minorHAnsi" w:hAnsiTheme="minorHAnsi" w:cstheme="minorHAnsi"/>
          <w:lang w:val="fr-FR"/>
        </w:rPr>
        <w:t>(considéré par de nombreux experts comme étant le meilleur agent antirétroviral actuellement disponible), en monothérapie (Tivicay – ViiV) ou en tant que composant d</w:t>
      </w:r>
      <w:r w:rsidR="004572A0" w:rsidRPr="00C73365">
        <w:rPr>
          <w:rFonts w:asciiTheme="minorHAnsi" w:hAnsiTheme="minorHAnsi" w:cstheme="minorHAnsi"/>
          <w:lang w:val="fr-FR"/>
        </w:rPr>
        <w:t>’</w:t>
      </w:r>
      <w:r w:rsidRPr="00C73365">
        <w:rPr>
          <w:rFonts w:asciiTheme="minorHAnsi" w:hAnsiTheme="minorHAnsi" w:cstheme="minorHAnsi"/>
          <w:lang w:val="fr-FR"/>
        </w:rPr>
        <w:t>un régime à comprimé unique (dans le cas du Triumeq de ViiV) devrait dépasser les 6,8 Mrd$ d</w:t>
      </w:r>
      <w:r w:rsidR="004572A0" w:rsidRPr="00C73365">
        <w:rPr>
          <w:rFonts w:asciiTheme="minorHAnsi" w:hAnsiTheme="minorHAnsi" w:cstheme="minorHAnsi"/>
          <w:lang w:val="fr-FR"/>
        </w:rPr>
        <w:t>’</w:t>
      </w:r>
      <w:r w:rsidRPr="00C73365">
        <w:rPr>
          <w:rFonts w:asciiTheme="minorHAnsi" w:hAnsiTheme="minorHAnsi" w:cstheme="minorHAnsi"/>
          <w:lang w:val="fr-FR"/>
        </w:rPr>
        <w:t>ici 2024. Une nouvelle forme de Tenofovir (TAF – tenofovir Alafenamide - Gilead) se substituera progressivement au TDF (tenofovir disoproxil fumarate –Gilead).</w:t>
      </w:r>
    </w:p>
    <w:p w14:paraId="41895052"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fera partie d’une nouvelle classe thérapeutique et les marchés ciblés seront identiques que ce soit en monothérapie ou en association avec TAR. La classe thérapeutique prioritairement ciblée sera la classe du régime à comprimé unique qui représentera 60% du marché en 2024 et la classe secondairement ciblée sera la classe des inhibiteurs de l’intégrase (11% du marché en 2024).</w:t>
      </w:r>
    </w:p>
    <w:p w14:paraId="4BDB2D09" w14:textId="0450627A" w:rsidR="00943434" w:rsidRDefault="00943434" w:rsidP="00434C49">
      <w:pPr>
        <w:pStyle w:val="Paragraphedeliste"/>
        <w:numPr>
          <w:ilvl w:val="0"/>
          <w:numId w:val="76"/>
        </w:numPr>
        <w:spacing w:after="0"/>
        <w:contextualSpacing/>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Pays à revenu faible et moyen</w:t>
      </w:r>
    </w:p>
    <w:p w14:paraId="1ADE9726" w14:textId="77777777" w:rsidR="00D66373" w:rsidRPr="00C73365" w:rsidRDefault="00D66373" w:rsidP="00D66373">
      <w:pPr>
        <w:pStyle w:val="Paragraphedeliste"/>
        <w:spacing w:after="0"/>
        <w:ind w:left="720"/>
        <w:contextualSpacing/>
        <w:rPr>
          <w:rFonts w:asciiTheme="minorHAnsi" w:hAnsiTheme="minorHAnsi" w:cstheme="minorHAnsi"/>
          <w:b/>
          <w:color w:val="7030A0"/>
          <w:szCs w:val="20"/>
          <w:lang w:val="fr-FR"/>
        </w:rPr>
      </w:pPr>
    </w:p>
    <w:p w14:paraId="325B848B" w14:textId="6C7044FC"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Selon les données de l’UNAIDS 2017, environ 19,5 millions de personnes bénéficiaient d</w:t>
      </w:r>
      <w:r w:rsidR="004572A0" w:rsidRPr="00C73365">
        <w:rPr>
          <w:rFonts w:asciiTheme="minorHAnsi" w:hAnsiTheme="minorHAnsi" w:cstheme="minorHAnsi"/>
          <w:lang w:val="fr-FR"/>
        </w:rPr>
        <w:t>’</w:t>
      </w:r>
      <w:r w:rsidRPr="00C73365">
        <w:rPr>
          <w:rFonts w:asciiTheme="minorHAnsi" w:hAnsiTheme="minorHAnsi" w:cstheme="minorHAnsi"/>
          <w:lang w:val="fr-FR"/>
        </w:rPr>
        <w:t>une TAR à fin 2016, soit plus d’un doublement en 5 ans par rapport à fin 2011. Le rythme de déploiement des TAR se maintient malgré la persistance de la crise économique mondiale. Dans la zone Afrique de l</w:t>
      </w:r>
      <w:r w:rsidR="004572A0" w:rsidRPr="00C73365">
        <w:rPr>
          <w:rFonts w:asciiTheme="minorHAnsi" w:hAnsiTheme="minorHAnsi" w:cstheme="minorHAnsi"/>
          <w:lang w:val="fr-FR"/>
        </w:rPr>
        <w:t>’</w:t>
      </w:r>
      <w:r w:rsidRPr="00C73365">
        <w:rPr>
          <w:rFonts w:asciiTheme="minorHAnsi" w:hAnsiTheme="minorHAnsi" w:cstheme="minorHAnsi"/>
          <w:lang w:val="fr-FR"/>
        </w:rPr>
        <w:t>OMS, qui reste la région la plus touchée par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épidémie de VIH, plus de 13,8 millions de personnes recevaient ce type de traitement à fin 2016, contre 5 millions six ans plus tôt. </w:t>
      </w:r>
    </w:p>
    <w:p w14:paraId="7BF88CE7" w14:textId="77777777" w:rsidR="00943434" w:rsidRPr="00C73365" w:rsidRDefault="00943434" w:rsidP="004572A0">
      <w:pPr>
        <w:pStyle w:val="Corpsdetexte"/>
        <w:rPr>
          <w:rFonts w:asciiTheme="minorHAnsi" w:eastAsia="Frutiger-Cn" w:hAnsiTheme="minorHAnsi" w:cstheme="minorHAnsi"/>
          <w:lang w:val="fr-FR"/>
        </w:rPr>
      </w:pPr>
      <w:r w:rsidRPr="00C73365">
        <w:rPr>
          <w:rFonts w:asciiTheme="minorHAnsi" w:hAnsiTheme="minorHAnsi" w:cstheme="minorHAnsi"/>
          <w:lang w:val="fr-FR"/>
        </w:rPr>
        <w:lastRenderedPageBreak/>
        <w:t>Des progrès ont été constatés dans toutes les zones, y compris celles affichant le plus de retard. La plupart des pays fortement touchés par le VIH seraient en passe de proposer un accès universel (défini par une couverture de 80% par les ARV, selon les critères d</w:t>
      </w:r>
      <w:r w:rsidR="004572A0" w:rsidRPr="00C73365">
        <w:rPr>
          <w:rFonts w:asciiTheme="minorHAnsi" w:hAnsiTheme="minorHAnsi" w:cstheme="minorHAnsi"/>
          <w:lang w:val="fr-FR"/>
        </w:rPr>
        <w:t>’</w:t>
      </w:r>
      <w:r w:rsidRPr="00C73365">
        <w:rPr>
          <w:rFonts w:asciiTheme="minorHAnsi" w:hAnsiTheme="minorHAnsi" w:cstheme="minorHAnsi"/>
          <w:lang w:val="fr-FR"/>
        </w:rPr>
        <w:t>admissibilité au traitement de 2010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OMS). </w:t>
      </w:r>
    </w:p>
    <w:p w14:paraId="094273E8" w14:textId="77777777" w:rsidR="00943434" w:rsidRPr="00C73365" w:rsidRDefault="00943434" w:rsidP="004572A0">
      <w:pPr>
        <w:pStyle w:val="Corpsdetexte"/>
        <w:rPr>
          <w:rFonts w:asciiTheme="minorHAnsi" w:hAnsiTheme="minorHAnsi" w:cstheme="minorHAnsi"/>
          <w:b/>
          <w:color w:val="7030A0"/>
          <w:lang w:val="fr-FR"/>
        </w:rPr>
      </w:pPr>
      <w:r w:rsidRPr="00C73365">
        <w:rPr>
          <w:rFonts w:asciiTheme="minorHAnsi" w:hAnsiTheme="minorHAnsi" w:cstheme="minorHAnsi"/>
          <w:lang w:val="fr-FR"/>
        </w:rPr>
        <w:t>Ce progrès général masque cependant d</w:t>
      </w:r>
      <w:r w:rsidR="004572A0" w:rsidRPr="00C73365">
        <w:rPr>
          <w:rFonts w:asciiTheme="minorHAnsi" w:hAnsiTheme="minorHAnsi" w:cstheme="minorHAnsi"/>
          <w:lang w:val="fr-FR"/>
        </w:rPr>
        <w:t>’</w:t>
      </w:r>
      <w:r w:rsidRPr="00C73365">
        <w:rPr>
          <w:rFonts w:asciiTheme="minorHAnsi" w:hAnsiTheme="minorHAnsi" w:cstheme="minorHAnsi"/>
          <w:lang w:val="fr-FR"/>
        </w:rPr>
        <w:t>importantes disparités dans l</w:t>
      </w:r>
      <w:r w:rsidR="004572A0" w:rsidRPr="00C73365">
        <w:rPr>
          <w:rFonts w:asciiTheme="minorHAnsi" w:hAnsiTheme="minorHAnsi" w:cstheme="minorHAnsi"/>
          <w:lang w:val="fr-FR"/>
        </w:rPr>
        <w:t>’</w:t>
      </w:r>
      <w:r w:rsidRPr="00C73365">
        <w:rPr>
          <w:rFonts w:asciiTheme="minorHAnsi" w:hAnsiTheme="minorHAnsi" w:cstheme="minorHAnsi"/>
          <w:lang w:val="fr-FR"/>
        </w:rPr>
        <w:t>accès aux TAR. Dans la plupart des zones, y compris la zone Afrique de l</w:t>
      </w:r>
      <w:r w:rsidR="004572A0" w:rsidRPr="00C73365">
        <w:rPr>
          <w:rFonts w:asciiTheme="minorHAnsi" w:hAnsiTheme="minorHAnsi" w:cstheme="minorHAnsi"/>
          <w:lang w:val="fr-FR"/>
        </w:rPr>
        <w:t>’</w:t>
      </w:r>
      <w:r w:rsidRPr="00C73365">
        <w:rPr>
          <w:rFonts w:asciiTheme="minorHAnsi" w:hAnsiTheme="minorHAnsi" w:cstheme="minorHAnsi"/>
          <w:lang w:val="fr-FR"/>
        </w:rPr>
        <w:t>OMS, les hommes éligibles aux TAR semblent moins enclins à accéder à cette thérapie que les femmes. En outre, l</w:t>
      </w:r>
      <w:r w:rsidR="004572A0" w:rsidRPr="00C73365">
        <w:rPr>
          <w:rFonts w:asciiTheme="minorHAnsi" w:hAnsiTheme="minorHAnsi" w:cstheme="minorHAnsi"/>
          <w:lang w:val="fr-FR"/>
        </w:rPr>
        <w:t>’</w:t>
      </w:r>
      <w:r w:rsidRPr="00C73365">
        <w:rPr>
          <w:rFonts w:asciiTheme="minorHAnsi" w:hAnsiTheme="minorHAnsi" w:cstheme="minorHAnsi"/>
          <w:lang w:val="fr-FR"/>
        </w:rPr>
        <w:t>augmentation des traitements ne touche pas suffisamment d</w:t>
      </w:r>
      <w:r w:rsidR="004572A0" w:rsidRPr="00C73365">
        <w:rPr>
          <w:rFonts w:asciiTheme="minorHAnsi" w:hAnsiTheme="minorHAnsi" w:cstheme="minorHAnsi"/>
          <w:lang w:val="fr-FR"/>
        </w:rPr>
        <w:t>’</w:t>
      </w:r>
      <w:r w:rsidRPr="00C73365">
        <w:rPr>
          <w:rFonts w:asciiTheme="minorHAnsi" w:hAnsiTheme="minorHAnsi" w:cstheme="minorHAnsi"/>
          <w:lang w:val="fr-FR"/>
        </w:rPr>
        <w:t>enfants, d</w:t>
      </w:r>
      <w:r w:rsidR="004572A0" w:rsidRPr="00C73365">
        <w:rPr>
          <w:rFonts w:asciiTheme="minorHAnsi" w:hAnsiTheme="minorHAnsi" w:cstheme="minorHAnsi"/>
          <w:lang w:val="fr-FR"/>
        </w:rPr>
        <w:t>’</w:t>
      </w:r>
      <w:r w:rsidRPr="00C73365">
        <w:rPr>
          <w:rFonts w:asciiTheme="minorHAnsi" w:hAnsiTheme="minorHAnsi" w:cstheme="minorHAnsi"/>
          <w:lang w:val="fr-FR"/>
        </w:rPr>
        <w:t>adolescents et de populations exposées à un risque élevé d</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(travailleurs du sexe, consommateurs de drogue par voie intraveineuse, hommes ayant des relations homosexuelles et personnes transsexuelles).</w:t>
      </w:r>
    </w:p>
    <w:p w14:paraId="556533AB" w14:textId="77777777" w:rsidR="00943434" w:rsidRPr="00C73365" w:rsidRDefault="00943434" w:rsidP="004572A0">
      <w:pPr>
        <w:pStyle w:val="Corpsdetexte"/>
        <w:rPr>
          <w:rFonts w:asciiTheme="minorHAnsi" w:hAnsiTheme="minorHAnsi" w:cstheme="minorHAnsi"/>
          <w:b/>
          <w:lang w:val="fr-FR"/>
        </w:rPr>
      </w:pPr>
      <w:r w:rsidRPr="00C73365">
        <w:rPr>
          <w:rFonts w:asciiTheme="minorHAnsi" w:hAnsiTheme="minorHAnsi" w:cstheme="minorHAnsi"/>
          <w:b/>
          <w:lang w:val="fr-FR"/>
        </w:rPr>
        <w:t>Données épidémiologiques par région</w:t>
      </w:r>
      <w:r w:rsidR="00A64BA1" w:rsidRPr="00C73365">
        <w:rPr>
          <w:rStyle w:val="Appelnotedebasdep"/>
          <w:rFonts w:asciiTheme="minorHAnsi" w:hAnsiTheme="minorHAnsi" w:cstheme="minorHAnsi"/>
          <w:b/>
          <w:color w:val="7030A0"/>
          <w:lang w:val="fr-FR"/>
        </w:rPr>
        <w:footnoteReference w:id="10"/>
      </w:r>
    </w:p>
    <w:tbl>
      <w:tblPr>
        <w:tblW w:w="9185" w:type="dxa"/>
        <w:tblCellMar>
          <w:left w:w="70" w:type="dxa"/>
          <w:right w:w="70" w:type="dxa"/>
        </w:tblCellMar>
        <w:tblLook w:val="04A0" w:firstRow="1" w:lastRow="0" w:firstColumn="1" w:lastColumn="0" w:noHBand="0" w:noVBand="1"/>
      </w:tblPr>
      <w:tblGrid>
        <w:gridCol w:w="2972"/>
        <w:gridCol w:w="612"/>
        <w:gridCol w:w="793"/>
        <w:gridCol w:w="791"/>
        <w:gridCol w:w="793"/>
        <w:gridCol w:w="791"/>
        <w:gridCol w:w="849"/>
        <w:gridCol w:w="791"/>
        <w:gridCol w:w="793"/>
      </w:tblGrid>
      <w:tr w:rsidR="00943434" w:rsidRPr="00C73365" w14:paraId="507EB255" w14:textId="77777777" w:rsidTr="00BC440C">
        <w:trPr>
          <w:trHeight w:val="241"/>
        </w:trPr>
        <w:tc>
          <w:tcPr>
            <w:tcW w:w="2972" w:type="dxa"/>
            <w:vMerge w:val="restart"/>
            <w:tcBorders>
              <w:top w:val="single" w:sz="4" w:space="0" w:color="auto"/>
              <w:left w:val="single" w:sz="4" w:space="0" w:color="auto"/>
              <w:right w:val="single" w:sz="4" w:space="0" w:color="auto"/>
            </w:tcBorders>
            <w:shd w:val="clear" w:color="auto" w:fill="auto"/>
            <w:noWrap/>
            <w:vAlign w:val="center"/>
            <w:hideMark/>
          </w:tcPr>
          <w:p w14:paraId="267BFD4A" w14:textId="77777777" w:rsidR="00943434" w:rsidRPr="00C73365" w:rsidRDefault="00943434" w:rsidP="00BC440C">
            <w:pPr>
              <w:rPr>
                <w:rFonts w:asciiTheme="minorHAnsi" w:hAnsiTheme="minorHAnsi" w:cstheme="minorHAnsi"/>
                <w:color w:val="000000"/>
                <w:sz w:val="22"/>
                <w:szCs w:val="22"/>
                <w:lang w:val="fr-FR" w:eastAsia="fr-FR"/>
              </w:rPr>
            </w:pPr>
            <w:r w:rsidRPr="00C73365">
              <w:rPr>
                <w:rFonts w:asciiTheme="minorHAnsi" w:hAnsiTheme="minorHAnsi" w:cstheme="minorHAnsi"/>
                <w:color w:val="000000"/>
                <w:szCs w:val="20"/>
                <w:lang w:val="fr-FR"/>
              </w:rPr>
              <w:t>Millions</w:t>
            </w:r>
            <w:r w:rsidRPr="00C73365">
              <w:rPr>
                <w:rFonts w:asciiTheme="minorHAnsi" w:hAnsiTheme="minorHAnsi" w:cstheme="minorHAnsi"/>
                <w:color w:val="000000"/>
                <w:sz w:val="22"/>
                <w:szCs w:val="22"/>
                <w:lang w:val="fr-FR" w:eastAsia="fr-FR"/>
              </w:rPr>
              <w:t xml:space="preserve"> de personnes</w:t>
            </w:r>
          </w:p>
        </w:tc>
        <w:tc>
          <w:tcPr>
            <w:tcW w:w="140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B0D55F" w14:textId="77777777"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 xml:space="preserve">Prévalence </w:t>
            </w:r>
            <w:r w:rsidRPr="00C73365">
              <w:rPr>
                <w:rFonts w:asciiTheme="minorHAnsi" w:hAnsiTheme="minorHAnsi" w:cstheme="minorHAnsi"/>
                <w:b/>
                <w:color w:val="000000"/>
                <w:sz w:val="22"/>
                <w:szCs w:val="22"/>
                <w:lang w:val="fr-FR" w:eastAsia="fr-FR"/>
              </w:rPr>
              <w:t>du SIDA</w:t>
            </w:r>
          </w:p>
        </w:tc>
        <w:tc>
          <w:tcPr>
            <w:tcW w:w="15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F6A762" w14:textId="77777777"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Incidence du</w:t>
            </w:r>
            <w:r w:rsidRPr="00C73365">
              <w:rPr>
                <w:rFonts w:asciiTheme="minorHAnsi" w:hAnsiTheme="minorHAnsi" w:cstheme="minorHAnsi"/>
                <w:b/>
                <w:color w:val="000000"/>
                <w:sz w:val="22"/>
                <w:szCs w:val="22"/>
                <w:lang w:val="fr-FR" w:eastAsia="fr-FR"/>
              </w:rPr>
              <w:t xml:space="preserve"> SIDA</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801679" w14:textId="77777777"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Malades sous</w:t>
            </w:r>
            <w:r w:rsidRPr="00C73365">
              <w:rPr>
                <w:rFonts w:asciiTheme="minorHAnsi" w:hAnsiTheme="minorHAnsi" w:cstheme="minorHAnsi"/>
                <w:b/>
                <w:color w:val="000000"/>
                <w:sz w:val="22"/>
                <w:szCs w:val="22"/>
                <w:lang w:val="fr-FR" w:eastAsia="fr-FR"/>
              </w:rPr>
              <w:t xml:space="preserve"> ART</w:t>
            </w:r>
          </w:p>
        </w:tc>
        <w:tc>
          <w:tcPr>
            <w:tcW w:w="15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EAD874" w14:textId="77777777"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Mortalité</w:t>
            </w:r>
          </w:p>
        </w:tc>
      </w:tr>
      <w:tr w:rsidR="00943434" w:rsidRPr="00C73365" w14:paraId="6D9D8B6E" w14:textId="77777777" w:rsidTr="00BC440C">
        <w:trPr>
          <w:trHeight w:val="241"/>
        </w:trPr>
        <w:tc>
          <w:tcPr>
            <w:tcW w:w="2972" w:type="dxa"/>
            <w:vMerge/>
            <w:tcBorders>
              <w:left w:val="single" w:sz="4" w:space="0" w:color="auto"/>
              <w:bottom w:val="single" w:sz="4" w:space="0" w:color="auto"/>
              <w:right w:val="single" w:sz="4" w:space="0" w:color="auto"/>
            </w:tcBorders>
            <w:shd w:val="clear" w:color="auto" w:fill="auto"/>
            <w:noWrap/>
            <w:hideMark/>
          </w:tcPr>
          <w:p w14:paraId="278C38B4" w14:textId="77777777" w:rsidR="00943434" w:rsidRPr="00C73365" w:rsidRDefault="00943434" w:rsidP="00BC440C">
            <w:pPr>
              <w:jc w:val="center"/>
              <w:rPr>
                <w:rFonts w:asciiTheme="minorHAnsi" w:hAnsiTheme="minorHAnsi" w:cstheme="minorHAnsi"/>
                <w:color w:val="000000"/>
                <w:sz w:val="22"/>
                <w:szCs w:val="22"/>
                <w:lang w:val="fr-FR" w:eastAsia="fr-FR"/>
              </w:rPr>
            </w:pPr>
          </w:p>
        </w:tc>
        <w:tc>
          <w:tcPr>
            <w:tcW w:w="612" w:type="dxa"/>
            <w:tcBorders>
              <w:top w:val="nil"/>
              <w:left w:val="nil"/>
              <w:bottom w:val="single" w:sz="4" w:space="0" w:color="auto"/>
              <w:right w:val="single" w:sz="4" w:space="0" w:color="auto"/>
            </w:tcBorders>
            <w:shd w:val="clear" w:color="auto" w:fill="auto"/>
            <w:noWrap/>
            <w:vAlign w:val="bottom"/>
            <w:hideMark/>
          </w:tcPr>
          <w:p w14:paraId="4968125A" w14:textId="77777777"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14:paraId="3894F30B" w14:textId="77777777"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14:paraId="453CB97F" w14:textId="77777777"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14:paraId="45A5286F" w14:textId="77777777"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14:paraId="6C0D085B" w14:textId="77777777"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849" w:type="dxa"/>
            <w:tcBorders>
              <w:top w:val="nil"/>
              <w:left w:val="nil"/>
              <w:bottom w:val="single" w:sz="4" w:space="0" w:color="auto"/>
              <w:right w:val="single" w:sz="4" w:space="0" w:color="auto"/>
            </w:tcBorders>
            <w:shd w:val="clear" w:color="auto" w:fill="auto"/>
            <w:noWrap/>
            <w:vAlign w:val="bottom"/>
            <w:hideMark/>
          </w:tcPr>
          <w:p w14:paraId="4B0689B0" w14:textId="77777777"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14:paraId="54DCFDE0" w14:textId="77777777"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14:paraId="3D046B84" w14:textId="77777777"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r>
      <w:tr w:rsidR="00943434" w:rsidRPr="00C73365" w14:paraId="27840DD8" w14:textId="77777777" w:rsidTr="00BC440C">
        <w:trPr>
          <w:trHeight w:val="23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FFAEB0E" w14:textId="77777777" w:rsidR="00943434" w:rsidRPr="00C73365" w:rsidRDefault="00943434" w:rsidP="00BC440C">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TOTAL</w:t>
            </w:r>
          </w:p>
        </w:tc>
        <w:tc>
          <w:tcPr>
            <w:tcW w:w="612" w:type="dxa"/>
            <w:tcBorders>
              <w:top w:val="nil"/>
              <w:left w:val="nil"/>
              <w:bottom w:val="single" w:sz="4" w:space="0" w:color="auto"/>
              <w:right w:val="single" w:sz="4" w:space="0" w:color="auto"/>
            </w:tcBorders>
            <w:shd w:val="clear" w:color="auto" w:fill="auto"/>
            <w:noWrap/>
            <w:vAlign w:val="center"/>
            <w:hideMark/>
          </w:tcPr>
          <w:p w14:paraId="681847BC" w14:textId="77777777"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33,3</w:t>
            </w:r>
          </w:p>
        </w:tc>
        <w:tc>
          <w:tcPr>
            <w:tcW w:w="793" w:type="dxa"/>
            <w:tcBorders>
              <w:top w:val="nil"/>
              <w:left w:val="nil"/>
              <w:bottom w:val="single" w:sz="4" w:space="0" w:color="auto"/>
              <w:right w:val="single" w:sz="4" w:space="0" w:color="auto"/>
            </w:tcBorders>
            <w:shd w:val="clear" w:color="auto" w:fill="auto"/>
            <w:noWrap/>
            <w:vAlign w:val="center"/>
            <w:hideMark/>
          </w:tcPr>
          <w:p w14:paraId="0684D45D" w14:textId="77777777"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36,7</w:t>
            </w:r>
          </w:p>
        </w:tc>
        <w:tc>
          <w:tcPr>
            <w:tcW w:w="791" w:type="dxa"/>
            <w:tcBorders>
              <w:top w:val="nil"/>
              <w:left w:val="nil"/>
              <w:bottom w:val="single" w:sz="4" w:space="0" w:color="auto"/>
              <w:right w:val="single" w:sz="4" w:space="0" w:color="auto"/>
            </w:tcBorders>
            <w:shd w:val="clear" w:color="auto" w:fill="auto"/>
            <w:noWrap/>
            <w:vAlign w:val="center"/>
            <w:hideMark/>
          </w:tcPr>
          <w:p w14:paraId="30D397D4" w14:textId="77777777"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2,2</w:t>
            </w:r>
          </w:p>
        </w:tc>
        <w:tc>
          <w:tcPr>
            <w:tcW w:w="793" w:type="dxa"/>
            <w:tcBorders>
              <w:top w:val="nil"/>
              <w:left w:val="nil"/>
              <w:bottom w:val="single" w:sz="4" w:space="0" w:color="auto"/>
              <w:right w:val="single" w:sz="4" w:space="0" w:color="auto"/>
            </w:tcBorders>
            <w:shd w:val="clear" w:color="auto" w:fill="auto"/>
            <w:noWrap/>
            <w:vAlign w:val="center"/>
            <w:hideMark/>
          </w:tcPr>
          <w:p w14:paraId="407461A7" w14:textId="77777777"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1,8</w:t>
            </w:r>
          </w:p>
        </w:tc>
        <w:tc>
          <w:tcPr>
            <w:tcW w:w="791" w:type="dxa"/>
            <w:tcBorders>
              <w:top w:val="nil"/>
              <w:left w:val="nil"/>
              <w:bottom w:val="single" w:sz="4" w:space="0" w:color="auto"/>
              <w:right w:val="single" w:sz="4" w:space="0" w:color="auto"/>
            </w:tcBorders>
            <w:shd w:val="clear" w:color="auto" w:fill="auto"/>
            <w:noWrap/>
            <w:vAlign w:val="center"/>
            <w:hideMark/>
          </w:tcPr>
          <w:p w14:paraId="4BD32201" w14:textId="77777777"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7,5</w:t>
            </w:r>
          </w:p>
        </w:tc>
        <w:tc>
          <w:tcPr>
            <w:tcW w:w="849" w:type="dxa"/>
            <w:tcBorders>
              <w:top w:val="nil"/>
              <w:left w:val="nil"/>
              <w:bottom w:val="single" w:sz="4" w:space="0" w:color="auto"/>
              <w:right w:val="single" w:sz="4" w:space="0" w:color="auto"/>
            </w:tcBorders>
            <w:shd w:val="clear" w:color="auto" w:fill="auto"/>
            <w:noWrap/>
            <w:vAlign w:val="center"/>
            <w:hideMark/>
          </w:tcPr>
          <w:p w14:paraId="7DCC4E23" w14:textId="77777777" w:rsidR="00943434" w:rsidRPr="00C73365" w:rsidRDefault="00943434" w:rsidP="00BC440C">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19,5</w:t>
            </w:r>
          </w:p>
        </w:tc>
        <w:tc>
          <w:tcPr>
            <w:tcW w:w="791" w:type="dxa"/>
            <w:tcBorders>
              <w:top w:val="nil"/>
              <w:left w:val="nil"/>
              <w:bottom w:val="single" w:sz="4" w:space="0" w:color="auto"/>
              <w:right w:val="single" w:sz="4" w:space="0" w:color="auto"/>
            </w:tcBorders>
            <w:shd w:val="clear" w:color="auto" w:fill="auto"/>
            <w:noWrap/>
            <w:vAlign w:val="center"/>
            <w:hideMark/>
          </w:tcPr>
          <w:p w14:paraId="21DE8363" w14:textId="77777777"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1,5</w:t>
            </w:r>
          </w:p>
        </w:tc>
        <w:tc>
          <w:tcPr>
            <w:tcW w:w="793" w:type="dxa"/>
            <w:tcBorders>
              <w:top w:val="nil"/>
              <w:left w:val="nil"/>
              <w:bottom w:val="single" w:sz="4" w:space="0" w:color="auto"/>
              <w:right w:val="single" w:sz="4" w:space="0" w:color="auto"/>
            </w:tcBorders>
            <w:shd w:val="clear" w:color="auto" w:fill="auto"/>
            <w:noWrap/>
            <w:vAlign w:val="center"/>
            <w:hideMark/>
          </w:tcPr>
          <w:p w14:paraId="70632B61" w14:textId="77777777"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w:t>
            </w:r>
          </w:p>
        </w:tc>
      </w:tr>
      <w:tr w:rsidR="00943434" w:rsidRPr="00C73365" w14:paraId="721EB700" w14:textId="77777777"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013D6A3" w14:textId="77777777"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Asie et Pacifique</w:t>
            </w:r>
          </w:p>
        </w:tc>
        <w:tc>
          <w:tcPr>
            <w:tcW w:w="612" w:type="dxa"/>
            <w:tcBorders>
              <w:top w:val="nil"/>
              <w:left w:val="nil"/>
              <w:bottom w:val="single" w:sz="4" w:space="0" w:color="auto"/>
              <w:right w:val="single" w:sz="4" w:space="0" w:color="auto"/>
            </w:tcBorders>
            <w:shd w:val="clear" w:color="auto" w:fill="auto"/>
            <w:noWrap/>
            <w:vAlign w:val="center"/>
            <w:hideMark/>
          </w:tcPr>
          <w:p w14:paraId="641DE369"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4,7</w:t>
            </w:r>
          </w:p>
        </w:tc>
        <w:tc>
          <w:tcPr>
            <w:tcW w:w="793" w:type="dxa"/>
            <w:tcBorders>
              <w:top w:val="nil"/>
              <w:left w:val="nil"/>
              <w:bottom w:val="single" w:sz="4" w:space="0" w:color="auto"/>
              <w:right w:val="single" w:sz="4" w:space="0" w:color="auto"/>
            </w:tcBorders>
            <w:shd w:val="clear" w:color="auto" w:fill="auto"/>
            <w:noWrap/>
            <w:vAlign w:val="center"/>
            <w:hideMark/>
          </w:tcPr>
          <w:p w14:paraId="69AA15D3"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5,1</w:t>
            </w:r>
          </w:p>
        </w:tc>
        <w:tc>
          <w:tcPr>
            <w:tcW w:w="791" w:type="dxa"/>
            <w:tcBorders>
              <w:top w:val="nil"/>
              <w:left w:val="nil"/>
              <w:bottom w:val="single" w:sz="4" w:space="0" w:color="auto"/>
              <w:right w:val="single" w:sz="4" w:space="0" w:color="auto"/>
            </w:tcBorders>
            <w:shd w:val="clear" w:color="auto" w:fill="auto"/>
            <w:noWrap/>
            <w:vAlign w:val="center"/>
            <w:hideMark/>
          </w:tcPr>
          <w:p w14:paraId="3D1421F5"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c>
          <w:tcPr>
            <w:tcW w:w="793" w:type="dxa"/>
            <w:tcBorders>
              <w:top w:val="nil"/>
              <w:left w:val="nil"/>
              <w:bottom w:val="single" w:sz="4" w:space="0" w:color="auto"/>
              <w:right w:val="single" w:sz="4" w:space="0" w:color="auto"/>
            </w:tcBorders>
            <w:shd w:val="clear" w:color="auto" w:fill="auto"/>
            <w:noWrap/>
            <w:vAlign w:val="center"/>
            <w:hideMark/>
          </w:tcPr>
          <w:p w14:paraId="486799D5"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c>
          <w:tcPr>
            <w:tcW w:w="791" w:type="dxa"/>
            <w:tcBorders>
              <w:top w:val="nil"/>
              <w:left w:val="nil"/>
              <w:bottom w:val="single" w:sz="4" w:space="0" w:color="auto"/>
              <w:right w:val="single" w:sz="4" w:space="0" w:color="auto"/>
            </w:tcBorders>
            <w:shd w:val="clear" w:color="auto" w:fill="auto"/>
            <w:noWrap/>
            <w:vAlign w:val="center"/>
            <w:hideMark/>
          </w:tcPr>
          <w:p w14:paraId="49855473"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14:paraId="1B0591FA"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2,4</w:t>
            </w:r>
          </w:p>
        </w:tc>
        <w:tc>
          <w:tcPr>
            <w:tcW w:w="791" w:type="dxa"/>
            <w:tcBorders>
              <w:top w:val="nil"/>
              <w:left w:val="nil"/>
              <w:bottom w:val="single" w:sz="4" w:space="0" w:color="auto"/>
              <w:right w:val="single" w:sz="4" w:space="0" w:color="auto"/>
            </w:tcBorders>
            <w:shd w:val="clear" w:color="auto" w:fill="auto"/>
            <w:noWrap/>
            <w:vAlign w:val="center"/>
            <w:hideMark/>
          </w:tcPr>
          <w:p w14:paraId="3FBDE143"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3" w:type="dxa"/>
            <w:tcBorders>
              <w:top w:val="nil"/>
              <w:left w:val="nil"/>
              <w:bottom w:val="single" w:sz="4" w:space="0" w:color="auto"/>
              <w:right w:val="single" w:sz="4" w:space="0" w:color="auto"/>
            </w:tcBorders>
            <w:shd w:val="clear" w:color="auto" w:fill="auto"/>
            <w:noWrap/>
            <w:vAlign w:val="center"/>
            <w:hideMark/>
          </w:tcPr>
          <w:p w14:paraId="72779F14"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r>
      <w:tr w:rsidR="00943434" w:rsidRPr="00C73365" w14:paraId="6C0A16A5" w14:textId="77777777"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F5F7B34" w14:textId="77777777"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Afrique du Sud et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Est</w:t>
            </w:r>
          </w:p>
        </w:tc>
        <w:tc>
          <w:tcPr>
            <w:tcW w:w="612" w:type="dxa"/>
            <w:tcBorders>
              <w:top w:val="nil"/>
              <w:left w:val="nil"/>
              <w:bottom w:val="single" w:sz="4" w:space="0" w:color="auto"/>
              <w:right w:val="single" w:sz="4" w:space="0" w:color="auto"/>
            </w:tcBorders>
            <w:shd w:val="clear" w:color="auto" w:fill="auto"/>
            <w:noWrap/>
            <w:vAlign w:val="center"/>
            <w:hideMark/>
          </w:tcPr>
          <w:p w14:paraId="2D064BA4"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17,2</w:t>
            </w:r>
          </w:p>
        </w:tc>
        <w:tc>
          <w:tcPr>
            <w:tcW w:w="793" w:type="dxa"/>
            <w:tcBorders>
              <w:top w:val="nil"/>
              <w:left w:val="nil"/>
              <w:bottom w:val="single" w:sz="4" w:space="0" w:color="auto"/>
              <w:right w:val="single" w:sz="4" w:space="0" w:color="auto"/>
            </w:tcBorders>
            <w:shd w:val="clear" w:color="auto" w:fill="auto"/>
            <w:noWrap/>
            <w:vAlign w:val="center"/>
            <w:hideMark/>
          </w:tcPr>
          <w:p w14:paraId="65908C92"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19,4</w:t>
            </w:r>
          </w:p>
        </w:tc>
        <w:tc>
          <w:tcPr>
            <w:tcW w:w="791" w:type="dxa"/>
            <w:tcBorders>
              <w:top w:val="nil"/>
              <w:left w:val="nil"/>
              <w:bottom w:val="single" w:sz="4" w:space="0" w:color="auto"/>
              <w:right w:val="single" w:sz="4" w:space="0" w:color="auto"/>
            </w:tcBorders>
            <w:shd w:val="clear" w:color="auto" w:fill="auto"/>
            <w:noWrap/>
            <w:vAlign w:val="center"/>
            <w:hideMark/>
          </w:tcPr>
          <w:p w14:paraId="756DAD81"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1,1</w:t>
            </w:r>
          </w:p>
        </w:tc>
        <w:tc>
          <w:tcPr>
            <w:tcW w:w="793" w:type="dxa"/>
            <w:tcBorders>
              <w:top w:val="nil"/>
              <w:left w:val="nil"/>
              <w:bottom w:val="single" w:sz="4" w:space="0" w:color="auto"/>
              <w:right w:val="single" w:sz="4" w:space="0" w:color="auto"/>
            </w:tcBorders>
            <w:shd w:val="clear" w:color="auto" w:fill="auto"/>
            <w:noWrap/>
            <w:vAlign w:val="center"/>
            <w:hideMark/>
          </w:tcPr>
          <w:p w14:paraId="0BA6205B"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0,8</w:t>
            </w:r>
          </w:p>
        </w:tc>
        <w:tc>
          <w:tcPr>
            <w:tcW w:w="791" w:type="dxa"/>
            <w:tcBorders>
              <w:top w:val="nil"/>
              <w:left w:val="nil"/>
              <w:bottom w:val="single" w:sz="4" w:space="0" w:color="auto"/>
              <w:right w:val="single" w:sz="4" w:space="0" w:color="auto"/>
            </w:tcBorders>
            <w:shd w:val="clear" w:color="auto" w:fill="auto"/>
            <w:noWrap/>
            <w:vAlign w:val="center"/>
            <w:hideMark/>
          </w:tcPr>
          <w:p w14:paraId="7F340B83"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4,1</w:t>
            </w:r>
          </w:p>
        </w:tc>
        <w:tc>
          <w:tcPr>
            <w:tcW w:w="849" w:type="dxa"/>
            <w:tcBorders>
              <w:top w:val="nil"/>
              <w:left w:val="nil"/>
              <w:bottom w:val="single" w:sz="4" w:space="0" w:color="auto"/>
              <w:right w:val="single" w:sz="4" w:space="0" w:color="auto"/>
            </w:tcBorders>
            <w:shd w:val="clear" w:color="auto" w:fill="auto"/>
            <w:noWrap/>
            <w:vAlign w:val="center"/>
            <w:hideMark/>
          </w:tcPr>
          <w:p w14:paraId="0AAA933C"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11,7</w:t>
            </w:r>
          </w:p>
        </w:tc>
        <w:tc>
          <w:tcPr>
            <w:tcW w:w="791" w:type="dxa"/>
            <w:tcBorders>
              <w:top w:val="nil"/>
              <w:left w:val="nil"/>
              <w:bottom w:val="single" w:sz="4" w:space="0" w:color="auto"/>
              <w:right w:val="single" w:sz="4" w:space="0" w:color="auto"/>
            </w:tcBorders>
            <w:shd w:val="clear" w:color="auto" w:fill="auto"/>
            <w:noWrap/>
            <w:vAlign w:val="center"/>
            <w:hideMark/>
          </w:tcPr>
          <w:p w14:paraId="4CDF14FA"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0,8</w:t>
            </w:r>
          </w:p>
        </w:tc>
        <w:tc>
          <w:tcPr>
            <w:tcW w:w="793" w:type="dxa"/>
            <w:tcBorders>
              <w:top w:val="nil"/>
              <w:left w:val="nil"/>
              <w:bottom w:val="single" w:sz="4" w:space="0" w:color="auto"/>
              <w:right w:val="single" w:sz="4" w:space="0" w:color="auto"/>
            </w:tcBorders>
            <w:shd w:val="clear" w:color="auto" w:fill="auto"/>
            <w:noWrap/>
            <w:vAlign w:val="center"/>
            <w:hideMark/>
          </w:tcPr>
          <w:p w14:paraId="25348CCB"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r>
      <w:tr w:rsidR="00943434" w:rsidRPr="00C73365" w14:paraId="1DC000AB" w14:textId="77777777"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A139C0B" w14:textId="77777777"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Europe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Est et Asie Centrale</w:t>
            </w:r>
          </w:p>
        </w:tc>
        <w:tc>
          <w:tcPr>
            <w:tcW w:w="612" w:type="dxa"/>
            <w:tcBorders>
              <w:top w:val="nil"/>
              <w:left w:val="nil"/>
              <w:bottom w:val="single" w:sz="4" w:space="0" w:color="auto"/>
              <w:right w:val="single" w:sz="4" w:space="0" w:color="auto"/>
            </w:tcBorders>
            <w:shd w:val="clear" w:color="auto" w:fill="auto"/>
            <w:noWrap/>
            <w:vAlign w:val="center"/>
            <w:hideMark/>
          </w:tcPr>
          <w:p w14:paraId="3D56459C"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w:t>
            </w:r>
          </w:p>
        </w:tc>
        <w:tc>
          <w:tcPr>
            <w:tcW w:w="793" w:type="dxa"/>
            <w:tcBorders>
              <w:top w:val="nil"/>
              <w:left w:val="nil"/>
              <w:bottom w:val="single" w:sz="4" w:space="0" w:color="auto"/>
              <w:right w:val="single" w:sz="4" w:space="0" w:color="auto"/>
            </w:tcBorders>
            <w:shd w:val="clear" w:color="auto" w:fill="auto"/>
            <w:noWrap/>
            <w:vAlign w:val="center"/>
            <w:hideMark/>
          </w:tcPr>
          <w:p w14:paraId="31B955ED"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1,6</w:t>
            </w:r>
          </w:p>
        </w:tc>
        <w:tc>
          <w:tcPr>
            <w:tcW w:w="791" w:type="dxa"/>
            <w:tcBorders>
              <w:top w:val="nil"/>
              <w:left w:val="nil"/>
              <w:bottom w:val="single" w:sz="4" w:space="0" w:color="auto"/>
              <w:right w:val="single" w:sz="4" w:space="0" w:color="auto"/>
            </w:tcBorders>
            <w:shd w:val="clear" w:color="auto" w:fill="auto"/>
            <w:noWrap/>
            <w:vAlign w:val="center"/>
            <w:hideMark/>
          </w:tcPr>
          <w:p w14:paraId="2E224049"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14:paraId="73090C87"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1" w:type="dxa"/>
            <w:tcBorders>
              <w:top w:val="nil"/>
              <w:left w:val="nil"/>
              <w:bottom w:val="single" w:sz="4" w:space="0" w:color="auto"/>
              <w:right w:val="single" w:sz="4" w:space="0" w:color="auto"/>
            </w:tcBorders>
            <w:shd w:val="clear" w:color="auto" w:fill="auto"/>
            <w:noWrap/>
            <w:vAlign w:val="center"/>
            <w:hideMark/>
          </w:tcPr>
          <w:p w14:paraId="3D329958"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849" w:type="dxa"/>
            <w:tcBorders>
              <w:top w:val="nil"/>
              <w:left w:val="nil"/>
              <w:bottom w:val="single" w:sz="4" w:space="0" w:color="auto"/>
              <w:right w:val="single" w:sz="4" w:space="0" w:color="auto"/>
            </w:tcBorders>
            <w:shd w:val="clear" w:color="auto" w:fill="auto"/>
            <w:noWrap/>
            <w:vAlign w:val="center"/>
            <w:hideMark/>
          </w:tcPr>
          <w:p w14:paraId="59319A03"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1" w:type="dxa"/>
            <w:tcBorders>
              <w:top w:val="nil"/>
              <w:left w:val="nil"/>
              <w:bottom w:val="single" w:sz="4" w:space="0" w:color="auto"/>
              <w:right w:val="single" w:sz="4" w:space="0" w:color="auto"/>
            </w:tcBorders>
            <w:shd w:val="clear" w:color="auto" w:fill="auto"/>
            <w:noWrap/>
            <w:vAlign w:val="center"/>
            <w:hideMark/>
          </w:tcPr>
          <w:p w14:paraId="5EEE4525"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0,04</w:t>
            </w:r>
          </w:p>
        </w:tc>
        <w:tc>
          <w:tcPr>
            <w:tcW w:w="793" w:type="dxa"/>
            <w:tcBorders>
              <w:top w:val="nil"/>
              <w:left w:val="nil"/>
              <w:bottom w:val="single" w:sz="4" w:space="0" w:color="auto"/>
              <w:right w:val="single" w:sz="4" w:space="0" w:color="auto"/>
            </w:tcBorders>
            <w:shd w:val="clear" w:color="auto" w:fill="auto"/>
            <w:noWrap/>
            <w:vAlign w:val="center"/>
            <w:hideMark/>
          </w:tcPr>
          <w:p w14:paraId="75DF9765"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0,04</w:t>
            </w:r>
          </w:p>
        </w:tc>
      </w:tr>
      <w:tr w:rsidR="00943434" w:rsidRPr="00C73365" w14:paraId="6BC6C0FD" w14:textId="77777777"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9E66713" w14:textId="77777777"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Amérique Latine et Caraïbes</w:t>
            </w:r>
          </w:p>
        </w:tc>
        <w:tc>
          <w:tcPr>
            <w:tcW w:w="612" w:type="dxa"/>
            <w:tcBorders>
              <w:top w:val="nil"/>
              <w:left w:val="nil"/>
              <w:bottom w:val="single" w:sz="4" w:space="0" w:color="auto"/>
              <w:right w:val="single" w:sz="4" w:space="0" w:color="auto"/>
            </w:tcBorders>
            <w:shd w:val="clear" w:color="auto" w:fill="auto"/>
            <w:noWrap/>
            <w:vAlign w:val="center"/>
            <w:hideMark/>
          </w:tcPr>
          <w:p w14:paraId="470D44A1"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2,1</w:t>
            </w:r>
          </w:p>
        </w:tc>
        <w:tc>
          <w:tcPr>
            <w:tcW w:w="793" w:type="dxa"/>
            <w:tcBorders>
              <w:top w:val="nil"/>
              <w:left w:val="nil"/>
              <w:bottom w:val="single" w:sz="4" w:space="0" w:color="auto"/>
              <w:right w:val="single" w:sz="4" w:space="0" w:color="auto"/>
            </w:tcBorders>
            <w:shd w:val="clear" w:color="auto" w:fill="auto"/>
            <w:noWrap/>
            <w:vAlign w:val="center"/>
            <w:hideMark/>
          </w:tcPr>
          <w:p w14:paraId="630EB093"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w:t>
            </w:r>
          </w:p>
        </w:tc>
        <w:tc>
          <w:tcPr>
            <w:tcW w:w="791" w:type="dxa"/>
            <w:tcBorders>
              <w:top w:val="nil"/>
              <w:left w:val="nil"/>
              <w:bottom w:val="single" w:sz="4" w:space="0" w:color="auto"/>
              <w:right w:val="single" w:sz="4" w:space="0" w:color="auto"/>
            </w:tcBorders>
            <w:shd w:val="clear" w:color="auto" w:fill="auto"/>
            <w:noWrap/>
            <w:vAlign w:val="center"/>
            <w:hideMark/>
          </w:tcPr>
          <w:p w14:paraId="4598DA4F"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14:paraId="13FBD98D"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0,11</w:t>
            </w:r>
          </w:p>
        </w:tc>
        <w:tc>
          <w:tcPr>
            <w:tcW w:w="791" w:type="dxa"/>
            <w:tcBorders>
              <w:top w:val="nil"/>
              <w:left w:val="nil"/>
              <w:bottom w:val="single" w:sz="4" w:space="0" w:color="auto"/>
              <w:right w:val="single" w:sz="4" w:space="0" w:color="auto"/>
            </w:tcBorders>
            <w:shd w:val="clear" w:color="auto" w:fill="auto"/>
            <w:noWrap/>
            <w:vAlign w:val="center"/>
            <w:hideMark/>
          </w:tcPr>
          <w:p w14:paraId="3FD5A953"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0,6</w:t>
            </w:r>
          </w:p>
        </w:tc>
        <w:tc>
          <w:tcPr>
            <w:tcW w:w="849" w:type="dxa"/>
            <w:tcBorders>
              <w:top w:val="nil"/>
              <w:left w:val="nil"/>
              <w:bottom w:val="single" w:sz="4" w:space="0" w:color="auto"/>
              <w:right w:val="single" w:sz="4" w:space="0" w:color="auto"/>
            </w:tcBorders>
            <w:shd w:val="clear" w:color="auto" w:fill="auto"/>
            <w:noWrap/>
            <w:vAlign w:val="center"/>
            <w:hideMark/>
          </w:tcPr>
          <w:p w14:paraId="02CDAA5A"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1,2</w:t>
            </w:r>
          </w:p>
        </w:tc>
        <w:tc>
          <w:tcPr>
            <w:tcW w:w="791" w:type="dxa"/>
            <w:tcBorders>
              <w:top w:val="nil"/>
              <w:left w:val="nil"/>
              <w:bottom w:val="single" w:sz="4" w:space="0" w:color="auto"/>
              <w:right w:val="single" w:sz="4" w:space="0" w:color="auto"/>
            </w:tcBorders>
            <w:shd w:val="clear" w:color="auto" w:fill="auto"/>
            <w:noWrap/>
            <w:vAlign w:val="center"/>
            <w:hideMark/>
          </w:tcPr>
          <w:p w14:paraId="270CDFF7"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0,06</w:t>
            </w:r>
          </w:p>
        </w:tc>
        <w:tc>
          <w:tcPr>
            <w:tcW w:w="793" w:type="dxa"/>
            <w:tcBorders>
              <w:top w:val="nil"/>
              <w:left w:val="nil"/>
              <w:bottom w:val="single" w:sz="4" w:space="0" w:color="auto"/>
              <w:right w:val="single" w:sz="4" w:space="0" w:color="auto"/>
            </w:tcBorders>
            <w:shd w:val="clear" w:color="auto" w:fill="auto"/>
            <w:noWrap/>
            <w:vAlign w:val="center"/>
            <w:hideMark/>
          </w:tcPr>
          <w:p w14:paraId="33F8D316"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0,05</w:t>
            </w:r>
          </w:p>
        </w:tc>
      </w:tr>
      <w:tr w:rsidR="00943434" w:rsidRPr="00C73365" w14:paraId="75628E3A" w14:textId="77777777" w:rsidTr="00BC440C">
        <w:trPr>
          <w:trHeight w:val="21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2E6AD7C" w14:textId="77777777"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Moyen Orient et Afrique du Nord</w:t>
            </w:r>
          </w:p>
        </w:tc>
        <w:tc>
          <w:tcPr>
            <w:tcW w:w="612" w:type="dxa"/>
            <w:tcBorders>
              <w:top w:val="nil"/>
              <w:left w:val="nil"/>
              <w:bottom w:val="single" w:sz="4" w:space="0" w:color="auto"/>
              <w:right w:val="single" w:sz="4" w:space="0" w:color="auto"/>
            </w:tcBorders>
            <w:shd w:val="clear" w:color="auto" w:fill="auto"/>
            <w:noWrap/>
            <w:vAlign w:val="center"/>
            <w:hideMark/>
          </w:tcPr>
          <w:p w14:paraId="269A4664"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3" w:type="dxa"/>
            <w:tcBorders>
              <w:top w:val="nil"/>
              <w:left w:val="nil"/>
              <w:bottom w:val="single" w:sz="4" w:space="0" w:color="auto"/>
              <w:right w:val="single" w:sz="4" w:space="0" w:color="auto"/>
            </w:tcBorders>
            <w:shd w:val="clear" w:color="auto" w:fill="auto"/>
            <w:noWrap/>
            <w:vAlign w:val="center"/>
            <w:hideMark/>
          </w:tcPr>
          <w:p w14:paraId="078B23BA"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1" w:type="dxa"/>
            <w:tcBorders>
              <w:top w:val="nil"/>
              <w:left w:val="nil"/>
              <w:bottom w:val="single" w:sz="4" w:space="0" w:color="auto"/>
              <w:right w:val="single" w:sz="4" w:space="0" w:color="auto"/>
            </w:tcBorders>
            <w:shd w:val="clear" w:color="auto" w:fill="auto"/>
            <w:noWrap/>
            <w:vAlign w:val="center"/>
            <w:hideMark/>
          </w:tcPr>
          <w:p w14:paraId="7FE64F4A"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0,02</w:t>
            </w:r>
          </w:p>
        </w:tc>
        <w:tc>
          <w:tcPr>
            <w:tcW w:w="793" w:type="dxa"/>
            <w:tcBorders>
              <w:top w:val="nil"/>
              <w:left w:val="nil"/>
              <w:bottom w:val="single" w:sz="4" w:space="0" w:color="auto"/>
              <w:right w:val="single" w:sz="4" w:space="0" w:color="auto"/>
            </w:tcBorders>
            <w:shd w:val="clear" w:color="auto" w:fill="auto"/>
            <w:noWrap/>
            <w:vAlign w:val="center"/>
            <w:hideMark/>
          </w:tcPr>
          <w:p w14:paraId="417CB6FB"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0,02</w:t>
            </w:r>
          </w:p>
        </w:tc>
        <w:tc>
          <w:tcPr>
            <w:tcW w:w="791" w:type="dxa"/>
            <w:tcBorders>
              <w:top w:val="nil"/>
              <w:left w:val="nil"/>
              <w:bottom w:val="single" w:sz="4" w:space="0" w:color="auto"/>
              <w:right w:val="single" w:sz="4" w:space="0" w:color="auto"/>
            </w:tcBorders>
            <w:shd w:val="clear" w:color="auto" w:fill="auto"/>
            <w:noWrap/>
            <w:vAlign w:val="center"/>
            <w:hideMark/>
          </w:tcPr>
          <w:p w14:paraId="688480A4"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c>
          <w:tcPr>
            <w:tcW w:w="849" w:type="dxa"/>
            <w:tcBorders>
              <w:top w:val="nil"/>
              <w:left w:val="nil"/>
              <w:bottom w:val="single" w:sz="4" w:space="0" w:color="auto"/>
              <w:right w:val="single" w:sz="4" w:space="0" w:color="auto"/>
            </w:tcBorders>
            <w:shd w:val="clear" w:color="auto" w:fill="auto"/>
            <w:noWrap/>
            <w:vAlign w:val="center"/>
            <w:hideMark/>
          </w:tcPr>
          <w:p w14:paraId="3E47FC07"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0,05</w:t>
            </w:r>
          </w:p>
        </w:tc>
        <w:tc>
          <w:tcPr>
            <w:tcW w:w="791" w:type="dxa"/>
            <w:tcBorders>
              <w:top w:val="nil"/>
              <w:left w:val="nil"/>
              <w:bottom w:val="single" w:sz="4" w:space="0" w:color="auto"/>
              <w:right w:val="single" w:sz="4" w:space="0" w:color="auto"/>
            </w:tcBorders>
            <w:shd w:val="clear" w:color="auto" w:fill="auto"/>
            <w:noWrap/>
            <w:vAlign w:val="center"/>
            <w:hideMark/>
          </w:tcPr>
          <w:p w14:paraId="6A9C7A52"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c>
          <w:tcPr>
            <w:tcW w:w="793" w:type="dxa"/>
            <w:tcBorders>
              <w:top w:val="nil"/>
              <w:left w:val="nil"/>
              <w:bottom w:val="single" w:sz="4" w:space="0" w:color="auto"/>
              <w:right w:val="single" w:sz="4" w:space="0" w:color="auto"/>
            </w:tcBorders>
            <w:shd w:val="clear" w:color="auto" w:fill="auto"/>
            <w:noWrap/>
            <w:vAlign w:val="center"/>
            <w:hideMark/>
          </w:tcPr>
          <w:p w14:paraId="100D9D91"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r>
      <w:tr w:rsidR="00943434" w:rsidRPr="00C73365" w14:paraId="73C91051" w14:textId="77777777"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0F73D01" w14:textId="77777777"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Afrique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Ouest et Centrale</w:t>
            </w:r>
          </w:p>
        </w:tc>
        <w:tc>
          <w:tcPr>
            <w:tcW w:w="612" w:type="dxa"/>
            <w:tcBorders>
              <w:top w:val="nil"/>
              <w:left w:val="nil"/>
              <w:bottom w:val="single" w:sz="4" w:space="0" w:color="auto"/>
              <w:right w:val="single" w:sz="4" w:space="0" w:color="auto"/>
            </w:tcBorders>
            <w:shd w:val="clear" w:color="auto" w:fill="auto"/>
            <w:noWrap/>
            <w:vAlign w:val="center"/>
            <w:hideMark/>
          </w:tcPr>
          <w:p w14:paraId="07EC4BF9"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6,3</w:t>
            </w:r>
          </w:p>
        </w:tc>
        <w:tc>
          <w:tcPr>
            <w:tcW w:w="793" w:type="dxa"/>
            <w:tcBorders>
              <w:top w:val="nil"/>
              <w:left w:val="nil"/>
              <w:bottom w:val="single" w:sz="4" w:space="0" w:color="auto"/>
              <w:right w:val="single" w:sz="4" w:space="0" w:color="auto"/>
            </w:tcBorders>
            <w:shd w:val="clear" w:color="auto" w:fill="auto"/>
            <w:noWrap/>
            <w:vAlign w:val="center"/>
            <w:hideMark/>
          </w:tcPr>
          <w:p w14:paraId="0F2B458F"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6,1</w:t>
            </w:r>
          </w:p>
        </w:tc>
        <w:tc>
          <w:tcPr>
            <w:tcW w:w="791" w:type="dxa"/>
            <w:tcBorders>
              <w:top w:val="nil"/>
              <w:left w:val="nil"/>
              <w:bottom w:val="single" w:sz="4" w:space="0" w:color="auto"/>
              <w:right w:val="single" w:sz="4" w:space="0" w:color="auto"/>
            </w:tcBorders>
            <w:shd w:val="clear" w:color="auto" w:fill="auto"/>
            <w:noWrap/>
            <w:vAlign w:val="center"/>
            <w:hideMark/>
          </w:tcPr>
          <w:p w14:paraId="0A1837F9"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0,5</w:t>
            </w:r>
          </w:p>
        </w:tc>
        <w:tc>
          <w:tcPr>
            <w:tcW w:w="793" w:type="dxa"/>
            <w:tcBorders>
              <w:top w:val="nil"/>
              <w:left w:val="nil"/>
              <w:bottom w:val="single" w:sz="4" w:space="0" w:color="auto"/>
              <w:right w:val="single" w:sz="4" w:space="0" w:color="auto"/>
            </w:tcBorders>
            <w:shd w:val="clear" w:color="auto" w:fill="auto"/>
            <w:noWrap/>
            <w:vAlign w:val="center"/>
            <w:hideMark/>
          </w:tcPr>
          <w:p w14:paraId="5E2807B3"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1" w:type="dxa"/>
            <w:tcBorders>
              <w:top w:val="nil"/>
              <w:left w:val="nil"/>
              <w:bottom w:val="single" w:sz="4" w:space="0" w:color="auto"/>
              <w:right w:val="single" w:sz="4" w:space="0" w:color="auto"/>
            </w:tcBorders>
            <w:shd w:val="clear" w:color="auto" w:fill="auto"/>
            <w:noWrap/>
            <w:vAlign w:val="center"/>
            <w:hideMark/>
          </w:tcPr>
          <w:p w14:paraId="40BC395D"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14:paraId="0FF18EBD"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2,1</w:t>
            </w:r>
          </w:p>
        </w:tc>
        <w:tc>
          <w:tcPr>
            <w:tcW w:w="791" w:type="dxa"/>
            <w:tcBorders>
              <w:top w:val="nil"/>
              <w:left w:val="nil"/>
              <w:bottom w:val="single" w:sz="4" w:space="0" w:color="auto"/>
              <w:right w:val="single" w:sz="4" w:space="0" w:color="auto"/>
            </w:tcBorders>
            <w:shd w:val="clear" w:color="auto" w:fill="auto"/>
            <w:noWrap/>
            <w:vAlign w:val="center"/>
            <w:hideMark/>
          </w:tcPr>
          <w:p w14:paraId="40FD95FE"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3" w:type="dxa"/>
            <w:tcBorders>
              <w:top w:val="nil"/>
              <w:left w:val="nil"/>
              <w:bottom w:val="single" w:sz="4" w:space="0" w:color="auto"/>
              <w:right w:val="single" w:sz="4" w:space="0" w:color="auto"/>
            </w:tcBorders>
            <w:shd w:val="clear" w:color="auto" w:fill="auto"/>
            <w:noWrap/>
            <w:vAlign w:val="center"/>
            <w:hideMark/>
          </w:tcPr>
          <w:p w14:paraId="5B7006FD" w14:textId="77777777"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r>
      <w:tr w:rsidR="00943434" w:rsidRPr="00C73365" w14:paraId="0240D927" w14:textId="77777777" w:rsidTr="00BC440C">
        <w:trPr>
          <w:trHeight w:val="27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383EFA9" w14:textId="77777777" w:rsidR="00943434" w:rsidRPr="00C73365" w:rsidRDefault="00943434" w:rsidP="00BC440C">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Europe de l</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Ouest et Centrale et Amérique du Nord</w:t>
            </w:r>
          </w:p>
        </w:tc>
        <w:tc>
          <w:tcPr>
            <w:tcW w:w="612" w:type="dxa"/>
            <w:tcBorders>
              <w:top w:val="nil"/>
              <w:left w:val="nil"/>
              <w:bottom w:val="single" w:sz="4" w:space="0" w:color="auto"/>
              <w:right w:val="single" w:sz="4" w:space="0" w:color="auto"/>
            </w:tcBorders>
            <w:shd w:val="clear" w:color="auto" w:fill="auto"/>
            <w:noWrap/>
            <w:vAlign w:val="center"/>
            <w:hideMark/>
          </w:tcPr>
          <w:p w14:paraId="778DE029" w14:textId="77777777"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2,1</w:t>
            </w:r>
          </w:p>
        </w:tc>
        <w:tc>
          <w:tcPr>
            <w:tcW w:w="793" w:type="dxa"/>
            <w:tcBorders>
              <w:top w:val="nil"/>
              <w:left w:val="nil"/>
              <w:bottom w:val="single" w:sz="4" w:space="0" w:color="auto"/>
              <w:right w:val="single" w:sz="4" w:space="0" w:color="auto"/>
            </w:tcBorders>
            <w:shd w:val="clear" w:color="auto" w:fill="auto"/>
            <w:noWrap/>
            <w:vAlign w:val="center"/>
            <w:hideMark/>
          </w:tcPr>
          <w:p w14:paraId="18DD86D3" w14:textId="77777777"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2,4</w:t>
            </w:r>
          </w:p>
        </w:tc>
        <w:tc>
          <w:tcPr>
            <w:tcW w:w="791" w:type="dxa"/>
            <w:tcBorders>
              <w:top w:val="nil"/>
              <w:left w:val="nil"/>
              <w:bottom w:val="single" w:sz="4" w:space="0" w:color="auto"/>
              <w:right w:val="single" w:sz="4" w:space="0" w:color="auto"/>
            </w:tcBorders>
            <w:shd w:val="clear" w:color="auto" w:fill="auto"/>
            <w:noWrap/>
            <w:vAlign w:val="center"/>
            <w:hideMark/>
          </w:tcPr>
          <w:p w14:paraId="0589FEEF" w14:textId="77777777"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14:paraId="1A05C5BB" w14:textId="77777777"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0,1</w:t>
            </w:r>
          </w:p>
        </w:tc>
        <w:tc>
          <w:tcPr>
            <w:tcW w:w="791" w:type="dxa"/>
            <w:tcBorders>
              <w:top w:val="nil"/>
              <w:left w:val="nil"/>
              <w:bottom w:val="single" w:sz="4" w:space="0" w:color="auto"/>
              <w:right w:val="single" w:sz="4" w:space="0" w:color="auto"/>
            </w:tcBorders>
            <w:shd w:val="clear" w:color="auto" w:fill="auto"/>
            <w:noWrap/>
            <w:vAlign w:val="center"/>
            <w:hideMark/>
          </w:tcPr>
          <w:p w14:paraId="6A7F6588" w14:textId="77777777"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14:paraId="34670100" w14:textId="77777777"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1,7</w:t>
            </w:r>
          </w:p>
        </w:tc>
        <w:tc>
          <w:tcPr>
            <w:tcW w:w="791" w:type="dxa"/>
            <w:tcBorders>
              <w:top w:val="nil"/>
              <w:left w:val="nil"/>
              <w:bottom w:val="single" w:sz="4" w:space="0" w:color="auto"/>
              <w:right w:val="single" w:sz="4" w:space="0" w:color="auto"/>
            </w:tcBorders>
            <w:shd w:val="clear" w:color="auto" w:fill="auto"/>
            <w:noWrap/>
            <w:vAlign w:val="center"/>
            <w:hideMark/>
          </w:tcPr>
          <w:p w14:paraId="6E9E3ABC" w14:textId="77777777"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0,03</w:t>
            </w:r>
          </w:p>
        </w:tc>
        <w:tc>
          <w:tcPr>
            <w:tcW w:w="793" w:type="dxa"/>
            <w:tcBorders>
              <w:top w:val="nil"/>
              <w:left w:val="nil"/>
              <w:bottom w:val="single" w:sz="4" w:space="0" w:color="auto"/>
              <w:right w:val="single" w:sz="4" w:space="0" w:color="auto"/>
            </w:tcBorders>
            <w:shd w:val="clear" w:color="auto" w:fill="auto"/>
            <w:noWrap/>
            <w:vAlign w:val="center"/>
            <w:hideMark/>
          </w:tcPr>
          <w:p w14:paraId="4740210D" w14:textId="77777777"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0,02</w:t>
            </w:r>
          </w:p>
        </w:tc>
      </w:tr>
    </w:tbl>
    <w:p w14:paraId="0CD75017" w14:textId="77777777" w:rsidR="00943434" w:rsidRPr="00C73365" w:rsidRDefault="00943434" w:rsidP="00943434">
      <w:pPr>
        <w:rPr>
          <w:rFonts w:asciiTheme="minorHAnsi" w:hAnsiTheme="minorHAnsi" w:cstheme="minorHAnsi"/>
          <w:b/>
          <w:szCs w:val="20"/>
          <w:u w:val="single"/>
          <w:lang w:val="fr-FR"/>
        </w:rPr>
      </w:pPr>
    </w:p>
    <w:p w14:paraId="3B282832" w14:textId="77777777" w:rsidR="00943434" w:rsidRPr="00C73365" w:rsidRDefault="00943434" w:rsidP="004572A0">
      <w:pPr>
        <w:pStyle w:val="Corpsdetexte"/>
        <w:rPr>
          <w:rFonts w:asciiTheme="minorHAnsi" w:eastAsia="Frutiger-Cn" w:hAnsiTheme="minorHAnsi" w:cstheme="minorHAnsi"/>
          <w:lang w:val="fr-FR"/>
        </w:rPr>
      </w:pPr>
      <w:r w:rsidRPr="00C73365">
        <w:rPr>
          <w:rFonts w:asciiTheme="minorHAnsi" w:hAnsiTheme="minorHAnsi" w:cstheme="minorHAnsi"/>
          <w:lang w:val="fr-FR"/>
        </w:rPr>
        <w:t>D</w:t>
      </w:r>
      <w:r w:rsidR="004572A0" w:rsidRPr="00C73365">
        <w:rPr>
          <w:rFonts w:asciiTheme="minorHAnsi" w:hAnsiTheme="minorHAnsi" w:cstheme="minorHAnsi"/>
          <w:lang w:val="fr-FR"/>
        </w:rPr>
        <w:t>’</w:t>
      </w:r>
      <w:r w:rsidRPr="00C73365">
        <w:rPr>
          <w:rFonts w:asciiTheme="minorHAnsi" w:hAnsiTheme="minorHAnsi" w:cstheme="minorHAnsi"/>
          <w:lang w:val="fr-FR"/>
        </w:rPr>
        <w:t>après les éléments de preuve indiquant les multiples avantages d</w:t>
      </w:r>
      <w:r w:rsidR="004572A0" w:rsidRPr="00C73365">
        <w:rPr>
          <w:rFonts w:asciiTheme="minorHAnsi" w:hAnsiTheme="minorHAnsi" w:cstheme="minorHAnsi"/>
          <w:lang w:val="fr-FR"/>
        </w:rPr>
        <w:t>’</w:t>
      </w:r>
      <w:r w:rsidRPr="00C73365">
        <w:rPr>
          <w:rFonts w:asciiTheme="minorHAnsi" w:hAnsiTheme="minorHAnsi" w:cstheme="minorHAnsi"/>
          <w:lang w:val="fr-FR"/>
        </w:rPr>
        <w:t>une initiation précoce du TAR, à la fois en termes de prévention et de traitement, l</w:t>
      </w:r>
      <w:r w:rsidR="004572A0" w:rsidRPr="00C73365">
        <w:rPr>
          <w:rFonts w:asciiTheme="minorHAnsi" w:hAnsiTheme="minorHAnsi" w:cstheme="minorHAnsi"/>
          <w:lang w:val="fr-FR"/>
        </w:rPr>
        <w:t>’</w:t>
      </w:r>
      <w:r w:rsidRPr="00C73365">
        <w:rPr>
          <w:rFonts w:asciiTheme="minorHAnsi" w:hAnsiTheme="minorHAnsi" w:cstheme="minorHAnsi"/>
          <w:lang w:val="fr-FR"/>
        </w:rPr>
        <w:t>OMS a révisé ses directives sur les TAR pour en recommander un usage prophylactique pour toute personne exposée à un risque substantiel de contamination (y compris les enfants conçus par des mères infectées) et un usage curatif pour tout personne contaminée, quel que soit son nombre de cellules CD4.</w:t>
      </w:r>
      <w:r w:rsidRPr="00C73365">
        <w:rPr>
          <w:rFonts w:asciiTheme="minorHAnsi" w:eastAsia="Frutiger-Cn" w:hAnsiTheme="minorHAnsi" w:cstheme="minorHAnsi"/>
          <w:color w:val="333333"/>
          <w:lang w:val="fr-FR"/>
        </w:rPr>
        <w:t xml:space="preserve"> </w:t>
      </w:r>
    </w:p>
    <w:p w14:paraId="0E9AEC96"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Dans les pays du G7, le coût du TAR est généralement couvert par les systèmes publics d</w:t>
      </w:r>
      <w:r w:rsidR="004572A0" w:rsidRPr="00C73365">
        <w:rPr>
          <w:rFonts w:asciiTheme="minorHAnsi" w:hAnsiTheme="minorHAnsi" w:cstheme="minorHAnsi"/>
          <w:lang w:val="fr-FR"/>
        </w:rPr>
        <w:t>’</w:t>
      </w:r>
      <w:r w:rsidRPr="00C73365">
        <w:rPr>
          <w:rFonts w:asciiTheme="minorHAnsi" w:hAnsiTheme="minorHAnsi" w:cstheme="minorHAnsi"/>
          <w:lang w:val="fr-FR"/>
        </w:rPr>
        <w:t>assurance santé. Aux Etats-Unis, en 2012, 60% des médicaments contre le VIH ont été payés par des fonds publics</w:t>
      </w:r>
      <w:r w:rsidRPr="00C73365">
        <w:rPr>
          <w:rStyle w:val="Appelnotedebasdep"/>
          <w:rFonts w:asciiTheme="minorHAnsi" w:eastAsia="SimSun" w:hAnsiTheme="minorHAnsi" w:cstheme="minorHAnsi"/>
          <w:spacing w:val="-2"/>
          <w:lang w:val="fr-FR"/>
        </w:rPr>
        <w:footnoteReference w:id="11"/>
      </w:r>
      <w:r w:rsidRPr="00C73365">
        <w:rPr>
          <w:rFonts w:asciiTheme="minorHAnsi" w:hAnsiTheme="minorHAnsi" w:cstheme="minorHAnsi"/>
          <w:lang w:val="fr-FR"/>
        </w:rPr>
        <w:t>, le VIH y bénéficiant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 traitement de faveur » des assureurs et des organismes de santé. </w:t>
      </w:r>
    </w:p>
    <w:p w14:paraId="6872E64B"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Par contre, dans les pays en voie de développement, assistance technique et soutien financier sont nécessaires pour lutter contre la pandémie mondiale qu’est le VIH/SIDA. </w:t>
      </w:r>
    </w:p>
    <w:p w14:paraId="1AF9C71B" w14:textId="77777777" w:rsidR="00943434" w:rsidRPr="00C73365" w:rsidRDefault="00943434" w:rsidP="004572A0">
      <w:pPr>
        <w:pStyle w:val="Corpsdetexte"/>
        <w:rPr>
          <w:rFonts w:asciiTheme="minorHAnsi" w:hAnsiTheme="minorHAnsi" w:cstheme="minorHAnsi"/>
          <w:b/>
          <w:u w:val="single"/>
          <w:lang w:val="fr-FR"/>
        </w:rPr>
      </w:pPr>
      <w:r w:rsidRPr="00C73365">
        <w:rPr>
          <w:rFonts w:asciiTheme="minorHAnsi" w:hAnsiTheme="minorHAnsi" w:cstheme="minorHAnsi"/>
          <w:lang w:val="fr-FR"/>
        </w:rPr>
        <w:t>Ces quinze dernières années ont vu toute une série d</w:t>
      </w:r>
      <w:r w:rsidR="004572A0" w:rsidRPr="00C73365">
        <w:rPr>
          <w:rFonts w:asciiTheme="minorHAnsi" w:hAnsiTheme="minorHAnsi" w:cstheme="minorHAnsi"/>
          <w:lang w:val="fr-FR"/>
        </w:rPr>
        <w:t>’</w:t>
      </w:r>
      <w:r w:rsidRPr="00C73365">
        <w:rPr>
          <w:rFonts w:asciiTheme="minorHAnsi" w:hAnsiTheme="minorHAnsi" w:cstheme="minorHAnsi"/>
          <w:lang w:val="fr-FR"/>
        </w:rPr>
        <w:t>initiatives mondiales, lancées sous l’auspice des Nations-Unies, de l</w:t>
      </w:r>
      <w:r w:rsidR="004572A0" w:rsidRPr="00C73365">
        <w:rPr>
          <w:rFonts w:asciiTheme="minorHAnsi" w:hAnsiTheme="minorHAnsi" w:cstheme="minorHAnsi"/>
          <w:lang w:val="fr-FR"/>
        </w:rPr>
        <w:t>’</w:t>
      </w:r>
      <w:r w:rsidRPr="00C73365">
        <w:rPr>
          <w:rFonts w:asciiTheme="minorHAnsi" w:hAnsiTheme="minorHAnsi" w:cstheme="minorHAnsi"/>
          <w:lang w:val="fr-FR"/>
        </w:rPr>
        <w:t>OMS et/ou de grandes ONG ou fondations, avec pour objectif de coordonner l</w:t>
      </w:r>
      <w:r w:rsidR="004572A0" w:rsidRPr="00C73365">
        <w:rPr>
          <w:rFonts w:asciiTheme="minorHAnsi" w:hAnsiTheme="minorHAnsi" w:cstheme="minorHAnsi"/>
          <w:lang w:val="fr-FR"/>
        </w:rPr>
        <w:t>’</w:t>
      </w:r>
      <w:r w:rsidRPr="00C73365">
        <w:rPr>
          <w:rFonts w:asciiTheme="minorHAnsi" w:hAnsiTheme="minorHAnsi" w:cstheme="minorHAnsi"/>
          <w:lang w:val="fr-FR"/>
        </w:rPr>
        <w:t>aide aux pays à revenu faible ou intermédiaire. La plupart des programmes remarquables et couronnés de succès ont été lancés en partenariat avec les autorités locales, l</w:t>
      </w:r>
      <w:r w:rsidR="004572A0" w:rsidRPr="00C73365">
        <w:rPr>
          <w:rFonts w:asciiTheme="minorHAnsi" w:hAnsiTheme="minorHAnsi" w:cstheme="minorHAnsi"/>
          <w:lang w:val="fr-FR"/>
        </w:rPr>
        <w:t>’</w:t>
      </w:r>
      <w:r w:rsidRPr="00C73365">
        <w:rPr>
          <w:rFonts w:asciiTheme="minorHAnsi" w:hAnsiTheme="minorHAnsi" w:cstheme="minorHAnsi"/>
          <w:lang w:val="fr-FR"/>
        </w:rPr>
        <w:t>OMS et les Nations-Unies, le Fonds mondial de lutte contre le sida, la tuberculose et le paludisme, la Clinton Health Access Initiative ou la Fondation Bill et Melinda Gates.</w:t>
      </w:r>
    </w:p>
    <w:p w14:paraId="7B5813F2"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En 2002, seules 300 000 personnes bénéficiaient d</w:t>
      </w:r>
      <w:r w:rsidR="004572A0" w:rsidRPr="00C73365">
        <w:rPr>
          <w:rFonts w:asciiTheme="minorHAnsi" w:hAnsiTheme="minorHAnsi" w:cstheme="minorHAnsi"/>
          <w:lang w:val="fr-FR"/>
        </w:rPr>
        <w:t>’</w:t>
      </w:r>
      <w:r w:rsidRPr="00C73365">
        <w:rPr>
          <w:rFonts w:asciiTheme="minorHAnsi" w:hAnsiTheme="minorHAnsi" w:cstheme="minorHAnsi"/>
          <w:lang w:val="fr-FR"/>
        </w:rPr>
        <w:t>un traitement contre le VIH/SIDA dans les pays à revenu faible ou moyen, alors que ces traitements s’élevaient à plus de 10 000$ par personne et par an. A la fin de 2016, 15,8 millions de patients des pays en voie de développement ont accès à un traitement contre le VIH,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excellente qualité, l’amenant </w:t>
      </w:r>
      <w:r w:rsidRPr="00C73365">
        <w:rPr>
          <w:rFonts w:asciiTheme="minorHAnsi" w:hAnsiTheme="minorHAnsi" w:cstheme="minorHAnsi"/>
          <w:lang w:val="fr-FR"/>
        </w:rPr>
        <w:lastRenderedPageBreak/>
        <w:t>à un peu plus de 100$ par personne et par an pour un traitement de première intention et à 300$ annuels pour un traitement de deuxième intention chez l’adulte</w:t>
      </w:r>
      <w:r w:rsidRPr="00C73365">
        <w:rPr>
          <w:rStyle w:val="Appelnotedebasdep"/>
          <w:rFonts w:asciiTheme="minorHAnsi" w:eastAsia="SimSun" w:hAnsiTheme="minorHAnsi" w:cstheme="minorHAnsi"/>
          <w:lang w:val="fr-FR"/>
        </w:rPr>
        <w:footnoteReference w:id="12"/>
      </w:r>
      <w:r w:rsidRPr="00C73365">
        <w:rPr>
          <w:rFonts w:asciiTheme="minorHAnsi" w:hAnsiTheme="minorHAnsi" w:cstheme="minorHAnsi"/>
          <w:lang w:val="fr-FR"/>
        </w:rPr>
        <w:t xml:space="preserve">. </w:t>
      </w:r>
    </w:p>
    <w:p w14:paraId="7D023381" w14:textId="77777777" w:rsidR="00943434" w:rsidRPr="00C73365" w:rsidRDefault="00943434" w:rsidP="004572A0">
      <w:pPr>
        <w:pStyle w:val="Corpsdetexte"/>
        <w:rPr>
          <w:rFonts w:asciiTheme="minorHAnsi" w:hAnsiTheme="minorHAnsi" w:cstheme="minorHAnsi"/>
          <w:b/>
          <w:lang w:val="fr-FR"/>
        </w:rPr>
      </w:pPr>
      <w:r w:rsidRPr="00C73365">
        <w:rPr>
          <w:rFonts w:asciiTheme="minorHAnsi" w:hAnsiTheme="minorHAnsi" w:cstheme="minorHAnsi"/>
          <w:b/>
          <w:lang w:val="fr-FR"/>
        </w:rPr>
        <w:t>Marché total de la TAR dans les pays accessibles aux génériques (en $US)</w:t>
      </w:r>
    </w:p>
    <w:p w14:paraId="587EE129" w14:textId="77777777" w:rsidR="00943434" w:rsidRPr="00C73365" w:rsidRDefault="00943434" w:rsidP="00A64BA1">
      <w:pPr>
        <w:autoSpaceDE w:val="0"/>
        <w:autoSpaceDN w:val="0"/>
        <w:adjustRightInd w:val="0"/>
        <w:jc w:val="center"/>
        <w:rPr>
          <w:rFonts w:asciiTheme="minorHAnsi" w:hAnsiTheme="minorHAnsi" w:cstheme="minorHAnsi"/>
          <w:i/>
          <w:color w:val="7030A0"/>
          <w:sz w:val="18"/>
          <w:szCs w:val="20"/>
        </w:rPr>
      </w:pPr>
      <w:r w:rsidRPr="00C73365">
        <w:rPr>
          <w:rFonts w:asciiTheme="minorHAnsi" w:hAnsiTheme="minorHAnsi" w:cstheme="minorHAnsi"/>
          <w:noProof/>
          <w:lang w:val="fr-FR" w:eastAsia="fr-FR"/>
        </w:rPr>
        <w:drawing>
          <wp:inline distT="0" distB="0" distL="0" distR="0" wp14:anchorId="6FCB1785" wp14:editId="5D5248B1">
            <wp:extent cx="2360658" cy="1476587"/>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9809" cy="1482311"/>
                    </a:xfrm>
                    <a:prstGeom prst="rect">
                      <a:avLst/>
                    </a:prstGeom>
                  </pic:spPr>
                </pic:pic>
              </a:graphicData>
            </a:graphic>
          </wp:inline>
        </w:drawing>
      </w:r>
    </w:p>
    <w:p w14:paraId="1690C122" w14:textId="77777777" w:rsidR="00943434" w:rsidRPr="00C73365" w:rsidRDefault="00943434" w:rsidP="004572A0">
      <w:pPr>
        <w:pStyle w:val="Corpsdetexte"/>
        <w:rPr>
          <w:rFonts w:asciiTheme="minorHAnsi" w:eastAsiaTheme="minorHAnsi" w:hAnsiTheme="minorHAnsi" w:cstheme="minorHAnsi"/>
          <w:i/>
          <w:color w:val="000000"/>
        </w:rPr>
      </w:pPr>
      <w:r w:rsidRPr="00C73365">
        <w:rPr>
          <w:rFonts w:asciiTheme="minorHAnsi" w:hAnsiTheme="minorHAnsi" w:cstheme="minorHAnsi"/>
          <w:i/>
        </w:rPr>
        <w:t>Source: The State of the Antiretroviral Drug Market in Low- and Middle-Income Countries, 2015-2020</w:t>
      </w:r>
    </w:p>
    <w:p w14:paraId="4A4DE3A8"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Le marché inaccessible aux génériques s</w:t>
      </w:r>
      <w:r w:rsidR="004572A0" w:rsidRPr="00C73365">
        <w:rPr>
          <w:rFonts w:asciiTheme="minorHAnsi" w:hAnsiTheme="minorHAnsi" w:cstheme="minorHAnsi"/>
          <w:lang w:val="fr-FR"/>
        </w:rPr>
        <w:t>’</w:t>
      </w:r>
      <w:r w:rsidRPr="00C73365">
        <w:rPr>
          <w:rFonts w:asciiTheme="minorHAnsi" w:hAnsiTheme="minorHAnsi" w:cstheme="minorHAnsi"/>
          <w:lang w:val="fr-FR"/>
        </w:rPr>
        <w:t>élevait à 230 M$ en 2014, soit 13% du marché des pays à revenu faible ou moyen.</w:t>
      </w:r>
    </w:p>
    <w:p w14:paraId="2923879D" w14:textId="77777777" w:rsidR="00943434" w:rsidRPr="00C73365" w:rsidRDefault="00943434" w:rsidP="004572A0">
      <w:pPr>
        <w:pStyle w:val="Corpsdetexte"/>
        <w:rPr>
          <w:rFonts w:asciiTheme="minorHAnsi" w:hAnsiTheme="minorHAnsi" w:cstheme="minorHAnsi"/>
          <w:b/>
          <w:lang w:val="fr-FR"/>
        </w:rPr>
      </w:pPr>
      <w:r w:rsidRPr="00C73365">
        <w:rPr>
          <w:rFonts w:asciiTheme="minorHAnsi" w:hAnsiTheme="minorHAnsi" w:cstheme="minorHAnsi"/>
          <w:b/>
          <w:lang w:val="fr-FR"/>
        </w:rPr>
        <w:t>Marché des TAR dans les pays accessibles aux génériques, par rapport aux pays inaccessibles (en $US)</w:t>
      </w:r>
    </w:p>
    <w:p w14:paraId="531654DF" w14:textId="77777777" w:rsidR="00943434" w:rsidRPr="00C73365" w:rsidRDefault="00943434" w:rsidP="00A64BA1">
      <w:pPr>
        <w:autoSpaceDE w:val="0"/>
        <w:autoSpaceDN w:val="0"/>
        <w:adjustRightInd w:val="0"/>
        <w:jc w:val="center"/>
        <w:rPr>
          <w:rFonts w:asciiTheme="minorHAnsi" w:hAnsiTheme="minorHAnsi" w:cstheme="minorHAnsi"/>
          <w:szCs w:val="20"/>
          <w:highlight w:val="yellow"/>
        </w:rPr>
      </w:pPr>
      <w:r w:rsidRPr="00C73365">
        <w:rPr>
          <w:rFonts w:asciiTheme="minorHAnsi" w:hAnsiTheme="minorHAnsi" w:cstheme="minorHAnsi"/>
          <w:noProof/>
          <w:szCs w:val="20"/>
          <w:lang w:val="fr-FR" w:eastAsia="fr-FR"/>
        </w:rPr>
        <w:drawing>
          <wp:inline distT="0" distB="0" distL="0" distR="0" wp14:anchorId="38BBA669" wp14:editId="11EBEA81">
            <wp:extent cx="2411307" cy="1372235"/>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8508" cy="1382024"/>
                    </a:xfrm>
                    <a:prstGeom prst="rect">
                      <a:avLst/>
                    </a:prstGeom>
                  </pic:spPr>
                </pic:pic>
              </a:graphicData>
            </a:graphic>
          </wp:inline>
        </w:drawing>
      </w:r>
    </w:p>
    <w:p w14:paraId="1AC2C9C1" w14:textId="77777777" w:rsidR="00943434" w:rsidRPr="00C73365" w:rsidRDefault="00943434" w:rsidP="004572A0">
      <w:pPr>
        <w:pStyle w:val="Corpsdetexte"/>
        <w:rPr>
          <w:rFonts w:asciiTheme="minorHAnsi" w:hAnsiTheme="minorHAnsi" w:cstheme="minorHAnsi"/>
          <w:i/>
        </w:rPr>
      </w:pPr>
      <w:r w:rsidRPr="00C73365">
        <w:rPr>
          <w:rFonts w:asciiTheme="minorHAnsi" w:hAnsiTheme="minorHAnsi" w:cstheme="minorHAnsi"/>
          <w:i/>
        </w:rPr>
        <w:t>Source: The State of the Antiretroviral Drug Market in Low- and Middle-Income Countries, 2015-2020</w:t>
      </w:r>
    </w:p>
    <w:p w14:paraId="3DC2A351" w14:textId="77777777" w:rsidR="00943434" w:rsidRPr="00C73365" w:rsidRDefault="00943434" w:rsidP="00943434">
      <w:pPr>
        <w:pStyle w:val="Paragraphedeliste"/>
        <w:numPr>
          <w:ilvl w:val="3"/>
          <w:numId w:val="9"/>
        </w:numPr>
        <w:spacing w:after="0"/>
        <w:outlineLvl w:val="2"/>
        <w:rPr>
          <w:rFonts w:asciiTheme="minorHAnsi" w:hAnsiTheme="minorHAnsi" w:cstheme="minorHAnsi"/>
          <w:b/>
          <w:szCs w:val="20"/>
          <w:lang w:val="fr-FR"/>
        </w:rPr>
      </w:pPr>
      <w:bookmarkStart w:id="293" w:name="_Toc408918387"/>
      <w:bookmarkStart w:id="294" w:name="_Toc409537468"/>
      <w:r w:rsidRPr="00C73365">
        <w:rPr>
          <w:rFonts w:asciiTheme="minorHAnsi" w:hAnsiTheme="minorHAnsi" w:cstheme="minorHAnsi"/>
          <w:lang w:val="fr-FR"/>
        </w:rPr>
        <w:t>Pipeline de R&amp;D du VIH et concurrence</w:t>
      </w:r>
      <w:bookmarkEnd w:id="293"/>
      <w:bookmarkEnd w:id="294"/>
    </w:p>
    <w:p w14:paraId="6F0028B9" w14:textId="77777777" w:rsidR="00943434" w:rsidRPr="00C73365" w:rsidRDefault="00943434" w:rsidP="00943434">
      <w:pPr>
        <w:pStyle w:val="Paragraphedeliste"/>
        <w:ind w:left="2520"/>
        <w:rPr>
          <w:rFonts w:asciiTheme="minorHAnsi" w:hAnsiTheme="minorHAnsi" w:cstheme="minorHAnsi"/>
          <w:b/>
          <w:szCs w:val="20"/>
          <w:lang w:val="fr-FR"/>
        </w:rPr>
      </w:pPr>
    </w:p>
    <w:p w14:paraId="74273A4A" w14:textId="77777777" w:rsidR="00943434" w:rsidRPr="00C73365" w:rsidRDefault="00943434" w:rsidP="004572A0">
      <w:pPr>
        <w:pStyle w:val="Corpsdetexte"/>
        <w:rPr>
          <w:rFonts w:asciiTheme="minorHAnsi" w:hAnsiTheme="minorHAnsi" w:cstheme="minorHAnsi"/>
          <w:b/>
          <w:u w:val="single"/>
          <w:lang w:val="fr-FR"/>
        </w:rPr>
      </w:pPr>
      <w:r w:rsidRPr="00C73365">
        <w:rPr>
          <w:rFonts w:asciiTheme="minorHAnsi" w:hAnsiTheme="minorHAnsi" w:cstheme="minorHAnsi"/>
          <w:lang w:val="fr-FR"/>
        </w:rPr>
        <w:t xml:space="preserve">Le pipeline de développement avancé des nouveaux produits contre le VIH/SIDA se concentre sur la mise au point de combinaison à doses fixes (FDC) ou de régime à comprimé unique (STR) sur la base d’agents thérapeutiques déjà sur le marché. En effet, la simplification des régimes posologiques répond à une forte demande thérapeutique. Le succès d’Atripla de Gilead souligne l’importance croissante des STR, en dépit de ses effets secondaire sur le système nerveux central. Il existe actuellement </w:t>
      </w:r>
      <w:r w:rsidRPr="00C73365">
        <w:rPr>
          <w:rFonts w:asciiTheme="minorHAnsi" w:hAnsiTheme="minorHAnsi" w:cstheme="minorHAnsi"/>
          <w:spacing w:val="-4"/>
          <w:lang w:val="fr-FR"/>
        </w:rPr>
        <w:t xml:space="preserve">en stade avancé de développement 3 régimes a comprimé unique (STR) et 4 combinaisons à dose fixe (FCD) </w:t>
      </w:r>
    </w:p>
    <w:p w14:paraId="1FF4171B" w14:textId="77777777" w:rsidR="00943434" w:rsidRPr="00C73365" w:rsidRDefault="00943434" w:rsidP="004572A0">
      <w:pPr>
        <w:pStyle w:val="Corpsdetexte"/>
        <w:rPr>
          <w:rFonts w:asciiTheme="minorHAnsi" w:eastAsiaTheme="minorEastAsia" w:hAnsiTheme="minorHAnsi" w:cstheme="minorHAnsi"/>
          <w:lang w:val="fr-FR" w:eastAsia="fr-FR"/>
        </w:rPr>
      </w:pPr>
      <w:r w:rsidRPr="00C73365">
        <w:rPr>
          <w:rFonts w:asciiTheme="minorHAnsi" w:eastAsiaTheme="minorEastAsia" w:hAnsiTheme="minorHAnsi" w:cstheme="minorHAnsi"/>
          <w:lang w:val="fr-FR" w:eastAsia="fr-FR"/>
        </w:rPr>
        <w:t>Avec des nouveaux agents thérapeutiques qui étendent l’espérance de vie des malades infectés par le HIV, les sociétés pharmaceutiques actives dans la R&amp;D de médicaments antirétroviraux se concentrent sur des nouveaux composés mieux tolérés et disposant d’un meilleur profil d’innocuité. Des nouveaux produits actifs contre des VIH résistants correspondent aussi à un important besoin médical, car les traitements disponibles sont composés d’agents thérapeutiques individualisés avec des profils de tolérance et d’efficacité sous optimaux.</w:t>
      </w:r>
    </w:p>
    <w:p w14:paraId="722721C6"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Le STR de Gilead/Janssen, combinaison de darunavir/cobicistat/emcitribacine/TDF, qui devrait être lancé dans un futur proche, pourrait permettre à des patients infectés par des souches de VIH résistant aux traitements d</w:t>
      </w:r>
      <w:r w:rsidR="004572A0" w:rsidRPr="00C73365">
        <w:rPr>
          <w:rFonts w:asciiTheme="minorHAnsi" w:hAnsiTheme="minorHAnsi" w:cstheme="minorHAnsi"/>
          <w:lang w:val="fr-FR"/>
        </w:rPr>
        <w:t>’</w:t>
      </w:r>
      <w:r w:rsidRPr="00C73365">
        <w:rPr>
          <w:rFonts w:asciiTheme="minorHAnsi" w:hAnsiTheme="minorHAnsi" w:cstheme="minorHAnsi"/>
          <w:lang w:val="fr-FR"/>
        </w:rPr>
        <w:t>accéder à un STR, un traitement plus simple d</w:t>
      </w:r>
      <w:r w:rsidR="004572A0" w:rsidRPr="00C73365">
        <w:rPr>
          <w:rFonts w:asciiTheme="minorHAnsi" w:hAnsiTheme="minorHAnsi" w:cstheme="minorHAnsi"/>
          <w:lang w:val="fr-FR"/>
        </w:rPr>
        <w:t>’</w:t>
      </w:r>
      <w:r w:rsidRPr="00C73365">
        <w:rPr>
          <w:rFonts w:asciiTheme="minorHAnsi" w:hAnsiTheme="minorHAnsi" w:cstheme="minorHAnsi"/>
          <w:lang w:val="fr-FR"/>
        </w:rPr>
        <w:t>emploi.</w:t>
      </w:r>
    </w:p>
    <w:p w14:paraId="6247A742" w14:textId="77777777" w:rsidR="00943434" w:rsidRPr="00C73365" w:rsidRDefault="00943434" w:rsidP="004572A0">
      <w:pPr>
        <w:pStyle w:val="Corpsdetexte"/>
        <w:rPr>
          <w:rFonts w:asciiTheme="minorHAnsi" w:hAnsiTheme="minorHAnsi" w:cstheme="minorHAnsi"/>
          <w:b/>
          <w:i/>
          <w:sz w:val="18"/>
          <w:lang w:val="fr-FR"/>
        </w:rPr>
      </w:pPr>
      <w:r w:rsidRPr="00C73365">
        <w:rPr>
          <w:rFonts w:asciiTheme="minorHAnsi" w:hAnsiTheme="minorHAnsi" w:cstheme="minorHAnsi"/>
          <w:b/>
          <w:lang w:val="fr-FR"/>
        </w:rPr>
        <w:t>Pipeline avancé de produits clès en développement</w:t>
      </w:r>
      <w:r w:rsidRPr="00C73365">
        <w:rPr>
          <w:rFonts w:asciiTheme="minorHAnsi" w:hAnsiTheme="minorHAnsi" w:cstheme="minorHAnsi"/>
          <w:b/>
          <w:i/>
          <w:sz w:val="18"/>
          <w:lang w:val="fr-FR"/>
        </w:rPr>
        <w:t xml:space="preserve"> </w:t>
      </w:r>
    </w:p>
    <w:p w14:paraId="71E87267" w14:textId="77777777" w:rsidR="00943434" w:rsidRPr="00C73365" w:rsidRDefault="00943434" w:rsidP="00943434">
      <w:pPr>
        <w:rPr>
          <w:rFonts w:asciiTheme="minorHAnsi" w:hAnsiTheme="minorHAnsi" w:cstheme="minorHAnsi"/>
          <w:b/>
          <w:bCs/>
          <w:szCs w:val="20"/>
        </w:rPr>
      </w:pPr>
      <w:r w:rsidRPr="00C73365">
        <w:rPr>
          <w:rFonts w:asciiTheme="minorHAnsi" w:hAnsiTheme="minorHAnsi" w:cstheme="minorHAnsi"/>
          <w:b/>
          <w:bCs/>
          <w:noProof/>
          <w:szCs w:val="20"/>
          <w:lang w:val="fr-FR" w:eastAsia="fr-FR"/>
        </w:rPr>
        <w:lastRenderedPageBreak/>
        <w:drawing>
          <wp:inline distT="0" distB="0" distL="0" distR="0" wp14:anchorId="229020F8" wp14:editId="0E4D9639">
            <wp:extent cx="5832764" cy="29026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4793" cy="2908676"/>
                    </a:xfrm>
                    <a:prstGeom prst="rect">
                      <a:avLst/>
                    </a:prstGeom>
                  </pic:spPr>
                </pic:pic>
              </a:graphicData>
            </a:graphic>
          </wp:inline>
        </w:drawing>
      </w:r>
    </w:p>
    <w:p w14:paraId="7D79DB0A"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Sur la base des résultats cliniques obtenus (Phases I et première</w:t>
      </w:r>
      <w:r w:rsidR="008B16FF" w:rsidRPr="00C73365">
        <w:rPr>
          <w:rFonts w:asciiTheme="minorHAnsi" w:hAnsiTheme="minorHAnsi" w:cstheme="minorHAnsi"/>
          <w:lang w:val="fr-FR"/>
        </w:rPr>
        <w:t>s études de</w:t>
      </w:r>
      <w:r w:rsidRPr="00C73365">
        <w:rPr>
          <w:rFonts w:asciiTheme="minorHAnsi" w:hAnsiTheme="minorHAnsi" w:cstheme="minorHAnsi"/>
          <w:lang w:val="fr-FR"/>
        </w:rPr>
        <w:t xml:space="preserve"> Phase IIa) et des données précliniques obtenues à ce jour par </w:t>
      </w:r>
      <w:r w:rsidR="00EF089C" w:rsidRPr="00C73365">
        <w:rPr>
          <w:rFonts w:asciiTheme="minorHAnsi" w:hAnsiTheme="minorHAnsi" w:cstheme="minorHAnsi"/>
          <w:lang w:val="fr-FR"/>
        </w:rPr>
        <w:t>ABIVAX</w:t>
      </w:r>
      <w:r w:rsidRPr="00C73365">
        <w:rPr>
          <w:rFonts w:asciiTheme="minorHAnsi" w:hAnsiTheme="minorHAnsi" w:cstheme="minorHAnsi"/>
          <w:lang w:val="fr-FR"/>
        </w:rPr>
        <w:t>, ABX464 a le potentiel de s</w:t>
      </w:r>
      <w:r w:rsidR="004572A0" w:rsidRPr="00C73365">
        <w:rPr>
          <w:rFonts w:asciiTheme="minorHAnsi" w:hAnsiTheme="minorHAnsi" w:cstheme="minorHAnsi"/>
          <w:lang w:val="fr-FR"/>
        </w:rPr>
        <w:t>’</w:t>
      </w:r>
      <w:r w:rsidRPr="00C73365">
        <w:rPr>
          <w:rFonts w:asciiTheme="minorHAnsi" w:hAnsiTheme="minorHAnsi" w:cstheme="minorHAnsi"/>
          <w:lang w:val="fr-FR"/>
        </w:rPr>
        <w:t>imposer comme un traitement privilégié dans la lutte contre le VIH, car il apporte</w:t>
      </w:r>
      <w:r w:rsidR="008B16FF" w:rsidRPr="00C73365">
        <w:rPr>
          <w:rFonts w:asciiTheme="minorHAnsi" w:hAnsiTheme="minorHAnsi" w:cstheme="minorHAnsi"/>
          <w:lang w:val="fr-FR"/>
        </w:rPr>
        <w:t>rait</w:t>
      </w:r>
      <w:r w:rsidRPr="00C73365">
        <w:rPr>
          <w:rFonts w:asciiTheme="minorHAnsi" w:hAnsiTheme="minorHAnsi" w:cstheme="minorHAnsi"/>
          <w:lang w:val="fr-FR"/>
        </w:rPr>
        <w:t xml:space="preserve"> ce que le corps médical attend de nouveaux médicaments contre le VIH :</w:t>
      </w:r>
    </w:p>
    <w:p w14:paraId="46D51820" w14:textId="77777777" w:rsidR="00943434" w:rsidRPr="00C73365" w:rsidRDefault="006A4FB1"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C</w:t>
      </w:r>
      <w:r w:rsidR="00943434" w:rsidRPr="00C73365">
        <w:rPr>
          <w:rFonts w:asciiTheme="minorHAnsi" w:hAnsiTheme="minorHAnsi" w:cstheme="minorHAnsi"/>
          <w:szCs w:val="20"/>
          <w:lang w:val="fr-FR"/>
        </w:rPr>
        <w:t>ontrôle de la charge virale sur le long terme ;</w:t>
      </w:r>
    </w:p>
    <w:p w14:paraId="780B6973" w14:textId="77777777" w:rsidR="00943434" w:rsidRPr="00C73365" w:rsidRDefault="006A4FB1"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R</w:t>
      </w:r>
      <w:r w:rsidR="00943434" w:rsidRPr="00C73365">
        <w:rPr>
          <w:rFonts w:asciiTheme="minorHAnsi" w:hAnsiTheme="minorHAnsi" w:cstheme="minorHAnsi"/>
          <w:szCs w:val="20"/>
          <w:lang w:val="fr-FR"/>
        </w:rPr>
        <w:t>éduction de la fréquence d</w:t>
      </w:r>
      <w:r w:rsidR="004572A0" w:rsidRPr="00C73365">
        <w:rPr>
          <w:rFonts w:asciiTheme="minorHAnsi" w:hAnsiTheme="minorHAnsi" w:cstheme="minorHAnsi"/>
          <w:szCs w:val="20"/>
          <w:lang w:val="fr-FR"/>
        </w:rPr>
        <w:t>’</w:t>
      </w:r>
      <w:r w:rsidR="00943434" w:rsidRPr="00C73365">
        <w:rPr>
          <w:rFonts w:asciiTheme="minorHAnsi" w:hAnsiTheme="minorHAnsi" w:cstheme="minorHAnsi"/>
          <w:szCs w:val="20"/>
          <w:lang w:val="fr-FR"/>
        </w:rPr>
        <w:t>administration ;</w:t>
      </w:r>
    </w:p>
    <w:p w14:paraId="68D95B35" w14:textId="77777777" w:rsidR="00943434" w:rsidRPr="00C73365" w:rsidRDefault="006A4FB1" w:rsidP="00434C49">
      <w:pPr>
        <w:pStyle w:val="Paragraphedeliste"/>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A</w:t>
      </w:r>
      <w:r w:rsidR="00943434" w:rsidRPr="00C73365">
        <w:rPr>
          <w:rFonts w:asciiTheme="minorHAnsi" w:hAnsiTheme="minorHAnsi" w:cstheme="minorHAnsi"/>
          <w:szCs w:val="20"/>
          <w:lang w:val="fr-FR"/>
        </w:rPr>
        <w:t>bsence de résistance ;</w:t>
      </w:r>
    </w:p>
    <w:p w14:paraId="758CF8F6" w14:textId="77777777" w:rsidR="00B67A56" w:rsidRPr="00C73365" w:rsidRDefault="00B67A56" w:rsidP="00B67A56">
      <w:pPr>
        <w:pStyle w:val="Paragraphedeliste"/>
        <w:ind w:left="1428"/>
        <w:rPr>
          <w:rFonts w:asciiTheme="minorHAnsi" w:hAnsiTheme="minorHAnsi" w:cstheme="minorHAnsi"/>
          <w:szCs w:val="20"/>
          <w:lang w:val="fr-FR"/>
        </w:rPr>
      </w:pPr>
    </w:p>
    <w:p w14:paraId="3C37E71C" w14:textId="77777777" w:rsidR="00B67A56" w:rsidRPr="002B0D0F" w:rsidRDefault="00B67A56" w:rsidP="00B67A56">
      <w:pPr>
        <w:pStyle w:val="Paragraphedeliste"/>
        <w:numPr>
          <w:ilvl w:val="3"/>
          <w:numId w:val="9"/>
        </w:numPr>
        <w:outlineLvl w:val="2"/>
        <w:rPr>
          <w:rFonts w:asciiTheme="minorHAnsi" w:hAnsiTheme="minorHAnsi" w:cstheme="minorHAnsi"/>
          <w:lang w:val="fr-FR"/>
        </w:rPr>
      </w:pPr>
      <w:bookmarkStart w:id="295" w:name="_Toc408918388"/>
      <w:bookmarkStart w:id="296" w:name="_Toc409537469"/>
      <w:r w:rsidRPr="002B0D0F">
        <w:rPr>
          <w:rFonts w:asciiTheme="minorHAnsi" w:hAnsiTheme="minorHAnsi" w:cstheme="minorHAnsi"/>
          <w:lang w:val="fr-FR"/>
        </w:rPr>
        <w:t>La technologie d</w:t>
      </w:r>
      <w:r w:rsidR="004572A0" w:rsidRPr="002B0D0F">
        <w:rPr>
          <w:rFonts w:asciiTheme="minorHAnsi" w:hAnsiTheme="minorHAnsi" w:cstheme="minorHAnsi"/>
          <w:lang w:val="fr-FR"/>
        </w:rPr>
        <w:t>’</w:t>
      </w:r>
      <w:r w:rsidR="00EF089C" w:rsidRPr="002B0D0F">
        <w:rPr>
          <w:rFonts w:asciiTheme="minorHAnsi" w:hAnsiTheme="minorHAnsi" w:cstheme="minorHAnsi"/>
          <w:lang w:val="fr-FR"/>
        </w:rPr>
        <w:t>ABIVAX</w:t>
      </w:r>
      <w:r w:rsidRPr="002B0D0F">
        <w:rPr>
          <w:rFonts w:asciiTheme="minorHAnsi" w:hAnsiTheme="minorHAnsi" w:cstheme="minorHAnsi"/>
          <w:lang w:val="fr-FR"/>
        </w:rPr>
        <w:t> : ABX464, une petite molécule novatrice inhibant la reproduction du VIH</w:t>
      </w:r>
      <w:bookmarkEnd w:id="295"/>
      <w:bookmarkEnd w:id="296"/>
    </w:p>
    <w:p w14:paraId="47A9ECD2"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ABX464 est le premier médicament candidat issu de la plateforme technologique propriétaire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de la chimiothèque de plus de 1</w:t>
      </w:r>
      <w:r w:rsidR="008B16FF" w:rsidRPr="00C73365">
        <w:rPr>
          <w:rFonts w:asciiTheme="minorHAnsi" w:hAnsiTheme="minorHAnsi" w:cstheme="minorHAnsi"/>
          <w:lang w:val="fr-FR"/>
        </w:rPr>
        <w:t>2</w:t>
      </w:r>
      <w:r w:rsidRPr="00C73365">
        <w:rPr>
          <w:rFonts w:asciiTheme="minorHAnsi" w:hAnsiTheme="minorHAnsi" w:cstheme="minorHAnsi"/>
          <w:lang w:val="fr-FR"/>
        </w:rPr>
        <w:t>00 petites molécules qui en a été dérivée.</w:t>
      </w:r>
    </w:p>
    <w:p w14:paraId="5CEF1159"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Cette plate-forme technologique est dédiée à la génération de petites molécules antivirales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novateur. Elle est basée sur une connaissance approfondie des processus de transformation de l</w:t>
      </w:r>
      <w:r w:rsidR="004572A0" w:rsidRPr="00C73365">
        <w:rPr>
          <w:rFonts w:asciiTheme="minorHAnsi" w:hAnsiTheme="minorHAnsi" w:cstheme="minorHAnsi"/>
          <w:lang w:val="fr-FR"/>
        </w:rPr>
        <w:t>’</w:t>
      </w:r>
      <w:r w:rsidRPr="00C73365">
        <w:rPr>
          <w:rFonts w:asciiTheme="minorHAnsi" w:hAnsiTheme="minorHAnsi" w:cstheme="minorHAnsi"/>
          <w:lang w:val="fr-FR"/>
        </w:rPr>
        <w:t>ARN viral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intérieur des cellules humaines hôtes et de la capacité de ces composés chimiques propriétaires à inhiber les interactions ARN/protéines. </w:t>
      </w:r>
    </w:p>
    <w:p w14:paraId="5A797419"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Le programme de découverte de candidats-médicaments se focalise sur une cible médicamenteuse sous-exploitée, le complexe ribonucléoprotéinique (RNP). L</w:t>
      </w:r>
      <w:r w:rsidR="004572A0" w:rsidRPr="00C73365">
        <w:rPr>
          <w:rFonts w:asciiTheme="minorHAnsi" w:hAnsiTheme="minorHAnsi" w:cstheme="minorHAnsi"/>
          <w:lang w:val="fr-FR"/>
        </w:rPr>
        <w:t>’</w:t>
      </w:r>
      <w:r w:rsidRPr="00C73365">
        <w:rPr>
          <w:rFonts w:asciiTheme="minorHAnsi" w:hAnsiTheme="minorHAnsi" w:cstheme="minorHAnsi"/>
          <w:lang w:val="fr-FR"/>
        </w:rPr>
        <w:t>ARN est toujours présent sous forme de complexe, associé à des protéines, pour former des RNP. Dans le cas des virus, les protéines cellulaires liant l</w:t>
      </w:r>
      <w:r w:rsidR="004572A0" w:rsidRPr="00C73365">
        <w:rPr>
          <w:rFonts w:asciiTheme="minorHAnsi" w:hAnsiTheme="minorHAnsi" w:cstheme="minorHAnsi"/>
          <w:lang w:val="fr-FR"/>
        </w:rPr>
        <w:t>’</w:t>
      </w:r>
      <w:r w:rsidRPr="00C73365">
        <w:rPr>
          <w:rFonts w:asciiTheme="minorHAnsi" w:hAnsiTheme="minorHAnsi" w:cstheme="minorHAnsi"/>
          <w:lang w:val="fr-FR"/>
        </w:rPr>
        <w:t>ARN sont généralement liées de façon transitoire aux ARN viraux codants et contrôlent plusieurs aspects de leur métabolisme, de la transcription à la traduction et à la dégénération. A l</w:t>
      </w:r>
      <w:r w:rsidR="004572A0" w:rsidRPr="00C73365">
        <w:rPr>
          <w:rFonts w:asciiTheme="minorHAnsi" w:hAnsiTheme="minorHAnsi" w:cstheme="minorHAnsi"/>
          <w:lang w:val="fr-FR"/>
        </w:rPr>
        <w:t>’</w:t>
      </w:r>
      <w:r w:rsidRPr="00C73365">
        <w:rPr>
          <w:rFonts w:asciiTheme="minorHAnsi" w:hAnsiTheme="minorHAnsi" w:cstheme="minorHAnsi"/>
          <w:lang w:val="fr-FR"/>
        </w:rPr>
        <w:t>inverse, au travers d</w:t>
      </w:r>
      <w:r w:rsidR="004572A0" w:rsidRPr="00C73365">
        <w:rPr>
          <w:rFonts w:asciiTheme="minorHAnsi" w:hAnsiTheme="minorHAnsi" w:cstheme="minorHAnsi"/>
          <w:lang w:val="fr-FR"/>
        </w:rPr>
        <w:t>’</w:t>
      </w:r>
      <w:r w:rsidRPr="00C73365">
        <w:rPr>
          <w:rFonts w:asciiTheme="minorHAnsi" w:hAnsiTheme="minorHAnsi" w:cstheme="minorHAnsi"/>
          <w:lang w:val="fr-FR"/>
        </w:rPr>
        <w:t>interactions directes, les protéines virales codées détournent les mécanismes cellulaires médiées par les RNP, ce qui permet la réplication virale. Les médicaments antiviraux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ciblent les complexes RNP impliqués dans ces interactions.</w:t>
      </w:r>
    </w:p>
    <w:p w14:paraId="0067CB16"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ciblage des RNP est difficile en raison des rôles multiples joués par ces complexes, de leurs conformations dynamiques et de leur instabilité chimique. Pour faire face à ce défi,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développé une chimiothèque servant au criblage </w:t>
      </w:r>
      <w:r w:rsidRPr="00C73365">
        <w:rPr>
          <w:rFonts w:asciiTheme="minorHAnsi" w:hAnsiTheme="minorHAnsi" w:cstheme="minorHAnsi"/>
          <w:lang w:val="fr-FR"/>
        </w:rPr>
        <w:lastRenderedPageBreak/>
        <w:t>cellulaire, ainsi que des plateformes technologiques dédiées, destinées à caractériser les interactions RNP-médicaments, et mettant notamment en œuvre la protéomique</w:t>
      </w:r>
      <w:r w:rsidRPr="00C73365">
        <w:rPr>
          <w:rStyle w:val="Appelnotedebasdep"/>
          <w:rFonts w:asciiTheme="minorHAnsi" w:eastAsia="SimSun" w:hAnsiTheme="minorHAnsi" w:cstheme="minorHAnsi"/>
          <w:lang w:val="fr-FR"/>
        </w:rPr>
        <w:footnoteReference w:id="13"/>
      </w:r>
      <w:r w:rsidRPr="00C73365">
        <w:rPr>
          <w:rFonts w:asciiTheme="minorHAnsi" w:hAnsiTheme="minorHAnsi" w:cstheme="minorHAnsi"/>
          <w:lang w:val="fr-FR"/>
        </w:rPr>
        <w:t>, l</w:t>
      </w:r>
      <w:r w:rsidR="004572A0" w:rsidRPr="00C73365">
        <w:rPr>
          <w:rFonts w:asciiTheme="minorHAnsi" w:hAnsiTheme="minorHAnsi" w:cstheme="minorHAnsi"/>
          <w:lang w:val="fr-FR"/>
        </w:rPr>
        <w:t>’</w:t>
      </w:r>
      <w:r w:rsidRPr="00C73365">
        <w:rPr>
          <w:rFonts w:asciiTheme="minorHAnsi" w:hAnsiTheme="minorHAnsi" w:cstheme="minorHAnsi"/>
          <w:lang w:val="fr-FR"/>
        </w:rPr>
        <w:t>imagerie cellulaire, ou encore la bio-informatique</w:t>
      </w:r>
      <w:r w:rsidRPr="00C73365">
        <w:rPr>
          <w:rStyle w:val="Appelnotedebasdep"/>
          <w:rFonts w:asciiTheme="minorHAnsi" w:eastAsia="SimSun" w:hAnsiTheme="minorHAnsi" w:cstheme="minorHAnsi"/>
          <w:lang w:val="fr-FR"/>
        </w:rPr>
        <w:footnoteReference w:id="14"/>
      </w:r>
      <w:r w:rsidRPr="00C73365">
        <w:rPr>
          <w:rFonts w:asciiTheme="minorHAnsi" w:hAnsiTheme="minorHAnsi" w:cstheme="minorHAnsi"/>
          <w:lang w:val="fr-FR"/>
        </w:rPr>
        <w:t xml:space="preserve">. </w:t>
      </w:r>
    </w:p>
    <w:p w14:paraId="28E6C2F7" w14:textId="77777777" w:rsidR="00B67A56" w:rsidRPr="00C73365" w:rsidRDefault="00B67A56" w:rsidP="004572A0">
      <w:pPr>
        <w:pStyle w:val="Corpsdetexte"/>
        <w:rPr>
          <w:rFonts w:asciiTheme="minorHAnsi" w:hAnsiTheme="minorHAnsi" w:cstheme="minorHAnsi"/>
          <w:b/>
          <w:lang w:val="fr-FR"/>
        </w:rPr>
      </w:pPr>
      <w:r w:rsidRPr="00C73365">
        <w:rPr>
          <w:rFonts w:asciiTheme="minorHAnsi" w:hAnsiTheme="minorHAnsi" w:cstheme="minorHAnsi"/>
          <w:b/>
          <w:lang w:val="fr-FR"/>
        </w:rPr>
        <w:t>Mécanisme d’action d’ABX464 :</w:t>
      </w:r>
    </w:p>
    <w:p w14:paraId="37D24B82" w14:textId="77777777" w:rsidR="00B67A56" w:rsidRPr="00C73365" w:rsidRDefault="00B67A56" w:rsidP="00B67A56">
      <w:pPr>
        <w:rPr>
          <w:rFonts w:asciiTheme="minorHAnsi" w:hAnsiTheme="minorHAnsi" w:cstheme="minorHAnsi"/>
          <w:b/>
          <w:color w:val="7030A0"/>
          <w:szCs w:val="20"/>
          <w:lang w:val="fr-FR"/>
        </w:rPr>
      </w:pPr>
    </w:p>
    <w:p w14:paraId="19A790EC" w14:textId="77777777" w:rsidR="00B67A56" w:rsidRPr="00C73365" w:rsidRDefault="00B67A56" w:rsidP="00A64BA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5188D129" wp14:editId="08CD048A">
            <wp:extent cx="3471180" cy="28384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3471180" cy="2838450"/>
                    </a:xfrm>
                    <a:prstGeom prst="rect">
                      <a:avLst/>
                    </a:prstGeom>
                    <a:noFill/>
                    <a:ln w="9525">
                      <a:noFill/>
                      <a:miter lim="800000"/>
                      <a:headEnd/>
                      <a:tailEnd/>
                    </a:ln>
                  </pic:spPr>
                </pic:pic>
              </a:graphicData>
            </a:graphic>
          </wp:inline>
        </w:drawing>
      </w:r>
    </w:p>
    <w:p w14:paraId="4C6F6747" w14:textId="77777777" w:rsidR="00B67A56" w:rsidRPr="00C73365" w:rsidRDefault="00B67A56" w:rsidP="004572A0">
      <w:pPr>
        <w:pStyle w:val="Corpsdetexte"/>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14:paraId="68D9FBD0"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ABX464 se lie au Cap Binding Complex (CBC), augmente l’épissage des ARN viraux et inhibe l</w:t>
      </w:r>
      <w:r w:rsidR="004572A0" w:rsidRPr="00C73365">
        <w:rPr>
          <w:rFonts w:asciiTheme="minorHAnsi" w:hAnsiTheme="minorHAnsi" w:cstheme="minorHAnsi"/>
          <w:lang w:val="fr-FR"/>
        </w:rPr>
        <w:t>’</w:t>
      </w:r>
      <w:r w:rsidRPr="00C73365">
        <w:rPr>
          <w:rFonts w:asciiTheme="minorHAnsi" w:hAnsiTheme="minorHAnsi" w:cstheme="minorHAnsi"/>
          <w:lang w:val="fr-FR"/>
        </w:rPr>
        <w:t>activité de Rev, protéine du VIH modulant l</w:t>
      </w:r>
      <w:r w:rsidR="004572A0" w:rsidRPr="00C73365">
        <w:rPr>
          <w:rFonts w:asciiTheme="minorHAnsi" w:hAnsiTheme="minorHAnsi" w:cstheme="minorHAnsi"/>
          <w:lang w:val="fr-FR"/>
        </w:rPr>
        <w:t>’</w:t>
      </w:r>
      <w:r w:rsidRPr="00C73365">
        <w:rPr>
          <w:rFonts w:asciiTheme="minorHAnsi" w:hAnsiTheme="minorHAnsi" w:cstheme="minorHAnsi"/>
          <w:lang w:val="fr-FR"/>
        </w:rPr>
        <w:t>épissage de l</w:t>
      </w:r>
      <w:r w:rsidR="004572A0" w:rsidRPr="00C73365">
        <w:rPr>
          <w:rFonts w:asciiTheme="minorHAnsi" w:hAnsiTheme="minorHAnsi" w:cstheme="minorHAnsi"/>
          <w:lang w:val="fr-FR"/>
        </w:rPr>
        <w:t>’</w:t>
      </w:r>
      <w:r w:rsidRPr="00C73365">
        <w:rPr>
          <w:rFonts w:asciiTheme="minorHAnsi" w:hAnsiTheme="minorHAnsi" w:cstheme="minorHAnsi"/>
          <w:lang w:val="fr-FR"/>
        </w:rPr>
        <w:t>ARN et permettant le transport de l</w:t>
      </w:r>
      <w:r w:rsidR="004572A0" w:rsidRPr="00C73365">
        <w:rPr>
          <w:rFonts w:asciiTheme="minorHAnsi" w:hAnsiTheme="minorHAnsi" w:cstheme="minorHAnsi"/>
          <w:lang w:val="fr-FR"/>
        </w:rPr>
        <w:t>’</w:t>
      </w:r>
      <w:r w:rsidRPr="00C73365">
        <w:rPr>
          <w:rFonts w:asciiTheme="minorHAnsi" w:hAnsiTheme="minorHAnsi" w:cstheme="minorHAnsi"/>
          <w:lang w:val="fr-FR"/>
        </w:rPr>
        <w:t>ARN viral non épissé du nucléole vers le cytoplasme, et empêche ainsi la réplication virale dans les cellules infectées par le VIH.</w:t>
      </w:r>
    </w:p>
    <w:p w14:paraId="0D9E3F6B" w14:textId="77777777" w:rsidR="00B67A56" w:rsidRPr="00C73365" w:rsidRDefault="00B67A56" w:rsidP="00B67A56">
      <w:pPr>
        <w:pStyle w:val="Paragraphedeliste"/>
        <w:numPr>
          <w:ilvl w:val="3"/>
          <w:numId w:val="9"/>
        </w:numPr>
        <w:outlineLvl w:val="2"/>
        <w:rPr>
          <w:rFonts w:asciiTheme="minorHAnsi" w:hAnsiTheme="minorHAnsi" w:cstheme="minorHAnsi"/>
          <w:lang w:val="fr-FR"/>
        </w:rPr>
      </w:pPr>
      <w:bookmarkStart w:id="297" w:name="_Toc408918389"/>
      <w:bookmarkStart w:id="298" w:name="_Toc409537470"/>
      <w:r w:rsidRPr="00C73365">
        <w:rPr>
          <w:rFonts w:asciiTheme="minorHAnsi" w:hAnsiTheme="minorHAnsi" w:cstheme="minorHAnsi"/>
          <w:lang w:val="fr-FR"/>
        </w:rPr>
        <w:t>ABX464 : aperçu des données actuellement disponibles</w:t>
      </w:r>
      <w:bookmarkEnd w:id="297"/>
      <w:bookmarkEnd w:id="298"/>
    </w:p>
    <w:p w14:paraId="0AF3B215" w14:textId="77777777" w:rsidR="00B67A56" w:rsidRPr="00C73365" w:rsidRDefault="00B67A56" w:rsidP="00B67A56">
      <w:pPr>
        <w:pStyle w:val="Paragraphedeliste"/>
        <w:ind w:left="2520"/>
        <w:rPr>
          <w:rFonts w:asciiTheme="minorHAnsi" w:hAnsiTheme="minorHAnsi" w:cstheme="minorHAnsi"/>
          <w:lang w:val="fr-FR"/>
        </w:rPr>
      </w:pPr>
    </w:p>
    <w:p w14:paraId="42038AAC"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ABX464 a fait l</w:t>
      </w:r>
      <w:r w:rsidR="004572A0" w:rsidRPr="00C73365">
        <w:rPr>
          <w:rFonts w:asciiTheme="minorHAnsi" w:hAnsiTheme="minorHAnsi" w:cstheme="minorHAnsi"/>
          <w:lang w:val="fr-FR"/>
        </w:rPr>
        <w:t>’</w:t>
      </w:r>
      <w:r w:rsidRPr="00C73365">
        <w:rPr>
          <w:rFonts w:asciiTheme="minorHAnsi" w:hAnsiTheme="minorHAnsi" w:cstheme="minorHAnsi"/>
          <w:lang w:val="fr-FR"/>
        </w:rPr>
        <w:t>objet de tests précliniques dans divers modèles animaux et a été administré à des volontaires sains dans des études de Phase I ainsi qu’à des patients naïfs de tout traitement antérieur dans le cadre d’un première Phase IIa. Une deuxième étude clinique de Phase IIa chez des patients traités a été réalisée et une troisième Phase IIa est en cours.</w:t>
      </w:r>
    </w:p>
    <w:p w14:paraId="1CEBC76C" w14:textId="77777777" w:rsidR="00B67A56" w:rsidRPr="00C73365" w:rsidRDefault="00B67A56" w:rsidP="00434C49">
      <w:pPr>
        <w:pStyle w:val="Paragraphedeliste"/>
        <w:numPr>
          <w:ilvl w:val="0"/>
          <w:numId w:val="77"/>
        </w:numPr>
        <w:rPr>
          <w:rFonts w:asciiTheme="minorHAnsi" w:hAnsiTheme="minorHAnsi" w:cstheme="minorHAnsi"/>
          <w:b/>
          <w:color w:val="7030A0"/>
          <w:lang w:val="fr-FR"/>
        </w:rPr>
      </w:pPr>
      <w:r w:rsidRPr="00C73365">
        <w:rPr>
          <w:rFonts w:asciiTheme="minorHAnsi" w:hAnsiTheme="minorHAnsi" w:cstheme="minorHAnsi"/>
          <w:b/>
          <w:color w:val="7030A0"/>
          <w:lang w:val="fr-FR"/>
        </w:rPr>
        <w:t>Données précliniques</w:t>
      </w:r>
    </w:p>
    <w:p w14:paraId="1C4E3308"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ABX464 représente une nouvelle classe de molécules anti-VIH aux propriétés uniques. ABX464 est non seulement capable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inhiber la réplication virale </w:t>
      </w:r>
      <w:r w:rsidRPr="00C73365">
        <w:rPr>
          <w:rFonts w:asciiTheme="minorHAnsi" w:hAnsiTheme="minorHAnsi" w:cstheme="minorHAnsi"/>
          <w:i/>
          <w:lang w:val="fr-FR"/>
        </w:rPr>
        <w:t>in vitro</w:t>
      </w:r>
      <w:r w:rsidRPr="00C73365">
        <w:rPr>
          <w:rFonts w:asciiTheme="minorHAnsi" w:hAnsiTheme="minorHAnsi" w:cstheme="minorHAnsi"/>
          <w:lang w:val="fr-FR"/>
        </w:rPr>
        <w:t xml:space="preserve"> et </w:t>
      </w:r>
      <w:r w:rsidRPr="00C73365">
        <w:rPr>
          <w:rFonts w:asciiTheme="minorHAnsi" w:hAnsiTheme="minorHAnsi" w:cstheme="minorHAnsi"/>
          <w:i/>
          <w:lang w:val="fr-FR"/>
        </w:rPr>
        <w:t>in vivo,</w:t>
      </w:r>
      <w:r w:rsidRPr="00C73365">
        <w:rPr>
          <w:rFonts w:asciiTheme="minorHAnsi" w:hAnsiTheme="minorHAnsi" w:cstheme="minorHAnsi"/>
          <w:lang w:val="fr-FR"/>
        </w:rPr>
        <w:t xml:space="preserve"> mais également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induire une réduction à long terme de la charge virale après arrêt du traitement </w:t>
      </w:r>
      <w:r w:rsidRPr="00C73365">
        <w:rPr>
          <w:rFonts w:asciiTheme="minorHAnsi" w:hAnsiTheme="minorHAnsi" w:cstheme="minorHAnsi"/>
          <w:i/>
          <w:lang w:val="fr-FR"/>
        </w:rPr>
        <w:t xml:space="preserve">in vivo </w:t>
      </w:r>
      <w:r w:rsidRPr="00C73365">
        <w:rPr>
          <w:rFonts w:asciiTheme="minorHAnsi" w:hAnsiTheme="minorHAnsi" w:cstheme="minorHAnsi"/>
          <w:lang w:val="fr-FR"/>
        </w:rPr>
        <w:t>sans induire de résistance.</w:t>
      </w:r>
    </w:p>
    <w:p w14:paraId="7F08879A"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In vitro, ABX464 a démontré sa capacité à réduire la charge virale dans des cellules mononuclées du sang périphérique (CMSP) humaines, fraîchement isolées, infectées par le VIH-1, tout en préservant la population de lymphocytes CD4+RO+. ABX464 a également démontré son efficacité contre toutes les souches cliniques de VIH testées. </w:t>
      </w:r>
    </w:p>
    <w:p w14:paraId="05472D03"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ABX464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pas induit de résistance après plus de 24 semaines de traitement, ni induit de mutation spécifique dans le génome viral </w:t>
      </w:r>
      <w:r w:rsidRPr="00C73365">
        <w:rPr>
          <w:rFonts w:asciiTheme="minorHAnsi" w:hAnsiTheme="minorHAnsi" w:cstheme="minorHAnsi"/>
          <w:i/>
          <w:lang w:val="fr-FR"/>
        </w:rPr>
        <w:t>in vitro</w:t>
      </w:r>
      <w:r w:rsidRPr="00C73365">
        <w:rPr>
          <w:rFonts w:asciiTheme="minorHAnsi" w:hAnsiTheme="minorHAnsi" w:cstheme="minorHAnsi"/>
          <w:lang w:val="fr-FR"/>
        </w:rPr>
        <w:t>.</w:t>
      </w:r>
    </w:p>
    <w:p w14:paraId="16968E8E" w14:textId="77777777" w:rsidR="00B67A56" w:rsidRPr="00C73365" w:rsidRDefault="00B67A56" w:rsidP="006A4FB1">
      <w:pPr>
        <w:jc w:val="center"/>
        <w:rPr>
          <w:rFonts w:asciiTheme="minorHAnsi" w:hAnsiTheme="minorHAnsi" w:cstheme="minorHAnsi"/>
          <w:color w:val="7030A0"/>
          <w:szCs w:val="20"/>
          <w:lang w:val="fr-FR"/>
        </w:rPr>
      </w:pPr>
      <w:r w:rsidRPr="00C73365">
        <w:rPr>
          <w:rFonts w:asciiTheme="minorHAnsi" w:hAnsiTheme="minorHAnsi" w:cstheme="minorHAnsi"/>
          <w:b/>
          <w:bCs/>
          <w:color w:val="7030A0"/>
          <w:szCs w:val="20"/>
          <w:lang w:val="fr-FR"/>
        </w:rPr>
        <w:t xml:space="preserve">Etude de résistance </w:t>
      </w:r>
      <w:r w:rsidRPr="00C73365">
        <w:rPr>
          <w:rFonts w:asciiTheme="minorHAnsi" w:hAnsiTheme="minorHAnsi" w:cstheme="minorHAnsi"/>
          <w:b/>
          <w:bCs/>
          <w:i/>
          <w:iCs/>
          <w:color w:val="7030A0"/>
          <w:szCs w:val="20"/>
          <w:lang w:val="fr-FR"/>
        </w:rPr>
        <w:t xml:space="preserve">in vitro </w:t>
      </w:r>
      <w:r w:rsidRPr="00C73365">
        <w:rPr>
          <w:rFonts w:asciiTheme="minorHAnsi" w:hAnsiTheme="minorHAnsi" w:cstheme="minorHAnsi"/>
          <w:b/>
          <w:bCs/>
          <w:iCs/>
          <w:color w:val="7030A0"/>
          <w:szCs w:val="20"/>
          <w:lang w:val="fr-FR"/>
        </w:rPr>
        <w:t>du traitement du VIH*</w:t>
      </w:r>
    </w:p>
    <w:p w14:paraId="28E7957C" w14:textId="77777777" w:rsidR="00B67A56" w:rsidRPr="00C73365" w:rsidRDefault="00B67A56" w:rsidP="006A4FB1">
      <w:pPr>
        <w:jc w:val="center"/>
        <w:rPr>
          <w:rFonts w:asciiTheme="minorHAnsi" w:hAnsiTheme="minorHAnsi" w:cstheme="minorHAnsi"/>
          <w:b/>
          <w:bCs/>
          <w:i/>
          <w:iCs/>
          <w:color w:val="7030A0"/>
          <w:szCs w:val="20"/>
          <w:lang w:val="fr-FR"/>
        </w:rPr>
      </w:pPr>
      <w:r w:rsidRPr="00C73365">
        <w:rPr>
          <w:rFonts w:asciiTheme="minorHAnsi" w:hAnsiTheme="minorHAnsi" w:cstheme="minorHAnsi"/>
          <w:b/>
          <w:bCs/>
          <w:i/>
          <w:iCs/>
          <w:color w:val="7030A0"/>
          <w:szCs w:val="20"/>
          <w:lang w:val="fr-FR"/>
        </w:rPr>
        <w:t>(6-mois de suivi)</w:t>
      </w:r>
    </w:p>
    <w:tbl>
      <w:tblPr>
        <w:tblW w:w="3969" w:type="dxa"/>
        <w:tblInd w:w="2842" w:type="dxa"/>
        <w:tblCellMar>
          <w:left w:w="70" w:type="dxa"/>
          <w:right w:w="70" w:type="dxa"/>
        </w:tblCellMar>
        <w:tblLook w:val="04A0" w:firstRow="1" w:lastRow="0" w:firstColumn="1" w:lastColumn="0" w:noHBand="0" w:noVBand="1"/>
      </w:tblPr>
      <w:tblGrid>
        <w:gridCol w:w="1223"/>
        <w:gridCol w:w="146"/>
        <w:gridCol w:w="1228"/>
        <w:gridCol w:w="146"/>
        <w:gridCol w:w="1226"/>
      </w:tblGrid>
      <w:tr w:rsidR="00B67A56" w:rsidRPr="00C73365" w14:paraId="4B657BEC" w14:textId="77777777" w:rsidTr="006A4FB1">
        <w:trPr>
          <w:trHeight w:val="555"/>
        </w:trPr>
        <w:tc>
          <w:tcPr>
            <w:tcW w:w="1223" w:type="dxa"/>
            <w:tcBorders>
              <w:top w:val="single" w:sz="12" w:space="0" w:color="7030A0"/>
              <w:left w:val="nil"/>
              <w:bottom w:val="single" w:sz="8" w:space="0" w:color="7030A0"/>
              <w:right w:val="nil"/>
            </w:tcBorders>
            <w:shd w:val="clear" w:color="auto" w:fill="auto"/>
            <w:vAlign w:val="center"/>
            <w:hideMark/>
          </w:tcPr>
          <w:p w14:paraId="575E7CDA" w14:textId="77777777" w:rsidR="00B67A56" w:rsidRPr="00C73365" w:rsidRDefault="00B67A56" w:rsidP="006A4FB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eastAsia="fr-FR"/>
              </w:rPr>
              <w:t>Drug</w:t>
            </w:r>
          </w:p>
        </w:tc>
        <w:tc>
          <w:tcPr>
            <w:tcW w:w="146" w:type="dxa"/>
            <w:tcBorders>
              <w:top w:val="nil"/>
              <w:left w:val="nil"/>
              <w:bottom w:val="nil"/>
              <w:right w:val="nil"/>
            </w:tcBorders>
            <w:shd w:val="clear" w:color="auto" w:fill="auto"/>
            <w:vAlign w:val="center"/>
            <w:hideMark/>
          </w:tcPr>
          <w:p w14:paraId="5EE8A9FC" w14:textId="77777777" w:rsidR="00B67A56" w:rsidRPr="00C73365" w:rsidRDefault="00B67A56" w:rsidP="006A4FB1">
            <w:pPr>
              <w:spacing w:after="0"/>
              <w:jc w:val="center"/>
              <w:rPr>
                <w:rFonts w:asciiTheme="minorHAnsi" w:hAnsiTheme="minorHAnsi" w:cstheme="minorHAnsi"/>
                <w:b/>
                <w:bCs/>
                <w:color w:val="000000"/>
                <w:szCs w:val="20"/>
                <w:lang w:val="fr-FR" w:eastAsia="fr-FR"/>
              </w:rPr>
            </w:pPr>
          </w:p>
        </w:tc>
        <w:tc>
          <w:tcPr>
            <w:tcW w:w="1228" w:type="dxa"/>
            <w:tcBorders>
              <w:top w:val="single" w:sz="12" w:space="0" w:color="7030A0"/>
              <w:left w:val="nil"/>
              <w:bottom w:val="single" w:sz="8" w:space="0" w:color="7030A0"/>
              <w:right w:val="nil"/>
            </w:tcBorders>
            <w:shd w:val="clear" w:color="auto" w:fill="auto"/>
            <w:vAlign w:val="center"/>
            <w:hideMark/>
          </w:tcPr>
          <w:p w14:paraId="1ECE0CE1" w14:textId="77777777" w:rsidR="00B67A56" w:rsidRPr="00C73365" w:rsidRDefault="00B67A56" w:rsidP="006A4FB1">
            <w:pPr>
              <w:spacing w:after="0"/>
              <w:jc w:val="center"/>
              <w:rPr>
                <w:rFonts w:asciiTheme="minorHAnsi" w:hAnsiTheme="minorHAnsi" w:cstheme="minorHAnsi"/>
                <w:b/>
                <w:bCs/>
                <w:color w:val="000000"/>
                <w:szCs w:val="20"/>
                <w:lang w:eastAsia="fr-FR"/>
              </w:rPr>
            </w:pPr>
            <w:r w:rsidRPr="00C73365">
              <w:rPr>
                <w:rFonts w:asciiTheme="minorHAnsi" w:hAnsiTheme="minorHAnsi" w:cstheme="minorHAnsi"/>
                <w:b/>
                <w:bCs/>
                <w:color w:val="000000"/>
                <w:szCs w:val="20"/>
                <w:lang w:eastAsia="fr-FR"/>
              </w:rPr>
              <w:t>Time to HIV resistance (weeks)</w:t>
            </w:r>
          </w:p>
        </w:tc>
        <w:tc>
          <w:tcPr>
            <w:tcW w:w="146" w:type="dxa"/>
            <w:tcBorders>
              <w:top w:val="nil"/>
              <w:left w:val="nil"/>
              <w:bottom w:val="nil"/>
              <w:right w:val="nil"/>
            </w:tcBorders>
            <w:shd w:val="clear" w:color="auto" w:fill="auto"/>
            <w:vAlign w:val="center"/>
            <w:hideMark/>
          </w:tcPr>
          <w:p w14:paraId="61D0CF88" w14:textId="77777777" w:rsidR="00B67A56" w:rsidRPr="00C73365" w:rsidRDefault="00B67A56" w:rsidP="006A4FB1">
            <w:pPr>
              <w:spacing w:after="0"/>
              <w:jc w:val="center"/>
              <w:rPr>
                <w:rFonts w:asciiTheme="minorHAnsi" w:hAnsiTheme="minorHAnsi" w:cstheme="minorHAnsi"/>
                <w:b/>
                <w:bCs/>
                <w:color w:val="000000"/>
                <w:szCs w:val="20"/>
                <w:lang w:eastAsia="fr-FR"/>
              </w:rPr>
            </w:pPr>
          </w:p>
        </w:tc>
        <w:tc>
          <w:tcPr>
            <w:tcW w:w="1226" w:type="dxa"/>
            <w:tcBorders>
              <w:top w:val="single" w:sz="12" w:space="0" w:color="7030A0"/>
              <w:left w:val="nil"/>
              <w:bottom w:val="single" w:sz="8" w:space="0" w:color="7030A0"/>
              <w:right w:val="nil"/>
            </w:tcBorders>
            <w:shd w:val="clear" w:color="auto" w:fill="auto"/>
            <w:vAlign w:val="center"/>
            <w:hideMark/>
          </w:tcPr>
          <w:p w14:paraId="22B66C4D" w14:textId="77777777" w:rsidR="00B67A56" w:rsidRPr="00C73365" w:rsidRDefault="00B67A56" w:rsidP="006A4FB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HIV Mutants</w:t>
            </w:r>
          </w:p>
        </w:tc>
      </w:tr>
      <w:tr w:rsidR="00B67A56" w:rsidRPr="00C73365" w14:paraId="15D52514" w14:textId="77777777" w:rsidTr="006A4FB1">
        <w:trPr>
          <w:trHeight w:val="277"/>
        </w:trPr>
        <w:tc>
          <w:tcPr>
            <w:tcW w:w="1223" w:type="dxa"/>
            <w:tcBorders>
              <w:top w:val="nil"/>
              <w:left w:val="nil"/>
              <w:bottom w:val="single" w:sz="4" w:space="0" w:color="7030A0"/>
              <w:right w:val="nil"/>
            </w:tcBorders>
            <w:shd w:val="clear" w:color="auto" w:fill="auto"/>
            <w:vAlign w:val="center"/>
            <w:hideMark/>
          </w:tcPr>
          <w:p w14:paraId="0F4FDE2F"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3TC</w:t>
            </w:r>
          </w:p>
        </w:tc>
        <w:tc>
          <w:tcPr>
            <w:tcW w:w="146" w:type="dxa"/>
            <w:tcBorders>
              <w:top w:val="nil"/>
              <w:left w:val="nil"/>
              <w:bottom w:val="nil"/>
              <w:right w:val="nil"/>
            </w:tcBorders>
            <w:shd w:val="clear" w:color="auto" w:fill="auto"/>
            <w:vAlign w:val="center"/>
            <w:hideMark/>
          </w:tcPr>
          <w:p w14:paraId="060B7590"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14:paraId="00A9C98B"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4</w:t>
            </w:r>
          </w:p>
        </w:tc>
        <w:tc>
          <w:tcPr>
            <w:tcW w:w="146" w:type="dxa"/>
            <w:tcBorders>
              <w:top w:val="nil"/>
              <w:left w:val="nil"/>
              <w:bottom w:val="nil"/>
              <w:right w:val="nil"/>
            </w:tcBorders>
            <w:shd w:val="clear" w:color="auto" w:fill="auto"/>
            <w:vAlign w:val="center"/>
            <w:hideMark/>
          </w:tcPr>
          <w:p w14:paraId="0CA57DC4"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14:paraId="43D67862"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M184I/V</w:t>
            </w:r>
          </w:p>
        </w:tc>
      </w:tr>
      <w:tr w:rsidR="00B67A56" w:rsidRPr="00C73365" w14:paraId="11BF6252" w14:textId="77777777" w:rsidTr="006A4FB1">
        <w:trPr>
          <w:trHeight w:val="277"/>
        </w:trPr>
        <w:tc>
          <w:tcPr>
            <w:tcW w:w="1223" w:type="dxa"/>
            <w:tcBorders>
              <w:top w:val="nil"/>
              <w:left w:val="nil"/>
              <w:bottom w:val="single" w:sz="4" w:space="0" w:color="7030A0"/>
              <w:right w:val="nil"/>
            </w:tcBorders>
            <w:shd w:val="clear" w:color="auto" w:fill="auto"/>
            <w:vAlign w:val="center"/>
            <w:hideMark/>
          </w:tcPr>
          <w:p w14:paraId="2CFC276A"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Tenofovir</w:t>
            </w:r>
          </w:p>
        </w:tc>
        <w:tc>
          <w:tcPr>
            <w:tcW w:w="146" w:type="dxa"/>
            <w:tcBorders>
              <w:top w:val="nil"/>
              <w:left w:val="nil"/>
              <w:bottom w:val="nil"/>
              <w:right w:val="nil"/>
            </w:tcBorders>
            <w:shd w:val="clear" w:color="auto" w:fill="auto"/>
            <w:vAlign w:val="center"/>
            <w:hideMark/>
          </w:tcPr>
          <w:p w14:paraId="6080DB5B"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14:paraId="4A6C27B2"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12</w:t>
            </w:r>
          </w:p>
        </w:tc>
        <w:tc>
          <w:tcPr>
            <w:tcW w:w="146" w:type="dxa"/>
            <w:tcBorders>
              <w:top w:val="nil"/>
              <w:left w:val="nil"/>
              <w:bottom w:val="nil"/>
              <w:right w:val="nil"/>
            </w:tcBorders>
            <w:shd w:val="clear" w:color="auto" w:fill="auto"/>
            <w:vAlign w:val="center"/>
            <w:hideMark/>
          </w:tcPr>
          <w:p w14:paraId="323BB83F"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14:paraId="381827E6"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K65R</w:t>
            </w:r>
          </w:p>
        </w:tc>
      </w:tr>
      <w:tr w:rsidR="00B67A56" w:rsidRPr="00C73365" w14:paraId="4C28588F" w14:textId="77777777" w:rsidTr="006A4FB1">
        <w:trPr>
          <w:trHeight w:val="277"/>
        </w:trPr>
        <w:tc>
          <w:tcPr>
            <w:tcW w:w="1223" w:type="dxa"/>
            <w:tcBorders>
              <w:top w:val="nil"/>
              <w:left w:val="nil"/>
              <w:bottom w:val="single" w:sz="4" w:space="0" w:color="7030A0"/>
              <w:right w:val="nil"/>
            </w:tcBorders>
            <w:shd w:val="clear" w:color="auto" w:fill="auto"/>
            <w:vAlign w:val="center"/>
            <w:hideMark/>
          </w:tcPr>
          <w:p w14:paraId="762BAD5E"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Nevirapine</w:t>
            </w:r>
          </w:p>
        </w:tc>
        <w:tc>
          <w:tcPr>
            <w:tcW w:w="146" w:type="dxa"/>
            <w:tcBorders>
              <w:top w:val="nil"/>
              <w:left w:val="nil"/>
              <w:bottom w:val="nil"/>
              <w:right w:val="nil"/>
            </w:tcBorders>
            <w:shd w:val="clear" w:color="auto" w:fill="auto"/>
            <w:vAlign w:val="center"/>
            <w:hideMark/>
          </w:tcPr>
          <w:p w14:paraId="04A6D73A"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14:paraId="0F9B8B17"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3</w:t>
            </w:r>
          </w:p>
        </w:tc>
        <w:tc>
          <w:tcPr>
            <w:tcW w:w="146" w:type="dxa"/>
            <w:tcBorders>
              <w:top w:val="nil"/>
              <w:left w:val="nil"/>
              <w:bottom w:val="nil"/>
              <w:right w:val="nil"/>
            </w:tcBorders>
            <w:shd w:val="clear" w:color="auto" w:fill="auto"/>
            <w:vAlign w:val="center"/>
            <w:hideMark/>
          </w:tcPr>
          <w:p w14:paraId="5D339B9D"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14:paraId="1FE5C0F6"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K103N, Y181C</w:t>
            </w:r>
          </w:p>
        </w:tc>
      </w:tr>
      <w:tr w:rsidR="00B67A56" w:rsidRPr="00C73365" w14:paraId="0303BD54" w14:textId="77777777" w:rsidTr="006A4FB1">
        <w:trPr>
          <w:trHeight w:val="277"/>
        </w:trPr>
        <w:tc>
          <w:tcPr>
            <w:tcW w:w="1223" w:type="dxa"/>
            <w:tcBorders>
              <w:top w:val="nil"/>
              <w:left w:val="nil"/>
              <w:bottom w:val="single" w:sz="4" w:space="0" w:color="7030A0"/>
              <w:right w:val="nil"/>
            </w:tcBorders>
            <w:shd w:val="clear" w:color="auto" w:fill="auto"/>
            <w:vAlign w:val="center"/>
            <w:hideMark/>
          </w:tcPr>
          <w:p w14:paraId="42DA52D2"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Efavirenz</w:t>
            </w:r>
          </w:p>
        </w:tc>
        <w:tc>
          <w:tcPr>
            <w:tcW w:w="146" w:type="dxa"/>
            <w:tcBorders>
              <w:top w:val="nil"/>
              <w:left w:val="nil"/>
              <w:bottom w:val="nil"/>
              <w:right w:val="nil"/>
            </w:tcBorders>
            <w:shd w:val="clear" w:color="auto" w:fill="auto"/>
            <w:vAlign w:val="center"/>
            <w:hideMark/>
          </w:tcPr>
          <w:p w14:paraId="4CA81935"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14:paraId="67DBD4B4"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5</w:t>
            </w:r>
          </w:p>
        </w:tc>
        <w:tc>
          <w:tcPr>
            <w:tcW w:w="146" w:type="dxa"/>
            <w:tcBorders>
              <w:top w:val="nil"/>
              <w:left w:val="nil"/>
              <w:bottom w:val="nil"/>
              <w:right w:val="nil"/>
            </w:tcBorders>
            <w:shd w:val="clear" w:color="auto" w:fill="auto"/>
            <w:vAlign w:val="center"/>
            <w:hideMark/>
          </w:tcPr>
          <w:p w14:paraId="777BDE0C"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14:paraId="66025856"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K103N, Y181C</w:t>
            </w:r>
          </w:p>
        </w:tc>
      </w:tr>
      <w:tr w:rsidR="00B67A56" w:rsidRPr="00C73365" w14:paraId="21A8868A" w14:textId="77777777" w:rsidTr="006A4FB1">
        <w:trPr>
          <w:trHeight w:val="277"/>
        </w:trPr>
        <w:tc>
          <w:tcPr>
            <w:tcW w:w="1223" w:type="dxa"/>
            <w:tcBorders>
              <w:top w:val="nil"/>
              <w:left w:val="nil"/>
              <w:bottom w:val="single" w:sz="4" w:space="0" w:color="7030A0"/>
              <w:right w:val="nil"/>
            </w:tcBorders>
            <w:shd w:val="clear" w:color="auto" w:fill="auto"/>
            <w:vAlign w:val="center"/>
            <w:hideMark/>
          </w:tcPr>
          <w:p w14:paraId="4182EA13" w14:textId="77777777" w:rsidR="00B67A56" w:rsidRPr="00C73365" w:rsidRDefault="00E32CFE"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ABX464</w:t>
            </w:r>
          </w:p>
        </w:tc>
        <w:tc>
          <w:tcPr>
            <w:tcW w:w="146" w:type="dxa"/>
            <w:tcBorders>
              <w:top w:val="nil"/>
              <w:left w:val="nil"/>
              <w:bottom w:val="nil"/>
              <w:right w:val="nil"/>
            </w:tcBorders>
            <w:shd w:val="clear" w:color="auto" w:fill="auto"/>
            <w:vAlign w:val="center"/>
            <w:hideMark/>
          </w:tcPr>
          <w:p w14:paraId="565ABB56"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14:paraId="71D1BA51"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No HIV resistance</w:t>
            </w:r>
          </w:p>
        </w:tc>
        <w:tc>
          <w:tcPr>
            <w:tcW w:w="146" w:type="dxa"/>
            <w:tcBorders>
              <w:top w:val="nil"/>
              <w:left w:val="nil"/>
              <w:bottom w:val="nil"/>
              <w:right w:val="nil"/>
            </w:tcBorders>
            <w:shd w:val="clear" w:color="auto" w:fill="auto"/>
            <w:vAlign w:val="center"/>
            <w:hideMark/>
          </w:tcPr>
          <w:p w14:paraId="15E59ABB"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14:paraId="246DC197" w14:textId="77777777"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w:t>
            </w:r>
          </w:p>
        </w:tc>
      </w:tr>
    </w:tbl>
    <w:p w14:paraId="593E16F3" w14:textId="77777777" w:rsidR="00B67A56" w:rsidRPr="00C73365" w:rsidRDefault="00B67A56" w:rsidP="006A4FB1">
      <w:pPr>
        <w:pStyle w:val="NormalWeb"/>
        <w:spacing w:before="0" w:beforeAutospacing="0" w:after="120" w:afterAutospacing="0"/>
        <w:jc w:val="center"/>
        <w:textAlignment w:val="baseline"/>
        <w:rPr>
          <w:rFonts w:asciiTheme="minorHAnsi" w:hAnsiTheme="minorHAnsi" w:cstheme="minorHAnsi"/>
          <w:color w:val="7030A0"/>
          <w:sz w:val="16"/>
          <w:szCs w:val="16"/>
        </w:rPr>
      </w:pPr>
      <w:r w:rsidRPr="00C73365">
        <w:rPr>
          <w:rFonts w:asciiTheme="minorHAnsi" w:hAnsiTheme="minorHAnsi" w:cstheme="minorHAnsi"/>
          <w:i/>
          <w:iCs/>
          <w:color w:val="7030A0"/>
          <w:kern w:val="24"/>
          <w:sz w:val="16"/>
          <w:szCs w:val="16"/>
          <w:lang w:val="fr-FR"/>
        </w:rPr>
        <w:t xml:space="preserve">*Model: Quashie PK et al. </w:t>
      </w:r>
      <w:r w:rsidRPr="00C73365">
        <w:rPr>
          <w:rFonts w:asciiTheme="minorHAnsi" w:hAnsiTheme="minorHAnsi" w:cstheme="minorHAnsi"/>
          <w:i/>
          <w:iCs/>
          <w:color w:val="7030A0"/>
          <w:kern w:val="24"/>
          <w:sz w:val="16"/>
          <w:szCs w:val="16"/>
        </w:rPr>
        <w:t>J. Virology 86:2696 (2012).</w:t>
      </w:r>
      <w:r w:rsidRPr="00C73365">
        <w:rPr>
          <w:rFonts w:asciiTheme="minorHAnsi" w:hAnsiTheme="minorHAnsi" w:cstheme="minorHAnsi"/>
          <w:color w:val="7030A0"/>
          <w:sz w:val="16"/>
          <w:szCs w:val="16"/>
        </w:rPr>
        <w:t xml:space="preserve">   </w:t>
      </w:r>
      <w:r w:rsidRPr="00C73365">
        <w:rPr>
          <w:rFonts w:asciiTheme="minorHAnsi" w:hAnsiTheme="minorHAnsi" w:cstheme="minorHAnsi"/>
          <w:i/>
          <w:iCs/>
          <w:color w:val="7030A0"/>
          <w:kern w:val="24"/>
          <w:sz w:val="16"/>
          <w:szCs w:val="16"/>
        </w:rPr>
        <w:t>McGill University AIDS centre, Montreal</w:t>
      </w:r>
    </w:p>
    <w:p w14:paraId="3E0358AC"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Plus important, </w:t>
      </w:r>
      <w:r w:rsidRPr="00C73365">
        <w:rPr>
          <w:rFonts w:asciiTheme="minorHAnsi" w:hAnsiTheme="minorHAnsi" w:cstheme="minorHAnsi"/>
          <w:i/>
          <w:lang w:val="fr-FR"/>
        </w:rPr>
        <w:t>in vivo</w:t>
      </w:r>
      <w:r w:rsidRPr="00C73365">
        <w:rPr>
          <w:rFonts w:asciiTheme="minorHAnsi" w:hAnsiTheme="minorHAnsi" w:cstheme="minorHAnsi"/>
          <w:lang w:val="fr-FR"/>
        </w:rPr>
        <w:t xml:space="preserve">, ABX464 </w:t>
      </w:r>
      <w:r w:rsidR="006F3437" w:rsidRPr="00C73365">
        <w:rPr>
          <w:rFonts w:asciiTheme="minorHAnsi" w:hAnsiTheme="minorHAnsi" w:cstheme="minorHAnsi"/>
          <w:lang w:val="fr-FR"/>
        </w:rPr>
        <w:t>a induit</w:t>
      </w:r>
      <w:r w:rsidRPr="00C73365">
        <w:rPr>
          <w:rFonts w:asciiTheme="minorHAnsi" w:hAnsiTheme="minorHAnsi" w:cstheme="minorHAnsi"/>
          <w:lang w:val="fr-FR"/>
        </w:rPr>
        <w:t xml:space="preserve"> une réduction significative de la charge virale chez des souris infectées par le VIH, accompagné d</w:t>
      </w:r>
      <w:r w:rsidR="004572A0" w:rsidRPr="00C73365">
        <w:rPr>
          <w:rFonts w:asciiTheme="minorHAnsi" w:hAnsiTheme="minorHAnsi" w:cstheme="minorHAnsi"/>
          <w:lang w:val="fr-FR"/>
        </w:rPr>
        <w:t>’</w:t>
      </w:r>
      <w:r w:rsidRPr="00C73365">
        <w:rPr>
          <w:rFonts w:asciiTheme="minorHAnsi" w:hAnsiTheme="minorHAnsi" w:cstheme="minorHAnsi"/>
          <w:lang w:val="fr-FR"/>
        </w:rPr>
        <w:t>un effet à long terme sur cette charge virale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Ce dernier effet, c</w:t>
      </w:r>
      <w:r w:rsidR="004572A0" w:rsidRPr="00C73365">
        <w:rPr>
          <w:rFonts w:asciiTheme="minorHAnsi" w:hAnsiTheme="minorHAnsi" w:cstheme="minorHAnsi"/>
          <w:lang w:val="fr-FR"/>
        </w:rPr>
        <w:t>’</w:t>
      </w:r>
      <w:r w:rsidRPr="00C73365">
        <w:rPr>
          <w:rFonts w:asciiTheme="minorHAnsi" w:hAnsiTheme="minorHAnsi" w:cstheme="minorHAnsi"/>
          <w:lang w:val="fr-FR"/>
        </w:rPr>
        <w:t>est-à-dire l</w:t>
      </w:r>
      <w:r w:rsidR="004572A0" w:rsidRPr="00C73365">
        <w:rPr>
          <w:rFonts w:asciiTheme="minorHAnsi" w:hAnsiTheme="minorHAnsi" w:cstheme="minorHAnsi"/>
          <w:lang w:val="fr-FR"/>
        </w:rPr>
        <w:t>’</w:t>
      </w:r>
      <w:r w:rsidRPr="00C73365">
        <w:rPr>
          <w:rFonts w:asciiTheme="minorHAnsi" w:hAnsiTheme="minorHAnsi" w:cstheme="minorHAnsi"/>
          <w:lang w:val="fr-FR"/>
        </w:rPr>
        <w:t>absence de recrudescence de la charge virale six semaines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avec </w:t>
      </w:r>
    </w:p>
    <w:p w14:paraId="216D83A5"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ABX464, tandis que le groupe témoin (traité avec une combinaison de 3TC, de Raltegravir et de ténofovir (TAR) de manière à obtenir une inhibition virale), a dépassé les niveaux de charge virale de prétraitement seulement deux semaines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w:t>
      </w:r>
    </w:p>
    <w:p w14:paraId="01601D86"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ABX464 constitue la première thérapie anti-VIH ayant démontré une capacité à maintenir une charge virale faible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Il est important de noter qu</w:t>
      </w:r>
      <w:r w:rsidR="004572A0" w:rsidRPr="00C73365">
        <w:rPr>
          <w:rFonts w:asciiTheme="minorHAnsi" w:hAnsiTheme="minorHAnsi" w:cstheme="minorHAnsi"/>
          <w:lang w:val="fr-FR"/>
        </w:rPr>
        <w:t>’</w:t>
      </w:r>
      <w:r w:rsidRPr="00C73365">
        <w:rPr>
          <w:rFonts w:asciiTheme="minorHAnsi" w:hAnsiTheme="minorHAnsi" w:cstheme="minorHAnsi"/>
          <w:lang w:val="fr-FR"/>
        </w:rPr>
        <w:t>aucune des thérapies actuelles utilisée seule n</w:t>
      </w:r>
      <w:r w:rsidR="004572A0" w:rsidRPr="00C73365">
        <w:rPr>
          <w:rFonts w:asciiTheme="minorHAnsi" w:hAnsiTheme="minorHAnsi" w:cstheme="minorHAnsi"/>
          <w:lang w:val="fr-FR"/>
        </w:rPr>
        <w:t>’</w:t>
      </w:r>
      <w:r w:rsidRPr="00C73365">
        <w:rPr>
          <w:rFonts w:asciiTheme="minorHAnsi" w:hAnsiTheme="minorHAnsi" w:cstheme="minorHAnsi"/>
          <w:lang w:val="fr-FR"/>
        </w:rPr>
        <w:t>est efficace dans ce modèle murin (souris).</w:t>
      </w:r>
    </w:p>
    <w:p w14:paraId="5F594338" w14:textId="77777777"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3C33D22A" wp14:editId="2B12594B">
            <wp:extent cx="4951709" cy="2491804"/>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6795" cy="2534621"/>
                    </a:xfrm>
                    <a:prstGeom prst="rect">
                      <a:avLst/>
                    </a:prstGeom>
                    <a:noFill/>
                  </pic:spPr>
                </pic:pic>
              </a:graphicData>
            </a:graphic>
          </wp:inline>
        </w:drawing>
      </w:r>
    </w:p>
    <w:p w14:paraId="7E749541" w14:textId="77777777" w:rsidR="00B67A56" w:rsidRPr="00C73365" w:rsidRDefault="00B67A56" w:rsidP="00B67A56">
      <w:pPr>
        <w:rPr>
          <w:rFonts w:asciiTheme="minorHAnsi" w:hAnsiTheme="minorHAnsi" w:cstheme="minorHAnsi"/>
          <w:szCs w:val="20"/>
          <w:lang w:val="fr-FR"/>
        </w:rPr>
      </w:pPr>
    </w:p>
    <w:p w14:paraId="598EE914"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Un programme préclinique complet, requis par les autorités avant de passer au stade du développement clinique de Phase I et IIa, a été réalisé sur des rats, des singes, des chiens et des mini-porcs. Ce programme préclinique avait pour but d</w:t>
      </w:r>
      <w:r w:rsidR="004572A0" w:rsidRPr="00C73365">
        <w:rPr>
          <w:rFonts w:asciiTheme="minorHAnsi" w:hAnsiTheme="minorHAnsi" w:cstheme="minorHAnsi"/>
          <w:lang w:val="fr-FR"/>
        </w:rPr>
        <w:t>’</w:t>
      </w:r>
      <w:r w:rsidRPr="00C73365">
        <w:rPr>
          <w:rFonts w:asciiTheme="minorHAnsi" w:hAnsiTheme="minorHAnsi" w:cstheme="minorHAnsi"/>
          <w:lang w:val="fr-FR"/>
        </w:rPr>
        <w:t>évaluer l</w:t>
      </w:r>
      <w:r w:rsidR="004572A0" w:rsidRPr="00C73365">
        <w:rPr>
          <w:rFonts w:asciiTheme="minorHAnsi" w:hAnsiTheme="minorHAnsi" w:cstheme="minorHAnsi"/>
          <w:lang w:val="fr-FR"/>
        </w:rPr>
        <w:t>’</w:t>
      </w:r>
      <w:r w:rsidRPr="00C73365">
        <w:rPr>
          <w:rFonts w:asciiTheme="minorHAnsi" w:hAnsiTheme="minorHAnsi" w:cstheme="minorHAnsi"/>
          <w:lang w:val="fr-FR"/>
        </w:rPr>
        <w:t>éventuelle toxicité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chez les animaux. Aujourd’hui, les données précliniques générées sont suffisantes pour conduire une Phase IIb.</w:t>
      </w:r>
    </w:p>
    <w:p w14:paraId="5A9097E1"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ABX464 s</w:t>
      </w:r>
      <w:r w:rsidR="004572A0" w:rsidRPr="00C73365">
        <w:rPr>
          <w:rFonts w:asciiTheme="minorHAnsi" w:hAnsiTheme="minorHAnsi" w:cstheme="minorHAnsi"/>
          <w:lang w:val="fr-FR"/>
        </w:rPr>
        <w:t>’</w:t>
      </w:r>
      <w:r w:rsidRPr="00C73365">
        <w:rPr>
          <w:rFonts w:asciiTheme="minorHAnsi" w:hAnsiTheme="minorHAnsi" w:cstheme="minorHAnsi"/>
          <w:lang w:val="fr-FR"/>
        </w:rPr>
        <w:t>est révélé non-génotoxique. Aucun effet indésirable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sur le système nerveux central ou périphérique, ni sur la fonction respiratoire, après administration d</w:t>
      </w:r>
      <w:r w:rsidR="004572A0" w:rsidRPr="00C73365">
        <w:rPr>
          <w:rFonts w:asciiTheme="minorHAnsi" w:hAnsiTheme="minorHAnsi" w:cstheme="minorHAnsi"/>
          <w:lang w:val="fr-FR"/>
        </w:rPr>
        <w:t>’</w:t>
      </w:r>
      <w:r w:rsidRPr="00C73365">
        <w:rPr>
          <w:rFonts w:asciiTheme="minorHAnsi" w:hAnsiTheme="minorHAnsi" w:cstheme="minorHAnsi"/>
          <w:lang w:val="fr-FR"/>
        </w:rPr>
        <w:t>ABX464 à des doses allant jusqu</w:t>
      </w:r>
      <w:r w:rsidR="004572A0" w:rsidRPr="00C73365">
        <w:rPr>
          <w:rFonts w:asciiTheme="minorHAnsi" w:hAnsiTheme="minorHAnsi" w:cstheme="minorHAnsi"/>
          <w:lang w:val="fr-FR"/>
        </w:rPr>
        <w:t>’</w:t>
      </w:r>
      <w:r w:rsidRPr="00C73365">
        <w:rPr>
          <w:rFonts w:asciiTheme="minorHAnsi" w:hAnsiTheme="minorHAnsi" w:cstheme="minorHAnsi"/>
          <w:lang w:val="fr-FR"/>
        </w:rPr>
        <w:t>à 300 mg/kg chez le rat Wistar. Chez des ouistitis conscients, ABX464, administré à des doses de 250 mg/kg, n</w:t>
      </w:r>
      <w:r w:rsidR="004572A0" w:rsidRPr="00C73365">
        <w:rPr>
          <w:rFonts w:asciiTheme="minorHAnsi" w:hAnsiTheme="minorHAnsi" w:cstheme="minorHAnsi"/>
          <w:lang w:val="fr-FR"/>
        </w:rPr>
        <w:t>’</w:t>
      </w:r>
      <w:r w:rsidRPr="00C73365">
        <w:rPr>
          <w:rFonts w:asciiTheme="minorHAnsi" w:hAnsiTheme="minorHAnsi" w:cstheme="minorHAnsi"/>
          <w:lang w:val="fr-FR"/>
        </w:rPr>
        <w:t>a pas eu d</w:t>
      </w:r>
      <w:r w:rsidR="004572A0" w:rsidRPr="00C73365">
        <w:rPr>
          <w:rFonts w:asciiTheme="minorHAnsi" w:hAnsiTheme="minorHAnsi" w:cstheme="minorHAnsi"/>
          <w:lang w:val="fr-FR"/>
        </w:rPr>
        <w:t>’</w:t>
      </w:r>
      <w:r w:rsidRPr="00C73365">
        <w:rPr>
          <w:rFonts w:asciiTheme="minorHAnsi" w:hAnsiTheme="minorHAnsi" w:cstheme="minorHAnsi"/>
          <w:lang w:val="fr-FR"/>
        </w:rPr>
        <w:t>effet statistiquement significatif sur la pression artérielle, le rythme cardiaque ou la conduction cardiaque. De plus, aucune perturbation de la dérivation II de l</w:t>
      </w:r>
      <w:r w:rsidR="004572A0" w:rsidRPr="00C73365">
        <w:rPr>
          <w:rFonts w:asciiTheme="minorHAnsi" w:hAnsiTheme="minorHAnsi" w:cstheme="minorHAnsi"/>
          <w:lang w:val="fr-FR"/>
        </w:rPr>
        <w:t>’</w:t>
      </w:r>
      <w:r w:rsidRPr="00C73365">
        <w:rPr>
          <w:rFonts w:asciiTheme="minorHAnsi" w:hAnsiTheme="minorHAnsi" w:cstheme="minorHAnsi"/>
          <w:lang w:val="fr-FR"/>
        </w:rPr>
        <w:t>électrocardiogramme, attribuée à ABX464, n</w:t>
      </w:r>
      <w:r w:rsidR="004572A0" w:rsidRPr="00C73365">
        <w:rPr>
          <w:rFonts w:asciiTheme="minorHAnsi" w:hAnsiTheme="minorHAnsi" w:cstheme="minorHAnsi"/>
          <w:lang w:val="fr-FR"/>
        </w:rPr>
        <w:t>’</w:t>
      </w:r>
      <w:r w:rsidRPr="00C73365">
        <w:rPr>
          <w:rFonts w:asciiTheme="minorHAnsi" w:hAnsiTheme="minorHAnsi" w:cstheme="minorHAnsi"/>
          <w:lang w:val="fr-FR"/>
        </w:rPr>
        <w:t>a été constatée. Le profil de toxicité démontré lors de cet important programme préclinique a permis d</w:t>
      </w:r>
      <w:r w:rsidR="004572A0" w:rsidRPr="00C73365">
        <w:rPr>
          <w:rFonts w:asciiTheme="minorHAnsi" w:hAnsiTheme="minorHAnsi" w:cstheme="minorHAnsi"/>
          <w:lang w:val="fr-FR"/>
        </w:rPr>
        <w:t>’</w:t>
      </w:r>
      <w:r w:rsidRPr="00C73365">
        <w:rPr>
          <w:rFonts w:asciiTheme="minorHAnsi" w:hAnsiTheme="minorHAnsi" w:cstheme="minorHAnsi"/>
          <w:lang w:val="fr-FR"/>
        </w:rPr>
        <w:t>évoluer vers les premières études cliniques chez l</w:t>
      </w:r>
      <w:r w:rsidR="004572A0" w:rsidRPr="00C73365">
        <w:rPr>
          <w:rFonts w:asciiTheme="minorHAnsi" w:hAnsiTheme="minorHAnsi" w:cstheme="minorHAnsi"/>
          <w:lang w:val="fr-FR"/>
        </w:rPr>
        <w:t>’</w:t>
      </w:r>
      <w:r w:rsidRPr="00C73365">
        <w:rPr>
          <w:rFonts w:asciiTheme="minorHAnsi" w:hAnsiTheme="minorHAnsi" w:cstheme="minorHAnsi"/>
          <w:lang w:val="fr-FR"/>
        </w:rPr>
        <w:t>homme.</w:t>
      </w:r>
    </w:p>
    <w:p w14:paraId="781F76FD"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Afin de permettre la suite du développement clinique, d’autres études précliniques règlementaires ont été réalisées. Une étude d’administration chronique de 3 mois chez le rat a montré que la molécule était bien tolérée avec une dose maximale tolérée de 120 mg/kg/jour. Cette étude a été suivie par une étude de 6 mois de traitement à l’issue de laquelle une dose maximale tolérée a été établie.</w:t>
      </w:r>
    </w:p>
    <w:p w14:paraId="6A24C975"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Chez le non-rongeur, une étude de 2 mois de traitement a été réalisée chez le mini-porc et les résultats montrent qu’ABX464 est bien toléré à 10 mg/kg/jour. Une étude de 3 mois a été effectuée et a montré que les doses de 5, 10 et 15mg/kg étaient bien tolérées. Une étude de 6/9 mois a permis de définir une dose maximale tolérée à 5 mg/kg/jour.</w:t>
      </w:r>
    </w:p>
    <w:p w14:paraId="20518FF5"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De plus, de la toxicité de la molécule sur la reproduction a été testée dans cinq études : deux études préliminaires chez le rat et le lapin pour évaluer la toxicité sur l’implémentation de l’embryon et trois études réglementaires pour évaluer les effets sur la fertilité, le développement embryonnaire et le développement postnatal incluant les fonctions maternelles. Les résultats ont montré qu’ABX464 possède une activité tératogène.</w:t>
      </w:r>
    </w:p>
    <w:p w14:paraId="740C668B" w14:textId="77777777" w:rsidR="00B67A56" w:rsidRPr="00C73365" w:rsidRDefault="00B67A56" w:rsidP="004572A0">
      <w:pPr>
        <w:pStyle w:val="Corpsdetexte"/>
        <w:rPr>
          <w:rFonts w:asciiTheme="minorHAnsi" w:hAnsiTheme="minorHAnsi" w:cstheme="minorHAnsi"/>
          <w:b/>
          <w:lang w:val="fr-FR"/>
        </w:rPr>
      </w:pPr>
      <w:r w:rsidRPr="00C73365">
        <w:rPr>
          <w:rFonts w:asciiTheme="minorHAnsi" w:hAnsiTheme="minorHAnsi" w:cstheme="minorHAnsi"/>
          <w:b/>
          <w:lang w:val="fr-FR"/>
        </w:rPr>
        <w:t>Principales propriétés différenciatrices d</w:t>
      </w:r>
      <w:r w:rsidR="004572A0" w:rsidRPr="00C73365">
        <w:rPr>
          <w:rFonts w:asciiTheme="minorHAnsi" w:hAnsiTheme="minorHAnsi" w:cstheme="minorHAnsi"/>
          <w:b/>
          <w:lang w:val="fr-FR"/>
        </w:rPr>
        <w:t>’</w:t>
      </w:r>
      <w:r w:rsidRPr="00C73365">
        <w:rPr>
          <w:rFonts w:asciiTheme="minorHAnsi" w:hAnsiTheme="minorHAnsi" w:cstheme="minorHAnsi"/>
          <w:b/>
          <w:lang w:val="fr-FR"/>
        </w:rPr>
        <w:t>ABX464 sur la base des données précliniques</w:t>
      </w:r>
    </w:p>
    <w:p w14:paraId="1AC6D9B6"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Les TAR actuelles ont prouvé leur efficacité en termes de réduction de la charge virale chez les patients, mais deux grands problèmes persistent : </w:t>
      </w:r>
    </w:p>
    <w:p w14:paraId="599ACE4B" w14:textId="77777777" w:rsidR="00B67A56" w:rsidRPr="00C73365" w:rsidRDefault="00B67A56"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 xml:space="preserve">la capacité du virus à muter et à développer une résistance aux traitements, et </w:t>
      </w:r>
    </w:p>
    <w:p w14:paraId="22E8EF69" w14:textId="77777777" w:rsidR="00B67A56" w:rsidRPr="00C73365" w:rsidRDefault="00B67A56"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absence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effet à long terme et la remontée de la charge virale après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arrêt du traitement.</w:t>
      </w:r>
    </w:p>
    <w:p w14:paraId="5D3552A7"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Les données précliniques relatives à ABX464 font état de propriétés uniques et très différentes par rapport aux TAR actuels :</w:t>
      </w:r>
    </w:p>
    <w:p w14:paraId="61B0C3C2" w14:textId="77777777" w:rsidR="00B67A56" w:rsidRPr="00C73365" w:rsidRDefault="00B67A56"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n</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 pas démontré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induction de résistance in vitro</w:t>
      </w:r>
    </w:p>
    <w:p w14:paraId="5552C351" w14:textId="77777777" w:rsidR="00B67A56" w:rsidRPr="00C73365" w:rsidRDefault="00B67A56"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est efficace utilisé seul chez les souris infectées</w:t>
      </w:r>
    </w:p>
    <w:p w14:paraId="631BCC19" w14:textId="77777777" w:rsidR="00B67A56" w:rsidRPr="00C73365" w:rsidRDefault="00B67A56"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a un effet à long terme sur la charge virale après arrêt du traitement (effet à long terme constatée chez les souris infectées pendant au moins 50 jours après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arrêt du traitement).</w:t>
      </w:r>
    </w:p>
    <w:p w14:paraId="3C71B479" w14:textId="77777777" w:rsidR="00B67A56" w:rsidRPr="00C73365" w:rsidRDefault="00B67A56" w:rsidP="00434C49">
      <w:pPr>
        <w:pStyle w:val="Paragraphedeliste"/>
        <w:keepNext/>
        <w:keepLines/>
        <w:numPr>
          <w:ilvl w:val="0"/>
          <w:numId w:val="77"/>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Essais cliniques d</w:t>
      </w:r>
      <w:r w:rsidR="004572A0" w:rsidRPr="00C73365">
        <w:rPr>
          <w:rFonts w:asciiTheme="minorHAnsi" w:hAnsiTheme="minorHAnsi" w:cstheme="minorHAnsi"/>
          <w:b/>
          <w:color w:val="7030A0"/>
          <w:szCs w:val="20"/>
          <w:lang w:val="fr-FR"/>
        </w:rPr>
        <w:t>’</w:t>
      </w:r>
      <w:r w:rsidRPr="00C73365">
        <w:rPr>
          <w:rFonts w:asciiTheme="minorHAnsi" w:hAnsiTheme="minorHAnsi" w:cstheme="minorHAnsi"/>
          <w:b/>
          <w:color w:val="7030A0"/>
          <w:szCs w:val="20"/>
          <w:lang w:val="fr-FR"/>
        </w:rPr>
        <w:t xml:space="preserve">ABX464 et plans de développement cliniques </w:t>
      </w:r>
    </w:p>
    <w:p w14:paraId="7125542E" w14:textId="77777777" w:rsidR="00B67A56" w:rsidRPr="00C73365" w:rsidRDefault="00B67A56" w:rsidP="004572A0">
      <w:pPr>
        <w:pStyle w:val="Corpsdetexte"/>
        <w:rPr>
          <w:rFonts w:asciiTheme="minorHAnsi" w:hAnsiTheme="minorHAnsi" w:cstheme="minorHAnsi"/>
          <w:b/>
          <w:lang w:val="fr-FR"/>
        </w:rPr>
      </w:pPr>
      <w:r w:rsidRPr="00C73365">
        <w:rPr>
          <w:rFonts w:asciiTheme="minorHAnsi" w:hAnsiTheme="minorHAnsi" w:cstheme="minorHAnsi"/>
          <w:b/>
          <w:lang w:val="fr-FR"/>
        </w:rPr>
        <w:t>Etude de pharmacocinétique chez des volontaires sains :</w:t>
      </w:r>
    </w:p>
    <w:p w14:paraId="401B5AD4" w14:textId="77777777" w:rsidR="00B67A56" w:rsidRPr="00C73365" w:rsidRDefault="00B67A56"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Une première étude chez l</w:t>
      </w:r>
      <w:r w:rsidR="004572A0" w:rsidRPr="00C73365">
        <w:rPr>
          <w:rFonts w:asciiTheme="minorHAnsi" w:hAnsiTheme="minorHAnsi" w:cstheme="minorHAnsi"/>
          <w:lang w:val="fr-FR"/>
        </w:rPr>
        <w:t>’</w:t>
      </w:r>
      <w:r w:rsidRPr="00C73365">
        <w:rPr>
          <w:rFonts w:asciiTheme="minorHAnsi" w:hAnsiTheme="minorHAnsi" w:cstheme="minorHAnsi"/>
          <w:lang w:val="fr-FR"/>
        </w:rPr>
        <w:t>homme a été réalisée en France sur 24 volontaires sains au deuxième trimestre 2014. L</w:t>
      </w:r>
      <w:r w:rsidR="004572A0" w:rsidRPr="00C73365">
        <w:rPr>
          <w:rFonts w:asciiTheme="minorHAnsi" w:hAnsiTheme="minorHAnsi" w:cstheme="minorHAnsi"/>
          <w:lang w:val="fr-FR"/>
        </w:rPr>
        <w:t>’</w:t>
      </w:r>
      <w:r w:rsidRPr="00C73365">
        <w:rPr>
          <w:rFonts w:asciiTheme="minorHAnsi" w:hAnsiTheme="minorHAnsi" w:cstheme="minorHAnsi"/>
          <w:lang w:val="fr-FR"/>
        </w:rPr>
        <w:t>objectif de cette étude était de déterminer le profil pharmacocinétique d</w:t>
      </w:r>
      <w:r w:rsidR="004572A0" w:rsidRPr="00C73365">
        <w:rPr>
          <w:rFonts w:asciiTheme="minorHAnsi" w:hAnsiTheme="minorHAnsi" w:cstheme="minorHAnsi"/>
          <w:lang w:val="fr-FR"/>
        </w:rPr>
        <w:t>’</w:t>
      </w:r>
      <w:r w:rsidRPr="00C73365">
        <w:rPr>
          <w:rFonts w:asciiTheme="minorHAnsi" w:hAnsiTheme="minorHAnsi" w:cstheme="minorHAnsi"/>
          <w:lang w:val="fr-FR"/>
        </w:rPr>
        <w:t>ABX464 et d</w:t>
      </w:r>
      <w:r w:rsidR="004572A0" w:rsidRPr="00C73365">
        <w:rPr>
          <w:rFonts w:asciiTheme="minorHAnsi" w:hAnsiTheme="minorHAnsi" w:cstheme="minorHAnsi"/>
          <w:lang w:val="fr-FR"/>
        </w:rPr>
        <w:t>’</w:t>
      </w:r>
      <w:r w:rsidRPr="00C73365">
        <w:rPr>
          <w:rFonts w:asciiTheme="minorHAnsi" w:hAnsiTheme="minorHAnsi" w:cstheme="minorHAnsi"/>
          <w:lang w:val="fr-FR"/>
        </w:rPr>
        <w:t>évaluer l</w:t>
      </w:r>
      <w:r w:rsidR="004572A0" w:rsidRPr="00C73365">
        <w:rPr>
          <w:rFonts w:asciiTheme="minorHAnsi" w:hAnsiTheme="minorHAnsi" w:cstheme="minorHAnsi"/>
          <w:lang w:val="fr-FR"/>
        </w:rPr>
        <w:t>’</w:t>
      </w:r>
      <w:r w:rsidRPr="00C73365">
        <w:rPr>
          <w:rFonts w:asciiTheme="minorHAnsi" w:hAnsiTheme="minorHAnsi" w:cstheme="minorHAnsi"/>
          <w:lang w:val="fr-FR"/>
        </w:rPr>
        <w:t>innocuité clinique et biologique du traitement après administration d</w:t>
      </w:r>
      <w:r w:rsidR="004572A0" w:rsidRPr="00C73365">
        <w:rPr>
          <w:rFonts w:asciiTheme="minorHAnsi" w:hAnsiTheme="minorHAnsi" w:cstheme="minorHAnsi"/>
          <w:lang w:val="fr-FR"/>
        </w:rPr>
        <w:t>’</w:t>
      </w:r>
      <w:r w:rsidRPr="00C73365">
        <w:rPr>
          <w:rFonts w:asciiTheme="minorHAnsi" w:hAnsiTheme="minorHAnsi" w:cstheme="minorHAnsi"/>
          <w:lang w:val="fr-FR"/>
        </w:rPr>
        <w:t>une dose unique à des sujets adultes et en bonne santé. 4 dosages journaliers ont été testés : 50, 100, 150 et 200 mg.</w:t>
      </w:r>
    </w:p>
    <w:p w14:paraId="74784311" w14:textId="77777777" w:rsidR="00B67A56" w:rsidRPr="00C73365" w:rsidRDefault="00B67A56"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Les données pharmacocinétiques récoltées dans le cadre de cette étude ont démontré qu</w:t>
      </w:r>
      <w:r w:rsidR="004572A0" w:rsidRPr="00C73365">
        <w:rPr>
          <w:rFonts w:asciiTheme="minorHAnsi" w:hAnsiTheme="minorHAnsi" w:cstheme="minorHAnsi"/>
          <w:lang w:val="fr-FR"/>
        </w:rPr>
        <w:t>’</w:t>
      </w:r>
      <w:r w:rsidRPr="00C73365">
        <w:rPr>
          <w:rFonts w:asciiTheme="minorHAnsi" w:hAnsiTheme="minorHAnsi" w:cstheme="minorHAnsi"/>
          <w:lang w:val="fr-FR"/>
        </w:rPr>
        <w:t>ABX464 est bien absorbé et métabolisé en grande partie en glucuronide-N-ABX464. Le Cmax d</w:t>
      </w:r>
      <w:r w:rsidR="004572A0" w:rsidRPr="00C73365">
        <w:rPr>
          <w:rFonts w:asciiTheme="minorHAnsi" w:hAnsiTheme="minorHAnsi" w:cstheme="minorHAnsi"/>
          <w:lang w:val="fr-FR"/>
        </w:rPr>
        <w:t>’</w:t>
      </w:r>
      <w:r w:rsidRPr="00C73365">
        <w:rPr>
          <w:rFonts w:asciiTheme="minorHAnsi" w:hAnsiTheme="minorHAnsi" w:cstheme="minorHAnsi"/>
          <w:lang w:val="fr-FR"/>
        </w:rPr>
        <w:t>ABX464 a été observé environ deux heures après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dans chacun des groupes, avec des valeurs médianes situées entre 14 et 72 ng/ml. Le Cmax de glucuronide-N-</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y était environ 160 fois supérieur. La limite supérieure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exposition a été atteinte à 150 mg. </w:t>
      </w:r>
    </w:p>
    <w:p w14:paraId="44B1CB07" w14:textId="77777777" w:rsidR="00B67A56" w:rsidRPr="00C73365" w:rsidRDefault="00B67A56"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Aucun effet secondaire grave ou sévère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au cours de l</w:t>
      </w:r>
      <w:r w:rsidR="004572A0" w:rsidRPr="00C73365">
        <w:rPr>
          <w:rFonts w:asciiTheme="minorHAnsi" w:hAnsiTheme="minorHAnsi" w:cstheme="minorHAnsi"/>
          <w:lang w:val="fr-FR"/>
        </w:rPr>
        <w:t>’</w:t>
      </w:r>
      <w:r w:rsidRPr="00C73365">
        <w:rPr>
          <w:rFonts w:asciiTheme="minorHAnsi" w:hAnsiTheme="minorHAnsi" w:cstheme="minorHAnsi"/>
          <w:lang w:val="fr-FR"/>
        </w:rPr>
        <w:t>étude. Treize sujets ont rapporté avoir souffert de maux de tête, de nausées et/ou de vomissements, généralement de faible intensité (modérée dans certains cas). Aucun résultat significativement anormal n</w:t>
      </w:r>
      <w:r w:rsidR="004572A0" w:rsidRPr="00C73365">
        <w:rPr>
          <w:rFonts w:asciiTheme="minorHAnsi" w:hAnsiTheme="minorHAnsi" w:cstheme="minorHAnsi"/>
          <w:lang w:val="fr-FR"/>
        </w:rPr>
        <w:t>’</w:t>
      </w:r>
      <w:r w:rsidRPr="00C73365">
        <w:rPr>
          <w:rFonts w:asciiTheme="minorHAnsi" w:hAnsiTheme="minorHAnsi" w:cstheme="minorHAnsi"/>
          <w:lang w:val="fr-FR"/>
        </w:rPr>
        <w:t>est apparu dans les examens physiques, les résultats des tests de laboratoire, les signes vitaux ou les ECG. Le médicament à l</w:t>
      </w:r>
      <w:r w:rsidR="004572A0" w:rsidRPr="00C73365">
        <w:rPr>
          <w:rFonts w:asciiTheme="minorHAnsi" w:hAnsiTheme="minorHAnsi" w:cstheme="minorHAnsi"/>
          <w:lang w:val="fr-FR"/>
        </w:rPr>
        <w:t>’</w:t>
      </w:r>
      <w:r w:rsidRPr="00C73365">
        <w:rPr>
          <w:rFonts w:asciiTheme="minorHAnsi" w:hAnsiTheme="minorHAnsi" w:cstheme="minorHAnsi"/>
          <w:lang w:val="fr-FR"/>
        </w:rPr>
        <w:t>étude a été généralement bien toléré.</w:t>
      </w:r>
    </w:p>
    <w:p w14:paraId="73C69C17" w14:textId="77777777" w:rsidR="00B67A56" w:rsidRPr="00C73365" w:rsidRDefault="00B67A56"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Une deuxième étude a été lancée en novembre 2014 sur des volontaires sains, visant à évaluer l</w:t>
      </w:r>
      <w:r w:rsidR="004572A0" w:rsidRPr="00C73365">
        <w:rPr>
          <w:rFonts w:asciiTheme="minorHAnsi" w:hAnsiTheme="minorHAnsi" w:cstheme="minorHAnsi"/>
          <w:lang w:val="fr-FR"/>
        </w:rPr>
        <w:t>’</w:t>
      </w:r>
      <w:r w:rsidRPr="00C73365">
        <w:rPr>
          <w:rFonts w:asciiTheme="minorHAnsi" w:hAnsiTheme="minorHAnsi" w:cstheme="minorHAnsi"/>
          <w:lang w:val="fr-FR"/>
        </w:rPr>
        <w:t>impact de la prise alimentaire et de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répétée sur les propriétés pharmacocinétiques et l</w:t>
      </w:r>
      <w:r w:rsidR="004572A0" w:rsidRPr="00C73365">
        <w:rPr>
          <w:rFonts w:asciiTheme="minorHAnsi" w:hAnsiTheme="minorHAnsi" w:cstheme="minorHAnsi"/>
          <w:lang w:val="fr-FR"/>
        </w:rPr>
        <w:t>’</w:t>
      </w:r>
      <w:r w:rsidRPr="00C73365">
        <w:rPr>
          <w:rFonts w:asciiTheme="minorHAnsi" w:hAnsiTheme="minorHAnsi" w:cstheme="minorHAnsi"/>
          <w:lang w:val="fr-FR"/>
        </w:rPr>
        <w:t>innocuité biologique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Dans un premier volet, 24 volontaires devaient recevoir une dose unique de 50 mg : 12 avec de la nourriture et 12 sans. Quarante-cinq jours plus tard, les volontaires qui avaient pris le médicament avec de la nourriture devaient le prendre sans nourriture et vice-versa. Un second volet a impliqué 10 volontaires sains, qui devaient prendre une dose de 50 mg tous les 3 jours pendant 12 jours avec un repas, tandis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autre groupe de 12 volontaires devaient prendre le médicament à jeun. </w:t>
      </w:r>
    </w:p>
    <w:p w14:paraId="255F0250" w14:textId="77777777" w:rsidR="00B67A56" w:rsidRPr="00C73365" w:rsidRDefault="00B67A56"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Il ressort de cette deuxième étude que la prise alimentaire augmente significativement les concentrations sanguines d’ABX464 et dans une moindre mesure celles de son métabolite actif (glucuronide-N-ABX464). Cette étude a également démontré une nouvelle fois la bonne tolérance d’ABX464 à jeun ou avec une prise alimentaire.</w:t>
      </w:r>
    </w:p>
    <w:p w14:paraId="5FBFA86F"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b/>
          <w:i w:val="0"/>
          <w:color w:val="7030A0"/>
          <w:lang w:val="fr-FR"/>
        </w:rPr>
      </w:pPr>
      <w:r w:rsidRPr="00C73365">
        <w:rPr>
          <w:rFonts w:asciiTheme="minorHAnsi" w:hAnsiTheme="minorHAnsi" w:cstheme="minorHAnsi"/>
          <w:b/>
          <w:i w:val="0"/>
          <w:color w:val="7030A0"/>
          <w:lang w:val="fr-FR"/>
        </w:rPr>
        <w:lastRenderedPageBreak/>
        <w:t>Etudes de phase IIa chez des patients infectés par le VIH :</w:t>
      </w:r>
    </w:p>
    <w:p w14:paraId="56AD946C" w14:textId="77777777" w:rsidR="00B67A56" w:rsidRPr="00C73365" w:rsidRDefault="00B67A56" w:rsidP="00B67A56">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En 2015, une étude de phase IIa sur 66 sujets infectés par le VIH a apporté une première preuve de l’efficacité de l’ABX464 chez l’homme. Cette étude présentée en Février 2016 au congrès scientifique de référence sur le SIDA (CROI, Conférence on Retrovirus and Opportunistic Infections) a évalué l’efficacité et l’innocuité d’ABX464, à doses croissantes et contre placebo, dans le traitement de patients naïfs infectés par le VIH.</w:t>
      </w:r>
    </w:p>
    <w:p w14:paraId="5C23D4DD" w14:textId="77777777" w:rsidR="00B67A56" w:rsidRPr="00C73365" w:rsidRDefault="00B67A56" w:rsidP="00B67A56">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Une réduction de la charge virale d</w:t>
      </w:r>
      <w:r w:rsidR="004572A0" w:rsidRPr="00C73365">
        <w:rPr>
          <w:rFonts w:asciiTheme="minorHAnsi" w:hAnsiTheme="minorHAnsi" w:cstheme="minorHAnsi"/>
          <w:color w:val="auto"/>
          <w:sz w:val="20"/>
          <w:szCs w:val="20"/>
          <w:lang w:val="fr-FR"/>
        </w:rPr>
        <w:t>’</w:t>
      </w:r>
      <w:r w:rsidRPr="00C73365">
        <w:rPr>
          <w:rFonts w:asciiTheme="minorHAnsi" w:hAnsiTheme="minorHAnsi" w:cstheme="minorHAnsi"/>
          <w:color w:val="auto"/>
          <w:sz w:val="20"/>
          <w:szCs w:val="20"/>
          <w:lang w:val="fr-FR"/>
        </w:rPr>
        <w:t>au moins 0,5 log (plus de 68% de réduction) a été observée chez 1 patient sur 6 dans la cohorte 75 mg, 2 patients sur 6 dans la cohorte 100 mg et 4 patients sur 6 dans la cohorte 150 mg. Il n</w:t>
      </w:r>
      <w:r w:rsidR="004572A0" w:rsidRPr="00C73365">
        <w:rPr>
          <w:rFonts w:asciiTheme="minorHAnsi" w:hAnsiTheme="minorHAnsi" w:cstheme="minorHAnsi"/>
          <w:color w:val="auto"/>
          <w:sz w:val="20"/>
          <w:szCs w:val="20"/>
          <w:lang w:val="fr-FR"/>
        </w:rPr>
        <w:t>’</w:t>
      </w:r>
      <w:r w:rsidRPr="00C73365">
        <w:rPr>
          <w:rFonts w:asciiTheme="minorHAnsi" w:hAnsiTheme="minorHAnsi" w:cstheme="minorHAnsi"/>
          <w:color w:val="auto"/>
          <w:sz w:val="20"/>
          <w:szCs w:val="20"/>
          <w:lang w:val="fr-FR"/>
        </w:rPr>
        <w:t>y a pas eu de variation significative de la charge virale chez les 6 patients sous placebo dans ces cohortes. Les effets indésirables constatés sont ceux fréquemment observés dans le cadre de traitements antiviraux.</w:t>
      </w:r>
    </w:p>
    <w:p w14:paraId="65AA161F" w14:textId="14B4CBC6" w:rsidR="00B67A56" w:rsidRPr="00C73365" w:rsidRDefault="00B67A56" w:rsidP="001E7694">
      <w:pPr>
        <w:pStyle w:val="Corpsdetexte"/>
        <w:spacing w:after="120"/>
        <w:rPr>
          <w:rFonts w:asciiTheme="minorHAnsi" w:eastAsia="Candara" w:hAnsiTheme="minorHAnsi" w:cstheme="minorHAnsi"/>
          <w:lang w:val="fr-FR"/>
        </w:rPr>
      </w:pPr>
      <w:r w:rsidRPr="00C73365">
        <w:rPr>
          <w:rFonts w:asciiTheme="minorHAnsi" w:hAnsiTheme="minorHAnsi" w:cstheme="minorHAnsi"/>
          <w:lang w:val="fr-FR"/>
        </w:rPr>
        <w:t xml:space="preserve">Sur la base de ces informations encourageantes, une seconde étude de phase IIa </w:t>
      </w:r>
      <w:r w:rsidRPr="00C73365">
        <w:rPr>
          <w:rFonts w:asciiTheme="minorHAnsi" w:hAnsiTheme="minorHAnsi" w:cstheme="minorHAnsi"/>
          <w:b/>
          <w:lang w:val="fr-FR"/>
        </w:rPr>
        <w:t>(ABX464-004)</w:t>
      </w:r>
      <w:r w:rsidRPr="00C73365">
        <w:rPr>
          <w:rFonts w:asciiTheme="minorHAnsi" w:hAnsiTheme="minorHAnsi" w:cstheme="minorHAnsi"/>
          <w:lang w:val="fr-FR"/>
        </w:rPr>
        <w:t xml:space="preserve"> a été initiée en Espagne, France et Belgique. </w:t>
      </w:r>
      <w:r w:rsidRPr="00C73365">
        <w:rPr>
          <w:rFonts w:asciiTheme="minorHAnsi" w:eastAsia="Candara" w:hAnsiTheme="minorHAnsi" w:cstheme="minorHAnsi"/>
          <w:lang w:val="fr-FR"/>
        </w:rPr>
        <w:t xml:space="preserve">Dans l’étude ABX464-004, 30 patients infectés par le virus du VIH ont été inclus et ont reçu pendant 28 jours, soit ABX464 soit un placebo en plus de leur traitement antirétroviral </w:t>
      </w:r>
      <w:r w:rsidR="001E7694">
        <w:rPr>
          <w:rFonts w:asciiTheme="minorHAnsi" w:eastAsia="Candara" w:hAnsiTheme="minorHAnsi" w:cstheme="minorHAnsi"/>
          <w:lang w:val="fr-FR"/>
        </w:rPr>
        <w:t>(Inhibiteur de protéase - Darunavir)</w:t>
      </w:r>
      <w:r w:rsidRPr="00C73365">
        <w:rPr>
          <w:rFonts w:asciiTheme="minorHAnsi" w:eastAsia="Candara" w:hAnsiTheme="minorHAnsi" w:cstheme="minorHAnsi"/>
          <w:lang w:val="fr-FR"/>
        </w:rPr>
        <w:t xml:space="preserve">. La charge virale au début de l’étude était bien contrôlée. Après 28 jours, tous les traitements ont été interrompus jusqu’au rebond de la charge virale. Des prises de sang ont été effectuées au début de l’étude et après 28 jours de traitement afin d’évaluer l’effet potentiel d’ABX464 sur les réservoirs de VIH dans les cellules périphériques mononuclées du sang. </w:t>
      </w:r>
    </w:p>
    <w:p w14:paraId="491F9C6C" w14:textId="77777777" w:rsidR="00B67A56" w:rsidRPr="00C73365" w:rsidRDefault="00B67A56" w:rsidP="001E7694">
      <w:pPr>
        <w:pStyle w:val="Corpsdetexte"/>
        <w:spacing w:after="120"/>
        <w:rPr>
          <w:rFonts w:asciiTheme="minorHAnsi" w:eastAsia="Candara" w:hAnsiTheme="minorHAnsi" w:cstheme="minorHAnsi"/>
          <w:lang w:val="fr-FR"/>
        </w:rPr>
      </w:pPr>
      <w:r w:rsidRPr="00C73365">
        <w:rPr>
          <w:rFonts w:asciiTheme="minorHAnsi" w:eastAsia="Candara" w:hAnsiTheme="minorHAnsi" w:cstheme="minorHAnsi"/>
          <w:lang w:val="fr-FR"/>
        </w:rPr>
        <w:t>L’innocuité était le critère principal de l’étude : ABX464 a été bien toléré et aucun effet secondaire indésirable grave n’a été constaté au sein du groupe s’étant vu administrer ABX464. Chez les patients évaluables (4 placebo, 1</w:t>
      </w:r>
      <w:r w:rsidR="006F3437"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traités avec ABX464), une réduction des copies d’ADN viral/million de PBMC a été observée sur </w:t>
      </w:r>
      <w:r w:rsidR="006F3437" w:rsidRPr="00C73365">
        <w:rPr>
          <w:rFonts w:asciiTheme="minorHAnsi" w:eastAsia="Candara" w:hAnsiTheme="minorHAnsi" w:cstheme="minorHAnsi"/>
          <w:lang w:val="fr-FR"/>
        </w:rPr>
        <w:t>8</w:t>
      </w:r>
      <w:r w:rsidRPr="00C73365">
        <w:rPr>
          <w:rFonts w:asciiTheme="minorHAnsi" w:eastAsia="Candara" w:hAnsiTheme="minorHAnsi" w:cstheme="minorHAnsi"/>
          <w:lang w:val="fr-FR"/>
        </w:rPr>
        <w:t xml:space="preserve"> des 1</w:t>
      </w:r>
      <w:r w:rsidR="006F3437"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patients traités (soit une réduction de -40%, allant de -27% à -67%) et aucune réponse n’a été observée dans le groupe placebo. Les patients répondeurs ont été définis comme étant ceux présentant une réduction minimale de 50 copies et de plus de 25% sur le nombre total de copies d’ADN viral.</w:t>
      </w:r>
    </w:p>
    <w:p w14:paraId="5CC0AA0F" w14:textId="4917F82B" w:rsidR="00B67A56" w:rsidRPr="00C73365" w:rsidRDefault="001E7694" w:rsidP="001E7694">
      <w:pPr>
        <w:pStyle w:val="NormalWeb"/>
        <w:shd w:val="clear" w:color="auto" w:fill="FFFFFF"/>
        <w:spacing w:before="0" w:beforeAutospacing="0" w:after="120" w:afterAutospacing="0"/>
        <w:rPr>
          <w:rFonts w:asciiTheme="minorHAnsi" w:hAnsiTheme="minorHAnsi" w:cstheme="minorHAnsi"/>
          <w:bCs/>
          <w:lang w:val="fr-FR"/>
        </w:rPr>
      </w:pPr>
      <w:r>
        <w:rPr>
          <w:rFonts w:asciiTheme="minorHAnsi" w:hAnsiTheme="minorHAnsi" w:cstheme="minorHAnsi"/>
          <w:szCs w:val="20"/>
          <w:lang w:val="fr-FR"/>
        </w:rPr>
        <w:t>A</w:t>
      </w:r>
      <w:r w:rsidR="00B67A56" w:rsidRPr="00C73365">
        <w:rPr>
          <w:rFonts w:asciiTheme="minorHAnsi" w:hAnsiTheme="minorHAnsi" w:cstheme="minorHAnsi"/>
          <w:szCs w:val="20"/>
          <w:lang w:val="fr-FR"/>
        </w:rPr>
        <w:t xml:space="preserve">fin de mieux comprendre l’action de la molécule sur les réservoirs du virus, une étude « compartimentale », </w:t>
      </w:r>
      <w:r w:rsidR="00B67A56" w:rsidRPr="00C73365">
        <w:rPr>
          <w:rFonts w:asciiTheme="minorHAnsi" w:hAnsiTheme="minorHAnsi" w:cstheme="minorHAnsi"/>
          <w:b/>
          <w:szCs w:val="20"/>
          <w:lang w:val="fr-FR"/>
        </w:rPr>
        <w:t>ABX464-005</w:t>
      </w:r>
      <w:r w:rsidR="00B67A56" w:rsidRPr="00C73365">
        <w:rPr>
          <w:rFonts w:asciiTheme="minorHAnsi" w:hAnsiTheme="minorHAnsi" w:cstheme="minorHAnsi"/>
          <w:szCs w:val="20"/>
          <w:lang w:val="fr-FR"/>
        </w:rPr>
        <w:t>, a été initiée. Cette étude de Phase IIa vise à caractériser les implications immunologiques d’un traitement par ABX464. Le centre de l’essai inclura 12 volontaires sains ainsi que 24 patients infectés par le VIH. Les sujets seront randomisés et recevront ABX464 (ou son placebo) pendant 28 jours. Le protocole de cette étude a reçu l’approbation des autorités réglementaires et d’éthique le 16 mars 2017 et les premiers patients ont été recrutés en Avril 2017.</w:t>
      </w:r>
      <w:r w:rsidR="00B67A56" w:rsidRPr="00C73365">
        <w:rPr>
          <w:rFonts w:asciiTheme="minorHAnsi" w:hAnsiTheme="minorHAnsi" w:cstheme="minorHAnsi"/>
          <w:bCs/>
          <w:lang w:val="fr-FR"/>
        </w:rPr>
        <w:t xml:space="preserve"> Les résultats provenant d’un premier groupe de 11 patients ont été communiqués en </w:t>
      </w:r>
      <w:r w:rsidR="006B119E" w:rsidRPr="00C73365">
        <w:rPr>
          <w:rFonts w:asciiTheme="minorHAnsi" w:hAnsiTheme="minorHAnsi" w:cstheme="minorHAnsi"/>
          <w:bCs/>
          <w:lang w:val="fr-FR"/>
        </w:rPr>
        <w:t>Septembre</w:t>
      </w:r>
      <w:r w:rsidR="00B67A56" w:rsidRPr="00C73365">
        <w:rPr>
          <w:rFonts w:asciiTheme="minorHAnsi" w:hAnsiTheme="minorHAnsi" w:cstheme="minorHAnsi"/>
          <w:bCs/>
          <w:lang w:val="fr-FR"/>
        </w:rPr>
        <w:t xml:space="preserve"> 2017. Ils confirment </w:t>
      </w:r>
      <w:r w:rsidR="00B67A56" w:rsidRPr="00C73365">
        <w:rPr>
          <w:rFonts w:asciiTheme="minorHAnsi" w:hAnsiTheme="minorHAnsi" w:cstheme="minorHAnsi"/>
          <w:lang w:val="fr-FR"/>
        </w:rPr>
        <w:t xml:space="preserve">une baisse des réservoirs du VIH induite par ABX464. </w:t>
      </w:r>
      <w:r w:rsidR="00B67A56"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D34EC6" w:rsidRPr="00C73365">
        <w:rPr>
          <w:rFonts w:asciiTheme="minorHAnsi" w:hAnsiTheme="minorHAnsi" w:cstheme="minorHAnsi"/>
          <w:bCs/>
          <w:lang w:val="fr-FR"/>
        </w:rPr>
        <w:t>au 3</w:t>
      </w:r>
      <w:r w:rsidR="00D34EC6" w:rsidRPr="00C73365">
        <w:rPr>
          <w:rFonts w:asciiTheme="minorHAnsi" w:hAnsiTheme="minorHAnsi" w:cstheme="minorHAnsi"/>
          <w:bCs/>
          <w:vertAlign w:val="superscript"/>
          <w:lang w:val="fr-FR"/>
        </w:rPr>
        <w:t>ème</w:t>
      </w:r>
      <w:r w:rsidR="00D34EC6" w:rsidRPr="00C73365">
        <w:rPr>
          <w:rFonts w:asciiTheme="minorHAnsi" w:hAnsiTheme="minorHAnsi" w:cstheme="minorHAnsi"/>
          <w:bCs/>
          <w:lang w:val="fr-FR"/>
        </w:rPr>
        <w:t xml:space="preserve"> trimestre </w:t>
      </w:r>
      <w:r w:rsidR="00B67A56" w:rsidRPr="00C73365">
        <w:rPr>
          <w:rFonts w:asciiTheme="minorHAnsi" w:hAnsiTheme="minorHAnsi" w:cstheme="minorHAnsi"/>
          <w:bCs/>
          <w:lang w:val="fr-FR"/>
        </w:rPr>
        <w:t>2018.</w:t>
      </w:r>
    </w:p>
    <w:p w14:paraId="6648DE95" w14:textId="352530B2"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En fonction des résultats de cette deuxième Phase IIa, la soumission d’un dossier d’IND (Investigational New Drug) auprès des autorités américaines est prévue en 2018. Des résultats positifs de ces essais permettraient de démarrer une </w:t>
      </w:r>
      <w:r w:rsidR="006F3437" w:rsidRPr="00C73365">
        <w:rPr>
          <w:rFonts w:asciiTheme="minorHAnsi" w:hAnsiTheme="minorHAnsi" w:cstheme="minorHAnsi"/>
          <w:lang w:val="fr-FR"/>
        </w:rPr>
        <w:t xml:space="preserve">étude de </w:t>
      </w:r>
      <w:r w:rsidRPr="00C73365">
        <w:rPr>
          <w:rFonts w:asciiTheme="minorHAnsi" w:hAnsiTheme="minorHAnsi" w:cstheme="minorHAnsi"/>
          <w:lang w:val="fr-FR"/>
        </w:rPr>
        <w:t xml:space="preserve">Phase IIb en Europe et aux Etats-Unis </w:t>
      </w:r>
      <w:r w:rsidR="006F3437" w:rsidRPr="00C73365">
        <w:rPr>
          <w:rFonts w:asciiTheme="minorHAnsi" w:hAnsiTheme="minorHAnsi" w:cstheme="minorHAnsi"/>
          <w:lang w:val="fr-FR"/>
        </w:rPr>
        <w:t>d’ici fin</w:t>
      </w:r>
      <w:r w:rsidRPr="00C73365">
        <w:rPr>
          <w:rFonts w:asciiTheme="minorHAnsi" w:hAnsiTheme="minorHAnsi" w:cstheme="minorHAnsi"/>
          <w:lang w:val="fr-FR"/>
        </w:rPr>
        <w:t xml:space="preserve"> 201</w:t>
      </w:r>
      <w:r w:rsidR="00D34EC6" w:rsidRPr="00C73365">
        <w:rPr>
          <w:rFonts w:asciiTheme="minorHAnsi" w:hAnsiTheme="minorHAnsi" w:cstheme="minorHAnsi"/>
          <w:lang w:val="fr-FR"/>
        </w:rPr>
        <w:t>8</w:t>
      </w:r>
      <w:r w:rsidRPr="00C73365">
        <w:rPr>
          <w:rFonts w:asciiTheme="minorHAnsi" w:hAnsiTheme="minorHAnsi" w:cstheme="minorHAnsi"/>
          <w:lang w:val="fr-FR"/>
        </w:rPr>
        <w:t xml:space="preserve">. </w:t>
      </w:r>
    </w:p>
    <w:p w14:paraId="148FF1DE" w14:textId="77777777" w:rsidR="00B67A56" w:rsidRPr="001719D3" w:rsidRDefault="00B67A56" w:rsidP="001719D3">
      <w:pPr>
        <w:pStyle w:val="Paragraphedeliste"/>
        <w:numPr>
          <w:ilvl w:val="2"/>
          <w:numId w:val="9"/>
        </w:numPr>
        <w:spacing w:after="0"/>
        <w:outlineLvl w:val="2"/>
        <w:rPr>
          <w:rFonts w:asciiTheme="minorHAnsi" w:hAnsiTheme="minorHAnsi" w:cstheme="minorHAnsi"/>
          <w:b/>
          <w:color w:val="7030A0"/>
          <w:szCs w:val="22"/>
          <w:lang w:val="fr-FR"/>
        </w:rPr>
      </w:pPr>
      <w:r w:rsidRPr="001719D3">
        <w:rPr>
          <w:rFonts w:asciiTheme="minorHAnsi" w:hAnsiTheme="minorHAnsi" w:cstheme="minorHAnsi"/>
          <w:b/>
          <w:color w:val="7030A0"/>
          <w:szCs w:val="22"/>
          <w:lang w:val="fr-FR"/>
        </w:rPr>
        <w:t>ABX464 : Un traitement anti-inflammatoire dans les Maladies Inflammatoires Chroniques de l’Intestin (MICI) ou Inflammatory Bowel Disease (IBD)</w:t>
      </w:r>
    </w:p>
    <w:p w14:paraId="713E8F29" w14:textId="77777777" w:rsidR="00943434" w:rsidRPr="00C73365" w:rsidRDefault="00943434" w:rsidP="00943434">
      <w:pPr>
        <w:pStyle w:val="Paragraphedeliste"/>
        <w:numPr>
          <w:ilvl w:val="3"/>
          <w:numId w:val="9"/>
        </w:numPr>
        <w:spacing w:after="0"/>
        <w:outlineLvl w:val="2"/>
        <w:rPr>
          <w:rFonts w:asciiTheme="minorHAnsi" w:hAnsiTheme="minorHAnsi" w:cstheme="minorHAnsi"/>
          <w:sz w:val="18"/>
          <w:szCs w:val="22"/>
          <w:lang w:val="fr-FR"/>
        </w:rPr>
      </w:pPr>
      <w:r w:rsidRPr="00C73365">
        <w:rPr>
          <w:rFonts w:asciiTheme="minorHAnsi" w:hAnsiTheme="minorHAnsi" w:cstheme="minorHAnsi"/>
          <w:lang w:val="fr-FR"/>
        </w:rPr>
        <w:t>MICI - Pathologie et prévalence</w:t>
      </w:r>
    </w:p>
    <w:p w14:paraId="08071CF9" w14:textId="77777777" w:rsidR="00943434" w:rsidRPr="00C73365" w:rsidRDefault="00943434" w:rsidP="00943434">
      <w:pPr>
        <w:rPr>
          <w:rFonts w:asciiTheme="minorHAnsi" w:hAnsiTheme="minorHAnsi" w:cstheme="minorHAnsi"/>
          <w:b/>
          <w:color w:val="7030A0"/>
          <w:sz w:val="22"/>
          <w:szCs w:val="22"/>
          <w:lang w:val="fr-FR"/>
        </w:rPr>
      </w:pPr>
    </w:p>
    <w:p w14:paraId="13EF205A" w14:textId="77777777" w:rsidR="00943434" w:rsidRPr="00C73365" w:rsidRDefault="00943434"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Les maladies inflammatoires chroniques de l’intestin, maladie de Crohn et recto-colite hémorragique, se caractérisent par l’inflammation de la paroi d’une partie du tube digestif, liée à une hyperactivité du système immunitaire digestif. Il n’existe pas de traitement curatif de ces maladies, mais les médicaments actuels permettent la plupart du temps un contrôle durable de la maladie et une qualité de vie satisfaisante en dehors des poussées.</w:t>
      </w:r>
    </w:p>
    <w:p w14:paraId="57B8D065" w14:textId="77777777" w:rsidR="00943434" w:rsidRPr="00C73365" w:rsidRDefault="00943434"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Les MICI sont le plus souvent diagnostiquées chez des sujets jeunes, âgés de 20 à 30 ans. Toutefois, elles peuvent survenir à tout âge et 15% des cas concernent des enfants. Si leur fréquence varie considérablement d</w:t>
      </w:r>
      <w:r w:rsidR="004572A0" w:rsidRPr="00C73365">
        <w:rPr>
          <w:rFonts w:asciiTheme="minorHAnsi" w:hAnsiTheme="minorHAnsi" w:cstheme="minorHAnsi"/>
          <w:lang w:val="fr-FR"/>
        </w:rPr>
        <w:t>’</w:t>
      </w:r>
      <w:r w:rsidRPr="00C73365">
        <w:rPr>
          <w:rFonts w:asciiTheme="minorHAnsi" w:hAnsiTheme="minorHAnsi" w:cstheme="minorHAnsi"/>
          <w:lang w:val="fr-FR"/>
        </w:rPr>
        <w:t>un pays à l</w:t>
      </w:r>
      <w:r w:rsidR="004572A0" w:rsidRPr="00C73365">
        <w:rPr>
          <w:rFonts w:asciiTheme="minorHAnsi" w:hAnsiTheme="minorHAnsi" w:cstheme="minorHAnsi"/>
          <w:lang w:val="fr-FR"/>
        </w:rPr>
        <w:t>’</w:t>
      </w:r>
      <w:r w:rsidRPr="00C73365">
        <w:rPr>
          <w:rFonts w:asciiTheme="minorHAnsi" w:hAnsiTheme="minorHAnsi" w:cstheme="minorHAnsi"/>
          <w:lang w:val="fr-FR"/>
        </w:rPr>
        <w:t>autre, les taux les plus importants sont retrouvés dans les pays industrialisés, notamment en Europe du Nord-Ouest et aux Etats-Unis. En France, où la prévalence est stable ces dernières années, environ 5 nouveaux cas de maladie de Crohn et autant de rectocolites hémorragiques sont diagnostiqués chaque année pour 100 000 habitants. La prévalence augmente en revanche de façon exponentielle dans les pays en cours d’industrialisation (pays du Maghreb, Asie, Afrique du Sud...).</w:t>
      </w:r>
    </w:p>
    <w:p w14:paraId="681F9944" w14:textId="77777777" w:rsidR="00943434" w:rsidRPr="00C73365" w:rsidRDefault="00943434" w:rsidP="00943434">
      <w:pPr>
        <w:pStyle w:val="Paragraphedeliste"/>
        <w:numPr>
          <w:ilvl w:val="3"/>
          <w:numId w:val="9"/>
        </w:numPr>
        <w:spacing w:after="0"/>
        <w:outlineLvl w:val="2"/>
        <w:rPr>
          <w:rFonts w:asciiTheme="minorHAnsi" w:hAnsiTheme="minorHAnsi" w:cstheme="minorHAnsi"/>
          <w:b/>
          <w:szCs w:val="20"/>
          <w:lang w:val="fr-FR"/>
        </w:rPr>
      </w:pPr>
      <w:r w:rsidRPr="00C73365">
        <w:rPr>
          <w:rFonts w:asciiTheme="minorHAnsi" w:hAnsiTheme="minorHAnsi" w:cstheme="minorHAnsi"/>
          <w:lang w:val="fr-FR"/>
        </w:rPr>
        <w:t>Options thérapeutiques contre les MICI</w:t>
      </w:r>
    </w:p>
    <w:p w14:paraId="1F47B918" w14:textId="77777777" w:rsidR="00943434" w:rsidRPr="00C73365" w:rsidRDefault="00943434" w:rsidP="00943434">
      <w:pPr>
        <w:spacing w:line="240" w:lineRule="atLeast"/>
        <w:rPr>
          <w:rFonts w:asciiTheme="minorHAnsi" w:hAnsiTheme="minorHAnsi" w:cstheme="minorHAnsi"/>
          <w:szCs w:val="20"/>
          <w:lang w:val="fr-FR"/>
        </w:rPr>
      </w:pPr>
    </w:p>
    <w:p w14:paraId="1D949D12" w14:textId="77777777" w:rsidR="00943434" w:rsidRPr="00C73365" w:rsidRDefault="00943434"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 xml:space="preserve">Il n’existe pas de traitement curatif des MICI, mais les médicaments anti-inflammatoires actuels permettent dans la grande majorité des cas un contrôle durable de la maladie, pendant plusieurs années, associé à une qualité de vie satisfaisante. Ils préviennent l’apparition des poussées et prolongent les phases de rémission en favorisant la </w:t>
      </w:r>
      <w:r w:rsidRPr="00C73365">
        <w:rPr>
          <w:rFonts w:asciiTheme="minorHAnsi" w:hAnsiTheme="minorHAnsi" w:cstheme="minorHAnsi"/>
          <w:lang w:val="fr-FR"/>
        </w:rPr>
        <w:lastRenderedPageBreak/>
        <w:t>cicatrisation des lésions du tube digestif. Lors des poussées, des 5-aminosalicylés (5-ASA) peuvent être prescrits chez les personnes souffrant de forme modérée de rectocolite hémorragique. Par contre, ils ne sont pas efficaces dans la maladie de Crohn. Les corticoïdes sont quant à eux de moins en moins utilisés en raison de leurs effets secondaires à moyen et long terme.</w:t>
      </w:r>
    </w:p>
    <w:p w14:paraId="4F6FC675" w14:textId="579A90D0" w:rsidR="00943434" w:rsidRPr="00C73365" w:rsidRDefault="00943434"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 xml:space="preserve">Chez les patients dont la maladie est évolutive, les médecins instaurent rapidement un traitement immunomodulateur, pour stopper les crises et éviter l’apparition de nouvelles lésions. Ces médicaments permettent de réguler l’immunité des patients et réduire l’inflammation à long terme. Les plus utilisés sont les biothérapies : les anti-TNF-α et anti-Il12/Il-23 bloquent spécifiquement des facteurs d’inflammation impliqués dans la maladie. Environ 70% des patients répondent bien à ces traitements. </w:t>
      </w:r>
    </w:p>
    <w:p w14:paraId="0E1D5D02" w14:textId="77777777" w:rsidR="00943434" w:rsidRPr="00C73365" w:rsidRDefault="00943434"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Toutefois, chez la moitié d’entre eux, l’efficacité de ces médicaments s’altère au bout de deux ans, nécessitant de changer de molécule. Une nouvelle génération d’immunomodulateur spécifique de l’intestin (vedolizumab) vient d’arriver sur le marché. Il s’agit d</w:t>
      </w:r>
      <w:r w:rsidR="004572A0" w:rsidRPr="00C73365">
        <w:rPr>
          <w:rFonts w:asciiTheme="minorHAnsi" w:hAnsiTheme="minorHAnsi" w:cstheme="minorHAnsi"/>
          <w:lang w:val="fr-FR"/>
        </w:rPr>
        <w:t>’</w:t>
      </w:r>
      <w:r w:rsidRPr="00C73365">
        <w:rPr>
          <w:rFonts w:asciiTheme="minorHAnsi" w:hAnsiTheme="minorHAnsi" w:cstheme="minorHAnsi"/>
          <w:lang w:val="fr-FR"/>
        </w:rPr>
        <w:t>anticorps monoclonaux qui se lient spécifiquement à des molécules d’adhésion présentes à la surface de cellules immunitaires du sang, empêchant leur passage dans le tube digestif.</w:t>
      </w:r>
    </w:p>
    <w:p w14:paraId="1785DBCA" w14:textId="77777777" w:rsidR="00943434" w:rsidRPr="00C73365" w:rsidRDefault="00943434"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Pour les malades résistants à un traitement bien suivi, ou encore suite à l’apparition de complications, un traitement chirurgical peut être proposé. Après 10 ans d’évolution de leur maladie, plus d</w:t>
      </w:r>
      <w:r w:rsidR="004572A0" w:rsidRPr="00C73365">
        <w:rPr>
          <w:rFonts w:asciiTheme="minorHAnsi" w:hAnsiTheme="minorHAnsi" w:cstheme="minorHAnsi"/>
          <w:lang w:val="fr-FR"/>
        </w:rPr>
        <w:t>’</w:t>
      </w:r>
      <w:r w:rsidRPr="00C73365">
        <w:rPr>
          <w:rFonts w:asciiTheme="minorHAnsi" w:hAnsiTheme="minorHAnsi" w:cstheme="minorHAnsi"/>
          <w:lang w:val="fr-FR"/>
        </w:rPr>
        <w:t>un patient sur deux a subi une intervention chirurgicale afin de retirer le segment du tube digestif le plus atteint. Cette proportion devrait diminuer dans les années à venir grâce à l’arrivée de nouveaux médicaments plus efficaces.</w:t>
      </w:r>
    </w:p>
    <w:p w14:paraId="054D817E" w14:textId="77777777" w:rsidR="00943434" w:rsidRPr="00C73365" w:rsidRDefault="00943434"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 xml:space="preserve">Enfin, la fréquence et l’importance des diarrhées peuvent entraîner une carence nutritionnelle. Une supplémentation en fer, acide folique, zinc, magnésium, vitamines... peut être nécessaire, par voie orale ou intraveineuse. </w:t>
      </w:r>
    </w:p>
    <w:p w14:paraId="48C47BE7" w14:textId="016D68AE" w:rsidR="00943434" w:rsidRPr="003F3572" w:rsidRDefault="00943434" w:rsidP="00943434">
      <w:pPr>
        <w:pStyle w:val="Paragraphedeliste"/>
        <w:numPr>
          <w:ilvl w:val="3"/>
          <w:numId w:val="9"/>
        </w:numPr>
        <w:spacing w:after="0"/>
        <w:outlineLvl w:val="2"/>
        <w:rPr>
          <w:rFonts w:asciiTheme="minorHAnsi" w:hAnsiTheme="minorHAnsi" w:cstheme="minorHAnsi"/>
          <w:lang w:val="fr-FR"/>
        </w:rPr>
      </w:pPr>
      <w:r w:rsidRPr="00C73365">
        <w:rPr>
          <w:rFonts w:asciiTheme="minorHAnsi" w:hAnsiTheme="minorHAnsi" w:cstheme="minorHAnsi"/>
          <w:lang w:val="fr-FR"/>
        </w:rPr>
        <w:t>Le marché des médicaments contre les MICI</w:t>
      </w:r>
    </w:p>
    <w:p w14:paraId="527EAB0F" w14:textId="77777777" w:rsidR="003F3572" w:rsidRDefault="003F3572" w:rsidP="003F3572">
      <w:pPr>
        <w:pStyle w:val="Corpsdetexte"/>
        <w:spacing w:after="0"/>
        <w:rPr>
          <w:rFonts w:asciiTheme="minorHAnsi" w:hAnsiTheme="minorHAnsi" w:cstheme="minorHAnsi"/>
          <w:shd w:val="clear" w:color="auto" w:fill="FFFFFF"/>
          <w:lang w:val="fr-FR" w:eastAsia="ja-JP"/>
        </w:rPr>
      </w:pPr>
    </w:p>
    <w:p w14:paraId="34D221AA" w14:textId="3C7AEA63" w:rsidR="00943434" w:rsidRPr="00C73365" w:rsidRDefault="00943434" w:rsidP="003F3572">
      <w:pPr>
        <w:pStyle w:val="Corpsdetexte"/>
        <w:spacing w:after="0"/>
        <w:rPr>
          <w:rFonts w:asciiTheme="minorHAnsi" w:hAnsiTheme="minorHAnsi" w:cstheme="minorHAnsi"/>
          <w:lang w:val="fr-FR" w:eastAsia="ja-JP"/>
        </w:rPr>
      </w:pPr>
      <w:r w:rsidRPr="00C73365">
        <w:rPr>
          <w:rFonts w:asciiTheme="minorHAnsi" w:hAnsiTheme="minorHAnsi" w:cstheme="minorHAnsi"/>
          <w:shd w:val="clear" w:color="auto" w:fill="FFFFFF"/>
          <w:lang w:val="fr-FR" w:eastAsia="ja-JP"/>
        </w:rPr>
        <w:t>Les maladies inflammatoires chroniques de l’intestin (ou MICI) regroupent la </w:t>
      </w:r>
      <w:r w:rsidRPr="00C73365">
        <w:rPr>
          <w:rFonts w:asciiTheme="minorHAnsi" w:hAnsiTheme="minorHAnsi" w:cstheme="minorHAnsi"/>
          <w:bCs/>
          <w:bdr w:val="none" w:sz="0" w:space="0" w:color="auto" w:frame="1"/>
          <w:lang w:val="fr-FR" w:eastAsia="ja-JP"/>
        </w:rPr>
        <w:t>maladie de Crohn</w:t>
      </w:r>
      <w:r w:rsidRPr="00C73365">
        <w:rPr>
          <w:rFonts w:asciiTheme="minorHAnsi" w:hAnsiTheme="minorHAnsi" w:cstheme="minorHAnsi"/>
          <w:shd w:val="clear" w:color="auto" w:fill="FFFFFF"/>
          <w:lang w:val="fr-FR" w:eastAsia="ja-JP"/>
        </w:rPr>
        <w:t> et la </w:t>
      </w:r>
      <w:r w:rsidRPr="00C73365">
        <w:rPr>
          <w:rFonts w:asciiTheme="minorHAnsi" w:hAnsiTheme="minorHAnsi" w:cstheme="minorHAnsi"/>
          <w:bCs/>
          <w:bdr w:val="none" w:sz="0" w:space="0" w:color="auto" w:frame="1"/>
          <w:lang w:val="fr-FR" w:eastAsia="ja-JP"/>
        </w:rPr>
        <w:t>rectocolite hémorragique</w:t>
      </w:r>
      <w:r w:rsidRPr="00C73365">
        <w:rPr>
          <w:rFonts w:asciiTheme="minorHAnsi" w:hAnsiTheme="minorHAnsi" w:cstheme="minorHAnsi"/>
          <w:shd w:val="clear" w:color="auto" w:fill="FFFFFF"/>
          <w:lang w:val="fr-FR" w:eastAsia="ja-JP"/>
        </w:rPr>
        <w:t>. Toutes deux se caractérisent par une </w:t>
      </w:r>
      <w:r w:rsidRPr="00C73365">
        <w:rPr>
          <w:rFonts w:asciiTheme="minorHAnsi" w:hAnsiTheme="minorHAnsi" w:cstheme="minorHAnsi"/>
          <w:bCs/>
          <w:bdr w:val="none" w:sz="0" w:space="0" w:color="auto" w:frame="1"/>
          <w:lang w:val="fr-FR" w:eastAsia="ja-JP"/>
        </w:rPr>
        <w:t>inflammation de la paroi d’une partie du tube digestif.</w:t>
      </w:r>
    </w:p>
    <w:p w14:paraId="5F7C14A1" w14:textId="1824D20A" w:rsidR="00943434" w:rsidRPr="00C73365" w:rsidRDefault="00943434"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 xml:space="preserve">En ce qui concerne la rectocolite hémorragique, </w:t>
      </w:r>
      <w:r w:rsidRPr="00C73365">
        <w:rPr>
          <w:rFonts w:asciiTheme="minorHAnsi" w:hAnsiTheme="minorHAnsi" w:cstheme="minorHAnsi"/>
          <w:lang w:val="fr-FR" w:eastAsia="ja-JP"/>
        </w:rPr>
        <w:t>les traitements actuels ont généré des ventes annuelles de 4,8 milliards de dollars dans le monde en 2015, chiffre qui devrait atteindre 5,46 milliards de dollars d</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ici 2025 avec l</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approbation de nouvelles molécules. Bien que la maladie de Crohn soit plus grave que la rectocolite hémorragique, la prévalence mondiale est beaucoup plus faible, avec seulement 1,3 million de patients diagnostiqués et 0,8 million qui reçoivent actuellement un traitement. Pourtant,</w:t>
      </w:r>
      <w:r w:rsidR="003F3572" w:rsidRPr="003F3572">
        <w:rPr>
          <w:rFonts w:asciiTheme="minorHAnsi" w:hAnsiTheme="minorHAnsi" w:cstheme="minorHAnsi"/>
          <w:lang w:val="fr-FR" w:eastAsia="ja-JP"/>
        </w:rPr>
        <w:t xml:space="preserve"> </w:t>
      </w:r>
      <w:r w:rsidR="003F3572">
        <w:rPr>
          <w:rFonts w:asciiTheme="minorHAnsi" w:hAnsiTheme="minorHAnsi" w:cstheme="minorHAnsi"/>
          <w:lang w:val="fr-FR" w:eastAsia="ja-JP"/>
        </w:rPr>
        <w:t>en raison du cout élevé et l’adoption rapide des anticorps monoclonaux de 1</w:t>
      </w:r>
      <w:r w:rsidR="003F3572" w:rsidRPr="001B673C">
        <w:rPr>
          <w:rFonts w:asciiTheme="minorHAnsi" w:hAnsiTheme="minorHAnsi" w:cstheme="minorHAnsi"/>
          <w:vertAlign w:val="superscript"/>
          <w:lang w:val="fr-FR" w:eastAsia="ja-JP"/>
        </w:rPr>
        <w:t>ère</w:t>
      </w:r>
      <w:r w:rsidR="003F3572">
        <w:rPr>
          <w:rFonts w:asciiTheme="minorHAnsi" w:hAnsiTheme="minorHAnsi" w:cstheme="minorHAnsi"/>
          <w:lang w:val="fr-FR" w:eastAsia="ja-JP"/>
        </w:rPr>
        <w:t xml:space="preserve"> et 2</w:t>
      </w:r>
      <w:r w:rsidR="003F3572" w:rsidRPr="001B673C">
        <w:rPr>
          <w:rFonts w:asciiTheme="minorHAnsi" w:hAnsiTheme="minorHAnsi" w:cstheme="minorHAnsi"/>
          <w:vertAlign w:val="superscript"/>
          <w:lang w:val="fr-FR" w:eastAsia="ja-JP"/>
        </w:rPr>
        <w:t>ème</w:t>
      </w:r>
      <w:r w:rsidR="003F3572">
        <w:rPr>
          <w:rFonts w:asciiTheme="minorHAnsi" w:hAnsiTheme="minorHAnsi" w:cstheme="minorHAnsi"/>
          <w:lang w:val="fr-FR" w:eastAsia="ja-JP"/>
        </w:rPr>
        <w:t xml:space="preserve"> génération,</w:t>
      </w:r>
      <w:r w:rsidRPr="00C73365">
        <w:rPr>
          <w:rFonts w:asciiTheme="minorHAnsi" w:hAnsiTheme="minorHAnsi" w:cstheme="minorHAnsi"/>
          <w:lang w:val="fr-FR" w:eastAsia="ja-JP"/>
        </w:rPr>
        <w:t xml:space="preserve"> les ventes annuelles ont atteint 9,2 milliards de dollars au niveau mondial en 2016, ventes qui devraient atteindre 13,4 milliards de dollars d</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ici 2026.</w:t>
      </w:r>
    </w:p>
    <w:p w14:paraId="7407ABDB" w14:textId="025A4FF9" w:rsidR="00943434" w:rsidRPr="00C73365" w:rsidRDefault="00943434" w:rsidP="003F3572">
      <w:pPr>
        <w:pStyle w:val="Corpsdetexte"/>
        <w:rPr>
          <w:rFonts w:asciiTheme="minorHAnsi" w:hAnsiTheme="minorHAnsi" w:cstheme="minorHAnsi"/>
          <w:lang w:val="fr-FR"/>
        </w:rPr>
      </w:pPr>
      <w:r w:rsidRPr="00C73365">
        <w:rPr>
          <w:rFonts w:asciiTheme="minorHAnsi" w:hAnsiTheme="minorHAnsi" w:cstheme="minorHAnsi"/>
          <w:lang w:val="fr-FR" w:eastAsia="ja-JP"/>
        </w:rPr>
        <w:t>Au global les MICI ont engendré des ventes mondiales atteignant 14,2 milliards de dollars en 2016, ventes qui devraient atteindre près de 18,6 milliards en 2025 avec un taux de croissance annuel moyen de plus de 3%.</w:t>
      </w:r>
    </w:p>
    <w:p w14:paraId="6558F2DB" w14:textId="77777777" w:rsidR="00943434" w:rsidRPr="003F3572" w:rsidRDefault="00943434" w:rsidP="00943434">
      <w:pPr>
        <w:spacing w:line="240" w:lineRule="atLeast"/>
        <w:ind w:firstLine="708"/>
        <w:rPr>
          <w:rFonts w:asciiTheme="minorHAnsi" w:hAnsiTheme="minorHAnsi" w:cstheme="minorHAnsi"/>
          <w:szCs w:val="20"/>
        </w:rPr>
      </w:pPr>
      <w:r w:rsidRPr="00C73365">
        <w:rPr>
          <w:rFonts w:asciiTheme="minorHAnsi" w:hAnsiTheme="minorHAnsi" w:cstheme="minorHAnsi"/>
          <w:noProof/>
          <w:szCs w:val="20"/>
          <w:lang w:val="fr-FR" w:eastAsia="fr-FR"/>
        </w:rPr>
        <w:drawing>
          <wp:inline distT="0" distB="0" distL="0" distR="0" wp14:anchorId="79F86962" wp14:editId="49EFDE52">
            <wp:extent cx="2356850" cy="3137647"/>
            <wp:effectExtent l="0" t="0" r="571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69717" cy="3154777"/>
                    </a:xfrm>
                    <a:prstGeom prst="rect">
                      <a:avLst/>
                    </a:prstGeom>
                  </pic:spPr>
                </pic:pic>
              </a:graphicData>
            </a:graphic>
          </wp:inline>
        </w:drawing>
      </w:r>
      <w:r w:rsidRPr="003F3572">
        <w:rPr>
          <w:rFonts w:asciiTheme="minorHAnsi" w:hAnsiTheme="minorHAnsi" w:cstheme="minorHAnsi"/>
          <w:szCs w:val="20"/>
        </w:rPr>
        <w:t xml:space="preserve">                    </w:t>
      </w:r>
      <w:r w:rsidRPr="00C73365">
        <w:rPr>
          <w:rFonts w:asciiTheme="minorHAnsi" w:hAnsiTheme="minorHAnsi" w:cstheme="minorHAnsi"/>
          <w:noProof/>
          <w:szCs w:val="20"/>
          <w:lang w:val="fr-FR" w:eastAsia="fr-FR"/>
        </w:rPr>
        <w:drawing>
          <wp:inline distT="0" distB="0" distL="0" distR="0" wp14:anchorId="1230C43D" wp14:editId="73E50078">
            <wp:extent cx="2678457" cy="3128682"/>
            <wp:effectExtent l="0" t="0" r="127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2329" cy="3144886"/>
                    </a:xfrm>
                    <a:prstGeom prst="rect">
                      <a:avLst/>
                    </a:prstGeom>
                  </pic:spPr>
                </pic:pic>
              </a:graphicData>
            </a:graphic>
          </wp:inline>
        </w:drawing>
      </w:r>
    </w:p>
    <w:p w14:paraId="129D01CB" w14:textId="6D671754" w:rsidR="00943434" w:rsidRPr="003F3572" w:rsidRDefault="00943434" w:rsidP="003F3572">
      <w:pPr>
        <w:pStyle w:val="NormalWeb"/>
        <w:jc w:val="center"/>
        <w:rPr>
          <w:rFonts w:asciiTheme="minorHAnsi" w:hAnsiTheme="minorHAnsi" w:cstheme="minorHAnsi"/>
          <w:i/>
        </w:rPr>
      </w:pPr>
      <w:r w:rsidRPr="003F3572">
        <w:rPr>
          <w:rFonts w:asciiTheme="minorHAnsi" w:hAnsiTheme="minorHAnsi" w:cstheme="minorHAnsi"/>
          <w:i/>
        </w:rPr>
        <w:t>Source:</w:t>
      </w:r>
      <w:r w:rsidR="003F3572">
        <w:rPr>
          <w:rFonts w:asciiTheme="minorHAnsi" w:hAnsiTheme="minorHAnsi" w:cstheme="minorHAnsi"/>
          <w:i/>
        </w:rPr>
        <w:t xml:space="preserve"> </w:t>
      </w:r>
      <w:r w:rsidR="003F3572" w:rsidRPr="001B673C">
        <w:rPr>
          <w:rFonts w:asciiTheme="minorHAnsi" w:hAnsiTheme="minorHAnsi" w:cstheme="minorHAnsi"/>
          <w:i/>
        </w:rPr>
        <w:t>GlobalData</w:t>
      </w:r>
      <w:r w:rsidR="003F3572">
        <w:rPr>
          <w:rFonts w:asciiTheme="minorHAnsi" w:hAnsiTheme="minorHAnsi" w:cstheme="minorHAnsi"/>
          <w:i/>
        </w:rPr>
        <w:t xml:space="preserve"> - </w:t>
      </w:r>
      <w:r w:rsidR="003F3572" w:rsidRPr="00895320">
        <w:rPr>
          <w:rFonts w:asciiTheme="minorHAnsi" w:hAnsiTheme="minorHAnsi" w:cstheme="minorHAnsi"/>
          <w:i/>
          <w:szCs w:val="20"/>
        </w:rPr>
        <w:t>PharmaPoint:</w:t>
      </w:r>
      <w:r w:rsidR="003F3572" w:rsidRPr="001B673C">
        <w:rPr>
          <w:rFonts w:asciiTheme="minorHAnsi" w:hAnsiTheme="minorHAnsi" w:cstheme="minorHAnsi"/>
          <w:i/>
          <w:szCs w:val="20"/>
        </w:rPr>
        <w:t xml:space="preserve"> Crohn’s Disease Global Drug Forecast and Market Analysis to 2026 </w:t>
      </w:r>
      <w:r w:rsidR="003F3572">
        <w:rPr>
          <w:rFonts w:asciiTheme="minorHAnsi" w:hAnsiTheme="minorHAnsi" w:cstheme="minorHAnsi"/>
          <w:i/>
        </w:rPr>
        <w:t xml:space="preserve">&amp; </w:t>
      </w:r>
      <w:r w:rsidR="003F3572" w:rsidRPr="001B673C">
        <w:rPr>
          <w:rFonts w:asciiTheme="minorHAnsi" w:hAnsiTheme="minorHAnsi" w:cstheme="minorHAnsi"/>
          <w:i/>
        </w:rPr>
        <w:t>Ulcerative Coliti</w:t>
      </w:r>
      <w:r w:rsidR="003F3572" w:rsidRPr="00895320">
        <w:rPr>
          <w:rFonts w:asciiTheme="minorHAnsi" w:hAnsiTheme="minorHAnsi" w:cstheme="minorHAnsi"/>
          <w:i/>
        </w:rPr>
        <w:t>s</w:t>
      </w:r>
      <w:r w:rsidR="003F3572">
        <w:rPr>
          <w:rFonts w:asciiTheme="minorHAnsi" w:hAnsiTheme="minorHAnsi" w:cstheme="minorHAnsi"/>
          <w:i/>
        </w:rPr>
        <w:t xml:space="preserve"> </w:t>
      </w:r>
      <w:r w:rsidR="003F3572" w:rsidRPr="001B673C">
        <w:rPr>
          <w:rFonts w:asciiTheme="minorHAnsi" w:hAnsiTheme="minorHAnsi" w:cstheme="minorHAnsi"/>
          <w:i/>
        </w:rPr>
        <w:t>Global Drug Forecast and Market Analysis to 2025</w:t>
      </w:r>
    </w:p>
    <w:p w14:paraId="2C5A76FA" w14:textId="77777777" w:rsidR="00943434" w:rsidRPr="00C73365" w:rsidRDefault="00943434" w:rsidP="00943434">
      <w:pPr>
        <w:pStyle w:val="Paragraphedeliste"/>
        <w:numPr>
          <w:ilvl w:val="3"/>
          <w:numId w:val="9"/>
        </w:numPr>
        <w:spacing w:after="0"/>
        <w:outlineLvl w:val="2"/>
        <w:rPr>
          <w:rFonts w:asciiTheme="minorHAnsi" w:hAnsiTheme="minorHAnsi" w:cstheme="minorHAnsi"/>
          <w:b/>
          <w:szCs w:val="20"/>
          <w:lang w:val="fr-FR"/>
        </w:rPr>
      </w:pPr>
      <w:r w:rsidRPr="00C73365">
        <w:rPr>
          <w:rFonts w:asciiTheme="minorHAnsi" w:hAnsiTheme="minorHAnsi" w:cstheme="minorHAnsi"/>
          <w:lang w:val="fr-FR"/>
        </w:rPr>
        <w:lastRenderedPageBreak/>
        <w:t>Pipeline de R&amp;D et concurrence</w:t>
      </w:r>
    </w:p>
    <w:p w14:paraId="2593316F" w14:textId="77777777" w:rsidR="00943434" w:rsidRPr="00C73365" w:rsidRDefault="00943434" w:rsidP="00943434">
      <w:pPr>
        <w:spacing w:line="240" w:lineRule="atLeast"/>
        <w:rPr>
          <w:rFonts w:asciiTheme="minorHAnsi" w:hAnsiTheme="minorHAnsi" w:cstheme="minorHAnsi"/>
          <w:szCs w:val="20"/>
          <w:lang w:val="fr-FR"/>
        </w:rPr>
      </w:pPr>
    </w:p>
    <w:p w14:paraId="1ADC3649" w14:textId="77777777" w:rsidR="00943434" w:rsidRPr="00C73365" w:rsidRDefault="00943434" w:rsidP="004572A0">
      <w:pPr>
        <w:pStyle w:val="Corpsdetexte"/>
        <w:rPr>
          <w:rFonts w:asciiTheme="minorHAnsi" w:hAnsiTheme="minorHAnsi" w:cstheme="minorHAnsi"/>
          <w:lang w:val="fr-FR"/>
        </w:rPr>
      </w:pPr>
      <w:r w:rsidRPr="00C73365">
        <w:rPr>
          <w:rFonts w:asciiTheme="minorHAnsi" w:hAnsiTheme="minorHAnsi" w:cstheme="minorHAnsi"/>
          <w:lang w:val="fr-FR"/>
        </w:rPr>
        <w:t>Plusieurs voies de recherche sont en cours de développement pour améliorer le traitement des maladies inflammatoires chroniques intestinales.</w:t>
      </w:r>
    </w:p>
    <w:p w14:paraId="0D1B4286" w14:textId="39BD646A" w:rsidR="00943434" w:rsidRPr="00C73365" w:rsidRDefault="00943434"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De nombreux laboratoires travaillent à la mise au point de nouvelles biothérapies, plus efficaces et mieux tolérées. Une nouvelle</w:t>
      </w:r>
      <w:r w:rsidR="007B378C">
        <w:rPr>
          <w:rFonts w:asciiTheme="minorHAnsi" w:hAnsiTheme="minorHAnsi" w:cstheme="minorHAnsi"/>
          <w:lang w:val="fr-FR"/>
        </w:rPr>
        <w:t xml:space="preserve"> </w:t>
      </w:r>
      <w:r w:rsidRPr="00C73365">
        <w:rPr>
          <w:rFonts w:asciiTheme="minorHAnsi" w:hAnsiTheme="minorHAnsi" w:cstheme="minorHAnsi"/>
          <w:lang w:val="fr-FR"/>
        </w:rPr>
        <w:t>classe d’anticorps anti-b7 devrait notamment arriver sur le marché en 2017. Néanmoins, les immunomodulateurs actuels ciblent l’inflammation sans permettre de traiter la fibrose résultant des lésions induites et de leur cicatrisation. Or cette fibrose provoque localement une réduction du diamètre du tube digestif, avec un risque d’occlusion nécessitant une intervention chirurgicale. Des antifibrotiques sont donc également en cours de développement. L’objectif est de les associer aux immunomodulateurs.</w:t>
      </w:r>
    </w:p>
    <w:p w14:paraId="69D3C467" w14:textId="5E811FC3" w:rsidR="00943434" w:rsidRDefault="00943434" w:rsidP="007B378C">
      <w:pPr>
        <w:pStyle w:val="Corpsdetexte"/>
        <w:spacing w:after="0"/>
        <w:rPr>
          <w:rFonts w:asciiTheme="minorHAnsi" w:hAnsiTheme="minorHAnsi" w:cstheme="minorHAnsi"/>
          <w:lang w:val="fr-FR"/>
        </w:rPr>
      </w:pPr>
      <w:r w:rsidRPr="00C73365">
        <w:rPr>
          <w:rFonts w:asciiTheme="minorHAnsi" w:hAnsiTheme="minorHAnsi" w:cstheme="minorHAnsi"/>
          <w:lang w:val="fr-FR"/>
        </w:rPr>
        <w:t>Par ailleurs, une nouvelle molécule de la classe 5-ASA, beaucoup plus efficace, est à l’étude. Les 5-aminosalicylés (5-ASA) sont de</w:t>
      </w:r>
      <w:r w:rsidR="007B378C">
        <w:rPr>
          <w:rFonts w:asciiTheme="minorHAnsi" w:hAnsiTheme="minorHAnsi" w:cstheme="minorHAnsi"/>
          <w:lang w:val="fr-FR"/>
        </w:rPr>
        <w:t xml:space="preserve">s </w:t>
      </w:r>
      <w:r w:rsidRPr="00C73365">
        <w:rPr>
          <w:rFonts w:asciiTheme="minorHAnsi" w:hAnsiTheme="minorHAnsi" w:cstheme="minorHAnsi"/>
          <w:lang w:val="fr-FR"/>
        </w:rPr>
        <w:t>molécules</w:t>
      </w:r>
      <w:r w:rsidR="007B378C">
        <w:rPr>
          <w:rFonts w:asciiTheme="minorHAnsi" w:hAnsiTheme="minorHAnsi" w:cstheme="minorHAnsi"/>
          <w:lang w:val="fr-FR"/>
        </w:rPr>
        <w:t xml:space="preserve"> anciennes</w:t>
      </w:r>
      <w:r w:rsidRPr="00C73365">
        <w:rPr>
          <w:rFonts w:asciiTheme="minorHAnsi" w:hAnsiTheme="minorHAnsi" w:cstheme="minorHAnsi"/>
          <w:lang w:val="fr-FR"/>
        </w:rPr>
        <w:t xml:space="preserve"> dont le développement valut un prix Nobel de médecine à Gerhard Domagk</w:t>
      </w:r>
      <w:r w:rsidR="007B378C">
        <w:rPr>
          <w:rFonts w:asciiTheme="minorHAnsi" w:hAnsiTheme="minorHAnsi" w:cstheme="minorHAnsi"/>
          <w:lang w:val="fr-FR"/>
        </w:rPr>
        <w:t xml:space="preserve"> </w:t>
      </w:r>
      <w:r w:rsidRPr="00C73365">
        <w:rPr>
          <w:rFonts w:asciiTheme="minorHAnsi" w:hAnsiTheme="minorHAnsi" w:cstheme="minorHAnsi"/>
          <w:lang w:val="fr-FR"/>
        </w:rPr>
        <w:t>en 1939. Ce n’est que des années plus tard que les médecins découvrirent de façon fortuite leur utilité dans le traitement des maladies inflammatoires de l’intestin. Et il fallut attendre 2007 pour qu’une équipe décortique les voies de signalisation impliquées dans son mécanisme anti-inflammatoire. Ces travaux ont permis de franchir un pas important dans la mise au point d’une nouvelle molécule plus spécifique (GED-0507-34 Levo), toujours en cours de développement. Elle pourrait avoir une action anti-inflammatoire 50 fois supérieure à celle des 5-aminosalicylés aujourd’hui disponibles, notamment dans la rectocolite hémorragique. Elle présenterait en outre une action antifibrotique.</w:t>
      </w:r>
    </w:p>
    <w:p w14:paraId="2CB5157D" w14:textId="77777777" w:rsidR="007B378C" w:rsidRPr="00C73365" w:rsidRDefault="007B378C" w:rsidP="007B378C">
      <w:pPr>
        <w:pStyle w:val="Corpsdetexte"/>
        <w:spacing w:after="0"/>
        <w:rPr>
          <w:rFonts w:asciiTheme="minorHAnsi" w:hAnsiTheme="minorHAnsi" w:cstheme="minorHAnsi"/>
          <w:lang w:val="fr-FR"/>
        </w:rPr>
      </w:pPr>
    </w:p>
    <w:p w14:paraId="7572A5B4" w14:textId="3A06343A" w:rsidR="00E74177" w:rsidRDefault="00E74177" w:rsidP="007B378C">
      <w:pPr>
        <w:spacing w:after="0"/>
        <w:rPr>
          <w:rFonts w:asciiTheme="minorHAnsi" w:eastAsiaTheme="majorEastAsia" w:hAnsiTheme="minorHAnsi"/>
          <w:szCs w:val="20"/>
          <w:lang w:val="fr-FR"/>
        </w:rPr>
      </w:pPr>
      <w:r w:rsidRPr="001B673C">
        <w:rPr>
          <w:rFonts w:asciiTheme="minorHAnsi" w:eastAsiaTheme="majorEastAsia" w:hAnsiTheme="minorHAnsi"/>
          <w:szCs w:val="20"/>
          <w:lang w:val="fr-FR"/>
        </w:rPr>
        <w:t xml:space="preserve">Autre traitement prometteur dans le traitement des MICI, les </w:t>
      </w:r>
      <w:r w:rsidRPr="001B673C">
        <w:rPr>
          <w:rFonts w:asciiTheme="minorHAnsi" w:eastAsiaTheme="majorEastAsia" w:hAnsiTheme="minorHAnsi"/>
          <w:szCs w:val="20"/>
          <w:lang w:val="fr-FR" w:eastAsia="ja-JP"/>
        </w:rPr>
        <w:t xml:space="preserve">inhibiteurs de Janus kinases (anti-JAK).  Les Janus kinases </w:t>
      </w:r>
      <w:r w:rsidRPr="001B673C">
        <w:rPr>
          <w:rFonts w:asciiTheme="minorHAnsi" w:eastAsiaTheme="majorEastAsia" w:hAnsiTheme="minorHAnsi"/>
          <w:szCs w:val="20"/>
          <w:lang w:val="fr-FR"/>
        </w:rPr>
        <w:t xml:space="preserve">(JAK) correspondent </w:t>
      </w:r>
      <w:r w:rsidRPr="0058336F">
        <w:rPr>
          <w:rFonts w:asciiTheme="minorHAnsi" w:eastAsiaTheme="majorEastAsia" w:hAnsiTheme="minorHAnsi"/>
          <w:szCs w:val="20"/>
          <w:lang w:val="fr-FR"/>
        </w:rPr>
        <w:t>à</w:t>
      </w:r>
      <w:r w:rsidR="000A54A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4 tyrosines kinases intracellulaires : JAK1, JAK2, JAK3 et tyrosine kinase 2. 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inhibition de la voie de signalisation JAK- STAT (</w:t>
      </w:r>
      <w:r w:rsidRPr="0058336F">
        <w:rPr>
          <w:rFonts w:asciiTheme="minorHAnsi" w:eastAsiaTheme="majorEastAsia" w:hAnsiTheme="minorHAnsi"/>
          <w:szCs w:val="20"/>
          <w:lang w:val="fr-FR"/>
        </w:rPr>
        <w:t>STAT :</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P</w:t>
      </w:r>
      <w:r w:rsidRPr="0058336F">
        <w:rPr>
          <w:rFonts w:asciiTheme="minorHAnsi" w:hAnsiTheme="minorHAnsi"/>
          <w:szCs w:val="20"/>
          <w:lang w:val="fr-FR"/>
        </w:rPr>
        <w:t>rotéines</w:t>
      </w:r>
      <w:r w:rsidRPr="001B673C">
        <w:rPr>
          <w:rFonts w:asciiTheme="minorHAnsi" w:hAnsiTheme="minorHAnsi"/>
          <w:szCs w:val="20"/>
          <w:lang w:val="fr-FR"/>
        </w:rPr>
        <w:t xml:space="preserve"> qui vont se transloquer dans le noyau et </w:t>
      </w:r>
      <w:r w:rsidRPr="0058336F">
        <w:rPr>
          <w:rFonts w:asciiTheme="minorHAnsi" w:hAnsiTheme="minorHAnsi"/>
          <w:szCs w:val="20"/>
          <w:lang w:val="fr-FR"/>
        </w:rPr>
        <w:t>réguler</w:t>
      </w:r>
      <w:r w:rsidRPr="001B673C">
        <w:rPr>
          <w:rFonts w:asciiTheme="minorHAnsi" w:hAnsiTheme="minorHAnsi"/>
          <w:szCs w:val="20"/>
          <w:lang w:val="fr-FR"/>
        </w:rPr>
        <w:t xml:space="preserve"> l</w:t>
      </w:r>
      <w:r w:rsidRPr="001B673C">
        <w:rPr>
          <w:rFonts w:asciiTheme="minorHAnsi" w:hAnsiTheme="minorHAnsi" w:hint="eastAsia"/>
          <w:szCs w:val="20"/>
          <w:lang w:val="fr-FR"/>
        </w:rPr>
        <w:t>’</w:t>
      </w:r>
      <w:r w:rsidRPr="001B673C">
        <w:rPr>
          <w:rFonts w:asciiTheme="minorHAnsi" w:hAnsiTheme="minorHAnsi"/>
          <w:szCs w:val="20"/>
          <w:lang w:val="fr-FR"/>
        </w:rPr>
        <w:t xml:space="preserve">expression de </w:t>
      </w:r>
      <w:r w:rsidRPr="0058336F">
        <w:rPr>
          <w:rFonts w:asciiTheme="minorHAnsi" w:hAnsiTheme="minorHAnsi"/>
          <w:szCs w:val="20"/>
          <w:lang w:val="fr-FR"/>
        </w:rPr>
        <w:t>différents</w:t>
      </w:r>
      <w:r w:rsidRPr="001B673C">
        <w:rPr>
          <w:rFonts w:asciiTheme="minorHAnsi" w:hAnsiTheme="minorHAnsi"/>
          <w:szCs w:val="20"/>
          <w:lang w:val="fr-FR"/>
        </w:rPr>
        <w:t xml:space="preserve"> </w:t>
      </w:r>
      <w:r w:rsidRPr="0058336F">
        <w:rPr>
          <w:rFonts w:asciiTheme="minorHAnsi" w:hAnsiTheme="minorHAnsi"/>
          <w:szCs w:val="20"/>
          <w:lang w:val="fr-FR"/>
        </w:rPr>
        <w:t>gènes</w:t>
      </w:r>
      <w:r w:rsidRPr="001B673C">
        <w:rPr>
          <w:rFonts w:asciiTheme="minorHAnsi" w:hAnsiTheme="minorHAnsi"/>
          <w:szCs w:val="20"/>
          <w:lang w:val="fr-FR"/>
        </w:rPr>
        <w:t xml:space="preserve">) </w:t>
      </w:r>
      <w:r w:rsidRPr="001B673C">
        <w:rPr>
          <w:rFonts w:asciiTheme="minorHAnsi" w:eastAsiaTheme="majorEastAsia" w:hAnsiTheme="minorHAnsi"/>
          <w:szCs w:val="20"/>
          <w:lang w:val="fr-FR"/>
        </w:rPr>
        <w:t>permet de bloquer la production de cytokines pro-inflammatoires dont le TNFα, de bloquer d</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autres voies de</w:t>
      </w:r>
      <w:r w:rsidR="007B378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 xml:space="preserve">inflammation et de </w:t>
      </w:r>
      <w:r w:rsidRPr="0058336F">
        <w:rPr>
          <w:rFonts w:asciiTheme="minorHAnsi" w:eastAsiaTheme="majorEastAsia" w:hAnsiTheme="minorHAnsi"/>
          <w:szCs w:val="20"/>
          <w:lang w:val="fr-FR"/>
        </w:rPr>
        <w:t>réguler</w:t>
      </w:r>
      <w:r w:rsidRPr="001B673C">
        <w:rPr>
          <w:rFonts w:asciiTheme="minorHAnsi" w:eastAsiaTheme="majorEastAsia" w:hAnsiTheme="minorHAnsi"/>
          <w:szCs w:val="20"/>
          <w:lang w:val="fr-FR"/>
        </w:rPr>
        <w:t xml:space="preserve"> l’</w:t>
      </w:r>
      <w:r w:rsidRPr="0058336F">
        <w:rPr>
          <w:rFonts w:asciiTheme="minorHAnsi" w:eastAsiaTheme="majorEastAsia" w:hAnsiTheme="minorHAnsi"/>
          <w:szCs w:val="20"/>
          <w:lang w:val="fr-FR"/>
        </w:rPr>
        <w:t>immunité</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innée</w:t>
      </w:r>
      <w:r w:rsidR="007B378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 xml:space="preserve">et </w:t>
      </w:r>
      <w:r w:rsidRPr="0058336F">
        <w:rPr>
          <w:rFonts w:asciiTheme="minorHAnsi" w:eastAsiaTheme="majorEastAsia" w:hAnsiTheme="minorHAnsi"/>
          <w:szCs w:val="20"/>
          <w:lang w:val="fr-FR"/>
        </w:rPr>
        <w:t>adaptative</w:t>
      </w:r>
      <w:r w:rsidRPr="001B673C">
        <w:rPr>
          <w:rFonts w:asciiTheme="minorHAnsi" w:eastAsiaTheme="majorEastAsia" w:hAnsiTheme="minorHAnsi"/>
          <w:szCs w:val="20"/>
          <w:lang w:val="fr-FR"/>
        </w:rPr>
        <w:t>. Ainsi, plusieurs cytokines et plusieurs voies de 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 xml:space="preserve">inflammation sont </w:t>
      </w:r>
      <w:r w:rsidRPr="0058336F">
        <w:rPr>
          <w:rFonts w:asciiTheme="minorHAnsi" w:eastAsiaTheme="majorEastAsia" w:hAnsiTheme="minorHAnsi"/>
          <w:szCs w:val="20"/>
          <w:lang w:val="fr-FR"/>
        </w:rPr>
        <w:t>bloquées</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simultanément</w:t>
      </w:r>
      <w:r w:rsidRPr="001B673C">
        <w:rPr>
          <w:rFonts w:asciiTheme="minorHAnsi" w:eastAsiaTheme="majorEastAsia" w:hAnsiTheme="minorHAnsi"/>
          <w:szCs w:val="20"/>
          <w:lang w:val="fr-FR"/>
        </w:rPr>
        <w:t xml:space="preserve"> contrairement aux </w:t>
      </w:r>
      <w:r w:rsidRPr="0058336F">
        <w:rPr>
          <w:rFonts w:asciiTheme="minorHAnsi" w:eastAsiaTheme="majorEastAsia" w:hAnsiTheme="minorHAnsi"/>
          <w:szCs w:val="20"/>
          <w:lang w:val="fr-FR"/>
        </w:rPr>
        <w:t>biothérapies</w:t>
      </w:r>
      <w:r w:rsidRPr="001B673C">
        <w:rPr>
          <w:rFonts w:asciiTheme="minorHAnsi" w:eastAsiaTheme="majorEastAsia" w:hAnsiTheme="minorHAnsi"/>
          <w:szCs w:val="20"/>
          <w:lang w:val="fr-FR"/>
        </w:rPr>
        <w:t xml:space="preserve"> qui n</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ont q</w:t>
      </w:r>
      <w:r w:rsidR="007B378C">
        <w:rPr>
          <w:rFonts w:asciiTheme="minorHAnsi" w:eastAsiaTheme="majorEastAsia" w:hAnsiTheme="minorHAnsi"/>
          <w:szCs w:val="20"/>
          <w:lang w:val="fr-FR"/>
        </w:rPr>
        <w:t>u’</w:t>
      </w:r>
      <w:r w:rsidRPr="001B673C">
        <w:rPr>
          <w:rFonts w:asciiTheme="minorHAnsi" w:eastAsiaTheme="majorEastAsia" w:hAnsiTheme="minorHAnsi"/>
          <w:szCs w:val="20"/>
          <w:lang w:val="fr-FR"/>
        </w:rPr>
        <w:t xml:space="preserve">une cible unique. </w:t>
      </w:r>
    </w:p>
    <w:p w14:paraId="1B0E6A6B" w14:textId="77777777" w:rsidR="007B378C" w:rsidRPr="001B673C" w:rsidRDefault="007B378C" w:rsidP="007B378C">
      <w:pPr>
        <w:spacing w:after="0"/>
        <w:rPr>
          <w:rFonts w:asciiTheme="minorHAnsi" w:eastAsiaTheme="majorEastAsia" w:hAnsiTheme="minorHAnsi"/>
          <w:szCs w:val="20"/>
          <w:lang w:val="fr-FR"/>
        </w:rPr>
      </w:pPr>
    </w:p>
    <w:p w14:paraId="4A4BD9CF" w14:textId="77777777" w:rsidR="00E74177" w:rsidRPr="001B673C" w:rsidRDefault="00E74177" w:rsidP="007B378C">
      <w:pPr>
        <w:spacing w:after="0"/>
        <w:rPr>
          <w:rFonts w:asciiTheme="minorHAnsi" w:eastAsiaTheme="majorEastAsia" w:hAnsiTheme="minorHAnsi"/>
          <w:szCs w:val="20"/>
          <w:lang w:val="fr-FR"/>
        </w:rPr>
      </w:pPr>
      <w:r w:rsidRPr="001B673C">
        <w:rPr>
          <w:rFonts w:asciiTheme="minorHAnsi" w:eastAsiaTheme="majorEastAsia" w:hAnsiTheme="minorHAnsi"/>
          <w:szCs w:val="20"/>
          <w:lang w:val="fr-FR"/>
        </w:rPr>
        <w:t xml:space="preserve">Les produits en </w:t>
      </w:r>
      <w:r w:rsidRPr="0058336F">
        <w:rPr>
          <w:rFonts w:asciiTheme="minorHAnsi" w:eastAsiaTheme="majorEastAsia" w:hAnsiTheme="minorHAnsi"/>
          <w:szCs w:val="20"/>
          <w:lang w:val="fr-FR"/>
        </w:rPr>
        <w:t>développements</w:t>
      </w:r>
      <w:r w:rsidRPr="001B673C">
        <w:rPr>
          <w:rFonts w:asciiTheme="minorHAnsi" w:eastAsiaTheme="majorEastAsia" w:hAnsiTheme="minorHAnsi"/>
          <w:szCs w:val="20"/>
          <w:lang w:val="fr-FR"/>
        </w:rPr>
        <w:t xml:space="preserve"> sont :</w:t>
      </w:r>
    </w:p>
    <w:p w14:paraId="5AEFB7EF" w14:textId="1EAF9B06" w:rsidR="00E74177" w:rsidRPr="007B378C" w:rsidRDefault="00E74177" w:rsidP="00434C49">
      <w:pPr>
        <w:pStyle w:val="Paragraphedeliste"/>
        <w:numPr>
          <w:ilvl w:val="0"/>
          <w:numId w:val="109"/>
        </w:numPr>
        <w:spacing w:after="0"/>
        <w:rPr>
          <w:rFonts w:asciiTheme="minorHAnsi" w:hAnsiTheme="minorHAnsi"/>
          <w:szCs w:val="20"/>
          <w:lang w:val="fr-FR"/>
        </w:rPr>
      </w:pPr>
      <w:r w:rsidRPr="007B378C">
        <w:rPr>
          <w:rFonts w:asciiTheme="minorHAnsi" w:eastAsiaTheme="majorEastAsia" w:hAnsiTheme="minorHAnsi"/>
          <w:szCs w:val="20"/>
          <w:lang w:val="fr-FR"/>
        </w:rPr>
        <w:t xml:space="preserve">Le tofacitinib de Pfizer </w:t>
      </w:r>
      <w:r w:rsidRPr="007B378C">
        <w:rPr>
          <w:rFonts w:asciiTheme="minorHAnsi" w:hAnsiTheme="minorHAnsi"/>
          <w:szCs w:val="20"/>
          <w:lang w:val="fr-FR"/>
        </w:rPr>
        <w:t>est un anti-JAK non sélectif (inhibe à la fois JAK1, JAK 2 et JAK3)</w:t>
      </w:r>
      <w:r w:rsidR="007B378C" w:rsidRPr="007B378C">
        <w:rPr>
          <w:rFonts w:asciiTheme="minorHAnsi" w:hAnsiTheme="minorHAnsi"/>
          <w:szCs w:val="20"/>
          <w:lang w:val="fr-FR"/>
        </w:rPr>
        <w:t>. Il</w:t>
      </w:r>
      <w:r w:rsidRPr="007B378C">
        <w:rPr>
          <w:rFonts w:asciiTheme="minorHAnsi" w:hAnsiTheme="minorHAnsi"/>
          <w:szCs w:val="20"/>
          <w:lang w:val="fr-FR"/>
        </w:rPr>
        <w:t xml:space="preserve"> est sur le point d’obtenir une AMM dans la rectocolite hémorragique alors que les résultats des essais dans la maladie de Crohn restent décevants.</w:t>
      </w:r>
    </w:p>
    <w:p w14:paraId="39702E95" w14:textId="58276F2A" w:rsidR="00E74177" w:rsidRPr="007B378C" w:rsidRDefault="00E74177" w:rsidP="00434C49">
      <w:pPr>
        <w:pStyle w:val="Paragraphedeliste"/>
        <w:numPr>
          <w:ilvl w:val="0"/>
          <w:numId w:val="109"/>
        </w:numPr>
        <w:spacing w:after="0"/>
        <w:rPr>
          <w:rFonts w:asciiTheme="minorHAnsi" w:hAnsiTheme="minorHAnsi"/>
          <w:szCs w:val="20"/>
          <w:lang w:val="fr-FR"/>
        </w:rPr>
      </w:pPr>
      <w:r w:rsidRPr="007B378C">
        <w:rPr>
          <w:rFonts w:asciiTheme="minorHAnsi" w:hAnsiTheme="minorHAnsi"/>
          <w:szCs w:val="20"/>
          <w:lang w:val="fr-FR"/>
        </w:rPr>
        <w:t>Le filgotinib (Gilead) et l</w:t>
      </w:r>
      <w:r w:rsidRPr="007B378C">
        <w:rPr>
          <w:rFonts w:asciiTheme="minorHAnsi" w:hAnsiTheme="minorHAnsi" w:hint="eastAsia"/>
          <w:szCs w:val="20"/>
          <w:lang w:val="fr-FR"/>
        </w:rPr>
        <w:t>’</w:t>
      </w:r>
      <w:r w:rsidRPr="007B378C">
        <w:rPr>
          <w:rFonts w:asciiTheme="minorHAnsi" w:hAnsiTheme="minorHAnsi"/>
          <w:szCs w:val="20"/>
          <w:lang w:val="fr-FR"/>
        </w:rPr>
        <w:t xml:space="preserve">upadacitinib (AbbVie), des inhibiteurs sélectifs de Janus kinases 1, sont ou vont être testés dans la maladie de Crohn et la rectocolite hémorragique dans des essais de phase 2b/3. </w:t>
      </w:r>
    </w:p>
    <w:p w14:paraId="1FB7CD0B" w14:textId="77777777" w:rsidR="00E74177" w:rsidRPr="001B673C" w:rsidRDefault="00E74177" w:rsidP="007B378C">
      <w:pPr>
        <w:spacing w:after="0"/>
        <w:rPr>
          <w:rFonts w:asciiTheme="minorHAnsi" w:hAnsiTheme="minorHAnsi"/>
          <w:szCs w:val="20"/>
          <w:lang w:val="fr-FR"/>
        </w:rPr>
      </w:pPr>
    </w:p>
    <w:p w14:paraId="6941DA56" w14:textId="4486AB81" w:rsidR="00E74177" w:rsidRDefault="00E74177" w:rsidP="007B378C">
      <w:pPr>
        <w:spacing w:after="0"/>
        <w:rPr>
          <w:rFonts w:asciiTheme="minorHAnsi" w:hAnsiTheme="minorHAnsi"/>
          <w:szCs w:val="20"/>
          <w:lang w:val="fr-FR"/>
        </w:rPr>
      </w:pPr>
      <w:r w:rsidRPr="001B673C">
        <w:rPr>
          <w:rFonts w:asciiTheme="minorHAnsi" w:hAnsiTheme="minorHAnsi"/>
          <w:szCs w:val="20"/>
          <w:lang w:val="fr-FR"/>
        </w:rPr>
        <w:t>A l’instar des anti-JAK, les modulateurs des r</w:t>
      </w:r>
      <w:r w:rsidRPr="001B673C">
        <w:rPr>
          <w:rFonts w:asciiTheme="minorHAnsi" w:hAnsiTheme="minorHAnsi" w:hint="eastAsia"/>
          <w:szCs w:val="20"/>
          <w:lang w:val="fr-FR"/>
        </w:rPr>
        <w:t>é</w:t>
      </w:r>
      <w:r w:rsidRPr="001B673C">
        <w:rPr>
          <w:rFonts w:asciiTheme="minorHAnsi" w:hAnsiTheme="minorHAnsi"/>
          <w:szCs w:val="20"/>
          <w:lang w:val="fr-FR"/>
        </w:rPr>
        <w:t xml:space="preserve">cepteurs des sphingosines-1-phosphate (S1P), sphingolipides qui se lient </w:t>
      </w:r>
      <w:r w:rsidRPr="0058336F">
        <w:rPr>
          <w:rFonts w:asciiTheme="minorHAnsi" w:hAnsiTheme="minorHAnsi"/>
          <w:szCs w:val="20"/>
          <w:lang w:val="fr-FR"/>
        </w:rPr>
        <w:t>spécifiquement</w:t>
      </w:r>
      <w:r w:rsidRPr="001B673C">
        <w:rPr>
          <w:rFonts w:asciiTheme="minorHAnsi" w:hAnsiTheme="minorHAnsi"/>
          <w:szCs w:val="20"/>
          <w:lang w:val="fr-FR"/>
        </w:rPr>
        <w:t xml:space="preserve"> à 5 </w:t>
      </w:r>
      <w:r w:rsidRPr="0058336F">
        <w:rPr>
          <w:rFonts w:asciiTheme="minorHAnsi" w:hAnsiTheme="minorHAnsi"/>
          <w:szCs w:val="20"/>
          <w:lang w:val="fr-FR"/>
        </w:rPr>
        <w:t>récepteurs</w:t>
      </w:r>
      <w:r w:rsidRPr="001B673C">
        <w:rPr>
          <w:rFonts w:asciiTheme="minorHAnsi" w:hAnsiTheme="minorHAnsi"/>
          <w:szCs w:val="20"/>
          <w:lang w:val="fr-FR"/>
        </w:rPr>
        <w:t xml:space="preserve"> (S1P1</w:t>
      </w:r>
      <w:r w:rsidRPr="001B673C">
        <w:rPr>
          <w:rFonts w:asciiTheme="minorHAnsi" w:hAnsiTheme="minorHAnsi" w:hint="eastAsia"/>
          <w:szCs w:val="20"/>
          <w:lang w:val="fr-FR"/>
        </w:rPr>
        <w:t>–</w:t>
      </w:r>
      <w:r w:rsidRPr="001B673C">
        <w:rPr>
          <w:rFonts w:asciiTheme="minorHAnsi" w:hAnsiTheme="minorHAnsi"/>
          <w:szCs w:val="20"/>
          <w:lang w:val="fr-FR"/>
        </w:rPr>
        <w:t>5), sont des mol</w:t>
      </w:r>
      <w:r w:rsidRPr="001B673C">
        <w:rPr>
          <w:rFonts w:asciiTheme="minorHAnsi" w:hAnsiTheme="minorHAnsi" w:hint="eastAsia"/>
          <w:szCs w:val="20"/>
          <w:lang w:val="fr-FR"/>
        </w:rPr>
        <w:t>é</w:t>
      </w:r>
      <w:r w:rsidRPr="001B673C">
        <w:rPr>
          <w:rFonts w:asciiTheme="minorHAnsi" w:hAnsiTheme="minorHAnsi"/>
          <w:szCs w:val="20"/>
          <w:lang w:val="fr-FR"/>
        </w:rPr>
        <w:t>cules orales tr</w:t>
      </w:r>
      <w:r w:rsidRPr="001B673C">
        <w:rPr>
          <w:rFonts w:asciiTheme="minorHAnsi" w:hAnsiTheme="minorHAnsi" w:hint="eastAsia"/>
          <w:szCs w:val="20"/>
          <w:lang w:val="fr-FR"/>
        </w:rPr>
        <w:t>è</w:t>
      </w:r>
      <w:r w:rsidRPr="001B673C">
        <w:rPr>
          <w:rFonts w:asciiTheme="minorHAnsi" w:hAnsiTheme="minorHAnsi"/>
          <w:szCs w:val="20"/>
          <w:lang w:val="fr-FR"/>
        </w:rPr>
        <w:t xml:space="preserve">s prometteuses. Les modulateurs des </w:t>
      </w:r>
      <w:r w:rsidRPr="0058336F">
        <w:rPr>
          <w:rFonts w:asciiTheme="minorHAnsi" w:hAnsiTheme="minorHAnsi"/>
          <w:szCs w:val="20"/>
          <w:lang w:val="fr-FR"/>
        </w:rPr>
        <w:t>récepteurs</w:t>
      </w:r>
      <w:r w:rsidRPr="001B673C">
        <w:rPr>
          <w:rFonts w:asciiTheme="minorHAnsi" w:hAnsiTheme="minorHAnsi"/>
          <w:szCs w:val="20"/>
          <w:lang w:val="fr-FR"/>
        </w:rPr>
        <w:t xml:space="preserve"> de S1P permettent une </w:t>
      </w:r>
      <w:r w:rsidRPr="0058336F">
        <w:rPr>
          <w:rFonts w:asciiTheme="minorHAnsi" w:hAnsiTheme="minorHAnsi"/>
          <w:szCs w:val="20"/>
          <w:lang w:val="fr-FR"/>
        </w:rPr>
        <w:t>séquestration</w:t>
      </w:r>
      <w:r w:rsidRPr="001B673C">
        <w:rPr>
          <w:rFonts w:asciiTheme="minorHAnsi" w:hAnsiTheme="minorHAnsi"/>
          <w:szCs w:val="20"/>
          <w:lang w:val="fr-FR"/>
        </w:rPr>
        <w:t xml:space="preserve"> des lymphocytes </w:t>
      </w:r>
      <w:r w:rsidRPr="0058336F">
        <w:rPr>
          <w:rFonts w:asciiTheme="minorHAnsi" w:hAnsiTheme="minorHAnsi"/>
          <w:szCs w:val="20"/>
          <w:lang w:val="fr-FR"/>
        </w:rPr>
        <w:t>activés</w:t>
      </w:r>
      <w:r w:rsidRPr="001B673C">
        <w:rPr>
          <w:rFonts w:asciiTheme="minorHAnsi" w:hAnsiTheme="minorHAnsi"/>
          <w:szCs w:val="20"/>
          <w:lang w:val="fr-FR"/>
        </w:rPr>
        <w:t xml:space="preserve"> dans les ganglions lymphatiques et </w:t>
      </w:r>
      <w:r w:rsidRPr="0058336F">
        <w:rPr>
          <w:rFonts w:asciiTheme="minorHAnsi" w:hAnsiTheme="minorHAnsi"/>
          <w:szCs w:val="20"/>
          <w:lang w:val="fr-FR"/>
        </w:rPr>
        <w:t>réduisent</w:t>
      </w:r>
      <w:r w:rsidRPr="001B673C">
        <w:rPr>
          <w:rFonts w:asciiTheme="minorHAnsi" w:hAnsiTheme="minorHAnsi"/>
          <w:szCs w:val="20"/>
          <w:lang w:val="fr-FR"/>
        </w:rPr>
        <w:t xml:space="preserve"> ainsi leur circulation dans le tractus gastro-intestinal.</w:t>
      </w:r>
    </w:p>
    <w:p w14:paraId="7D6E40D0" w14:textId="77777777" w:rsidR="007B378C" w:rsidRPr="001B673C" w:rsidRDefault="007B378C" w:rsidP="007B378C">
      <w:pPr>
        <w:spacing w:after="0"/>
        <w:rPr>
          <w:rFonts w:asciiTheme="minorHAnsi" w:hAnsiTheme="minorHAnsi"/>
          <w:szCs w:val="20"/>
          <w:lang w:val="fr-FR"/>
        </w:rPr>
      </w:pPr>
    </w:p>
    <w:p w14:paraId="1E62100D" w14:textId="77777777" w:rsidR="00E74177" w:rsidRPr="001B673C" w:rsidRDefault="00E74177" w:rsidP="007B378C">
      <w:pPr>
        <w:spacing w:after="0"/>
        <w:rPr>
          <w:rFonts w:asciiTheme="minorHAnsi" w:hAnsiTheme="minorHAnsi"/>
          <w:szCs w:val="20"/>
          <w:lang w:val="fr-FR"/>
        </w:rPr>
      </w:pPr>
      <w:r w:rsidRPr="001B673C">
        <w:rPr>
          <w:rFonts w:asciiTheme="minorHAnsi" w:eastAsiaTheme="majorEastAsia" w:hAnsiTheme="minorHAnsi"/>
          <w:szCs w:val="20"/>
          <w:lang w:val="fr-FR"/>
        </w:rPr>
        <w:t xml:space="preserve">Les produits en </w:t>
      </w:r>
      <w:r w:rsidRPr="0058336F">
        <w:rPr>
          <w:rFonts w:asciiTheme="minorHAnsi" w:eastAsiaTheme="majorEastAsia" w:hAnsiTheme="minorHAnsi"/>
          <w:szCs w:val="20"/>
          <w:lang w:val="fr-FR"/>
        </w:rPr>
        <w:t>développements</w:t>
      </w:r>
      <w:r w:rsidRPr="001B673C">
        <w:rPr>
          <w:rFonts w:asciiTheme="minorHAnsi" w:eastAsiaTheme="majorEastAsia" w:hAnsiTheme="minorHAnsi"/>
          <w:szCs w:val="20"/>
          <w:lang w:val="fr-FR"/>
        </w:rPr>
        <w:t xml:space="preserve"> sont :</w:t>
      </w:r>
    </w:p>
    <w:p w14:paraId="330E9166" w14:textId="09B95A4F" w:rsidR="00E74177" w:rsidRPr="007B378C" w:rsidRDefault="00E74177" w:rsidP="00434C49">
      <w:pPr>
        <w:pStyle w:val="Paragraphedeliste"/>
        <w:numPr>
          <w:ilvl w:val="0"/>
          <w:numId w:val="110"/>
        </w:numPr>
        <w:spacing w:after="0"/>
        <w:rPr>
          <w:rFonts w:asciiTheme="minorHAnsi" w:eastAsiaTheme="majorEastAsia" w:hAnsiTheme="minorHAnsi"/>
          <w:szCs w:val="20"/>
          <w:lang w:val="fr-FR"/>
        </w:rPr>
      </w:pPr>
      <w:r w:rsidRPr="007B378C">
        <w:rPr>
          <w:rFonts w:asciiTheme="minorHAnsi" w:eastAsiaTheme="majorEastAsia" w:hAnsiTheme="minorHAnsi"/>
          <w:szCs w:val="20"/>
          <w:lang w:val="fr-FR"/>
        </w:rPr>
        <w:t>L’Ozanimod (Celgene) :</w:t>
      </w:r>
      <w:r w:rsidRPr="007B378C">
        <w:rPr>
          <w:rFonts w:asciiTheme="minorHAnsi" w:hAnsiTheme="minorHAnsi"/>
          <w:szCs w:val="20"/>
          <w:lang w:val="fr-FR"/>
        </w:rPr>
        <w:t xml:space="preserve"> </w:t>
      </w:r>
      <w:r w:rsidRPr="007B378C">
        <w:rPr>
          <w:rFonts w:asciiTheme="minorHAnsi" w:hAnsiTheme="minorHAnsi"/>
          <w:szCs w:val="20"/>
          <w:lang w:val="fr-FR" w:eastAsia="ja-JP"/>
        </w:rPr>
        <w:t>Une étude de phase II est actuellement menée pour évaluer l’efficacité́ de l’Ozanimod dans la maladie de Crohn et une étude de phase III va débuter dans la rectocolite hémorragique.</w:t>
      </w:r>
    </w:p>
    <w:p w14:paraId="50ECC541" w14:textId="26CA4E29" w:rsidR="00E74177" w:rsidRPr="007B378C" w:rsidRDefault="00E74177" w:rsidP="00434C49">
      <w:pPr>
        <w:pStyle w:val="Paragraphedeliste"/>
        <w:numPr>
          <w:ilvl w:val="0"/>
          <w:numId w:val="110"/>
        </w:numPr>
        <w:spacing w:after="0"/>
        <w:rPr>
          <w:rFonts w:asciiTheme="minorHAnsi" w:eastAsiaTheme="majorEastAsia" w:hAnsiTheme="minorHAnsi"/>
          <w:lang w:val="fr-FR"/>
        </w:rPr>
      </w:pPr>
      <w:r w:rsidRPr="007B378C">
        <w:rPr>
          <w:rFonts w:asciiTheme="minorHAnsi" w:eastAsiaTheme="majorEastAsia" w:hAnsiTheme="minorHAnsi"/>
          <w:szCs w:val="20"/>
          <w:lang w:val="fr-FR"/>
        </w:rPr>
        <w:t>L’</w:t>
      </w:r>
      <w:r w:rsidRPr="007B378C">
        <w:rPr>
          <w:rFonts w:asciiTheme="minorHAnsi" w:hAnsiTheme="minorHAnsi"/>
          <w:szCs w:val="20"/>
          <w:lang w:val="fr-FR" w:eastAsia="ja-JP"/>
        </w:rPr>
        <w:t>Etrasimod (laboratoires ARENA) dont les résultats de l</w:t>
      </w:r>
      <w:r w:rsidRPr="007B378C">
        <w:rPr>
          <w:rFonts w:asciiTheme="minorHAnsi" w:hAnsiTheme="minorHAnsi" w:hint="eastAsia"/>
          <w:szCs w:val="20"/>
          <w:lang w:val="fr-FR" w:eastAsia="ja-JP"/>
        </w:rPr>
        <w:t>’</w:t>
      </w:r>
      <w:r w:rsidRPr="007B378C">
        <w:rPr>
          <w:rFonts w:asciiTheme="minorHAnsi" w:hAnsiTheme="minorHAnsi"/>
          <w:szCs w:val="20"/>
          <w:lang w:val="fr-FR" w:eastAsia="ja-JP"/>
        </w:rPr>
        <w:t>étude de phase II seront présentés en 2018.</w:t>
      </w:r>
    </w:p>
    <w:p w14:paraId="1E19A963" w14:textId="77777777" w:rsidR="007B378C" w:rsidRDefault="007B378C" w:rsidP="007B378C">
      <w:pPr>
        <w:pStyle w:val="Corpsdetexte"/>
        <w:spacing w:after="0"/>
        <w:rPr>
          <w:rFonts w:asciiTheme="minorHAnsi" w:hAnsiTheme="minorHAnsi" w:cstheme="minorHAnsi"/>
          <w:lang w:val="fr-FR"/>
        </w:rPr>
      </w:pPr>
    </w:p>
    <w:p w14:paraId="7C228652" w14:textId="5C2F4FEA" w:rsidR="00943434" w:rsidRDefault="00E74177" w:rsidP="007B378C">
      <w:pPr>
        <w:pStyle w:val="Corpsdetexte"/>
        <w:spacing w:after="0"/>
        <w:rPr>
          <w:rFonts w:asciiTheme="minorHAnsi" w:hAnsiTheme="minorHAnsi"/>
          <w:lang w:val="fr-FR" w:eastAsia="ja-JP"/>
        </w:rPr>
      </w:pPr>
      <w:r>
        <w:rPr>
          <w:rFonts w:asciiTheme="minorHAnsi" w:hAnsiTheme="minorHAnsi" w:cstheme="minorHAnsi"/>
          <w:lang w:val="fr-FR"/>
        </w:rPr>
        <w:t xml:space="preserve">Enfin, </w:t>
      </w:r>
      <w:r w:rsidR="00943434" w:rsidRPr="00C73365">
        <w:rPr>
          <w:rFonts w:asciiTheme="minorHAnsi" w:hAnsiTheme="minorHAnsi" w:cstheme="minorHAnsi"/>
          <w:lang w:val="fr-FR"/>
        </w:rPr>
        <w:t xml:space="preserve">l’anti-SMAD7 (mongersen). Il s’agit cette fois d’une petite molécule d’acide nucléique (oligonucléotide antisens) qui bloque la production du facteur de transcription SMAD7 dans les cellules immunitaires. Sans ce facteur, les lymphocytes T perdent leur capacité à produire des cytokines pro-inflammatoires et les macrophages et cellules dendritiques perdent en efficacité. </w:t>
      </w:r>
      <w:r w:rsidRPr="0058336F">
        <w:rPr>
          <w:rFonts w:asciiTheme="minorHAnsi" w:hAnsiTheme="minorHAnsi"/>
          <w:lang w:val="fr-FR"/>
        </w:rPr>
        <w:t>Malgré</w:t>
      </w:r>
      <w:r w:rsidRPr="001B673C">
        <w:rPr>
          <w:rFonts w:asciiTheme="minorHAnsi" w:hAnsiTheme="minorHAnsi"/>
          <w:lang w:val="fr-FR"/>
        </w:rPr>
        <w:t xml:space="preserve"> des r</w:t>
      </w:r>
      <w:r w:rsidRPr="001B673C">
        <w:rPr>
          <w:rFonts w:asciiTheme="minorHAnsi" w:hAnsiTheme="minorHAnsi" w:hint="eastAsia"/>
          <w:lang w:val="fr-FR"/>
        </w:rPr>
        <w:t>é</w:t>
      </w:r>
      <w:r w:rsidRPr="001B673C">
        <w:rPr>
          <w:rFonts w:asciiTheme="minorHAnsi" w:hAnsiTheme="minorHAnsi"/>
          <w:lang w:val="fr-FR"/>
        </w:rPr>
        <w:t>sultats de Phase II positifs, l</w:t>
      </w:r>
      <w:r w:rsidRPr="001B673C">
        <w:rPr>
          <w:rFonts w:asciiTheme="minorHAnsi" w:hAnsiTheme="minorHAnsi" w:hint="eastAsia"/>
          <w:lang w:val="fr-FR"/>
        </w:rPr>
        <w:t>’</w:t>
      </w:r>
      <w:r w:rsidRPr="001B673C">
        <w:rPr>
          <w:rFonts w:asciiTheme="minorHAnsi" w:hAnsiTheme="minorHAnsi"/>
          <w:lang w:val="fr-FR"/>
        </w:rPr>
        <w:t xml:space="preserve">analyse </w:t>
      </w:r>
      <w:r w:rsidRPr="0058336F">
        <w:rPr>
          <w:rFonts w:asciiTheme="minorHAnsi" w:hAnsiTheme="minorHAnsi"/>
          <w:lang w:val="fr-FR"/>
        </w:rPr>
        <w:t>intermédiaire</w:t>
      </w:r>
      <w:r w:rsidRPr="001B673C">
        <w:rPr>
          <w:rFonts w:asciiTheme="minorHAnsi" w:hAnsiTheme="minorHAnsi"/>
          <w:lang w:val="fr-FR"/>
        </w:rPr>
        <w:t xml:space="preserve"> de </w:t>
      </w:r>
      <w:r w:rsidRPr="001B673C">
        <w:rPr>
          <w:rFonts w:asciiTheme="minorHAnsi" w:hAnsiTheme="minorHAnsi"/>
          <w:lang w:val="fr-FR" w:eastAsia="ja-JP"/>
        </w:rPr>
        <w:t>l</w:t>
      </w:r>
      <w:r w:rsidRPr="001B673C">
        <w:rPr>
          <w:rFonts w:asciiTheme="minorHAnsi" w:hAnsiTheme="minorHAnsi" w:hint="eastAsia"/>
          <w:lang w:val="fr-FR" w:eastAsia="ja-JP"/>
        </w:rPr>
        <w:t>’</w:t>
      </w:r>
      <w:r w:rsidRPr="001B673C">
        <w:rPr>
          <w:rFonts w:asciiTheme="minorHAnsi" w:hAnsiTheme="minorHAnsi"/>
          <w:lang w:val="fr-FR" w:eastAsia="ja-JP"/>
        </w:rPr>
        <w:t xml:space="preserve">essai de phase III </w:t>
      </w:r>
      <w:r w:rsidRPr="0058336F">
        <w:rPr>
          <w:rFonts w:asciiTheme="minorHAnsi" w:hAnsiTheme="minorHAnsi"/>
          <w:lang w:val="fr-FR" w:eastAsia="ja-JP"/>
        </w:rPr>
        <w:t>menée</w:t>
      </w:r>
      <w:r w:rsidRPr="001B673C">
        <w:rPr>
          <w:rFonts w:asciiTheme="minorHAnsi" w:hAnsiTheme="minorHAnsi"/>
          <w:lang w:val="fr-FR" w:eastAsia="ja-JP"/>
        </w:rPr>
        <w:t xml:space="preserve"> dans la maladie de Crohn a </w:t>
      </w:r>
      <w:r w:rsidRPr="0058336F">
        <w:rPr>
          <w:rFonts w:asciiTheme="minorHAnsi" w:hAnsiTheme="minorHAnsi"/>
          <w:lang w:val="fr-FR" w:eastAsia="ja-JP"/>
        </w:rPr>
        <w:t>montré</w:t>
      </w:r>
      <w:r w:rsidRPr="001B673C">
        <w:rPr>
          <w:rFonts w:asciiTheme="minorHAnsi" w:hAnsiTheme="minorHAnsi" w:hint="eastAsia"/>
          <w:lang w:val="fr-FR" w:eastAsia="ja-JP"/>
        </w:rPr>
        <w:t>́</w:t>
      </w:r>
      <w:r w:rsidRPr="001B673C">
        <w:rPr>
          <w:rFonts w:asciiTheme="minorHAnsi" w:hAnsiTheme="minorHAnsi"/>
          <w:lang w:val="fr-FR" w:eastAsia="ja-JP"/>
        </w:rPr>
        <w:t xml:space="preserve"> que le mongersen n</w:t>
      </w:r>
      <w:r w:rsidRPr="001B673C">
        <w:rPr>
          <w:rFonts w:asciiTheme="minorHAnsi" w:hAnsiTheme="minorHAnsi" w:hint="eastAsia"/>
          <w:lang w:val="fr-FR" w:eastAsia="ja-JP"/>
        </w:rPr>
        <w:t>’</w:t>
      </w:r>
      <w:r w:rsidRPr="0058336F">
        <w:rPr>
          <w:rFonts w:asciiTheme="minorHAnsi" w:hAnsiTheme="minorHAnsi"/>
          <w:lang w:val="fr-FR" w:eastAsia="ja-JP"/>
        </w:rPr>
        <w:t>était</w:t>
      </w:r>
      <w:r w:rsidRPr="001B673C">
        <w:rPr>
          <w:rFonts w:asciiTheme="minorHAnsi" w:hAnsiTheme="minorHAnsi"/>
          <w:lang w:val="fr-FR" w:eastAsia="ja-JP"/>
        </w:rPr>
        <w:t xml:space="preserve"> pas plus efficace que le placebo. Dans la </w:t>
      </w:r>
      <w:r w:rsidRPr="0058336F">
        <w:rPr>
          <w:rFonts w:asciiTheme="minorHAnsi" w:hAnsiTheme="minorHAnsi"/>
          <w:lang w:val="fr-FR" w:eastAsia="ja-JP"/>
        </w:rPr>
        <w:t>foulée</w:t>
      </w:r>
      <w:r w:rsidRPr="001B673C">
        <w:rPr>
          <w:rFonts w:asciiTheme="minorHAnsi" w:hAnsiTheme="minorHAnsi"/>
          <w:lang w:val="fr-FR" w:eastAsia="ja-JP"/>
        </w:rPr>
        <w:t xml:space="preserve">, Celgene a annoncé la fin du </w:t>
      </w:r>
      <w:r w:rsidRPr="0058336F">
        <w:rPr>
          <w:rFonts w:asciiTheme="minorHAnsi" w:hAnsiTheme="minorHAnsi"/>
          <w:lang w:val="fr-FR" w:eastAsia="ja-JP"/>
        </w:rPr>
        <w:t>développement</w:t>
      </w:r>
      <w:r w:rsidRPr="001B673C">
        <w:rPr>
          <w:rFonts w:asciiTheme="minorHAnsi" w:hAnsiTheme="minorHAnsi"/>
          <w:lang w:val="fr-FR" w:eastAsia="ja-JP"/>
        </w:rPr>
        <w:t xml:space="preserve"> de cette </w:t>
      </w:r>
      <w:r w:rsidRPr="0058336F">
        <w:rPr>
          <w:rFonts w:asciiTheme="minorHAnsi" w:hAnsiTheme="minorHAnsi"/>
          <w:lang w:val="fr-FR" w:eastAsia="ja-JP"/>
        </w:rPr>
        <w:t>molécule</w:t>
      </w:r>
      <w:r w:rsidRPr="001B673C">
        <w:rPr>
          <w:rFonts w:asciiTheme="minorHAnsi" w:hAnsiTheme="minorHAnsi"/>
          <w:lang w:val="fr-FR" w:eastAsia="ja-JP"/>
        </w:rPr>
        <w:t xml:space="preserve"> dans les MICI.</w:t>
      </w:r>
    </w:p>
    <w:p w14:paraId="41A14AF7" w14:textId="77777777" w:rsidR="007B378C" w:rsidRPr="00C73365" w:rsidRDefault="007B378C" w:rsidP="007B378C">
      <w:pPr>
        <w:pStyle w:val="Corpsdetexte"/>
        <w:spacing w:after="0"/>
        <w:rPr>
          <w:rFonts w:asciiTheme="minorHAnsi" w:hAnsiTheme="minorHAnsi" w:cstheme="minorHAnsi"/>
          <w:lang w:val="fr-FR"/>
        </w:rPr>
      </w:pPr>
    </w:p>
    <w:p w14:paraId="5387EF00" w14:textId="77777777" w:rsidR="00B67A56" w:rsidRPr="00C73365" w:rsidRDefault="00B67A56" w:rsidP="00B67A56">
      <w:pPr>
        <w:pStyle w:val="Paragraphedeliste"/>
        <w:numPr>
          <w:ilvl w:val="3"/>
          <w:numId w:val="9"/>
        </w:numPr>
        <w:outlineLvl w:val="2"/>
        <w:rPr>
          <w:rFonts w:asciiTheme="minorHAnsi" w:hAnsiTheme="minorHAnsi" w:cstheme="minorHAnsi"/>
          <w:lang w:val="fr-FR"/>
        </w:rPr>
      </w:pPr>
      <w:r w:rsidRPr="00C73365">
        <w:rPr>
          <w:rFonts w:asciiTheme="minorHAnsi" w:hAnsiTheme="minorHAnsi" w:cstheme="minorHAnsi"/>
          <w:lang w:val="fr-FR"/>
        </w:rPr>
        <w:t>ABX464 : aperçu des données actuellement disponibles dans l’inflammation</w:t>
      </w:r>
    </w:p>
    <w:p w14:paraId="20E8AC8B"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Des travaux précliniques conduits par la Société dans le cadre du développement d’ABX464 ont permis de constater une expression préférentielle d’un microARN : miR-124. Le miR-124 a été caractérisé comme pouvant avoir un effet anti-inflammatoire, notamment dans les MICI et notamment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w:t>
      </w:r>
    </w:p>
    <w:p w14:paraId="1930064C" w14:textId="77777777" w:rsidR="00B67A56" w:rsidRPr="00C73365" w:rsidRDefault="00B67A56"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lastRenderedPageBreak/>
        <w:t>Par ailleurs dans des macrophages, il a été mis en évidence qu’un effet important (x50) de l</w:t>
      </w:r>
      <w:r w:rsidR="004572A0" w:rsidRPr="00C73365">
        <w:rPr>
          <w:rFonts w:asciiTheme="minorHAnsi" w:hAnsiTheme="minorHAnsi" w:cstheme="minorHAnsi"/>
          <w:lang w:val="fr-FR"/>
        </w:rPr>
        <w:t>’</w:t>
      </w:r>
      <w:r w:rsidRPr="00C73365">
        <w:rPr>
          <w:rFonts w:asciiTheme="minorHAnsi" w:hAnsiTheme="minorHAnsi" w:cstheme="minorHAnsi"/>
          <w:lang w:val="fr-FR"/>
        </w:rPr>
        <w:t>expression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IL-22, une cytokine connue pour être un puissant inhibiteur des processus inflammatoires. </w:t>
      </w:r>
    </w:p>
    <w:p w14:paraId="626E551E" w14:textId="77777777" w:rsidR="00B67A56" w:rsidRPr="00C73365" w:rsidRDefault="00B67A56" w:rsidP="001E7694">
      <w:pPr>
        <w:pStyle w:val="Corpsdetexte"/>
        <w:spacing w:after="120"/>
        <w:rPr>
          <w:rFonts w:asciiTheme="minorHAnsi" w:hAnsiTheme="minorHAnsi" w:cstheme="minorHAnsi"/>
          <w:lang w:val="fr-FR"/>
        </w:rPr>
      </w:pPr>
      <w:r w:rsidRPr="00C73365">
        <w:rPr>
          <w:rFonts w:asciiTheme="minorHAnsi" w:hAnsiTheme="minorHAnsi" w:cstheme="minorHAnsi"/>
          <w:lang w:val="fr-FR"/>
        </w:rPr>
        <w:t>La Société a donc cherché à démonter l’effet d’ABX464 dans un modèle de souris où la colite a été induite par le dextran sulfate de sodium (DSS).  Dans ce modèle, l</w:t>
      </w:r>
      <w:r w:rsidR="004572A0" w:rsidRPr="00C73365">
        <w:rPr>
          <w:rFonts w:asciiTheme="minorHAnsi" w:hAnsiTheme="minorHAnsi" w:cstheme="minorHAnsi"/>
          <w:lang w:val="fr-FR"/>
        </w:rPr>
        <w:t>’</w:t>
      </w:r>
      <w:r w:rsidRPr="00C73365">
        <w:rPr>
          <w:rFonts w:asciiTheme="minorHAnsi" w:hAnsiTheme="minorHAnsi" w:cstheme="minorHAnsi"/>
          <w:lang w:val="fr-FR"/>
        </w:rPr>
        <w:t>inflammation est spécifiquement induite dans le côlon par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de DSS dans l</w:t>
      </w:r>
      <w:r w:rsidR="004572A0" w:rsidRPr="00C73365">
        <w:rPr>
          <w:rFonts w:asciiTheme="minorHAnsi" w:hAnsiTheme="minorHAnsi" w:cstheme="minorHAnsi"/>
          <w:lang w:val="fr-FR"/>
        </w:rPr>
        <w:t>’</w:t>
      </w:r>
      <w:r w:rsidRPr="00C73365">
        <w:rPr>
          <w:rFonts w:asciiTheme="minorHAnsi" w:hAnsiTheme="minorHAnsi" w:cstheme="minorHAnsi"/>
          <w:lang w:val="fr-FR"/>
        </w:rPr>
        <w:t>eau de boisson pendant environ 5-8 jours. ABX464 est administré par voie orale.</w:t>
      </w:r>
    </w:p>
    <w:p w14:paraId="3DC452FD"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Les résultats de ce modèle montrent que la perte de poids induite par le DSS, un symptôme établi de lésion intestinale, était significativement réduite chez les souris recevant ABX464 (Figure 1). Cette inflammation intestinale induite est habituellement la plus forte 3 jours après la fin du DSS challenge. Il est frappant que le poids des souris traitées par ABX464 soit déjà revenu aux niveaux de prétraitement à ce moment et que les souris affichent des paramètres de maladie, moins de lésions coliques ainsi qu’une diminution de la taille du côlon. Il est important de noter que l’ABX464 n</w:t>
      </w:r>
      <w:r w:rsidR="004572A0" w:rsidRPr="00C73365">
        <w:rPr>
          <w:rFonts w:asciiTheme="minorHAnsi" w:hAnsiTheme="minorHAnsi" w:cstheme="minorHAnsi"/>
          <w:lang w:val="fr-FR"/>
        </w:rPr>
        <w:t>’</w:t>
      </w:r>
      <w:r w:rsidRPr="00C73365">
        <w:rPr>
          <w:rFonts w:asciiTheme="minorHAnsi" w:hAnsiTheme="minorHAnsi" w:cstheme="minorHAnsi"/>
          <w:lang w:val="fr-FR"/>
        </w:rPr>
        <w:t>a pas affecté le poids des souris non exposées au DSS. Il est à noter que l</w:t>
      </w:r>
      <w:r w:rsidR="004572A0" w:rsidRPr="00C73365">
        <w:rPr>
          <w:rFonts w:asciiTheme="minorHAnsi" w:hAnsiTheme="minorHAnsi" w:cstheme="minorHAnsi"/>
          <w:lang w:val="fr-FR"/>
        </w:rPr>
        <w:t>’</w:t>
      </w:r>
      <w:r w:rsidRPr="00C73365">
        <w:rPr>
          <w:rFonts w:asciiTheme="minorHAnsi" w:hAnsiTheme="minorHAnsi" w:cstheme="minorHAnsi"/>
          <w:lang w:val="fr-FR"/>
        </w:rPr>
        <w:t>influence de l</w:t>
      </w:r>
      <w:r w:rsidR="004572A0" w:rsidRPr="00C73365">
        <w:rPr>
          <w:rFonts w:asciiTheme="minorHAnsi" w:hAnsiTheme="minorHAnsi" w:cstheme="minorHAnsi"/>
          <w:lang w:val="fr-FR"/>
        </w:rPr>
        <w:t>’</w:t>
      </w:r>
      <w:r w:rsidRPr="00C73365">
        <w:rPr>
          <w:rFonts w:asciiTheme="minorHAnsi" w:hAnsiTheme="minorHAnsi" w:cstheme="minorHAnsi"/>
          <w:lang w:val="fr-FR"/>
        </w:rPr>
        <w:t>ABX464 sur la colite induite par le DSS a été observée dans des expériences réalisées dans différentes installations animales, suggérant que ce phénomène ne dépend pas d</w:t>
      </w:r>
      <w:r w:rsidR="004572A0" w:rsidRPr="00C73365">
        <w:rPr>
          <w:rFonts w:asciiTheme="minorHAnsi" w:hAnsiTheme="minorHAnsi" w:cstheme="minorHAnsi"/>
          <w:lang w:val="fr-FR"/>
        </w:rPr>
        <w:t>’</w:t>
      </w:r>
      <w:r w:rsidRPr="00C73365">
        <w:rPr>
          <w:rFonts w:asciiTheme="minorHAnsi" w:hAnsiTheme="minorHAnsi" w:cstheme="minorHAnsi"/>
          <w:lang w:val="fr-FR"/>
        </w:rPr>
        <w:t>une flore intestinale particulière.</w:t>
      </w:r>
    </w:p>
    <w:p w14:paraId="2FB08DC0" w14:textId="77777777"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334FF128" wp14:editId="1CE36539">
            <wp:extent cx="3302000" cy="2157181"/>
            <wp:effectExtent l="0" t="0" r="0" b="0"/>
            <wp:docPr id="258" name="Image 258" descr="C:\Users\pgineste\Documents\Capture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pgineste\Documents\Capture X.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7658" cy="2187009"/>
                    </a:xfrm>
                    <a:prstGeom prst="rect">
                      <a:avLst/>
                    </a:prstGeom>
                    <a:noFill/>
                    <a:ln>
                      <a:noFill/>
                    </a:ln>
                  </pic:spPr>
                </pic:pic>
              </a:graphicData>
            </a:graphic>
          </wp:inline>
        </w:drawing>
      </w:r>
    </w:p>
    <w:p w14:paraId="233AD06D" w14:textId="77777777" w:rsidR="00B67A56" w:rsidRPr="00C73365" w:rsidRDefault="00B67A56" w:rsidP="004572A0">
      <w:pPr>
        <w:pStyle w:val="Corpsdetexte"/>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14:paraId="225A98A0" w14:textId="77777777" w:rsidR="00B67A56" w:rsidRPr="00C73365" w:rsidRDefault="00B67A56" w:rsidP="004572A0">
      <w:pPr>
        <w:pStyle w:val="Corpsdetexte"/>
        <w:rPr>
          <w:rFonts w:asciiTheme="minorHAnsi" w:hAnsiTheme="minorHAnsi" w:cstheme="minorHAnsi"/>
          <w:i/>
          <w:lang w:val="fr-FR"/>
        </w:rPr>
      </w:pPr>
      <w:r w:rsidRPr="00C73365">
        <w:rPr>
          <w:rFonts w:asciiTheme="minorHAnsi" w:hAnsiTheme="minorHAnsi" w:cstheme="minorHAnsi"/>
          <w:i/>
          <w:lang w:val="fr-FR"/>
        </w:rPr>
        <w:t xml:space="preserve">Figure 1 : Le traitement ABX464 supprime la gravité de la maladie dans la colite induite par le DSS. (A) des souris soumises au protocole de colite DSS présenté et traitée par voie orale une fois par jour par ABX464 (50 mg / kg) dans de la MethyCellulose (MC) ou de la MethyCellulose uniquement. </w:t>
      </w:r>
    </w:p>
    <w:p w14:paraId="089E005B"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La société a également montré que la molécule ABX464 induisait également un effet prolongé après arrêt du traitement dans le modèle de souris où la colite a été induite par le dextran sulfate de sodium (DSS) (Figure 2, groupe 2).</w:t>
      </w:r>
    </w:p>
    <w:p w14:paraId="30804873" w14:textId="77777777" w:rsidR="00B67A56" w:rsidRPr="00C73365" w:rsidRDefault="00B67A56" w:rsidP="00B67A56">
      <w:pPr>
        <w:rPr>
          <w:rFonts w:asciiTheme="minorHAnsi" w:hAnsiTheme="minorHAnsi" w:cstheme="minorHAnsi"/>
          <w:szCs w:val="20"/>
          <w:lang w:val="fr-FR"/>
        </w:rPr>
      </w:pPr>
    </w:p>
    <w:p w14:paraId="44682FC1" w14:textId="77777777"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lang w:val="fr-FR" w:eastAsia="fr-FR"/>
        </w:rPr>
        <w:drawing>
          <wp:inline distT="0" distB="0" distL="0" distR="0" wp14:anchorId="5AAEFF71" wp14:editId="068A73B0">
            <wp:extent cx="3878580" cy="2514949"/>
            <wp:effectExtent l="0" t="0" r="762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3848" cy="2518365"/>
                    </a:xfrm>
                    <a:prstGeom prst="rect">
                      <a:avLst/>
                    </a:prstGeom>
                    <a:noFill/>
                    <a:ln>
                      <a:noFill/>
                    </a:ln>
                  </pic:spPr>
                </pic:pic>
              </a:graphicData>
            </a:graphic>
          </wp:inline>
        </w:drawing>
      </w:r>
    </w:p>
    <w:p w14:paraId="6BFCDFFE" w14:textId="77777777" w:rsidR="00B67A56" w:rsidRPr="00C73365" w:rsidRDefault="00B67A56" w:rsidP="004572A0">
      <w:pPr>
        <w:pStyle w:val="Corpsdetexte"/>
        <w:rPr>
          <w:rFonts w:asciiTheme="minorHAnsi" w:hAnsiTheme="minorHAnsi" w:cstheme="minorHAnsi"/>
          <w:i/>
          <w:lang w:val="fr-FR"/>
        </w:rPr>
      </w:pPr>
      <w:r w:rsidRPr="00C73365">
        <w:rPr>
          <w:rFonts w:asciiTheme="minorHAnsi" w:hAnsiTheme="minorHAnsi" w:cstheme="minorHAnsi"/>
          <w:i/>
          <w:lang w:val="fr-FR"/>
        </w:rPr>
        <w:t xml:space="preserve">Figure 2 : Le traitement ABX464 supprime la gravité de la maladie dans la colite induite par le DSS. (groupe 1) des souris soumises au protocole de colite DSS présenté et traitée par voie orale une fois par jour par ABX464 (50 mg / kg) dans de </w:t>
      </w:r>
      <w:r w:rsidRPr="00C73365">
        <w:rPr>
          <w:rFonts w:asciiTheme="minorHAnsi" w:hAnsiTheme="minorHAnsi" w:cstheme="minorHAnsi"/>
          <w:i/>
          <w:lang w:val="fr-FR"/>
        </w:rPr>
        <w:lastRenderedPageBreak/>
        <w:t>la MethyCellulose (MC) (groupe 2) des souris soumises au protocole de colite DSS présenté et traitée par voie orale une fois par jour par ABX464 (50 mg / kg) dans de la MethyCellulose (MC) pendant 9 jours alors que le traitement DSS est maintenu pendant65 jours (groupe 3)groupe contrôle avec  de la MethyCellulose uniquement</w:t>
      </w:r>
    </w:p>
    <w:p w14:paraId="5F2A0E27" w14:textId="77777777" w:rsidR="00B67A56" w:rsidRPr="00C73365" w:rsidRDefault="00B67A56" w:rsidP="00B67A56">
      <w:pPr>
        <w:pStyle w:val="Paragraphedeliste"/>
        <w:numPr>
          <w:ilvl w:val="3"/>
          <w:numId w:val="9"/>
        </w:numPr>
        <w:outlineLvl w:val="2"/>
        <w:rPr>
          <w:rFonts w:asciiTheme="minorHAnsi" w:hAnsiTheme="minorHAnsi" w:cstheme="minorHAnsi"/>
          <w:sz w:val="18"/>
          <w:szCs w:val="22"/>
          <w:lang w:val="fr-FR"/>
        </w:rPr>
      </w:pPr>
      <w:r w:rsidRPr="00C73365">
        <w:rPr>
          <w:rFonts w:asciiTheme="minorHAnsi" w:hAnsiTheme="minorHAnsi" w:cstheme="minorHAnsi"/>
          <w:lang w:val="fr-FR"/>
        </w:rPr>
        <w:t>Essais Cliniques - MICI</w:t>
      </w:r>
    </w:p>
    <w:p w14:paraId="6B6DEA2C" w14:textId="77777777"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De nouvelles données précliniques sur ABX464 ont démontré que la molécule a un fort effet anti-inflammatoire.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autres maladies telles que la Maladie Inflammatoire Chronique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 (MICI) ou Inflammatory Bowel Disease (IBD) (dont la Rectocolite Hémorragique et la maladie de Crohn). ABX464 a démontré un effet durable sur la prévention de symptômes typiquement observés dans le cas de colite inflammatoire (dont 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w:t>
      </w:r>
    </w:p>
    <w:p w14:paraId="72BD8B6C" w14:textId="77878B1E"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Sur la base de ces résultats, la société a initié au cours du troisième trimestre 2017 une étude clinique de preuve de concept </w:t>
      </w:r>
      <w:r w:rsidRPr="00C73365">
        <w:rPr>
          <w:rFonts w:asciiTheme="minorHAnsi" w:hAnsiTheme="minorHAnsi" w:cstheme="minorHAnsi"/>
          <w:b/>
          <w:szCs w:val="20"/>
          <w:lang w:val="fr-FR"/>
        </w:rPr>
        <w:t>ABX464-101</w:t>
      </w:r>
      <w:r w:rsidRPr="00C73365">
        <w:rPr>
          <w:rFonts w:asciiTheme="minorHAnsi" w:hAnsiTheme="minorHAnsi" w:cstheme="minorHAnsi"/>
          <w:szCs w:val="20"/>
          <w:lang w:val="fr-FR"/>
        </w:rPr>
        <w:t>. Cette étude est conduite dans 8 pays européens (France, Belgique, Allemagne, Espagne, Autriche, République tchèque, Hongrie et Pologne) et évalue d’activité et la tolérance d’ABX464 à la dose de 50mg par jour administré durant 8 semaines chez des patients atteints d’une rectocolite hémorragique active et résistante aux traitements actuels. Le premier patient a été inclus en Novembre 2017.</w:t>
      </w:r>
    </w:p>
    <w:p w14:paraId="6C9AAEBC" w14:textId="77777777"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d’induction sont attendus en </w:t>
      </w:r>
      <w:r w:rsidR="006B119E" w:rsidRPr="00C73365">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14:paraId="052E4FEC" w14:textId="77777777"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Cette étude d’induction est suivie d’une étude de maintenance offrant la possibilité aux patients qui le souhaitent d’être traité par </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pendant une période d’une année </w:t>
      </w:r>
      <w:r w:rsidRPr="00C73365">
        <w:rPr>
          <w:rFonts w:asciiTheme="minorHAnsi" w:hAnsiTheme="minorHAnsi" w:cstheme="minorHAnsi"/>
          <w:b/>
          <w:szCs w:val="20"/>
          <w:lang w:val="fr-FR"/>
        </w:rPr>
        <w:t>ABX464-102</w:t>
      </w:r>
      <w:r w:rsidRPr="00C73365">
        <w:rPr>
          <w:rFonts w:asciiTheme="minorHAnsi" w:hAnsiTheme="minorHAnsi" w:cstheme="minorHAnsi"/>
          <w:szCs w:val="20"/>
          <w:lang w:val="fr-FR"/>
        </w:rPr>
        <w:t>. Cette étude évaluera la tolérance et l’efficacité au long cours d’</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chez patients atteints d’une rectocolite hémorragique active et résistante aux traitements actuels.</w:t>
      </w:r>
    </w:p>
    <w:p w14:paraId="5CBCBA51" w14:textId="77777777" w:rsidR="001219E1"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de maintenance sont attendus </w:t>
      </w:r>
      <w:r w:rsidR="00D34EC6" w:rsidRPr="00C73365">
        <w:rPr>
          <w:rFonts w:asciiTheme="minorHAnsi" w:hAnsiTheme="minorHAnsi" w:cstheme="minorHAnsi"/>
          <w:szCs w:val="20"/>
          <w:lang w:val="fr-FR"/>
        </w:rPr>
        <w:t>mi-</w:t>
      </w:r>
      <w:r w:rsidRPr="00C73365">
        <w:rPr>
          <w:rFonts w:asciiTheme="minorHAnsi" w:hAnsiTheme="minorHAnsi" w:cstheme="minorHAnsi"/>
          <w:szCs w:val="20"/>
          <w:lang w:val="fr-FR"/>
        </w:rPr>
        <w:t>2019.</w:t>
      </w:r>
    </w:p>
    <w:p w14:paraId="4F44AE5C" w14:textId="77777777" w:rsidR="001219E1" w:rsidRPr="00C73365" w:rsidRDefault="001219E1"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lang w:val="fr-FR"/>
        </w:rPr>
        <w:t xml:space="preserve">En conclusion sur l’ABX464 au titre des deux indications thérapeutiques développées,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estime que les résultats obtenus au cours des études successives de phase IIa et IIb dans le HIV ainsi que l</w:t>
      </w:r>
      <w:r w:rsidRPr="00C73365">
        <w:rPr>
          <w:rFonts w:asciiTheme="minorHAnsi" w:hAnsiTheme="minorHAnsi" w:cstheme="minorHAnsi"/>
          <w:szCs w:val="20"/>
          <w:lang w:val="fr-FR"/>
        </w:rPr>
        <w:t xml:space="preserve">es résultats cliniques de phase IIa positifs dans l’indication rectocolite hémorragique </w:t>
      </w:r>
      <w:r w:rsidRPr="00C73365">
        <w:rPr>
          <w:rFonts w:asciiTheme="minorHAnsi" w:hAnsiTheme="minorHAnsi" w:cstheme="minorHAnsi"/>
          <w:lang w:val="fr-FR"/>
        </w:rPr>
        <w:t>permettraient d’accélérer la conclusion d’un accord de licence, ou de co-développement et de co-commercialisation, avant l’entrée en phase III, avec une ou plusieurs grandes sociétés pharmaceutiques ou des sociétés de biotechnologie actives dans le domaine du VIH et/ou des MICI.</w:t>
      </w:r>
    </w:p>
    <w:p w14:paraId="18E1DFB5" w14:textId="77777777" w:rsidR="00B67A56" w:rsidRPr="00C73365" w:rsidRDefault="00B67A56" w:rsidP="006A4FB1">
      <w:pPr>
        <w:pStyle w:val="Paragraphedeliste"/>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Autres virus</w:t>
      </w:r>
    </w:p>
    <w:p w14:paraId="2C4FE5E4"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Outre des antiviraux contre le VIH, la plate-forme antivirale d’</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le potentiel de générer des antiviraux efficaces contre un large éventail de maladies virales. Certains de ces composés sont actuellement à l</w:t>
      </w:r>
      <w:r w:rsidR="004572A0" w:rsidRPr="00C73365">
        <w:rPr>
          <w:rFonts w:asciiTheme="minorHAnsi" w:eastAsiaTheme="minorHAnsi" w:hAnsiTheme="minorHAnsi" w:cstheme="minorHAnsi"/>
          <w:szCs w:val="20"/>
          <w:lang w:val="fr-FR"/>
        </w:rPr>
        <w:t>’</w:t>
      </w:r>
      <w:r w:rsidRPr="00C73365">
        <w:rPr>
          <w:rFonts w:asciiTheme="minorHAnsi" w:eastAsiaTheme="minorHAnsi" w:hAnsiTheme="minorHAnsi" w:cstheme="minorHAnsi"/>
          <w:szCs w:val="20"/>
          <w:lang w:val="fr-FR"/>
        </w:rPr>
        <w:t>étude pour évaluer leur intérêt éventuel dans le traitement de certaines pathologies importantes. Un crible de la chimiothèque a donc été réalisé sur plusieurs virus (Virus Respiratoire Syncitial, Dengue et Influenza) afin d’identifier de molécules potentiellement actives.</w:t>
      </w:r>
    </w:p>
    <w:p w14:paraId="10332C14" w14:textId="77777777"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respiratoire syncitial (VRS)</w:t>
      </w:r>
    </w:p>
    <w:p w14:paraId="162EC359"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VRS est la plus commune des infections respiratoires des nouveaux nés et entraine entre 50 000 et 75 000 mort par an. Il existe un fort besoin médical, en effet, aux USA, le VRS est responsable de 60 000 hospitalisations par an d’enfants de moins de cinq ans et de 177 000 hospitalisations et 14 000 décès de personnes âgées de plus de 65 ans.</w:t>
      </w:r>
    </w:p>
    <w:p w14:paraId="1B08FD22"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Aujourd’hui, il n’existe aucun vaccin. Le seul traitement disponible est Synagis, un anticorps monoclonal dont le coût prohibitif en réduit son utilisation et la limite au nouveau-né.</w:t>
      </w:r>
    </w:p>
    <w:p w14:paraId="42E3C5FC"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crible de la chimiothèque a permis d’identifier 13 composés capables d’inhiber le virus à plus de 50%.. Des expériences de doses réponses ont permis de définir des concentrations inhibitrices 50 (IC50) sur 6 de ces composés, les IC50 se situant entre 1 et 5 µM.</w:t>
      </w:r>
    </w:p>
    <w:p w14:paraId="372F3D13"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projet et passé en phase d’optimisation de hit. A ce jour, nous avons réussi à augmenter l’efficacité des composé</w:t>
      </w:r>
      <w:r w:rsidR="00D34EC6" w:rsidRPr="00C73365">
        <w:rPr>
          <w:rFonts w:asciiTheme="minorHAnsi" w:eastAsiaTheme="minorHAnsi" w:hAnsiTheme="minorHAnsi" w:cstheme="minorHAnsi"/>
          <w:szCs w:val="20"/>
          <w:lang w:val="fr-FR"/>
        </w:rPr>
        <w:t>s</w:t>
      </w:r>
      <w:r w:rsidRPr="00C73365">
        <w:rPr>
          <w:rFonts w:asciiTheme="minorHAnsi" w:eastAsiaTheme="minorHAnsi" w:hAnsiTheme="minorHAnsi" w:cstheme="minorHAnsi"/>
          <w:szCs w:val="20"/>
          <w:lang w:val="fr-FR"/>
        </w:rPr>
        <w:t xml:space="preserve"> jusqu’à des IC50 de 0,2 µM.</w:t>
      </w:r>
    </w:p>
    <w:p w14:paraId="2A46C44A" w14:textId="77777777"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de la Dengue</w:t>
      </w:r>
    </w:p>
    <w:p w14:paraId="77E5222C"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La Dengue est une pathologie causée par un flavivirus transmis à l’Homme par le moustique Aedes. Il existe quatre sous-types du virus. La pathologie est principalement présente dans les régions tropicales et subtropicales du monde mais se propage de plus en plus en raison de la migration des moustiques. Environ 390 million de cas sont recensés par an dans le monde.</w:t>
      </w:r>
    </w:p>
    <w:p w14:paraId="2C5CE347"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lastRenderedPageBreak/>
        <w:t>Les symptômes de la Dengue se traduisent par un syndrome de type grippal (fièvre, grippal) pouvant évoluer vers des complications potentiellement mortelles dans le cas d’une dengue sévère.</w:t>
      </w:r>
    </w:p>
    <w:p w14:paraId="0287E6D9"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A ce jour, il n’existe pas de traitement spécifique. Seul un vaccin, Dengvaxia; du laboratoire Sanofi Pasteur, est disponible dans quelques pays. Cependant ce vaccin ne présente qu’une protection partielle contre la maladie et pourrait présenter un risque de Dengue sévère.</w:t>
      </w:r>
    </w:p>
    <w:p w14:paraId="32AFD452"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 xml:space="preserve">Un crible de la chimiothèque </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permis d’identifier des molécules actives sur les sous-types 2 du virus Dengue. Ces molécules ont ensuite été testées sur les 3 autres sous-types du virus.</w:t>
      </w:r>
    </w:p>
    <w:p w14:paraId="1E711E31"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Les résultats ont montré que toutes les molécules étaient efficaces sur au moins deux sous-types et que deux molécules étaient actives sur les quatre sous-types. Ces molécules sont passées en phase d’optimisation afin d’obtenir une molécule « lead ».</w:t>
      </w:r>
    </w:p>
    <w:p w14:paraId="74A00475" w14:textId="77777777"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de la grippe</w:t>
      </w:r>
    </w:p>
    <w:p w14:paraId="39D7E15C"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virus de la grippe est un virus à brin d’ARN positif de la famille des Orthomyxoviridae.  Il y a près d’un milliard de cas par an et 250 000 à 500 000 morts par an dans le monde.</w:t>
      </w:r>
    </w:p>
    <w:p w14:paraId="29ED4CC8"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Les symptômes se caractérisent par de fièvre, maux de gorge, toux et fatigue et complications pouvant entrainer la mort (la grippe est la seconde cause de mortalité en France par maladie infectieuse)</w:t>
      </w:r>
    </w:p>
    <w:p w14:paraId="0FA75DA4"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En ce qui concerne les traitements actuels, il existe des traitements antiviraux : Inhibiteurs de neuraminidases (Tamiflu, Relenza), leur efficacité varie selon les souches avec une augmentation du taux de résistance. Aujourd’hui le meilleur moyen de prévention reste le vaccin mais son efficacité dépend de la souche responsable de l’épidémie.</w:t>
      </w:r>
    </w:p>
    <w:p w14:paraId="22C00CE9" w14:textId="77777777"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 xml:space="preserve">Le crible de la chimiothèque </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permis d’identifier 13 molécules capables d’inhiber le virus à plus de 50% à une concentration de 10 µM. Ces 13 molécules ont ensuite été testées à plusieurs concentrations dans des expériences de dose-réponse. Les résultats ont permis d’identifier deux composés possédant des IC50 inférieures à 3 µM. Ces composés vont passer en phase d’optimisation pendant l’année 2018.</w:t>
      </w:r>
    </w:p>
    <w:p w14:paraId="3CBC0031" w14:textId="77777777" w:rsidR="00B67A56" w:rsidRPr="00C73365" w:rsidRDefault="00B67A56" w:rsidP="00B67A56">
      <w:pPr>
        <w:pStyle w:val="Paragraphedeliste"/>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ABX196, un puissant stimulateur immunitaire</w:t>
      </w:r>
    </w:p>
    <w:p w14:paraId="13601E76" w14:textId="6BB4E1E5" w:rsidR="00B67A56" w:rsidRDefault="00B67A56" w:rsidP="00B67A56">
      <w:pPr>
        <w:pStyle w:val="Paragraphedeliste"/>
        <w:numPr>
          <w:ilvl w:val="3"/>
          <w:numId w:val="9"/>
        </w:numPr>
        <w:outlineLvl w:val="2"/>
        <w:rPr>
          <w:rFonts w:asciiTheme="minorHAnsi" w:hAnsiTheme="minorHAnsi" w:cstheme="minorHAnsi"/>
          <w:lang w:val="fr-FR"/>
        </w:rPr>
      </w:pPr>
      <w:r w:rsidRPr="00C73365">
        <w:rPr>
          <w:rFonts w:asciiTheme="minorHAnsi" w:hAnsiTheme="minorHAnsi" w:cstheme="minorHAnsi"/>
          <w:lang w:val="fr-FR"/>
        </w:rPr>
        <w:t>Importance des stimulateurs immunitaires</w:t>
      </w:r>
    </w:p>
    <w:p w14:paraId="13B4329E" w14:textId="77777777" w:rsidR="007B378C" w:rsidRDefault="007B378C" w:rsidP="007B378C">
      <w:pPr>
        <w:pStyle w:val="ConmainL5"/>
        <w:widowControl w:val="0"/>
        <w:tabs>
          <w:tab w:val="num" w:pos="567"/>
        </w:tabs>
        <w:spacing w:after="0"/>
        <w:outlineLvl w:val="9"/>
        <w:rPr>
          <w:rFonts w:asciiTheme="minorHAnsi" w:hAnsiTheme="minorHAnsi" w:cstheme="minorHAnsi"/>
          <w:i w:val="0"/>
          <w:lang w:val="fr-FR"/>
        </w:rPr>
      </w:pPr>
      <w:r w:rsidRPr="00C73365">
        <w:rPr>
          <w:rFonts w:asciiTheme="minorHAnsi" w:hAnsiTheme="minorHAnsi" w:cstheme="minorHAnsi"/>
          <w:i w:val="0"/>
          <w:lang w:val="fr-FR"/>
        </w:rPr>
        <w:t>Les stimulateurs immunitaires sont des composés capables de moduler les réponses immunitaires</w:t>
      </w:r>
      <w:r>
        <w:rPr>
          <w:rFonts w:asciiTheme="minorHAnsi" w:hAnsiTheme="minorHAnsi" w:cstheme="minorHAnsi"/>
          <w:i w:val="0"/>
          <w:lang w:val="fr-FR"/>
        </w:rPr>
        <w:t xml:space="preserve">. Il existe deux catégories : </w:t>
      </w:r>
    </w:p>
    <w:p w14:paraId="03068D63" w14:textId="150554FB" w:rsidR="007B378C" w:rsidRDefault="007B378C" w:rsidP="00434C49">
      <w:pPr>
        <w:pStyle w:val="ConmainL5"/>
        <w:widowControl w:val="0"/>
        <w:numPr>
          <w:ilvl w:val="0"/>
          <w:numId w:val="111"/>
        </w:numPr>
        <w:spacing w:after="0"/>
        <w:outlineLvl w:val="9"/>
        <w:rPr>
          <w:rFonts w:asciiTheme="minorHAnsi" w:hAnsiTheme="minorHAnsi" w:cstheme="minorHAnsi"/>
          <w:i w:val="0"/>
          <w:lang w:val="fr-FR"/>
        </w:rPr>
      </w:pPr>
      <w:r>
        <w:rPr>
          <w:rFonts w:asciiTheme="minorHAnsi" w:hAnsiTheme="minorHAnsi" w:cstheme="minorHAnsi"/>
          <w:i w:val="0"/>
          <w:lang w:val="fr-FR"/>
        </w:rPr>
        <w:t xml:space="preserve">Les stimulateurs spécifiques qui induisent une spécificité antigénique comme les vaccins ou les antigènes </w:t>
      </w:r>
    </w:p>
    <w:p w14:paraId="2D6AD0B7" w14:textId="10ED6FA8" w:rsidR="007B378C" w:rsidRDefault="007B378C" w:rsidP="00434C49">
      <w:pPr>
        <w:pStyle w:val="ConmainL5"/>
        <w:widowControl w:val="0"/>
        <w:numPr>
          <w:ilvl w:val="0"/>
          <w:numId w:val="111"/>
        </w:numPr>
        <w:spacing w:after="0"/>
        <w:outlineLvl w:val="9"/>
        <w:rPr>
          <w:rFonts w:asciiTheme="minorHAnsi" w:hAnsiTheme="minorHAnsi" w:cstheme="minorHAnsi"/>
          <w:i w:val="0"/>
          <w:lang w:val="fr-FR"/>
        </w:rPr>
      </w:pPr>
      <w:r>
        <w:rPr>
          <w:rFonts w:asciiTheme="minorHAnsi" w:hAnsiTheme="minorHAnsi" w:cstheme="minorHAnsi"/>
          <w:i w:val="0"/>
          <w:lang w:val="fr-FR"/>
        </w:rPr>
        <w:t xml:space="preserve">Les stimulateurs non spécifiques qui agissent sans aucune restriction antigénique mais qui stimulent la réponse à un antigène (adjuvants) ou stimulent les autres acteurs du système immunitaire sans présence d’antigène.  </w:t>
      </w:r>
    </w:p>
    <w:p w14:paraId="75D5D216" w14:textId="77777777" w:rsidR="007B378C" w:rsidRDefault="007B378C" w:rsidP="007B378C">
      <w:pPr>
        <w:pStyle w:val="ConmainL5"/>
        <w:widowControl w:val="0"/>
        <w:tabs>
          <w:tab w:val="num" w:pos="567"/>
        </w:tabs>
        <w:spacing w:after="0"/>
        <w:outlineLvl w:val="9"/>
        <w:rPr>
          <w:rFonts w:asciiTheme="minorHAnsi" w:hAnsiTheme="minorHAnsi" w:cstheme="minorHAnsi"/>
          <w:i w:val="0"/>
          <w:lang w:val="fr-FR"/>
        </w:rPr>
      </w:pPr>
    </w:p>
    <w:p w14:paraId="26E987C6" w14:textId="023CFADC" w:rsidR="007B378C" w:rsidRDefault="007B378C" w:rsidP="007B378C">
      <w:pPr>
        <w:pStyle w:val="ConmainL5"/>
        <w:widowControl w:val="0"/>
        <w:tabs>
          <w:tab w:val="num" w:pos="567"/>
        </w:tabs>
        <w:spacing w:after="0"/>
        <w:outlineLvl w:val="9"/>
        <w:rPr>
          <w:rFonts w:asciiTheme="minorHAnsi" w:hAnsiTheme="minorHAnsi" w:cstheme="minorHAnsi"/>
          <w:i w:val="0"/>
          <w:lang w:val="fr-FR"/>
        </w:rPr>
      </w:pPr>
      <w:r>
        <w:rPr>
          <w:rFonts w:asciiTheme="minorHAnsi" w:hAnsiTheme="minorHAnsi" w:cstheme="minorHAnsi"/>
          <w:i w:val="0"/>
          <w:lang w:val="fr-FR"/>
        </w:rPr>
        <w:t>Ces dernières années, les stimulateurs immunitaires sont très utilisés dans les immunothérapies du cancer. Effectivement, augmenter la réponse immunitaire cellulaire contre les cellules tumorales présente plusieurs avantages sur les thérapies ciblées ou classiques, notamment la génération d’une population de cellules mémoires circulante pouvant attaquer les métastases. Cependant une réponse immunitaire effectrice nécessite l’activation d’un nombre suffisant de cellules T spécifiques, mais aussi un contrôle des molécules inhibitrices sur exprimées dans les cellules cancéreuses et/ou immunitaires. L’utilisation des anticorps anti-PD-1 sont maintenant acceptés dans le traitement de certains cancers. Toutefois, le succès de ces thérapies reste discret. Il y a donc un besoin évident de thérapies combinées pour augmenter l’effet des ces molécules.</w:t>
      </w:r>
    </w:p>
    <w:p w14:paraId="7870730E" w14:textId="77777777" w:rsidR="007B378C" w:rsidRDefault="007B378C" w:rsidP="007B378C">
      <w:pPr>
        <w:pStyle w:val="ConmainL5"/>
        <w:widowControl w:val="0"/>
        <w:tabs>
          <w:tab w:val="num" w:pos="567"/>
        </w:tabs>
        <w:spacing w:after="0"/>
        <w:outlineLvl w:val="9"/>
        <w:rPr>
          <w:rFonts w:asciiTheme="minorHAnsi" w:hAnsiTheme="minorHAnsi" w:cstheme="minorHAnsi"/>
          <w:i w:val="0"/>
          <w:lang w:val="fr-FR"/>
        </w:rPr>
      </w:pPr>
    </w:p>
    <w:p w14:paraId="680A76D7" w14:textId="0DE05221" w:rsidR="007B378C" w:rsidRPr="00C73365" w:rsidRDefault="007B378C" w:rsidP="007B378C">
      <w:pPr>
        <w:pStyle w:val="ConmainL5"/>
        <w:widowControl w:val="0"/>
        <w:tabs>
          <w:tab w:val="num" w:pos="567"/>
        </w:tabs>
        <w:spacing w:after="0"/>
        <w:outlineLvl w:val="9"/>
        <w:rPr>
          <w:rFonts w:asciiTheme="minorHAnsi" w:hAnsiTheme="minorHAnsi" w:cstheme="minorHAnsi"/>
          <w:i w:val="0"/>
          <w:spacing w:val="-4"/>
          <w:lang w:val="fr-FR"/>
        </w:rPr>
      </w:pPr>
      <w:r w:rsidRPr="00C73365">
        <w:rPr>
          <w:rFonts w:asciiTheme="minorHAnsi" w:hAnsiTheme="minorHAnsi" w:cstheme="minorHAnsi"/>
          <w:i w:val="0"/>
          <w:lang w:val="fr-FR"/>
        </w:rPr>
        <w:t xml:space="preserve">En réponse à ces besoins, ABIVAX a développé une plateforme technologique visant à proposer des simulateurs immunitaires. Certains des composés présentent la propriété de maximiser l’efficacité des vaccins, notamment en vue d’une utilisation dans le domaine des vaccins thérapeutiques. </w:t>
      </w:r>
      <w:r>
        <w:rPr>
          <w:rFonts w:asciiTheme="minorHAnsi" w:hAnsiTheme="minorHAnsi" w:cstheme="minorHAnsi"/>
          <w:i w:val="0"/>
          <w:lang w:val="fr-FR"/>
        </w:rPr>
        <w:t xml:space="preserve">Alors que certains composés peuvent être utilisés pour augmenter ou ré-activer la réponse immunitaire. </w:t>
      </w:r>
      <w:r w:rsidRPr="00C73365">
        <w:rPr>
          <w:rFonts w:asciiTheme="minorHAnsi" w:hAnsiTheme="minorHAnsi" w:cstheme="minorHAnsi"/>
          <w:i w:val="0"/>
          <w:lang w:val="fr-FR"/>
        </w:rPr>
        <w:t xml:space="preserve">Cette plateforme technologique représente un domaine de recherche et de développement extrêmement complexe. L’action des stimulateurs immunitaires est le résultat de </w:t>
      </w:r>
      <w:r w:rsidRPr="00C73365">
        <w:rPr>
          <w:rFonts w:asciiTheme="minorHAnsi" w:hAnsiTheme="minorHAnsi" w:cstheme="minorHAnsi"/>
          <w:i w:val="0"/>
          <w:spacing w:val="-4"/>
          <w:lang w:val="fr-FR"/>
        </w:rPr>
        <w:t>paramètres multifactoriels, les réponses immunes obtenues dépendent entre autres de l’antigène associé, de leur formulation, des voies d’administrations utilisées et bien entendu de l’indication visée.</w:t>
      </w:r>
    </w:p>
    <w:p w14:paraId="154AF6B8" w14:textId="77777777" w:rsidR="007B378C" w:rsidRPr="007B378C" w:rsidRDefault="007B378C" w:rsidP="007B378C">
      <w:pPr>
        <w:spacing w:after="0"/>
        <w:rPr>
          <w:lang w:val="fr-FR"/>
        </w:rPr>
      </w:pPr>
    </w:p>
    <w:p w14:paraId="02DAF805" w14:textId="6E756087" w:rsidR="00B67A56" w:rsidRDefault="00B67A56" w:rsidP="007B378C">
      <w:pPr>
        <w:pStyle w:val="Paragraphedeliste"/>
        <w:numPr>
          <w:ilvl w:val="3"/>
          <w:numId w:val="9"/>
        </w:numPr>
        <w:spacing w:after="0"/>
        <w:outlineLvl w:val="2"/>
        <w:rPr>
          <w:rFonts w:asciiTheme="minorHAnsi" w:hAnsiTheme="minorHAnsi" w:cstheme="minorHAnsi"/>
          <w:lang w:val="fr-FR"/>
        </w:rPr>
      </w:pPr>
      <w:r w:rsidRPr="00C73365">
        <w:rPr>
          <w:rFonts w:asciiTheme="minorHAnsi" w:hAnsiTheme="minorHAnsi" w:cstheme="minorHAnsi"/>
          <w:lang w:val="fr-FR"/>
        </w:rPr>
        <w:t>Thérapies actuelles et concurrentes</w:t>
      </w:r>
    </w:p>
    <w:p w14:paraId="69B762F7" w14:textId="77777777" w:rsidR="007B378C" w:rsidRDefault="007B378C" w:rsidP="007B378C">
      <w:pPr>
        <w:rPr>
          <w:lang w:val="fr-FR"/>
        </w:rPr>
      </w:pPr>
    </w:p>
    <w:p w14:paraId="53B3A24D" w14:textId="77777777" w:rsidR="001A6708" w:rsidRDefault="007B378C" w:rsidP="001A6708">
      <w:pPr>
        <w:spacing w:after="0"/>
        <w:rPr>
          <w:lang w:val="fr-FR"/>
        </w:rPr>
      </w:pPr>
      <w:r w:rsidRPr="007B378C">
        <w:rPr>
          <w:lang w:val="fr-FR"/>
        </w:rPr>
        <w:t xml:space="preserve">Les thérapies cancéreuses en développement s’orientent de plus en plus vers des combinaisons de molécules, en particulier anti-PD1 an association avec une autre molécule, afin d’accroitre l’efficacité des traitements. </w:t>
      </w:r>
    </w:p>
    <w:p w14:paraId="7DA11C5E" w14:textId="77777777" w:rsidR="001A6708" w:rsidRDefault="001A6708" w:rsidP="001A6708">
      <w:pPr>
        <w:spacing w:after="0"/>
        <w:rPr>
          <w:lang w:val="fr-FR"/>
        </w:rPr>
      </w:pPr>
    </w:p>
    <w:p w14:paraId="28050B70" w14:textId="28CA3CCF" w:rsidR="007B378C" w:rsidRDefault="007B378C" w:rsidP="001A6708">
      <w:pPr>
        <w:spacing w:after="0"/>
        <w:rPr>
          <w:lang w:val="fr-FR"/>
        </w:rPr>
      </w:pPr>
      <w:r w:rsidRPr="007B378C">
        <w:rPr>
          <w:lang w:val="fr-FR"/>
        </w:rPr>
        <w:lastRenderedPageBreak/>
        <w:t>ABX196 est une molécule « First in Class » qui s’inscrit dans cette logique et ne connait pas de concurrent en développement avec un mécanisme d’action identique ou similaire.</w:t>
      </w:r>
    </w:p>
    <w:p w14:paraId="718B9202" w14:textId="77777777" w:rsidR="001A6708" w:rsidRPr="00C73365" w:rsidRDefault="001A6708" w:rsidP="001A6708">
      <w:pPr>
        <w:spacing w:after="0"/>
        <w:rPr>
          <w:lang w:val="fr-FR"/>
        </w:rPr>
      </w:pPr>
    </w:p>
    <w:p w14:paraId="5C1D38E9" w14:textId="77777777" w:rsidR="00B67A56" w:rsidRPr="00C73365" w:rsidRDefault="00B67A56" w:rsidP="00B67A56">
      <w:pPr>
        <w:pStyle w:val="Paragraphedeliste"/>
        <w:numPr>
          <w:ilvl w:val="3"/>
          <w:numId w:val="9"/>
        </w:numPr>
        <w:outlineLvl w:val="2"/>
        <w:rPr>
          <w:rFonts w:asciiTheme="minorHAnsi" w:hAnsiTheme="minorHAnsi" w:cstheme="minorHAnsi"/>
          <w:b/>
          <w:szCs w:val="20"/>
          <w:lang w:val="fr-FR" w:eastAsia="fr-FR"/>
        </w:rPr>
      </w:pPr>
      <w:r w:rsidRPr="00C73365">
        <w:rPr>
          <w:rFonts w:asciiTheme="minorHAnsi" w:hAnsiTheme="minorHAnsi" w:cstheme="minorHAnsi"/>
          <w:lang w:val="fr-FR"/>
        </w:rPr>
        <w:t xml:space="preserve">La technologie </w:t>
      </w:r>
      <w:r w:rsidR="00EF089C" w:rsidRPr="00C73365">
        <w:rPr>
          <w:rFonts w:asciiTheme="minorHAnsi" w:hAnsiTheme="minorHAnsi" w:cstheme="minorHAnsi"/>
          <w:lang w:val="fr-FR"/>
        </w:rPr>
        <w:t>ABIVAX</w:t>
      </w:r>
    </w:p>
    <w:p w14:paraId="681D380E" w14:textId="77777777" w:rsidR="00B67A56" w:rsidRPr="00C73365" w:rsidRDefault="00EF089C"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ABIVAX</w:t>
      </w:r>
      <w:r w:rsidR="00B67A56" w:rsidRPr="00C73365">
        <w:rPr>
          <w:rFonts w:asciiTheme="minorHAnsi" w:hAnsiTheme="minorHAnsi" w:cstheme="minorHAnsi"/>
          <w:i w:val="0"/>
          <w:lang w:val="fr-FR"/>
        </w:rPr>
        <w:t xml:space="preserve"> a développé une plateforme de stimulateurs immunitaires, basée sur la synthèse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une famille de glycolipides disposant de propriétés très spécifiques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activation des lymphocytes T. Ces glycolipides sont basés sur la chimie des α-galactosylcéramides (α GalCer). Ces substances stimulent de manière spécifique des lymphocytes régulateurs appelés cellules NKT, qui jouent un rôle clef dans l’activation et la régulation des réponses immunes. Cette famille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 xml:space="preserve">agonistes iNKT a le potentiel de devenir des adjuvants pour les vaccins thérapeutiques et prophylactiques. </w:t>
      </w:r>
    </w:p>
    <w:p w14:paraId="43FC6320"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Un large éventail de plus de 200 analogues issus du composé parent αGalCer a été synthétisé afin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évaluer leur potentiel en tant qu</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adjuvant, notamment leur capacité à stimuler une puissante réponse des lymphocytes T cytotoxiques. Sur la base des résultats de ce processus de sélection, un premier composé, ABX196, a été choisi pour une évaluation plus poussée. Des études chez la souris ont montré qu</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disposait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un profil optimal pour activer in vitro et in vivo les cellules NKT, B et T. Il possède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avantage supplémentaire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être soluble en solutions injectables. ABX196 a fait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objet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une très large évaluation sur de multiples indications (en maladies infectieuses et en oncologie).</w:t>
      </w:r>
    </w:p>
    <w:p w14:paraId="4473ADFF" w14:textId="77777777" w:rsidR="00B67A56" w:rsidRPr="00C73365" w:rsidRDefault="00B67A56" w:rsidP="00B67A56">
      <w:pPr>
        <w:pStyle w:val="Paragraphedeliste"/>
        <w:numPr>
          <w:ilvl w:val="3"/>
          <w:numId w:val="9"/>
        </w:numPr>
        <w:outlineLvl w:val="2"/>
        <w:rPr>
          <w:rFonts w:asciiTheme="minorHAnsi" w:hAnsiTheme="minorHAnsi" w:cstheme="minorHAnsi"/>
          <w:lang w:val="fr-FR"/>
        </w:rPr>
      </w:pPr>
      <w:r w:rsidRPr="00C73365">
        <w:rPr>
          <w:rFonts w:asciiTheme="minorHAnsi" w:hAnsiTheme="minorHAnsi" w:cstheme="minorHAnsi"/>
          <w:lang w:val="fr-FR"/>
        </w:rPr>
        <w:t>Aperçu des données actuellement disponibles</w:t>
      </w:r>
    </w:p>
    <w:p w14:paraId="24E6F4A4" w14:textId="77777777" w:rsidR="00B67A56" w:rsidRPr="00C73365" w:rsidRDefault="00B67A56" w:rsidP="00434C49">
      <w:pPr>
        <w:pStyle w:val="Paragraphedeliste"/>
        <w:numPr>
          <w:ilvl w:val="0"/>
          <w:numId w:val="78"/>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Données précliniques</w:t>
      </w:r>
    </w:p>
    <w:p w14:paraId="4B440BB9"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tableau ci-dessous résume les données obtenues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 ces indications, dans les modèles primates et rongeurs, avec utilisation de différentes voies d</w:t>
      </w:r>
      <w:r w:rsidR="004572A0" w:rsidRPr="00C73365">
        <w:rPr>
          <w:rFonts w:asciiTheme="minorHAnsi" w:hAnsiTheme="minorHAnsi" w:cstheme="minorHAnsi"/>
          <w:lang w:val="fr-FR"/>
        </w:rPr>
        <w:t>’</w:t>
      </w:r>
      <w:r w:rsidRPr="00C73365">
        <w:rPr>
          <w:rFonts w:asciiTheme="minorHAnsi" w:hAnsiTheme="minorHAnsi" w:cstheme="minorHAnsi"/>
          <w:lang w:val="fr-FR"/>
        </w:rPr>
        <w:t>administration. Ces études de preuve de concept ont mis en évidence des résultats positifs dans ces différentes indications, allant jusqu’aux tests de survie. Les antigènes utilisés dans ces études étaient de nature</w:t>
      </w:r>
      <w:r w:rsidR="00793D85" w:rsidRPr="00C73365">
        <w:rPr>
          <w:rFonts w:asciiTheme="minorHAnsi" w:hAnsiTheme="minorHAnsi" w:cstheme="minorHAnsi"/>
          <w:lang w:val="fr-FR"/>
        </w:rPr>
        <w:t>s</w:t>
      </w:r>
      <w:r w:rsidRPr="00C73365">
        <w:rPr>
          <w:rFonts w:asciiTheme="minorHAnsi" w:hAnsiTheme="minorHAnsi" w:cstheme="minorHAnsi"/>
          <w:lang w:val="fr-FR"/>
        </w:rPr>
        <w:t xml:space="preserve"> très différentes, allant de peptides, de protéines recombinantes jusqu’aux virus fractionnés. Ces données mettent particulièrement en lumière la capacité de notre adjuvant à induire une réponse immune contre des antigènes aux propriétés très différentes, indiquant le caractère « universel » du composé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w:t>
      </w:r>
    </w:p>
    <w:p w14:paraId="0C829160" w14:textId="77777777" w:rsidR="00B67A56" w:rsidRPr="00C73365" w:rsidRDefault="00E32CFE" w:rsidP="004572A0">
      <w:pPr>
        <w:pStyle w:val="Corpsdetexte"/>
        <w:rPr>
          <w:rFonts w:asciiTheme="minorHAnsi" w:hAnsiTheme="minorHAnsi" w:cstheme="minorHAnsi"/>
          <w:b/>
          <w:lang w:val="fr-FR"/>
        </w:rPr>
      </w:pPr>
      <w:r w:rsidRPr="00C73365">
        <w:rPr>
          <w:rFonts w:asciiTheme="minorHAnsi" w:hAnsiTheme="minorHAnsi" w:cstheme="minorHAnsi"/>
          <w:b/>
          <w:lang w:val="fr-FR"/>
        </w:rPr>
        <w:t>ABX196</w:t>
      </w:r>
      <w:r w:rsidR="00B67A56" w:rsidRPr="00C73365">
        <w:rPr>
          <w:rFonts w:asciiTheme="minorHAnsi" w:hAnsiTheme="minorHAnsi" w:cstheme="minorHAnsi"/>
          <w:b/>
          <w:lang w:val="fr-FR"/>
        </w:rPr>
        <w:t xml:space="preserve"> : Preuve de concept dans de multiples indications, contre différents antigènes et différentes voies d</w:t>
      </w:r>
      <w:r w:rsidR="004572A0" w:rsidRPr="00C73365">
        <w:rPr>
          <w:rFonts w:asciiTheme="minorHAnsi" w:hAnsiTheme="minorHAnsi" w:cstheme="minorHAnsi"/>
          <w:b/>
          <w:lang w:val="fr-FR"/>
        </w:rPr>
        <w:t>’</w:t>
      </w:r>
      <w:r w:rsidR="00B67A56" w:rsidRPr="00C73365">
        <w:rPr>
          <w:rFonts w:asciiTheme="minorHAnsi" w:hAnsiTheme="minorHAnsi" w:cstheme="minorHAnsi"/>
          <w:b/>
          <w:lang w:val="fr-FR"/>
        </w:rPr>
        <w:t>administration dans les modèles souris et singe</w:t>
      </w:r>
    </w:p>
    <w:tbl>
      <w:tblPr>
        <w:tblW w:w="9365" w:type="dxa"/>
        <w:tblCellMar>
          <w:left w:w="70" w:type="dxa"/>
          <w:right w:w="70" w:type="dxa"/>
        </w:tblCellMar>
        <w:tblLook w:val="04A0" w:firstRow="1" w:lastRow="0" w:firstColumn="1" w:lastColumn="0" w:noHBand="0" w:noVBand="1"/>
      </w:tblPr>
      <w:tblGrid>
        <w:gridCol w:w="2117"/>
        <w:gridCol w:w="2565"/>
        <w:gridCol w:w="799"/>
        <w:gridCol w:w="2850"/>
        <w:gridCol w:w="1034"/>
      </w:tblGrid>
      <w:tr w:rsidR="00B67A56" w:rsidRPr="00C73365" w14:paraId="17BE4A08" w14:textId="77777777" w:rsidTr="009C5D68">
        <w:trPr>
          <w:trHeight w:val="278"/>
        </w:trPr>
        <w:tc>
          <w:tcPr>
            <w:tcW w:w="2117" w:type="dxa"/>
            <w:tcBorders>
              <w:top w:val="single" w:sz="12" w:space="0" w:color="7030A0"/>
              <w:left w:val="nil"/>
              <w:bottom w:val="single" w:sz="8" w:space="0" w:color="7030A0"/>
              <w:right w:val="nil"/>
            </w:tcBorders>
            <w:shd w:val="clear" w:color="auto" w:fill="auto"/>
            <w:vAlign w:val="center"/>
            <w:hideMark/>
          </w:tcPr>
          <w:p w14:paraId="080FC933" w14:textId="77777777"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Indication</w:t>
            </w:r>
          </w:p>
        </w:tc>
        <w:tc>
          <w:tcPr>
            <w:tcW w:w="2565" w:type="dxa"/>
            <w:tcBorders>
              <w:top w:val="single" w:sz="12" w:space="0" w:color="7030A0"/>
              <w:left w:val="nil"/>
              <w:bottom w:val="single" w:sz="8" w:space="0" w:color="7030A0"/>
              <w:right w:val="nil"/>
            </w:tcBorders>
            <w:shd w:val="clear" w:color="auto" w:fill="auto"/>
            <w:vAlign w:val="center"/>
            <w:hideMark/>
          </w:tcPr>
          <w:p w14:paraId="60A65B47" w14:textId="77777777"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Antigène</w:t>
            </w:r>
          </w:p>
        </w:tc>
        <w:tc>
          <w:tcPr>
            <w:tcW w:w="799" w:type="dxa"/>
            <w:tcBorders>
              <w:top w:val="single" w:sz="12" w:space="0" w:color="7030A0"/>
              <w:left w:val="nil"/>
              <w:bottom w:val="single" w:sz="8" w:space="0" w:color="7030A0"/>
              <w:right w:val="nil"/>
            </w:tcBorders>
            <w:shd w:val="clear" w:color="auto" w:fill="auto"/>
            <w:vAlign w:val="center"/>
            <w:hideMark/>
          </w:tcPr>
          <w:p w14:paraId="6908A402" w14:textId="77777777"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Voie</w:t>
            </w:r>
          </w:p>
        </w:tc>
        <w:tc>
          <w:tcPr>
            <w:tcW w:w="2850" w:type="dxa"/>
            <w:tcBorders>
              <w:top w:val="single" w:sz="12" w:space="0" w:color="7030A0"/>
              <w:left w:val="nil"/>
              <w:bottom w:val="single" w:sz="8" w:space="0" w:color="7030A0"/>
              <w:right w:val="nil"/>
            </w:tcBorders>
            <w:shd w:val="clear" w:color="auto" w:fill="auto"/>
            <w:vAlign w:val="center"/>
            <w:hideMark/>
          </w:tcPr>
          <w:p w14:paraId="0B88CC2D" w14:textId="77777777"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Immunogénicité</w:t>
            </w:r>
          </w:p>
        </w:tc>
        <w:tc>
          <w:tcPr>
            <w:tcW w:w="1034" w:type="dxa"/>
            <w:tcBorders>
              <w:top w:val="single" w:sz="12" w:space="0" w:color="7030A0"/>
              <w:left w:val="nil"/>
              <w:bottom w:val="single" w:sz="8" w:space="0" w:color="7030A0"/>
              <w:right w:val="nil"/>
            </w:tcBorders>
            <w:shd w:val="clear" w:color="auto" w:fill="auto"/>
            <w:vAlign w:val="center"/>
            <w:hideMark/>
          </w:tcPr>
          <w:p w14:paraId="1A0D9FF5" w14:textId="77777777"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Résultats</w:t>
            </w:r>
          </w:p>
        </w:tc>
      </w:tr>
      <w:tr w:rsidR="00B67A56" w:rsidRPr="00C73365" w14:paraId="5BBB0482" w14:textId="77777777"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14:paraId="7A2AC814"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Grippe saisonnière</w:t>
            </w:r>
          </w:p>
        </w:tc>
        <w:tc>
          <w:tcPr>
            <w:tcW w:w="2565" w:type="dxa"/>
            <w:tcBorders>
              <w:top w:val="nil"/>
              <w:left w:val="nil"/>
              <w:bottom w:val="nil"/>
              <w:right w:val="nil"/>
            </w:tcBorders>
            <w:shd w:val="clear" w:color="auto" w:fill="auto"/>
            <w:vAlign w:val="center"/>
            <w:hideMark/>
          </w:tcPr>
          <w:p w14:paraId="564AA9CA"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fractionné</w:t>
            </w:r>
          </w:p>
        </w:tc>
        <w:tc>
          <w:tcPr>
            <w:tcW w:w="799" w:type="dxa"/>
            <w:vMerge w:val="restart"/>
            <w:tcBorders>
              <w:top w:val="nil"/>
              <w:left w:val="nil"/>
              <w:bottom w:val="single" w:sz="4" w:space="0" w:color="7030A0"/>
              <w:right w:val="nil"/>
            </w:tcBorders>
            <w:shd w:val="clear" w:color="auto" w:fill="auto"/>
            <w:vAlign w:val="center"/>
            <w:hideMark/>
          </w:tcPr>
          <w:p w14:paraId="09609469"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 sc</w:t>
            </w:r>
          </w:p>
        </w:tc>
        <w:tc>
          <w:tcPr>
            <w:tcW w:w="2850" w:type="dxa"/>
            <w:tcBorders>
              <w:top w:val="nil"/>
              <w:left w:val="nil"/>
              <w:bottom w:val="nil"/>
              <w:right w:val="nil"/>
            </w:tcBorders>
            <w:shd w:val="clear" w:color="auto" w:fill="auto"/>
            <w:vAlign w:val="center"/>
            <w:hideMark/>
          </w:tcPr>
          <w:p w14:paraId="592A3471"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vMerge w:val="restart"/>
            <w:tcBorders>
              <w:top w:val="nil"/>
              <w:left w:val="nil"/>
              <w:bottom w:val="single" w:sz="4" w:space="0" w:color="7030A0"/>
              <w:right w:val="nil"/>
            </w:tcBorders>
            <w:shd w:val="clear" w:color="auto" w:fill="auto"/>
            <w:vAlign w:val="center"/>
            <w:hideMark/>
          </w:tcPr>
          <w:p w14:paraId="432ACB03"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14:paraId="5C684345" w14:textId="77777777" w:rsidTr="009C5D68">
        <w:trPr>
          <w:trHeight w:val="104"/>
        </w:trPr>
        <w:tc>
          <w:tcPr>
            <w:tcW w:w="2117" w:type="dxa"/>
            <w:vMerge/>
            <w:tcBorders>
              <w:top w:val="nil"/>
              <w:left w:val="nil"/>
              <w:bottom w:val="single" w:sz="4" w:space="0" w:color="7030A0"/>
              <w:right w:val="nil"/>
            </w:tcBorders>
            <w:vAlign w:val="center"/>
            <w:hideMark/>
          </w:tcPr>
          <w:p w14:paraId="30A8E7F0" w14:textId="77777777"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14:paraId="5AD6AD90"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w:t>
            </w:r>
          </w:p>
        </w:tc>
        <w:tc>
          <w:tcPr>
            <w:tcW w:w="799" w:type="dxa"/>
            <w:vMerge/>
            <w:tcBorders>
              <w:top w:val="nil"/>
              <w:left w:val="nil"/>
              <w:bottom w:val="single" w:sz="4" w:space="0" w:color="7030A0"/>
              <w:right w:val="nil"/>
            </w:tcBorders>
            <w:vAlign w:val="center"/>
            <w:hideMark/>
          </w:tcPr>
          <w:p w14:paraId="78CD632C" w14:textId="77777777"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14:paraId="7A628478"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14:paraId="3080E89B" w14:textId="77777777"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14:paraId="739B3420" w14:textId="77777777" w:rsidTr="009C5D68">
        <w:trPr>
          <w:trHeight w:val="304"/>
        </w:trPr>
        <w:tc>
          <w:tcPr>
            <w:tcW w:w="2117" w:type="dxa"/>
            <w:vMerge w:val="restart"/>
            <w:tcBorders>
              <w:top w:val="nil"/>
              <w:left w:val="nil"/>
              <w:bottom w:val="single" w:sz="4" w:space="0" w:color="7030A0"/>
              <w:right w:val="nil"/>
            </w:tcBorders>
            <w:shd w:val="clear" w:color="auto" w:fill="auto"/>
            <w:vAlign w:val="center"/>
            <w:hideMark/>
          </w:tcPr>
          <w:p w14:paraId="26E99A6A"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Grippe </w:t>
            </w:r>
          </w:p>
          <w:p w14:paraId="6AD5A102"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pandémique H5N1</w:t>
            </w:r>
          </w:p>
        </w:tc>
        <w:tc>
          <w:tcPr>
            <w:tcW w:w="2565" w:type="dxa"/>
            <w:tcBorders>
              <w:top w:val="nil"/>
              <w:left w:val="nil"/>
              <w:bottom w:val="nil"/>
              <w:right w:val="nil"/>
            </w:tcBorders>
            <w:shd w:val="clear" w:color="auto" w:fill="auto"/>
            <w:vAlign w:val="center"/>
            <w:hideMark/>
          </w:tcPr>
          <w:p w14:paraId="208EB507"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fractionné (saisonnier)</w:t>
            </w:r>
          </w:p>
        </w:tc>
        <w:tc>
          <w:tcPr>
            <w:tcW w:w="799" w:type="dxa"/>
            <w:vMerge w:val="restart"/>
            <w:tcBorders>
              <w:top w:val="nil"/>
              <w:left w:val="nil"/>
              <w:bottom w:val="single" w:sz="4" w:space="0" w:color="7030A0"/>
              <w:right w:val="nil"/>
            </w:tcBorders>
            <w:shd w:val="clear" w:color="auto" w:fill="auto"/>
            <w:vAlign w:val="center"/>
            <w:hideMark/>
          </w:tcPr>
          <w:p w14:paraId="1DC38538"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 sc</w:t>
            </w:r>
          </w:p>
        </w:tc>
        <w:tc>
          <w:tcPr>
            <w:tcW w:w="2850" w:type="dxa"/>
            <w:tcBorders>
              <w:top w:val="nil"/>
              <w:left w:val="nil"/>
              <w:bottom w:val="nil"/>
              <w:right w:val="nil"/>
            </w:tcBorders>
            <w:shd w:val="clear" w:color="auto" w:fill="auto"/>
            <w:vAlign w:val="center"/>
            <w:hideMark/>
          </w:tcPr>
          <w:p w14:paraId="70DA673E"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vMerge w:val="restart"/>
            <w:tcBorders>
              <w:top w:val="nil"/>
              <w:left w:val="nil"/>
              <w:bottom w:val="single" w:sz="4" w:space="0" w:color="7030A0"/>
              <w:right w:val="nil"/>
            </w:tcBorders>
            <w:shd w:val="clear" w:color="auto" w:fill="auto"/>
            <w:vAlign w:val="center"/>
            <w:hideMark/>
          </w:tcPr>
          <w:p w14:paraId="05B7B4AE"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14:paraId="0A4FC6E6" w14:textId="77777777" w:rsidTr="009C5D68">
        <w:trPr>
          <w:trHeight w:val="104"/>
        </w:trPr>
        <w:tc>
          <w:tcPr>
            <w:tcW w:w="2117" w:type="dxa"/>
            <w:vMerge/>
            <w:tcBorders>
              <w:top w:val="nil"/>
              <w:left w:val="nil"/>
              <w:bottom w:val="single" w:sz="4" w:space="0" w:color="7030A0"/>
              <w:right w:val="nil"/>
            </w:tcBorders>
            <w:vAlign w:val="center"/>
            <w:hideMark/>
          </w:tcPr>
          <w:p w14:paraId="242BA351" w14:textId="77777777"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14:paraId="39251F49"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peptides</w:t>
            </w:r>
          </w:p>
        </w:tc>
        <w:tc>
          <w:tcPr>
            <w:tcW w:w="799" w:type="dxa"/>
            <w:vMerge/>
            <w:tcBorders>
              <w:top w:val="nil"/>
              <w:left w:val="nil"/>
              <w:bottom w:val="single" w:sz="4" w:space="0" w:color="7030A0"/>
              <w:right w:val="nil"/>
            </w:tcBorders>
            <w:vAlign w:val="center"/>
            <w:hideMark/>
          </w:tcPr>
          <w:p w14:paraId="602E0A96" w14:textId="77777777"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14:paraId="6158F8E1"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14:paraId="2D50A828" w14:textId="77777777"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14:paraId="61BBCCE0" w14:textId="77777777"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14:paraId="318E1A28"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Encéphalite japonaise</w:t>
            </w:r>
          </w:p>
        </w:tc>
        <w:tc>
          <w:tcPr>
            <w:tcW w:w="2565" w:type="dxa"/>
            <w:vMerge w:val="restart"/>
            <w:tcBorders>
              <w:top w:val="nil"/>
              <w:left w:val="nil"/>
              <w:bottom w:val="single" w:sz="4" w:space="0" w:color="7030A0"/>
              <w:right w:val="nil"/>
            </w:tcBorders>
            <w:shd w:val="clear" w:color="auto" w:fill="auto"/>
            <w:vAlign w:val="center"/>
            <w:hideMark/>
          </w:tcPr>
          <w:p w14:paraId="338E37A4"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inactivé purifié (VIP)</w:t>
            </w:r>
          </w:p>
        </w:tc>
        <w:tc>
          <w:tcPr>
            <w:tcW w:w="799" w:type="dxa"/>
            <w:vMerge w:val="restart"/>
            <w:tcBorders>
              <w:top w:val="nil"/>
              <w:left w:val="nil"/>
              <w:bottom w:val="single" w:sz="4" w:space="0" w:color="7030A0"/>
              <w:right w:val="nil"/>
            </w:tcBorders>
            <w:shd w:val="clear" w:color="auto" w:fill="auto"/>
            <w:vAlign w:val="center"/>
            <w:hideMark/>
          </w:tcPr>
          <w:p w14:paraId="71F95083"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w:t>
            </w:r>
          </w:p>
        </w:tc>
        <w:tc>
          <w:tcPr>
            <w:tcW w:w="2850" w:type="dxa"/>
            <w:tcBorders>
              <w:top w:val="nil"/>
              <w:left w:val="nil"/>
              <w:bottom w:val="nil"/>
              <w:right w:val="nil"/>
            </w:tcBorders>
            <w:shd w:val="clear" w:color="auto" w:fill="auto"/>
            <w:vAlign w:val="center"/>
            <w:hideMark/>
          </w:tcPr>
          <w:p w14:paraId="0492ABCD"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vMerge w:val="restart"/>
            <w:tcBorders>
              <w:top w:val="nil"/>
              <w:left w:val="nil"/>
              <w:bottom w:val="single" w:sz="4" w:space="0" w:color="7030A0"/>
              <w:right w:val="nil"/>
            </w:tcBorders>
            <w:shd w:val="clear" w:color="auto" w:fill="auto"/>
            <w:vAlign w:val="center"/>
            <w:hideMark/>
          </w:tcPr>
          <w:p w14:paraId="09D594D8"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14:paraId="15312415" w14:textId="77777777" w:rsidTr="009C5D68">
        <w:trPr>
          <w:trHeight w:val="201"/>
        </w:trPr>
        <w:tc>
          <w:tcPr>
            <w:tcW w:w="2117" w:type="dxa"/>
            <w:vMerge/>
            <w:tcBorders>
              <w:top w:val="nil"/>
              <w:left w:val="nil"/>
              <w:bottom w:val="single" w:sz="4" w:space="0" w:color="7030A0"/>
              <w:right w:val="nil"/>
            </w:tcBorders>
            <w:vAlign w:val="center"/>
            <w:hideMark/>
          </w:tcPr>
          <w:p w14:paraId="7CAFA63B" w14:textId="77777777"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14:paraId="7989251C" w14:textId="77777777"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14:paraId="1D6190CB" w14:textId="77777777"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14:paraId="42FC8BB2"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Neutralisation Ab</w:t>
            </w:r>
          </w:p>
        </w:tc>
        <w:tc>
          <w:tcPr>
            <w:tcW w:w="1034" w:type="dxa"/>
            <w:vMerge/>
            <w:tcBorders>
              <w:top w:val="nil"/>
              <w:left w:val="nil"/>
              <w:bottom w:val="single" w:sz="4" w:space="0" w:color="7030A0"/>
              <w:right w:val="nil"/>
            </w:tcBorders>
            <w:vAlign w:val="center"/>
            <w:hideMark/>
          </w:tcPr>
          <w:p w14:paraId="6D87FE3C" w14:textId="77777777"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14:paraId="10C12D5B" w14:textId="77777777"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14:paraId="1941FCD8"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Herpès génital</w:t>
            </w:r>
          </w:p>
        </w:tc>
        <w:tc>
          <w:tcPr>
            <w:tcW w:w="2565" w:type="dxa"/>
            <w:vMerge w:val="restart"/>
            <w:tcBorders>
              <w:top w:val="single" w:sz="4" w:space="0" w:color="7030A0"/>
              <w:left w:val="nil"/>
              <w:bottom w:val="single" w:sz="4" w:space="0" w:color="7030A0"/>
              <w:right w:val="nil"/>
            </w:tcBorders>
            <w:shd w:val="clear" w:color="auto" w:fill="auto"/>
            <w:vAlign w:val="center"/>
            <w:hideMark/>
          </w:tcPr>
          <w:p w14:paraId="138D9B53"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(gD)</w:t>
            </w:r>
          </w:p>
        </w:tc>
        <w:tc>
          <w:tcPr>
            <w:tcW w:w="799" w:type="dxa"/>
            <w:vMerge w:val="restart"/>
            <w:tcBorders>
              <w:top w:val="single" w:sz="4" w:space="0" w:color="7030A0"/>
              <w:left w:val="nil"/>
              <w:bottom w:val="single" w:sz="4" w:space="0" w:color="7030A0"/>
              <w:right w:val="nil"/>
            </w:tcBorders>
            <w:shd w:val="clear" w:color="auto" w:fill="auto"/>
            <w:vAlign w:val="center"/>
            <w:hideMark/>
          </w:tcPr>
          <w:p w14:paraId="3A8C831D"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w:t>
            </w:r>
          </w:p>
        </w:tc>
        <w:tc>
          <w:tcPr>
            <w:tcW w:w="2850" w:type="dxa"/>
            <w:tcBorders>
              <w:top w:val="single" w:sz="4" w:space="0" w:color="7030A0"/>
              <w:left w:val="nil"/>
              <w:bottom w:val="nil"/>
              <w:right w:val="nil"/>
            </w:tcBorders>
            <w:shd w:val="clear" w:color="auto" w:fill="auto"/>
            <w:vAlign w:val="center"/>
            <w:hideMark/>
          </w:tcPr>
          <w:p w14:paraId="3B8EBFB6"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vMerge w:val="restart"/>
            <w:tcBorders>
              <w:top w:val="single" w:sz="4" w:space="0" w:color="7030A0"/>
              <w:left w:val="nil"/>
              <w:bottom w:val="single" w:sz="4" w:space="0" w:color="7030A0"/>
              <w:right w:val="nil"/>
            </w:tcBorders>
            <w:shd w:val="clear" w:color="auto" w:fill="auto"/>
            <w:vAlign w:val="center"/>
            <w:hideMark/>
          </w:tcPr>
          <w:p w14:paraId="6E5D6A3A"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14:paraId="38509DE1" w14:textId="77777777" w:rsidTr="009C5D68">
        <w:trPr>
          <w:trHeight w:val="104"/>
        </w:trPr>
        <w:tc>
          <w:tcPr>
            <w:tcW w:w="2117" w:type="dxa"/>
            <w:vMerge/>
            <w:tcBorders>
              <w:top w:val="nil"/>
              <w:left w:val="nil"/>
              <w:bottom w:val="single" w:sz="4" w:space="0" w:color="7030A0"/>
              <w:right w:val="nil"/>
            </w:tcBorders>
            <w:vAlign w:val="center"/>
            <w:hideMark/>
          </w:tcPr>
          <w:p w14:paraId="5DF5C051" w14:textId="77777777"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14:paraId="37DFCF79" w14:textId="77777777"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14:paraId="20272BF3" w14:textId="77777777"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14:paraId="19CDDEB3"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14:paraId="09E52F34" w14:textId="77777777"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14:paraId="5A2CF438" w14:textId="77777777"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14:paraId="07C59F3A"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Chlamydia</w:t>
            </w:r>
          </w:p>
        </w:tc>
        <w:tc>
          <w:tcPr>
            <w:tcW w:w="2565" w:type="dxa"/>
            <w:tcBorders>
              <w:top w:val="single" w:sz="4" w:space="0" w:color="7030A0"/>
              <w:left w:val="nil"/>
              <w:right w:val="nil"/>
            </w:tcBorders>
            <w:shd w:val="clear" w:color="auto" w:fill="auto"/>
            <w:vAlign w:val="center"/>
            <w:hideMark/>
          </w:tcPr>
          <w:p w14:paraId="437A296B"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(rCopN) :</w:t>
            </w:r>
          </w:p>
        </w:tc>
        <w:tc>
          <w:tcPr>
            <w:tcW w:w="799" w:type="dxa"/>
            <w:vMerge w:val="restart"/>
            <w:tcBorders>
              <w:top w:val="single" w:sz="4" w:space="0" w:color="7030A0"/>
              <w:left w:val="nil"/>
              <w:right w:val="nil"/>
            </w:tcBorders>
            <w:shd w:val="clear" w:color="auto" w:fill="auto"/>
            <w:vAlign w:val="center"/>
            <w:hideMark/>
          </w:tcPr>
          <w:p w14:paraId="4093D44C"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w:t>
            </w:r>
          </w:p>
        </w:tc>
        <w:tc>
          <w:tcPr>
            <w:tcW w:w="2850" w:type="dxa"/>
            <w:tcBorders>
              <w:top w:val="single" w:sz="4" w:space="0" w:color="7030A0"/>
              <w:left w:val="nil"/>
              <w:right w:val="nil"/>
            </w:tcBorders>
            <w:shd w:val="clear" w:color="auto" w:fill="auto"/>
            <w:vAlign w:val="center"/>
            <w:hideMark/>
          </w:tcPr>
          <w:p w14:paraId="02444D11"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single" w:sz="4" w:space="0" w:color="7030A0"/>
              <w:left w:val="nil"/>
              <w:bottom w:val="single" w:sz="4" w:space="0" w:color="7030A0"/>
              <w:right w:val="nil"/>
            </w:tcBorders>
            <w:shd w:val="clear" w:color="auto" w:fill="auto"/>
            <w:vAlign w:val="center"/>
            <w:hideMark/>
          </w:tcPr>
          <w:p w14:paraId="114D3668"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14:paraId="330D54D7" w14:textId="77777777" w:rsidTr="009C5D68">
        <w:trPr>
          <w:trHeight w:val="304"/>
        </w:trPr>
        <w:tc>
          <w:tcPr>
            <w:tcW w:w="2117" w:type="dxa"/>
            <w:vMerge/>
            <w:tcBorders>
              <w:top w:val="single" w:sz="4" w:space="0" w:color="7030A0"/>
              <w:left w:val="nil"/>
              <w:bottom w:val="single" w:sz="4" w:space="0" w:color="7030A0"/>
              <w:right w:val="nil"/>
            </w:tcBorders>
            <w:vAlign w:val="center"/>
            <w:hideMark/>
          </w:tcPr>
          <w:p w14:paraId="09A20148" w14:textId="77777777" w:rsidR="00B67A56" w:rsidRPr="00C73365" w:rsidRDefault="00B67A56" w:rsidP="009C5D68">
            <w:pPr>
              <w:spacing w:after="0"/>
              <w:rPr>
                <w:rFonts w:asciiTheme="minorHAnsi" w:hAnsiTheme="minorHAnsi" w:cstheme="minorHAnsi"/>
                <w:color w:val="000000"/>
                <w:szCs w:val="20"/>
                <w:lang w:val="fr-FR"/>
              </w:rPr>
            </w:pPr>
          </w:p>
        </w:tc>
        <w:tc>
          <w:tcPr>
            <w:tcW w:w="2565" w:type="dxa"/>
            <w:tcBorders>
              <w:left w:val="nil"/>
              <w:bottom w:val="single" w:sz="4" w:space="0" w:color="7030A0"/>
              <w:right w:val="nil"/>
            </w:tcBorders>
            <w:shd w:val="clear" w:color="auto" w:fill="auto"/>
            <w:vAlign w:val="center"/>
            <w:hideMark/>
          </w:tcPr>
          <w:p w14:paraId="2717E114"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chlamydiale externe N</w:t>
            </w:r>
          </w:p>
        </w:tc>
        <w:tc>
          <w:tcPr>
            <w:tcW w:w="799" w:type="dxa"/>
            <w:vMerge/>
            <w:tcBorders>
              <w:left w:val="nil"/>
              <w:bottom w:val="single" w:sz="4" w:space="0" w:color="7030A0"/>
              <w:right w:val="nil"/>
            </w:tcBorders>
            <w:vAlign w:val="center"/>
            <w:hideMark/>
          </w:tcPr>
          <w:p w14:paraId="5A227F66" w14:textId="77777777"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left w:val="nil"/>
              <w:bottom w:val="single" w:sz="4" w:space="0" w:color="7030A0"/>
              <w:right w:val="nil"/>
            </w:tcBorders>
            <w:shd w:val="clear" w:color="auto" w:fill="auto"/>
            <w:vAlign w:val="center"/>
            <w:hideMark/>
          </w:tcPr>
          <w:p w14:paraId="787E62AA" w14:textId="77777777" w:rsidR="00B67A56" w:rsidRPr="00C73365" w:rsidRDefault="00B67A56" w:rsidP="009C5D68">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Réponse immune (T)</w:t>
            </w:r>
          </w:p>
        </w:tc>
        <w:tc>
          <w:tcPr>
            <w:tcW w:w="1034" w:type="dxa"/>
            <w:vMerge/>
            <w:tcBorders>
              <w:top w:val="single" w:sz="4" w:space="0" w:color="7030A0"/>
              <w:left w:val="nil"/>
              <w:bottom w:val="single" w:sz="4" w:space="0" w:color="7030A0"/>
              <w:right w:val="nil"/>
            </w:tcBorders>
            <w:vAlign w:val="center"/>
            <w:hideMark/>
          </w:tcPr>
          <w:p w14:paraId="239C0234" w14:textId="77777777" w:rsidR="00B67A56" w:rsidRPr="00C73365" w:rsidRDefault="00B67A56" w:rsidP="009C5D68">
            <w:pPr>
              <w:spacing w:after="0"/>
              <w:jc w:val="center"/>
              <w:rPr>
                <w:rFonts w:asciiTheme="minorHAnsi" w:hAnsiTheme="minorHAnsi" w:cstheme="minorHAnsi"/>
                <w:color w:val="000000"/>
                <w:szCs w:val="20"/>
              </w:rPr>
            </w:pPr>
          </w:p>
        </w:tc>
      </w:tr>
      <w:tr w:rsidR="00B67A56" w:rsidRPr="00C73365" w14:paraId="499003FE" w14:textId="77777777" w:rsidTr="009C5D68">
        <w:trPr>
          <w:trHeight w:val="201"/>
        </w:trPr>
        <w:tc>
          <w:tcPr>
            <w:tcW w:w="2117" w:type="dxa"/>
            <w:tcBorders>
              <w:top w:val="nil"/>
              <w:left w:val="nil"/>
              <w:bottom w:val="single" w:sz="4" w:space="0" w:color="7030A0"/>
              <w:right w:val="nil"/>
            </w:tcBorders>
            <w:shd w:val="clear" w:color="auto" w:fill="auto"/>
            <w:vAlign w:val="center"/>
            <w:hideMark/>
          </w:tcPr>
          <w:p w14:paraId="217C8EAE"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RSV</w:t>
            </w:r>
          </w:p>
        </w:tc>
        <w:tc>
          <w:tcPr>
            <w:tcW w:w="2565" w:type="dxa"/>
            <w:tcBorders>
              <w:top w:val="nil"/>
              <w:left w:val="nil"/>
              <w:bottom w:val="single" w:sz="4" w:space="0" w:color="7030A0"/>
              <w:right w:val="nil"/>
            </w:tcBorders>
            <w:shd w:val="clear" w:color="auto" w:fill="auto"/>
            <w:vAlign w:val="center"/>
            <w:hideMark/>
          </w:tcPr>
          <w:p w14:paraId="427A6321"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tcBorders>
              <w:top w:val="nil"/>
              <w:left w:val="nil"/>
              <w:bottom w:val="single" w:sz="4" w:space="0" w:color="7030A0"/>
              <w:right w:val="nil"/>
            </w:tcBorders>
            <w:shd w:val="clear" w:color="auto" w:fill="auto"/>
            <w:vAlign w:val="center"/>
            <w:hideMark/>
          </w:tcPr>
          <w:p w14:paraId="6C39D27C"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w:t>
            </w:r>
          </w:p>
        </w:tc>
        <w:tc>
          <w:tcPr>
            <w:tcW w:w="2850" w:type="dxa"/>
            <w:tcBorders>
              <w:top w:val="nil"/>
              <w:left w:val="nil"/>
              <w:bottom w:val="single" w:sz="4" w:space="0" w:color="7030A0"/>
              <w:right w:val="nil"/>
            </w:tcBorders>
            <w:shd w:val="clear" w:color="auto" w:fill="auto"/>
            <w:vAlign w:val="center"/>
            <w:hideMark/>
          </w:tcPr>
          <w:p w14:paraId="014CD5AA"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tcBorders>
              <w:top w:val="nil"/>
              <w:left w:val="nil"/>
              <w:bottom w:val="single" w:sz="4" w:space="0" w:color="7030A0"/>
              <w:right w:val="nil"/>
            </w:tcBorders>
            <w:shd w:val="clear" w:color="auto" w:fill="auto"/>
            <w:vAlign w:val="center"/>
            <w:hideMark/>
          </w:tcPr>
          <w:p w14:paraId="7BAD7C8C"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14:paraId="23223225" w14:textId="77777777"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14:paraId="34F5F354"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Cancer (Mélanome)</w:t>
            </w:r>
          </w:p>
        </w:tc>
        <w:tc>
          <w:tcPr>
            <w:tcW w:w="2565" w:type="dxa"/>
            <w:vMerge w:val="restart"/>
            <w:tcBorders>
              <w:top w:val="nil"/>
              <w:left w:val="nil"/>
              <w:bottom w:val="single" w:sz="4" w:space="0" w:color="7030A0"/>
              <w:right w:val="nil"/>
            </w:tcBorders>
            <w:shd w:val="clear" w:color="auto" w:fill="auto"/>
            <w:vAlign w:val="center"/>
            <w:hideMark/>
          </w:tcPr>
          <w:p w14:paraId="5A849F00"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Peptide</w:t>
            </w:r>
          </w:p>
        </w:tc>
        <w:tc>
          <w:tcPr>
            <w:tcW w:w="799" w:type="dxa"/>
            <w:vMerge w:val="restart"/>
            <w:tcBorders>
              <w:top w:val="nil"/>
              <w:left w:val="nil"/>
              <w:bottom w:val="single" w:sz="4" w:space="0" w:color="7030A0"/>
              <w:right w:val="nil"/>
            </w:tcBorders>
            <w:shd w:val="clear" w:color="auto" w:fill="auto"/>
            <w:vAlign w:val="center"/>
            <w:hideMark/>
          </w:tcPr>
          <w:p w14:paraId="2CD4B9C3"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iv, sc, im</w:t>
            </w:r>
          </w:p>
        </w:tc>
        <w:tc>
          <w:tcPr>
            <w:tcW w:w="2850" w:type="dxa"/>
            <w:tcBorders>
              <w:top w:val="nil"/>
              <w:left w:val="nil"/>
              <w:bottom w:val="nil"/>
              <w:right w:val="nil"/>
            </w:tcBorders>
            <w:shd w:val="clear" w:color="auto" w:fill="auto"/>
            <w:vAlign w:val="center"/>
            <w:hideMark/>
          </w:tcPr>
          <w:p w14:paraId="77E743DB"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nil"/>
              <w:left w:val="nil"/>
              <w:bottom w:val="single" w:sz="4" w:space="0" w:color="7030A0"/>
              <w:right w:val="nil"/>
            </w:tcBorders>
            <w:shd w:val="clear" w:color="auto" w:fill="auto"/>
            <w:vAlign w:val="center"/>
            <w:hideMark/>
          </w:tcPr>
          <w:p w14:paraId="7E23167A"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14:paraId="680984A1" w14:textId="77777777" w:rsidTr="009C5D68">
        <w:trPr>
          <w:trHeight w:val="201"/>
        </w:trPr>
        <w:tc>
          <w:tcPr>
            <w:tcW w:w="2117" w:type="dxa"/>
            <w:vMerge/>
            <w:tcBorders>
              <w:top w:val="nil"/>
              <w:left w:val="nil"/>
              <w:bottom w:val="single" w:sz="4" w:space="0" w:color="7030A0"/>
              <w:right w:val="nil"/>
            </w:tcBorders>
            <w:vAlign w:val="center"/>
            <w:hideMark/>
          </w:tcPr>
          <w:p w14:paraId="71EA779A" w14:textId="77777777"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14:paraId="4AFB37B2" w14:textId="77777777"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14:paraId="22947F1C" w14:textId="77777777"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14:paraId="35DD07AD"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Régression tumorale</w:t>
            </w:r>
          </w:p>
        </w:tc>
        <w:tc>
          <w:tcPr>
            <w:tcW w:w="1034" w:type="dxa"/>
            <w:vMerge/>
            <w:tcBorders>
              <w:top w:val="nil"/>
              <w:left w:val="nil"/>
              <w:bottom w:val="single" w:sz="4" w:space="0" w:color="7030A0"/>
              <w:right w:val="nil"/>
            </w:tcBorders>
            <w:vAlign w:val="center"/>
            <w:hideMark/>
          </w:tcPr>
          <w:p w14:paraId="7B7C3BA8" w14:textId="77777777"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14:paraId="2C579974" w14:textId="77777777"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14:paraId="50320435"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Cancer (VPH)</w:t>
            </w:r>
          </w:p>
        </w:tc>
        <w:tc>
          <w:tcPr>
            <w:tcW w:w="2565" w:type="dxa"/>
            <w:vMerge w:val="restart"/>
            <w:tcBorders>
              <w:top w:val="nil"/>
              <w:left w:val="nil"/>
              <w:bottom w:val="single" w:sz="4" w:space="0" w:color="7030A0"/>
              <w:right w:val="nil"/>
            </w:tcBorders>
            <w:shd w:val="clear" w:color="auto" w:fill="auto"/>
            <w:vAlign w:val="center"/>
            <w:hideMark/>
          </w:tcPr>
          <w:p w14:paraId="29D8386D"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vMerge w:val="restart"/>
            <w:tcBorders>
              <w:top w:val="nil"/>
              <w:left w:val="nil"/>
              <w:bottom w:val="single" w:sz="4" w:space="0" w:color="7030A0"/>
              <w:right w:val="nil"/>
            </w:tcBorders>
            <w:shd w:val="clear" w:color="auto" w:fill="auto"/>
            <w:vAlign w:val="center"/>
            <w:hideMark/>
          </w:tcPr>
          <w:p w14:paraId="66F978E6"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sc, im</w:t>
            </w:r>
          </w:p>
        </w:tc>
        <w:tc>
          <w:tcPr>
            <w:tcW w:w="2850" w:type="dxa"/>
            <w:tcBorders>
              <w:top w:val="nil"/>
              <w:left w:val="nil"/>
              <w:bottom w:val="nil"/>
              <w:right w:val="nil"/>
            </w:tcBorders>
            <w:shd w:val="clear" w:color="auto" w:fill="auto"/>
            <w:vAlign w:val="center"/>
            <w:hideMark/>
          </w:tcPr>
          <w:p w14:paraId="0B9FFE74"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nil"/>
              <w:left w:val="nil"/>
              <w:bottom w:val="single" w:sz="4" w:space="0" w:color="7030A0"/>
              <w:right w:val="nil"/>
            </w:tcBorders>
            <w:shd w:val="clear" w:color="auto" w:fill="auto"/>
            <w:vAlign w:val="center"/>
            <w:hideMark/>
          </w:tcPr>
          <w:p w14:paraId="13F15507"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14:paraId="479F0222" w14:textId="77777777" w:rsidTr="009C5D68">
        <w:trPr>
          <w:trHeight w:val="201"/>
        </w:trPr>
        <w:tc>
          <w:tcPr>
            <w:tcW w:w="2117" w:type="dxa"/>
            <w:vMerge/>
            <w:tcBorders>
              <w:top w:val="nil"/>
              <w:left w:val="nil"/>
              <w:bottom w:val="single" w:sz="4" w:space="0" w:color="7030A0"/>
              <w:right w:val="nil"/>
            </w:tcBorders>
            <w:vAlign w:val="center"/>
            <w:hideMark/>
          </w:tcPr>
          <w:p w14:paraId="37A6BB8D" w14:textId="77777777"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14:paraId="1275E3D9" w14:textId="77777777"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14:paraId="4FB2A438" w14:textId="77777777"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14:paraId="1352CE84"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Régression tumorale</w:t>
            </w:r>
          </w:p>
        </w:tc>
        <w:tc>
          <w:tcPr>
            <w:tcW w:w="1034" w:type="dxa"/>
            <w:vMerge/>
            <w:tcBorders>
              <w:top w:val="nil"/>
              <w:left w:val="nil"/>
              <w:bottom w:val="single" w:sz="4" w:space="0" w:color="7030A0"/>
              <w:right w:val="nil"/>
            </w:tcBorders>
            <w:vAlign w:val="center"/>
            <w:hideMark/>
          </w:tcPr>
          <w:p w14:paraId="6AC94D15" w14:textId="77777777"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14:paraId="1007B6E5" w14:textId="77777777" w:rsidTr="009C5D68">
        <w:trPr>
          <w:trHeight w:val="272"/>
        </w:trPr>
        <w:tc>
          <w:tcPr>
            <w:tcW w:w="2117" w:type="dxa"/>
            <w:tcBorders>
              <w:top w:val="single" w:sz="4" w:space="0" w:color="7030A0"/>
              <w:left w:val="nil"/>
              <w:bottom w:val="single" w:sz="4" w:space="0" w:color="7030A0"/>
              <w:right w:val="nil"/>
            </w:tcBorders>
            <w:shd w:val="clear" w:color="auto" w:fill="auto"/>
            <w:vAlign w:val="center"/>
          </w:tcPr>
          <w:p w14:paraId="3A21B495"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Indication</w:t>
            </w:r>
          </w:p>
        </w:tc>
        <w:tc>
          <w:tcPr>
            <w:tcW w:w="2565" w:type="dxa"/>
            <w:tcBorders>
              <w:top w:val="single" w:sz="4" w:space="0" w:color="7030A0"/>
              <w:left w:val="nil"/>
              <w:bottom w:val="single" w:sz="4" w:space="0" w:color="7030A0"/>
              <w:right w:val="nil"/>
            </w:tcBorders>
            <w:shd w:val="clear" w:color="auto" w:fill="auto"/>
            <w:vAlign w:val="center"/>
          </w:tcPr>
          <w:p w14:paraId="3A1996FD"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Antigène</w:t>
            </w:r>
          </w:p>
        </w:tc>
        <w:tc>
          <w:tcPr>
            <w:tcW w:w="799" w:type="dxa"/>
            <w:tcBorders>
              <w:top w:val="single" w:sz="4" w:space="0" w:color="7030A0"/>
              <w:left w:val="nil"/>
              <w:bottom w:val="single" w:sz="4" w:space="0" w:color="7030A0"/>
              <w:right w:val="nil"/>
            </w:tcBorders>
            <w:shd w:val="clear" w:color="auto" w:fill="auto"/>
            <w:vAlign w:val="center"/>
          </w:tcPr>
          <w:p w14:paraId="02C2401B"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Voie</w:t>
            </w:r>
          </w:p>
        </w:tc>
        <w:tc>
          <w:tcPr>
            <w:tcW w:w="2850" w:type="dxa"/>
            <w:tcBorders>
              <w:top w:val="single" w:sz="4" w:space="0" w:color="7030A0"/>
              <w:left w:val="nil"/>
              <w:bottom w:val="single" w:sz="4" w:space="0" w:color="7030A0"/>
              <w:right w:val="nil"/>
            </w:tcBorders>
            <w:shd w:val="clear" w:color="auto" w:fill="auto"/>
            <w:vAlign w:val="center"/>
          </w:tcPr>
          <w:p w14:paraId="7121F744"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Immunogénicité</w:t>
            </w:r>
          </w:p>
        </w:tc>
        <w:tc>
          <w:tcPr>
            <w:tcW w:w="1034" w:type="dxa"/>
            <w:tcBorders>
              <w:top w:val="single" w:sz="4" w:space="0" w:color="7030A0"/>
              <w:left w:val="nil"/>
              <w:bottom w:val="single" w:sz="4" w:space="0" w:color="7030A0"/>
              <w:right w:val="nil"/>
            </w:tcBorders>
            <w:shd w:val="clear" w:color="auto" w:fill="auto"/>
            <w:vAlign w:val="center"/>
          </w:tcPr>
          <w:p w14:paraId="3F17D308"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Résultats</w:t>
            </w:r>
          </w:p>
        </w:tc>
      </w:tr>
      <w:tr w:rsidR="00B67A56" w:rsidRPr="00C73365" w14:paraId="46414C63" w14:textId="77777777"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14:paraId="130032A1"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Dengue</w:t>
            </w:r>
          </w:p>
        </w:tc>
        <w:tc>
          <w:tcPr>
            <w:tcW w:w="2565" w:type="dxa"/>
            <w:tcBorders>
              <w:top w:val="single" w:sz="4" w:space="0" w:color="7030A0"/>
              <w:left w:val="nil"/>
              <w:bottom w:val="nil"/>
              <w:right w:val="nil"/>
            </w:tcBorders>
            <w:shd w:val="clear" w:color="auto" w:fill="auto"/>
            <w:vAlign w:val="center"/>
            <w:hideMark/>
          </w:tcPr>
          <w:p w14:paraId="09A31040"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DIII-C2</w:t>
            </w:r>
          </w:p>
        </w:tc>
        <w:tc>
          <w:tcPr>
            <w:tcW w:w="799" w:type="dxa"/>
            <w:vMerge w:val="restart"/>
            <w:tcBorders>
              <w:top w:val="single" w:sz="4" w:space="0" w:color="7030A0"/>
              <w:left w:val="nil"/>
              <w:bottom w:val="single" w:sz="4" w:space="0" w:color="7030A0"/>
              <w:right w:val="nil"/>
            </w:tcBorders>
            <w:shd w:val="clear" w:color="auto" w:fill="auto"/>
            <w:vAlign w:val="center"/>
            <w:hideMark/>
          </w:tcPr>
          <w:p w14:paraId="4FB31ED9"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sc, im, ip</w:t>
            </w:r>
          </w:p>
        </w:tc>
        <w:tc>
          <w:tcPr>
            <w:tcW w:w="2850" w:type="dxa"/>
            <w:tcBorders>
              <w:top w:val="single" w:sz="4" w:space="0" w:color="7030A0"/>
              <w:left w:val="nil"/>
              <w:bottom w:val="nil"/>
              <w:right w:val="nil"/>
            </w:tcBorders>
            <w:shd w:val="clear" w:color="auto" w:fill="auto"/>
            <w:vAlign w:val="center"/>
            <w:hideMark/>
          </w:tcPr>
          <w:p w14:paraId="25B33C22"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 T)</w:t>
            </w:r>
          </w:p>
        </w:tc>
        <w:tc>
          <w:tcPr>
            <w:tcW w:w="1034" w:type="dxa"/>
            <w:vMerge w:val="restart"/>
            <w:tcBorders>
              <w:top w:val="single" w:sz="4" w:space="0" w:color="7030A0"/>
              <w:left w:val="nil"/>
              <w:bottom w:val="single" w:sz="4" w:space="0" w:color="7030A0"/>
              <w:right w:val="nil"/>
            </w:tcBorders>
            <w:shd w:val="clear" w:color="auto" w:fill="auto"/>
            <w:vAlign w:val="center"/>
            <w:hideMark/>
          </w:tcPr>
          <w:p w14:paraId="68169AE6"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14:paraId="4027BFCB" w14:textId="77777777" w:rsidTr="009C5D68">
        <w:trPr>
          <w:trHeight w:val="104"/>
        </w:trPr>
        <w:tc>
          <w:tcPr>
            <w:tcW w:w="2117" w:type="dxa"/>
            <w:vMerge/>
            <w:tcBorders>
              <w:top w:val="nil"/>
              <w:left w:val="nil"/>
              <w:bottom w:val="single" w:sz="4" w:space="0" w:color="7030A0"/>
              <w:right w:val="nil"/>
            </w:tcBorders>
            <w:vAlign w:val="center"/>
            <w:hideMark/>
          </w:tcPr>
          <w:p w14:paraId="521C3BD8" w14:textId="77777777"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14:paraId="2030AB0E"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peptides</w:t>
            </w:r>
          </w:p>
        </w:tc>
        <w:tc>
          <w:tcPr>
            <w:tcW w:w="799" w:type="dxa"/>
            <w:vMerge/>
            <w:tcBorders>
              <w:top w:val="nil"/>
              <w:left w:val="nil"/>
              <w:bottom w:val="single" w:sz="4" w:space="0" w:color="7030A0"/>
              <w:right w:val="nil"/>
            </w:tcBorders>
            <w:vAlign w:val="center"/>
            <w:hideMark/>
          </w:tcPr>
          <w:p w14:paraId="061F0CE9" w14:textId="77777777"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14:paraId="703EEB6F"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14:paraId="38DAE248" w14:textId="77777777"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14:paraId="2D83A9BA" w14:textId="77777777" w:rsidTr="009C5D68">
        <w:trPr>
          <w:trHeight w:val="201"/>
        </w:trPr>
        <w:tc>
          <w:tcPr>
            <w:tcW w:w="2117" w:type="dxa"/>
            <w:tcBorders>
              <w:top w:val="nil"/>
              <w:left w:val="nil"/>
              <w:bottom w:val="single" w:sz="4" w:space="0" w:color="7030A0"/>
              <w:right w:val="nil"/>
            </w:tcBorders>
            <w:shd w:val="clear" w:color="auto" w:fill="auto"/>
            <w:vAlign w:val="center"/>
            <w:hideMark/>
          </w:tcPr>
          <w:p w14:paraId="4FF5AE34"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VHB</w:t>
            </w:r>
          </w:p>
        </w:tc>
        <w:tc>
          <w:tcPr>
            <w:tcW w:w="2565" w:type="dxa"/>
            <w:tcBorders>
              <w:top w:val="nil"/>
              <w:left w:val="nil"/>
              <w:bottom w:val="single" w:sz="4" w:space="0" w:color="7030A0"/>
              <w:right w:val="nil"/>
            </w:tcBorders>
            <w:shd w:val="clear" w:color="auto" w:fill="auto"/>
            <w:vAlign w:val="center"/>
            <w:hideMark/>
          </w:tcPr>
          <w:p w14:paraId="1F28EA78"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tcBorders>
              <w:top w:val="nil"/>
              <w:left w:val="nil"/>
              <w:bottom w:val="single" w:sz="4" w:space="0" w:color="7030A0"/>
              <w:right w:val="nil"/>
            </w:tcBorders>
            <w:shd w:val="clear" w:color="auto" w:fill="auto"/>
            <w:vAlign w:val="center"/>
            <w:hideMark/>
          </w:tcPr>
          <w:p w14:paraId="7FB7AE72"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 sc, im</w:t>
            </w:r>
          </w:p>
        </w:tc>
        <w:tc>
          <w:tcPr>
            <w:tcW w:w="2850" w:type="dxa"/>
            <w:tcBorders>
              <w:top w:val="nil"/>
              <w:left w:val="nil"/>
              <w:bottom w:val="single" w:sz="4" w:space="0" w:color="7030A0"/>
              <w:right w:val="nil"/>
            </w:tcBorders>
            <w:shd w:val="clear" w:color="auto" w:fill="auto"/>
            <w:vAlign w:val="center"/>
            <w:hideMark/>
          </w:tcPr>
          <w:p w14:paraId="44AC35BD" w14:textId="77777777"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tcBorders>
              <w:top w:val="nil"/>
              <w:left w:val="nil"/>
              <w:bottom w:val="single" w:sz="4" w:space="0" w:color="7030A0"/>
              <w:right w:val="nil"/>
            </w:tcBorders>
            <w:shd w:val="clear" w:color="auto" w:fill="auto"/>
            <w:vAlign w:val="center"/>
            <w:hideMark/>
          </w:tcPr>
          <w:p w14:paraId="1D9663E9" w14:textId="77777777"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bl>
    <w:p w14:paraId="2F13145F"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color w:val="7030A0"/>
          <w:sz w:val="18"/>
          <w:lang w:val="fr-FR"/>
        </w:rPr>
      </w:pPr>
      <w:r w:rsidRPr="00C73365">
        <w:rPr>
          <w:rFonts w:asciiTheme="minorHAnsi" w:hAnsiTheme="minorHAnsi" w:cstheme="minorHAnsi"/>
          <w:color w:val="7030A0"/>
          <w:sz w:val="18"/>
          <w:lang w:val="fr-FR"/>
        </w:rPr>
        <w:t xml:space="preserve">Source : </w:t>
      </w:r>
      <w:r w:rsidR="00EF089C" w:rsidRPr="00C73365">
        <w:rPr>
          <w:rFonts w:asciiTheme="minorHAnsi" w:hAnsiTheme="minorHAnsi" w:cstheme="minorHAnsi"/>
          <w:color w:val="7030A0"/>
          <w:sz w:val="18"/>
          <w:lang w:val="fr-FR"/>
        </w:rPr>
        <w:t>ABIVAX</w:t>
      </w:r>
    </w:p>
    <w:p w14:paraId="73E7E07A" w14:textId="1277F564"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1A6708">
        <w:rPr>
          <w:rFonts w:asciiTheme="minorHAnsi" w:hAnsiTheme="minorHAnsi" w:cstheme="minorHAnsi"/>
          <w:i w:val="0"/>
          <w:highlight w:val="yellow"/>
          <w:lang w:val="fr-FR"/>
        </w:rPr>
        <w:t xml:space="preserve">Cet </w:t>
      </w:r>
      <w:r w:rsidR="001A6708" w:rsidRPr="001A6708">
        <w:rPr>
          <w:rFonts w:asciiTheme="minorHAnsi" w:hAnsiTheme="minorHAnsi" w:cstheme="minorHAnsi"/>
          <w:i w:val="0"/>
          <w:highlight w:val="yellow"/>
          <w:lang w:val="fr-FR"/>
        </w:rPr>
        <w:t>immunomodulateur</w:t>
      </w:r>
      <w:r w:rsidR="001A6708" w:rsidRPr="00C73365">
        <w:rPr>
          <w:rFonts w:asciiTheme="minorHAnsi" w:hAnsiTheme="minorHAnsi" w:cstheme="minorHAnsi"/>
          <w:i w:val="0"/>
          <w:lang w:val="fr-FR"/>
        </w:rPr>
        <w:t xml:space="preserve"> </w:t>
      </w:r>
      <w:r w:rsidRPr="00C73365">
        <w:rPr>
          <w:rFonts w:asciiTheme="minorHAnsi" w:hAnsiTheme="minorHAnsi" w:cstheme="minorHAnsi"/>
          <w:i w:val="0"/>
          <w:lang w:val="fr-FR"/>
        </w:rPr>
        <w:t>a également démontré son extrême utilité dans le domaine des vaccins contre le cancer. Il a été démontré que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immunisation de souris avec des antigènes associés à ABX196 induit une forte réponse des lymphocytes T CD8, un ralentissement de la croissance des tumeurs voire leur disparition complète, et une augmentation du taux de survie sur des modèles de tumeurs établies. Ces données mettent en lumière le potentiel d’ABX196 pour induire une réponse immune fonctionnelle, étendue et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 xml:space="preserve">une grande efficacité contre un large éventail </w:t>
      </w:r>
      <w:r w:rsidRPr="00C73365">
        <w:rPr>
          <w:rFonts w:asciiTheme="minorHAnsi" w:hAnsiTheme="minorHAnsi" w:cstheme="minorHAnsi"/>
          <w:i w:val="0"/>
          <w:lang w:val="fr-FR"/>
        </w:rPr>
        <w:lastRenderedPageBreak/>
        <w:t>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antigènes aux propriétés différentes.</w:t>
      </w:r>
    </w:p>
    <w:p w14:paraId="219BA621"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Toutefois, bien qu’efficace en modèle animal, il est démontré que l’utilisation de ces thérapies innovantes contre le cancer ne permet pas d’atteindre une réponse clinique, comme l’augmentation de la survie des patients. Il y a plusieurs explications à ces échecs thérapeutiques chez le patient. </w:t>
      </w:r>
    </w:p>
    <w:p w14:paraId="6B40F290"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La difficulté de définir un bon antigène cancéreux est l’une d’elles. Récemment il a été démontré que certaines chimiothérapies présentent des propriétés immuno-stimulatrices en produisant des antigènes in situ. En fait, leur utilisation induit une mort cellulaire des cellules cancéreuses qui libèrent des antigènes tumoraux, qui sont alors disponibles dans un environnement proche de la tumeur. Cette activité immuno-stimulatrice peut être alors utilisée comme source d’antigène et Il est envisageable d’utiliser le potentiel immuno-stimulateur de thérapie ciblée en combinaison avec une chimiothérapie pour générer et/ou réveiller la réponse immunitaire spécifique à ce cancer. Dans un modèle murin de mélanome, la combinaison de l’ABX196 avec la doxorubicine démontre un effet synergique conduisant à la réduction de la croissance tumorale mais aussi à une augmentation de la survie des animaux traités.  </w:t>
      </w:r>
    </w:p>
    <w:p w14:paraId="35A66F75"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Pour sa protection, la tumeur établit un environnement délétère pour la réponse immunitaire, dû en autre à l’expression de molécules inhibant la réaction immunitaire, appelés check-points. Bien que présents dans la tumeur ou circulants, les lymphocytes T CD8 ne sont pas capables de maintenir une réponse immunitaire efficace jusqu’à la régression de la tumeur chez des patients. Une thérapie innovante vise ces molécules à l’aide de composés appelés, check-point inhibiteurs. Leur utilisation clinique rencontre 20-25% de succès chez les patients. Des essais précliniques récents démontre l’effet synergétique de l’ABX196 avec des composés immuno-oncologiques, en particulier le check-point inhibiteur, un anticorps anti-PD-1, Dans un modèle murin de mélanome où une thérapie contre PD-1 seule n’a aucun effet, la combinaison avec un vaccin thérapeutique comprenant ABX196 est à l’origine de non seulement une régression tumorale mais aussi une augmentation de la survie des animaux traités. Cet effet bénéfique d’ABX196 n’est pas seulement lié à son utilisation dans un vaccin thérapeutique mais aussi à l’utilisation de la molécule seule. Effectivement sa combinaison avec un anticorps anti-PD-1 démontre le même effet antitumoral que lorsque la molécule ABX196 est utilisée dans un vaccin. </w:t>
      </w:r>
    </w:p>
    <w:p w14:paraId="4D0E99C5"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En plus de son effet bénéfique en combinaison avec une chimiothérapie ou un check-point inhibiteur, ABX196 se montre efficace lors de sa combinaison avec la Sorafenib, qui est le traitement de référence dans l’hépatocarcinome. Dans un modèle murin orthotopique d’hépatocarcinome, l’addition d’</w:t>
      </w:r>
      <w:r w:rsidR="00E32CFE" w:rsidRPr="00C73365">
        <w:rPr>
          <w:rFonts w:asciiTheme="minorHAnsi" w:hAnsiTheme="minorHAnsi" w:cstheme="minorHAnsi"/>
          <w:i w:val="0"/>
          <w:lang w:val="fr-FR"/>
        </w:rPr>
        <w:t>ABX196</w:t>
      </w:r>
      <w:r w:rsidRPr="00C73365">
        <w:rPr>
          <w:rFonts w:asciiTheme="minorHAnsi" w:hAnsiTheme="minorHAnsi" w:cstheme="minorHAnsi"/>
          <w:i w:val="0"/>
          <w:lang w:val="fr-FR"/>
        </w:rPr>
        <w:t xml:space="preserve"> à la sorafenib relève le taux de survie des animaux de 50% à 92%.</w:t>
      </w:r>
    </w:p>
    <w:p w14:paraId="442DF23C"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Pour comprendre l’effet bénéfique de la combinaison de ABX196 avec d’autres composés, des marquages d’immunohistochimie sur les foies des souris non traitées versus traitées avec un composé seul ou avec la combinaison des deux molécules ont été étudiés. Ces marquages démontrent que le profil des cellules immunitaires infiltrantes change en fonction du traitement. En effet, lorsque les animaux sont non traités ou traités avec la Sorafenib seule, une large population de cellules non-fonctionnelles et inhibitrices constitue la majorité des cellules infiltrantes. Cependant suite au traitement avec l’anticorps anti-PD-1, la majorité des cellules sur exprime la molécule PD-1, effet déjà décrit dans la littérature. Suite au traitement avec ABX196, le profil immunitaire des foies présente un important infiltrat de cellules myéloides. Suite à ces traitements, très peu de cellules effectrices sont présentes. En revanche, suite au traitement avec la combinaison anti-PD-1 et ABX196, le profil des cellules infiltrantes change démontrant une majorité de cellules myéloides mais aussi des cellules T CD4 et CD8. Le traitement avec la combinaison permet donc de changer le type de cellules infiltrantes en diminuant la proportion de cellules non fonctionnelles ou inhibitrices en cellules effectrices.  </w:t>
      </w:r>
    </w:p>
    <w:p w14:paraId="31B2AF34"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Ces essais valident l’intérêt d’explorer les applications de l’ABX196 dans le domaine du traitement du cancer. </w:t>
      </w:r>
    </w:p>
    <w:p w14:paraId="2EF83BB4"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L’utilisation du composé ABX196 induit un effet bénéfique lorsqu’il est formulé en vaccin thérapeutique mais surtout celui-ci soutient et augmente l’effet des thérapies actuelles qu’elles soient classiques comme la chimiothérapie ou innovantes comme l’immuno-thérapie.</w:t>
      </w:r>
    </w:p>
    <w:p w14:paraId="04172BC1" w14:textId="77777777" w:rsidR="00B67A56" w:rsidRPr="00C73365" w:rsidRDefault="00B67A56" w:rsidP="00434C49">
      <w:pPr>
        <w:pStyle w:val="Paragraphedeliste"/>
        <w:numPr>
          <w:ilvl w:val="0"/>
          <w:numId w:val="78"/>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Essais cliniques et programmes de développement cliniques</w:t>
      </w:r>
    </w:p>
    <w:p w14:paraId="07F649E8"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Une première étude clinique a été réalisée chez des volontaires sains afin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évaluer le profil de tolérance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et déterminer l’activité de ce dernier sur les populations NKT et l’effet sur la réponse anticorps anti-hépatite HBs. Trois différentes doses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adjuvant, formulées avec un antigène HBs, ont été utilisées dans le cadre de cette étude. Un vaccin HBs adjuvanté commercialisé et l’antigène HBs seul ont été employés comme témoins.</w:t>
      </w:r>
    </w:p>
    <w:p w14:paraId="0E7E0501" w14:textId="77777777"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Cette première étude clinique a validé l’activité et le mécanisme d’action chez l’humain. Chez tous les sujets immunisés par ABX196, les lymphocytes NKT sont activés. L’introduction de l’adjuvant ABX196 à l’agHBs, a induit des réponses anti-agHBs protectrices chez la majorité des sujets dès la première injection. Cependant des effets secondaires ont été observés avec les fortes doses d’ABX196. Les effets secondaires observés dans cette étude pourraient être potentiellement associés au passage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dans le foie et à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 xml:space="preserve">activation et prolifération des lymphocytes NKT </w:t>
      </w:r>
      <w:r w:rsidRPr="00C73365">
        <w:rPr>
          <w:rFonts w:asciiTheme="minorHAnsi" w:hAnsiTheme="minorHAnsi" w:cstheme="minorHAnsi"/>
          <w:i w:val="0"/>
          <w:lang w:val="fr-FR"/>
        </w:rPr>
        <w:lastRenderedPageBreak/>
        <w:t>hépatiques.</w:t>
      </w:r>
    </w:p>
    <w:p w14:paraId="1392A1ED" w14:textId="77777777" w:rsidR="00B67A56" w:rsidRPr="00C73365" w:rsidRDefault="00B67A56" w:rsidP="00B67A56">
      <w:pPr>
        <w:pStyle w:val="Paragraphedeliste"/>
        <w:numPr>
          <w:ilvl w:val="3"/>
          <w:numId w:val="9"/>
        </w:numPr>
        <w:outlineLvl w:val="2"/>
        <w:rPr>
          <w:rFonts w:asciiTheme="minorHAnsi" w:hAnsiTheme="minorHAnsi" w:cstheme="minorHAnsi"/>
          <w:lang w:val="fr-FR"/>
        </w:rPr>
      </w:pPr>
      <w:r w:rsidRPr="00C73365">
        <w:rPr>
          <w:rFonts w:asciiTheme="minorHAnsi" w:hAnsiTheme="minorHAnsi" w:cstheme="minorHAnsi"/>
          <w:lang w:val="fr-FR"/>
        </w:rPr>
        <w:t xml:space="preserve">Stratégie de développement d’ABX196 </w:t>
      </w:r>
    </w:p>
    <w:p w14:paraId="7B5ABB2A" w14:textId="77777777" w:rsidR="00102917" w:rsidRPr="00C73365" w:rsidRDefault="00102917" w:rsidP="004572A0">
      <w:pPr>
        <w:pStyle w:val="Corpsdetexte"/>
        <w:rPr>
          <w:rFonts w:asciiTheme="minorHAnsi" w:hAnsiTheme="minorHAnsi" w:cstheme="minorHAnsi"/>
          <w:lang w:val="fr-FR"/>
        </w:rPr>
      </w:pPr>
      <w:r w:rsidRPr="00C73365">
        <w:rPr>
          <w:rFonts w:asciiTheme="minorHAnsi" w:hAnsiTheme="minorHAnsi" w:cstheme="minorHAnsi"/>
          <w:lang w:val="fr-FR"/>
        </w:rPr>
        <w:t>ABX196 s</w:t>
      </w:r>
      <w:r w:rsidR="004572A0" w:rsidRPr="00C73365">
        <w:rPr>
          <w:rFonts w:asciiTheme="minorHAnsi" w:hAnsiTheme="minorHAnsi" w:cstheme="minorHAnsi"/>
          <w:lang w:val="fr-FR"/>
        </w:rPr>
        <w:t>’</w:t>
      </w:r>
      <w:r w:rsidRPr="00C73365">
        <w:rPr>
          <w:rFonts w:asciiTheme="minorHAnsi" w:hAnsiTheme="minorHAnsi" w:cstheme="minorHAnsi"/>
          <w:lang w:val="fr-FR"/>
        </w:rPr>
        <w:t>est révélé prometteur comme candidat de notre plateforme de stimulateurs immunitaires. Un important volume de données vient étayer son emploi dans plusieurs indications vaccinales, notamment en utilisation thérapeutique.</w:t>
      </w:r>
    </w:p>
    <w:p w14:paraId="62CB31B1" w14:textId="77777777" w:rsidR="00102917" w:rsidRPr="00C73365" w:rsidRDefault="00102917" w:rsidP="004572A0">
      <w:pPr>
        <w:pStyle w:val="Corpsdetexte"/>
        <w:rPr>
          <w:rFonts w:asciiTheme="minorHAnsi" w:hAnsiTheme="minorHAnsi" w:cstheme="minorHAnsi"/>
          <w:lang w:val="fr-FR"/>
        </w:rPr>
      </w:pPr>
      <w:r w:rsidRPr="00C73365">
        <w:rPr>
          <w:rFonts w:asciiTheme="minorHAnsi" w:hAnsiTheme="minorHAnsi" w:cstheme="minorHAnsi"/>
          <w:lang w:val="fr-FR"/>
        </w:rPr>
        <w:t>Le marché des stimulateurs immunitaires comme l’ABX196 se pose en terme d’accord de sous licence, dans la mesure où de tels composés ne peuvent se commercialiser que dans le cadre d’association. Ainsi, à ce jour, tous les acteurs du domaine des vaccins ont un besoin critique d’adjuvants augmentant la réponse cellulaire cytotoxique, qui permet de détruire les cellules infectées par des virus ou des cellules cancéreuses. Egalement, les associations de produits sont de plus en plus courantes en immuno- oncologie afin d’augmenter l’efficacité des traitements.</w:t>
      </w:r>
    </w:p>
    <w:p w14:paraId="283E41D2" w14:textId="77777777" w:rsidR="00102917" w:rsidRPr="00C73365" w:rsidRDefault="00102917"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a démontré que les effets secondaires, observés en clinique sont liés à la dose administrée ; mais aussi que ABX196 induit une réponse même à très faible dose. D’ailleurs la plus faible dose utilisée chez l’homme a généré une réponse sans effet secondaire. Il est donc possible de modifier la balance bénéfice/risque.  </w:t>
      </w:r>
    </w:p>
    <w:p w14:paraId="776FEC0E" w14:textId="77777777" w:rsidR="00A26CFC" w:rsidRPr="00C73365" w:rsidRDefault="001219E1" w:rsidP="004572A0">
      <w:pPr>
        <w:pStyle w:val="Corpsdetexte"/>
        <w:rPr>
          <w:rFonts w:asciiTheme="minorHAnsi" w:hAnsiTheme="minorHAnsi" w:cstheme="minorHAnsi"/>
          <w:lang w:val="fr-FR"/>
        </w:rPr>
      </w:pPr>
      <w:r w:rsidRPr="00C73365">
        <w:rPr>
          <w:rFonts w:asciiTheme="minorHAnsi" w:hAnsiTheme="minorHAnsi" w:cstheme="minorHAnsi"/>
          <w:lang w:val="fr-FR"/>
        </w:rPr>
        <w:t>À la suite de</w:t>
      </w:r>
      <w:r w:rsidR="00102917" w:rsidRPr="00C73365">
        <w:rPr>
          <w:rFonts w:asciiTheme="minorHAnsi" w:hAnsiTheme="minorHAnsi" w:cstheme="minorHAnsi"/>
          <w:lang w:val="fr-FR"/>
        </w:rPr>
        <w:t xml:space="preserve"> résultats encourageants dans des modèles in vivo en cancérologie (association ABX196 et anti-PD-1), notamment dans un modèle d’hépatocarcinome, </w:t>
      </w:r>
      <w:r w:rsidR="00EF089C" w:rsidRPr="00C73365">
        <w:rPr>
          <w:rFonts w:asciiTheme="minorHAnsi" w:hAnsiTheme="minorHAnsi" w:cstheme="minorHAnsi"/>
          <w:lang w:val="fr-FR"/>
        </w:rPr>
        <w:t>ABIVAX</w:t>
      </w:r>
      <w:r w:rsidR="00102917" w:rsidRPr="00C73365">
        <w:rPr>
          <w:rFonts w:asciiTheme="minorHAnsi" w:hAnsiTheme="minorHAnsi" w:cstheme="minorHAnsi"/>
          <w:lang w:val="fr-FR"/>
        </w:rPr>
        <w:t xml:space="preserve"> a repositionné ABX196 en immuno-oncologie et se prépare à lancer un essai clinique de phase I de preuve de concept dans l’hépatocarcinome</w:t>
      </w:r>
      <w:r w:rsidRPr="00C73365">
        <w:rPr>
          <w:rFonts w:asciiTheme="minorHAnsi" w:hAnsiTheme="minorHAnsi" w:cstheme="minorHAnsi"/>
          <w:lang w:val="fr-FR"/>
        </w:rPr>
        <w:t xml:space="preserve"> avancé</w:t>
      </w:r>
      <w:r w:rsidR="00102917" w:rsidRPr="00C73365">
        <w:rPr>
          <w:rFonts w:asciiTheme="minorHAnsi" w:hAnsiTheme="minorHAnsi" w:cstheme="minorHAnsi"/>
          <w:lang w:val="fr-FR"/>
        </w:rPr>
        <w:t xml:space="preserve"> (</w:t>
      </w:r>
      <w:r w:rsidRPr="00C73365">
        <w:rPr>
          <w:rFonts w:asciiTheme="minorHAnsi" w:hAnsiTheme="minorHAnsi" w:cstheme="minorHAnsi"/>
          <w:lang w:val="fr-FR"/>
        </w:rPr>
        <w:t>combinaison</w:t>
      </w:r>
      <w:r w:rsidR="00102917" w:rsidRPr="00C73365">
        <w:rPr>
          <w:rFonts w:asciiTheme="minorHAnsi" w:hAnsiTheme="minorHAnsi" w:cstheme="minorHAnsi"/>
          <w:lang w:val="fr-FR"/>
        </w:rPr>
        <w:t xml:space="preserve"> ABX196 et anti-PD-1) avant la fin d’année 2018.</w:t>
      </w:r>
      <w:r w:rsidRPr="00C73365">
        <w:rPr>
          <w:rFonts w:asciiTheme="minorHAnsi" w:hAnsiTheme="minorHAnsi" w:cstheme="minorHAnsi"/>
          <w:lang w:val="fr-FR"/>
        </w:rPr>
        <w:t xml:space="preserve"> </w:t>
      </w:r>
    </w:p>
    <w:p w14:paraId="1BBFBBF7" w14:textId="77777777" w:rsidR="00A26CFC"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A26CFC" w:rsidRPr="00C73365">
        <w:rPr>
          <w:rFonts w:asciiTheme="minorHAnsi" w:hAnsiTheme="minorHAnsi" w:cstheme="minorHAnsi"/>
          <w:lang w:val="fr-FR"/>
        </w:rPr>
        <w:t xml:space="preserve"> envisage la r</w:t>
      </w:r>
      <w:r w:rsidR="001219E1" w:rsidRPr="00C73365">
        <w:rPr>
          <w:rFonts w:asciiTheme="minorHAnsi" w:hAnsiTheme="minorHAnsi" w:cstheme="minorHAnsi"/>
          <w:lang w:val="fr-FR"/>
        </w:rPr>
        <w:t>echer</w:t>
      </w:r>
      <w:r w:rsidR="00A26CFC" w:rsidRPr="00C73365">
        <w:rPr>
          <w:rFonts w:asciiTheme="minorHAnsi" w:hAnsiTheme="minorHAnsi" w:cstheme="minorHAnsi"/>
          <w:lang w:val="fr-FR"/>
        </w:rPr>
        <w:t>che</w:t>
      </w:r>
      <w:r w:rsidR="001219E1" w:rsidRPr="00C73365">
        <w:rPr>
          <w:rFonts w:asciiTheme="minorHAnsi" w:hAnsiTheme="minorHAnsi" w:cstheme="minorHAnsi"/>
          <w:lang w:val="fr-FR"/>
        </w:rPr>
        <w:t xml:space="preserve"> de partena</w:t>
      </w:r>
      <w:r w:rsidR="00A26CFC" w:rsidRPr="00C73365">
        <w:rPr>
          <w:rFonts w:asciiTheme="minorHAnsi" w:hAnsiTheme="minorHAnsi" w:cstheme="minorHAnsi"/>
          <w:lang w:val="fr-FR"/>
        </w:rPr>
        <w:t>riat</w:t>
      </w:r>
      <w:r w:rsidR="001219E1" w:rsidRPr="00C73365">
        <w:rPr>
          <w:rFonts w:asciiTheme="minorHAnsi" w:hAnsiTheme="minorHAnsi" w:cstheme="minorHAnsi"/>
          <w:lang w:val="fr-FR"/>
        </w:rPr>
        <w:t xml:space="preserve"> dans l’immuno-oncologie </w:t>
      </w:r>
      <w:r w:rsidR="00A26CFC" w:rsidRPr="00C73365">
        <w:rPr>
          <w:rFonts w:asciiTheme="minorHAnsi" w:hAnsiTheme="minorHAnsi" w:cstheme="minorHAnsi"/>
          <w:lang w:val="fr-FR"/>
        </w:rPr>
        <w:t>une fois les</w:t>
      </w:r>
      <w:r w:rsidR="001219E1" w:rsidRPr="00C73365">
        <w:rPr>
          <w:rFonts w:asciiTheme="minorHAnsi" w:hAnsiTheme="minorHAnsi" w:cstheme="minorHAnsi"/>
          <w:lang w:val="fr-FR"/>
        </w:rPr>
        <w:t xml:space="preserve"> premiers résultats cliniques d’efficacité dans l’hépatocarcinome avancé</w:t>
      </w:r>
      <w:r w:rsidR="00A26CFC" w:rsidRPr="00C73365">
        <w:rPr>
          <w:rFonts w:asciiTheme="minorHAnsi" w:hAnsiTheme="minorHAnsi" w:cstheme="minorHAnsi"/>
          <w:lang w:val="fr-FR"/>
        </w:rPr>
        <w:t xml:space="preserve"> atteints.</w:t>
      </w:r>
    </w:p>
    <w:p w14:paraId="259AB558" w14:textId="77777777" w:rsidR="00B67A56" w:rsidRPr="00C73365" w:rsidRDefault="00B67A56" w:rsidP="00B67A56">
      <w:pPr>
        <w:pStyle w:val="Paragraphedeliste"/>
        <w:numPr>
          <w:ilvl w:val="2"/>
          <w:numId w:val="9"/>
        </w:numPr>
        <w:outlineLvl w:val="2"/>
        <w:rPr>
          <w:rFonts w:asciiTheme="minorHAnsi" w:hAnsiTheme="minorHAnsi" w:cstheme="minorHAnsi"/>
          <w:b/>
          <w:szCs w:val="20"/>
          <w:lang w:val="fr-FR"/>
        </w:rPr>
      </w:pPr>
      <w:r w:rsidRPr="00C73365">
        <w:rPr>
          <w:rFonts w:asciiTheme="minorHAnsi" w:hAnsiTheme="minorHAnsi" w:cstheme="minorHAnsi"/>
          <w:b/>
          <w:color w:val="7030A0"/>
          <w:sz w:val="22"/>
          <w:szCs w:val="22"/>
          <w:lang w:val="fr-FR"/>
        </w:rPr>
        <w:t>ABX544, un anticorps polyclonal contre l’infection contre l’Ebola </w:t>
      </w:r>
    </w:p>
    <w:p w14:paraId="3B2BB6CD" w14:textId="77777777" w:rsidR="00B67A56" w:rsidRPr="00C73365" w:rsidRDefault="00B67A56" w:rsidP="00B67A56">
      <w:pPr>
        <w:pStyle w:val="conmainl50"/>
        <w:keepNext/>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Plusieurs épidémies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Ebola, à des degrés variables de gravité, ont éclaté depuis 1976.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épidémie en cours qui a débuté au printemps 2014 est la plus grave jamais connue, avec à ce jour plus de 15 000 cas diagnostiqués et plus de 8 000 décès dans toute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Afrique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Ouest, selon les données de l’OMS de décembre 2015. Certains cas d’infection ont été exportés vers les pays développés. L’OMS considère qu</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une épidémie de très grande ampleur pourrait dépasser les frontières et éventuellement infecter les grandes villes des Etats-Unis et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Europe.</w:t>
      </w:r>
    </w:p>
    <w:p w14:paraId="1710BB67" w14:textId="77777777"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A ce jour, aucun traitement ni vaccin ne permettent de prévenir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infection ; depuis le début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épidémie de 2014, de nombreuses actions ont été entreprises, en vue de développer une approche soit thérapeutique, soit prophylactique. Il est en </w:t>
      </w:r>
      <w:r w:rsidR="00761572" w:rsidRPr="00C73365">
        <w:rPr>
          <w:rFonts w:asciiTheme="minorHAnsi" w:hAnsiTheme="minorHAnsi" w:cstheme="minorHAnsi"/>
          <w:iCs/>
          <w:color w:val="000000"/>
          <w:sz w:val="20"/>
          <w:szCs w:val="20"/>
        </w:rPr>
        <w:t>effet tout</w:t>
      </w:r>
      <w:r w:rsidRPr="00C73365">
        <w:rPr>
          <w:rFonts w:asciiTheme="minorHAnsi" w:hAnsiTheme="minorHAnsi" w:cstheme="minorHAnsi"/>
          <w:iCs/>
          <w:color w:val="000000"/>
          <w:sz w:val="20"/>
          <w:szCs w:val="20"/>
        </w:rPr>
        <w:t xml:space="preserve"> aussi important de développer des moyens thérapeutiques pour les malades infectés que prophylactiques pour les personnes très exposées (proches, contacts, soignants).</w:t>
      </w:r>
    </w:p>
    <w:p w14:paraId="77F22B97" w14:textId="77777777" w:rsidR="00B67A56" w:rsidRPr="00C73365" w:rsidRDefault="00B67A56" w:rsidP="004572A0">
      <w:pPr>
        <w:pStyle w:val="Corpsdetexte"/>
        <w:rPr>
          <w:rFonts w:asciiTheme="minorHAnsi" w:eastAsiaTheme="minorHAnsi" w:hAnsiTheme="minorHAnsi" w:cstheme="minorHAnsi"/>
          <w:lang w:val="fr-FR" w:eastAsia="fr-FR"/>
        </w:rPr>
      </w:pPr>
      <w:r w:rsidRPr="00C73365">
        <w:rPr>
          <w:rFonts w:asciiTheme="minorHAnsi" w:hAnsiTheme="minorHAnsi" w:cstheme="minorHAnsi"/>
          <w:lang w:val="fr-FR"/>
        </w:rPr>
        <w:t xml:space="preserve">Les conséquences sanitaires, psychologiques et économiques d’une épidémie due au virus Ebola et de son éventuelle extension vers les pays développés sont d’un tel enjeu que la communauté internationale et en particulier les pays développés seront prêts à financer ce traitement à son juste prix par l’intermédiaire du WHO. </w:t>
      </w:r>
      <w:r w:rsidRPr="00C73365">
        <w:rPr>
          <w:rFonts w:asciiTheme="minorHAnsi" w:eastAsiaTheme="minorHAnsi" w:hAnsiTheme="minorHAnsi" w:cstheme="minorHAnsi"/>
          <w:lang w:val="fr-FR"/>
        </w:rPr>
        <w:t>Le coût de traitement d’un patient aux États-Unis est aujourd’hui estimé à 500 000 US$.</w:t>
      </w:r>
    </w:p>
    <w:p w14:paraId="207F4382" w14:textId="77777777" w:rsidR="00B67A56" w:rsidRPr="00C73365" w:rsidRDefault="00B67A56" w:rsidP="00B67A56">
      <w:pPr>
        <w:pStyle w:val="Paragraphedeliste"/>
        <w:numPr>
          <w:ilvl w:val="3"/>
          <w:numId w:val="9"/>
        </w:numPr>
        <w:outlineLvl w:val="2"/>
        <w:rPr>
          <w:rFonts w:asciiTheme="minorHAnsi" w:hAnsiTheme="minorHAnsi" w:cstheme="minorHAnsi"/>
          <w:lang w:val="fr-FR"/>
        </w:rPr>
      </w:pPr>
      <w:r w:rsidRPr="00C73365">
        <w:rPr>
          <w:rFonts w:asciiTheme="minorHAnsi" w:hAnsiTheme="minorHAnsi" w:cstheme="minorHAnsi"/>
          <w:lang w:val="fr-FR"/>
        </w:rPr>
        <w:t>Approche thérapeutique </w:t>
      </w:r>
    </w:p>
    <w:p w14:paraId="4D4D8B3F" w14:textId="77777777"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iCs/>
          <w:sz w:val="20"/>
          <w:szCs w:val="20"/>
        </w:rPr>
        <w:t>Plusieurs anticorps monoclonaux sont en cours de développement et un mélange de trois anticorps monoclonaux (Zmapp) a montré une certaine efficacité. Ce mélange est produit dans des plants de tabac, avec toutes les difficultés et les limites des capacités de production qu</w:t>
      </w:r>
      <w:r w:rsidR="004572A0" w:rsidRPr="00C73365">
        <w:rPr>
          <w:rFonts w:asciiTheme="minorHAnsi" w:hAnsiTheme="minorHAnsi" w:cstheme="minorHAnsi"/>
          <w:iCs/>
          <w:sz w:val="20"/>
          <w:szCs w:val="20"/>
        </w:rPr>
        <w:t>’</w:t>
      </w:r>
      <w:r w:rsidRPr="00C73365">
        <w:rPr>
          <w:rFonts w:asciiTheme="minorHAnsi" w:hAnsiTheme="minorHAnsi" w:cstheme="minorHAnsi"/>
          <w:iCs/>
          <w:sz w:val="20"/>
          <w:szCs w:val="20"/>
        </w:rPr>
        <w:t>implique leur culture. Une adaptation à la production cellules de mammifères est en cours de développement. La sélection des spécificités essentielles des anticorps monoclonaux est cruciale pour assurer l</w:t>
      </w:r>
      <w:r w:rsidR="004572A0" w:rsidRPr="00C73365">
        <w:rPr>
          <w:rFonts w:asciiTheme="minorHAnsi" w:hAnsiTheme="minorHAnsi" w:cstheme="minorHAnsi"/>
          <w:iCs/>
          <w:sz w:val="20"/>
          <w:szCs w:val="20"/>
        </w:rPr>
        <w:t>’</w:t>
      </w:r>
      <w:r w:rsidRPr="00C73365">
        <w:rPr>
          <w:rFonts w:asciiTheme="minorHAnsi" w:hAnsiTheme="minorHAnsi" w:cstheme="minorHAnsi"/>
          <w:iCs/>
          <w:sz w:val="20"/>
          <w:szCs w:val="20"/>
        </w:rPr>
        <w:t>efficacité.</w:t>
      </w:r>
    </w:p>
    <w:p w14:paraId="32E3D27E" w14:textId="77777777"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iCs/>
          <w:sz w:val="20"/>
          <w:szCs w:val="20"/>
        </w:rPr>
        <w:t xml:space="preserve">Approches concurrentes </w:t>
      </w:r>
      <w:r w:rsidR="00761572" w:rsidRPr="00C73365">
        <w:rPr>
          <w:rFonts w:asciiTheme="minorHAnsi" w:hAnsiTheme="minorHAnsi" w:cstheme="minorHAnsi"/>
          <w:iCs/>
          <w:sz w:val="20"/>
          <w:szCs w:val="20"/>
        </w:rPr>
        <w:t>antivirales :</w:t>
      </w:r>
    </w:p>
    <w:p w14:paraId="690F071C" w14:textId="77777777" w:rsidR="00B67A56" w:rsidRPr="00C73365" w:rsidRDefault="00B67A56" w:rsidP="00434C49">
      <w:pPr>
        <w:pStyle w:val="Paragraphedeliste"/>
        <w:numPr>
          <w:ilvl w:val="0"/>
          <w:numId w:val="81"/>
        </w:numPr>
        <w:rPr>
          <w:rFonts w:asciiTheme="minorHAnsi" w:hAnsiTheme="minorHAnsi" w:cstheme="minorHAnsi"/>
          <w:lang w:val="fr-FR"/>
        </w:rPr>
      </w:pPr>
      <w:r w:rsidRPr="00C73365">
        <w:rPr>
          <w:rFonts w:asciiTheme="minorHAnsi" w:hAnsiTheme="minorHAnsi" w:cstheme="minorHAnsi"/>
          <w:lang w:val="fr-FR"/>
        </w:rPr>
        <w:t>Mapp Bio : mélange d’anticorps monoclonaux (Zmapp) : phase II/III avec non atteinte de plusieurs critères d’évaluation</w:t>
      </w:r>
    </w:p>
    <w:p w14:paraId="0090A720" w14:textId="77777777" w:rsidR="00B67A56" w:rsidRPr="00C73365" w:rsidRDefault="00B67A56" w:rsidP="00434C49">
      <w:pPr>
        <w:pStyle w:val="Paragraphedeliste"/>
        <w:numPr>
          <w:ilvl w:val="0"/>
          <w:numId w:val="81"/>
        </w:numPr>
        <w:rPr>
          <w:rFonts w:asciiTheme="minorHAnsi" w:hAnsiTheme="minorHAnsi" w:cstheme="minorHAnsi"/>
          <w:lang w:val="fr-FR"/>
        </w:rPr>
      </w:pPr>
      <w:r w:rsidRPr="00C73365">
        <w:rPr>
          <w:rFonts w:asciiTheme="minorHAnsi" w:hAnsiTheme="minorHAnsi" w:cstheme="minorHAnsi"/>
          <w:lang w:val="fr-FR"/>
        </w:rPr>
        <w:t>BioCryst : petite molécule (BCX 4430) : phase I</w:t>
      </w:r>
    </w:p>
    <w:p w14:paraId="486823F5" w14:textId="77777777" w:rsidR="00B67A56" w:rsidRPr="00C73365" w:rsidRDefault="00B67A56" w:rsidP="00434C49">
      <w:pPr>
        <w:pStyle w:val="Paragraphedeliste"/>
        <w:numPr>
          <w:ilvl w:val="0"/>
          <w:numId w:val="81"/>
        </w:numPr>
        <w:rPr>
          <w:rFonts w:asciiTheme="minorHAnsi" w:hAnsiTheme="minorHAnsi" w:cstheme="minorHAnsi"/>
          <w:lang w:val="fr-FR"/>
        </w:rPr>
      </w:pPr>
      <w:r w:rsidRPr="00C73365">
        <w:rPr>
          <w:rFonts w:asciiTheme="minorHAnsi" w:hAnsiTheme="minorHAnsi" w:cstheme="minorHAnsi"/>
          <w:lang w:val="fr-FR"/>
        </w:rPr>
        <w:t>Regeneron : mélange d’anticorps monoclonaux</w:t>
      </w:r>
      <w:r w:rsidRPr="00C73365">
        <w:rPr>
          <w:rFonts w:asciiTheme="minorHAnsi" w:hAnsiTheme="minorHAnsi" w:cstheme="minorHAnsi"/>
          <w:cs/>
          <w:lang w:bidi="mr-IN"/>
        </w:rPr>
        <w:t xml:space="preserve"> : </w:t>
      </w:r>
      <w:r w:rsidRPr="00C73365">
        <w:rPr>
          <w:rFonts w:asciiTheme="minorHAnsi" w:hAnsiTheme="minorHAnsi" w:cstheme="minorHAnsi"/>
          <w:lang w:val="fr-FR"/>
        </w:rPr>
        <w:t>phase I</w:t>
      </w:r>
    </w:p>
    <w:p w14:paraId="5E3843B9" w14:textId="77777777" w:rsidR="00B67A56" w:rsidRPr="00C73365" w:rsidRDefault="00B67A56" w:rsidP="00434C49">
      <w:pPr>
        <w:pStyle w:val="Paragraphedeliste"/>
        <w:numPr>
          <w:ilvl w:val="0"/>
          <w:numId w:val="81"/>
        </w:numPr>
        <w:rPr>
          <w:rFonts w:asciiTheme="minorHAnsi" w:hAnsiTheme="minorHAnsi" w:cstheme="minorHAnsi"/>
          <w:lang w:val="fr-FR"/>
        </w:rPr>
      </w:pPr>
      <w:r w:rsidRPr="00C73365">
        <w:rPr>
          <w:rFonts w:asciiTheme="minorHAnsi" w:hAnsiTheme="minorHAnsi" w:cstheme="minorHAnsi"/>
          <w:lang w:val="fr-FR"/>
        </w:rPr>
        <w:t>Genentech : mélange d’anticorps monoclonaux humanisés (Zmapp humanisé) : études précliniques</w:t>
      </w:r>
    </w:p>
    <w:p w14:paraId="2F8AEDB8" w14:textId="77777777" w:rsidR="00B67A56" w:rsidRPr="00C73365" w:rsidRDefault="00B67A56" w:rsidP="00B67A56">
      <w:pPr>
        <w:pStyle w:val="Paragraphedeliste"/>
        <w:numPr>
          <w:ilvl w:val="3"/>
          <w:numId w:val="9"/>
        </w:numPr>
        <w:outlineLvl w:val="2"/>
        <w:rPr>
          <w:rFonts w:asciiTheme="minorHAnsi" w:hAnsiTheme="minorHAnsi" w:cstheme="minorHAnsi"/>
          <w:lang w:val="fr-FR"/>
        </w:rPr>
      </w:pPr>
      <w:r w:rsidRPr="00C73365">
        <w:rPr>
          <w:rFonts w:asciiTheme="minorHAnsi" w:hAnsiTheme="minorHAnsi" w:cstheme="minorHAnsi"/>
          <w:lang w:val="fr-FR"/>
        </w:rPr>
        <w:t>Approche prophylactique </w:t>
      </w:r>
    </w:p>
    <w:p w14:paraId="7FCE79B1" w14:textId="77777777"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lastRenderedPageBreak/>
        <w:t>Plusieurs vaccins candidats sont en cours de développement. Deux approches mettant en œuvre des virus vivants (adénovirus ou VSV) comme vecteur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apport du vaccin</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ont été testées dans une étude clinique de phase I chez des volontaires sains, avec des résultats prometteurs en termes de tolérance.</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Le vaccin candidat ChAd3, co-développé par NIAID et GSK à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aide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un adénovirus, contient des protéines de deux souches du virus Ebola (souches Soudan et Zaïre).</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 xml:space="preserve">Les essais cliniques de Phase II et III ont </w:t>
      </w:r>
      <w:r w:rsidR="00761572" w:rsidRPr="00C73365">
        <w:rPr>
          <w:rFonts w:asciiTheme="minorHAnsi" w:hAnsiTheme="minorHAnsi" w:cstheme="minorHAnsi"/>
          <w:iCs/>
          <w:color w:val="000000"/>
          <w:sz w:val="20"/>
          <w:szCs w:val="20"/>
        </w:rPr>
        <w:t>débuté en</w:t>
      </w:r>
      <w:r w:rsidRPr="00C73365">
        <w:rPr>
          <w:rFonts w:asciiTheme="minorHAnsi" w:hAnsiTheme="minorHAnsi" w:cstheme="minorHAnsi"/>
          <w:iCs/>
          <w:color w:val="000000"/>
          <w:sz w:val="20"/>
          <w:szCs w:val="20"/>
        </w:rPr>
        <w:t xml:space="preserve"> 2015, mais il sera difficile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en démontrer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efficacité, étant donné que la prévention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infection nécessiterait un essai clinique important. Seul le vaccin développé par MSD a pu démontrer une efficacité clinique dans un essai de phase III</w:t>
      </w:r>
    </w:p>
    <w:p w14:paraId="2F1F70F1" w14:textId="77777777" w:rsidR="00B67A56" w:rsidRPr="00C73365" w:rsidRDefault="00B67A56" w:rsidP="00B67A56">
      <w:pPr>
        <w:pStyle w:val="conmainl50"/>
        <w:spacing w:before="0" w:beforeAutospacing="0" w:after="120" w:afterAutospacing="0"/>
        <w:rPr>
          <w:rFonts w:asciiTheme="minorHAnsi" w:hAnsiTheme="minorHAnsi" w:cstheme="minorHAnsi"/>
          <w:iCs/>
          <w:spacing w:val="-2"/>
          <w:sz w:val="20"/>
          <w:szCs w:val="20"/>
        </w:rPr>
      </w:pPr>
      <w:r w:rsidRPr="00C73365">
        <w:rPr>
          <w:rFonts w:asciiTheme="minorHAnsi" w:hAnsiTheme="minorHAnsi" w:cstheme="minorHAnsi"/>
          <w:iCs/>
          <w:spacing w:val="-2"/>
          <w:sz w:val="20"/>
          <w:szCs w:val="20"/>
        </w:rPr>
        <w:t xml:space="preserve">Approches concurrentes </w:t>
      </w:r>
      <w:r w:rsidR="00761572" w:rsidRPr="00C73365">
        <w:rPr>
          <w:rFonts w:asciiTheme="minorHAnsi" w:hAnsiTheme="minorHAnsi" w:cstheme="minorHAnsi"/>
          <w:iCs/>
          <w:spacing w:val="-2"/>
          <w:sz w:val="20"/>
          <w:szCs w:val="20"/>
        </w:rPr>
        <w:t>vaccinales :</w:t>
      </w:r>
    </w:p>
    <w:p w14:paraId="643C87EB" w14:textId="77777777" w:rsidR="00B67A56" w:rsidRPr="00C73365" w:rsidRDefault="00B67A56" w:rsidP="00434C49">
      <w:pPr>
        <w:pStyle w:val="Paragraphedeliste"/>
        <w:numPr>
          <w:ilvl w:val="0"/>
          <w:numId w:val="82"/>
        </w:numPr>
        <w:rPr>
          <w:rFonts w:asciiTheme="minorHAnsi" w:eastAsiaTheme="minorHAnsi" w:hAnsiTheme="minorHAnsi" w:cstheme="minorHAnsi"/>
          <w:iCs/>
          <w:spacing w:val="-2"/>
          <w:szCs w:val="20"/>
          <w:lang w:val="fr-FR" w:eastAsia="fr-FR"/>
        </w:rPr>
      </w:pPr>
      <w:r w:rsidRPr="00C73365">
        <w:rPr>
          <w:rFonts w:asciiTheme="minorHAnsi" w:eastAsiaTheme="minorHAnsi" w:hAnsiTheme="minorHAnsi" w:cstheme="minorHAnsi"/>
          <w:iCs/>
          <w:spacing w:val="-2"/>
          <w:szCs w:val="20"/>
          <w:lang w:val="fr-FR" w:eastAsia="fr-FR"/>
        </w:rPr>
        <w:t>NewLink/Merck</w:t>
      </w:r>
      <w:r w:rsidR="00793D85" w:rsidRPr="00C73365">
        <w:rPr>
          <w:rFonts w:asciiTheme="minorHAnsi" w:eastAsiaTheme="minorHAnsi" w:hAnsiTheme="minorHAnsi" w:cstheme="minorHAnsi"/>
          <w:iCs/>
          <w:spacing w:val="-2"/>
          <w:szCs w:val="20"/>
          <w:lang w:val="fr-FR" w:eastAsia="fr-FR"/>
        </w:rPr>
        <w:t xml:space="preserve"> </w:t>
      </w:r>
      <w:r w:rsidRPr="00C73365">
        <w:rPr>
          <w:rFonts w:asciiTheme="minorHAnsi" w:eastAsiaTheme="minorHAnsi" w:hAnsiTheme="minorHAnsi" w:cstheme="minorHAnsi"/>
          <w:iCs/>
          <w:spacing w:val="-2"/>
          <w:szCs w:val="20"/>
          <w:lang w:val="fr-FR" w:eastAsia="fr-FR"/>
        </w:rPr>
        <w:t>: Vaccin monovalent contre la souche Zaïre produit à partir du virus de la stomatite vésiculaire (rVSV-ZEBOV) : Phase III avec données d’efficacité disponibles (lancement prévu en 2017)</w:t>
      </w:r>
    </w:p>
    <w:p w14:paraId="01372F52" w14:textId="77777777" w:rsidR="00B67A56" w:rsidRPr="00C73365" w:rsidRDefault="00B67A56" w:rsidP="00434C49">
      <w:pPr>
        <w:pStyle w:val="Paragraphedeliste"/>
        <w:numPr>
          <w:ilvl w:val="0"/>
          <w:numId w:val="82"/>
        </w:numPr>
        <w:rPr>
          <w:rFonts w:asciiTheme="minorHAnsi" w:eastAsiaTheme="minorHAnsi" w:hAnsiTheme="minorHAnsi" w:cstheme="minorHAnsi"/>
          <w:iCs/>
          <w:spacing w:val="-2"/>
          <w:szCs w:val="20"/>
          <w:lang w:val="fr-FR" w:eastAsia="fr-FR"/>
        </w:rPr>
      </w:pPr>
      <w:r w:rsidRPr="00C73365">
        <w:rPr>
          <w:rFonts w:asciiTheme="minorHAnsi" w:eastAsiaTheme="minorHAnsi" w:hAnsiTheme="minorHAnsi" w:cstheme="minorHAnsi"/>
          <w:iCs/>
          <w:spacing w:val="-2"/>
          <w:szCs w:val="20"/>
          <w:lang w:val="fr-FR" w:eastAsia="fr-FR"/>
        </w:rPr>
        <w:t>GSK : Vaccin recombinant un virus de chimpanzé inoffensif pour l</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homme qui porte des fragments d</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 xml:space="preserve">Ebola (ChAd3) : Phase II/III </w:t>
      </w:r>
    </w:p>
    <w:p w14:paraId="3D1F1450" w14:textId="77777777" w:rsidR="00B67A56" w:rsidRPr="00C73365" w:rsidRDefault="00B67A56" w:rsidP="00434C49">
      <w:pPr>
        <w:pStyle w:val="Paragraphedeliste"/>
        <w:numPr>
          <w:ilvl w:val="0"/>
          <w:numId w:val="82"/>
        </w:numPr>
        <w:rPr>
          <w:rFonts w:asciiTheme="minorHAnsi" w:hAnsiTheme="minorHAnsi" w:cstheme="minorHAnsi"/>
          <w:iCs/>
          <w:spacing w:val="-2"/>
          <w:szCs w:val="20"/>
          <w:lang w:val="fr-FR"/>
        </w:rPr>
      </w:pPr>
      <w:r w:rsidRPr="00C73365">
        <w:rPr>
          <w:rFonts w:asciiTheme="minorHAnsi" w:eastAsiaTheme="minorHAnsi" w:hAnsiTheme="minorHAnsi" w:cstheme="minorHAnsi"/>
          <w:iCs/>
          <w:spacing w:val="-2"/>
          <w:szCs w:val="20"/>
          <w:lang w:eastAsia="fr-FR"/>
        </w:rPr>
        <w:t xml:space="preserve">Crucell and Bavarian Nordic (Ebovac 2): Stratégie « Prime-Boost ». </w:t>
      </w:r>
      <w:r w:rsidRPr="00C73365">
        <w:rPr>
          <w:rFonts w:asciiTheme="minorHAnsi" w:eastAsiaTheme="minorHAnsi" w:hAnsiTheme="minorHAnsi" w:cstheme="minorHAnsi"/>
          <w:iCs/>
          <w:spacing w:val="-2"/>
          <w:szCs w:val="20"/>
          <w:lang w:val="fr-FR" w:eastAsia="fr-FR"/>
        </w:rPr>
        <w:t>Le</w:t>
      </w:r>
      <w:r w:rsidR="00761572" w:rsidRPr="00C73365">
        <w:rPr>
          <w:rFonts w:asciiTheme="minorHAnsi" w:eastAsiaTheme="minorHAnsi" w:hAnsiTheme="minorHAnsi" w:cstheme="minorHAnsi"/>
          <w:iCs/>
          <w:spacing w:val="-2"/>
          <w:szCs w:val="20"/>
          <w:lang w:val="fr-FR" w:eastAsia="fr-FR"/>
        </w:rPr>
        <w:t xml:space="preserve"> «prime</w:t>
      </w:r>
      <w:r w:rsidRPr="00C73365">
        <w:rPr>
          <w:rFonts w:asciiTheme="minorHAnsi" w:eastAsiaTheme="minorHAnsi" w:hAnsiTheme="minorHAnsi" w:cstheme="minorHAnsi"/>
          <w:iCs/>
          <w:spacing w:val="-2"/>
          <w:szCs w:val="20"/>
          <w:lang w:val="fr-FR" w:eastAsia="fr-FR"/>
        </w:rPr>
        <w:t>»</w:t>
      </w:r>
      <w:r w:rsidR="00793D85" w:rsidRPr="00C73365">
        <w:rPr>
          <w:rFonts w:asciiTheme="minorHAnsi" w:eastAsiaTheme="minorHAnsi" w:hAnsiTheme="minorHAnsi" w:cstheme="minorHAnsi"/>
          <w:iCs/>
          <w:spacing w:val="-2"/>
          <w:szCs w:val="20"/>
          <w:lang w:val="fr-FR" w:eastAsia="fr-FR"/>
        </w:rPr>
        <w:t xml:space="preserve"> </w:t>
      </w:r>
      <w:r w:rsidRPr="00C73365">
        <w:rPr>
          <w:rFonts w:asciiTheme="minorHAnsi" w:eastAsiaTheme="minorHAnsi" w:hAnsiTheme="minorHAnsi" w:cstheme="minorHAnsi"/>
          <w:iCs/>
          <w:spacing w:val="-2"/>
          <w:szCs w:val="20"/>
          <w:lang w:val="fr-FR" w:eastAsia="fr-FR"/>
        </w:rPr>
        <w:t>Ad26.ZEBOV, fabriqué par les laboratoires Janssen, transporte une protéine d</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Ebola Zaïre via un virus du rhume humain. Dans le</w:t>
      </w:r>
      <w:r w:rsidR="00761572" w:rsidRPr="00C73365">
        <w:rPr>
          <w:rFonts w:asciiTheme="minorHAnsi" w:eastAsiaTheme="minorHAnsi" w:hAnsiTheme="minorHAnsi" w:cstheme="minorHAnsi"/>
          <w:iCs/>
          <w:spacing w:val="-2"/>
          <w:szCs w:val="20"/>
          <w:lang w:val="fr-FR" w:eastAsia="fr-FR"/>
        </w:rPr>
        <w:t xml:space="preserve"> « boost</w:t>
      </w:r>
      <w:r w:rsidRPr="00C73365">
        <w:rPr>
          <w:rFonts w:asciiTheme="minorHAnsi" w:eastAsiaTheme="minorHAnsi" w:hAnsiTheme="minorHAnsi" w:cstheme="minorHAnsi"/>
          <w:iCs/>
          <w:spacing w:val="-2"/>
          <w:szCs w:val="20"/>
          <w:lang w:val="fr-FR" w:eastAsia="fr-FR"/>
        </w:rPr>
        <w:t> » MVA-BN-Filo, développé par Bavarian Nordic, des protéines de trois types de virus Ebola et du virus de Marburg ont pour vecteur un virus dérivé de la variole : Phase II/III</w:t>
      </w:r>
      <w:r w:rsidRPr="00C73365">
        <w:rPr>
          <w:rFonts w:asciiTheme="minorHAnsi" w:eastAsiaTheme="minorHAnsi" w:hAnsiTheme="minorHAnsi" w:cstheme="minorHAnsi"/>
          <w:iCs/>
          <w:spacing w:val="-2"/>
          <w:szCs w:val="20"/>
          <w:lang w:val="fr-FR" w:eastAsia="fr-FR"/>
        </w:rPr>
        <w:tab/>
      </w:r>
      <w:r w:rsidRPr="00C73365">
        <w:rPr>
          <w:rFonts w:asciiTheme="minorHAnsi" w:eastAsiaTheme="minorHAnsi" w:hAnsiTheme="minorHAnsi" w:cstheme="minorHAnsi"/>
          <w:iCs/>
          <w:spacing w:val="-2"/>
          <w:szCs w:val="20"/>
          <w:lang w:val="fr-FR" w:eastAsia="fr-FR"/>
        </w:rPr>
        <w:tab/>
        <w:t xml:space="preserve"> </w:t>
      </w:r>
    </w:p>
    <w:p w14:paraId="6C5B0B64" w14:textId="77777777" w:rsidR="00B67A56" w:rsidRPr="00C73365" w:rsidRDefault="00B67A56" w:rsidP="00434C49">
      <w:pPr>
        <w:pStyle w:val="Paragraphedeliste"/>
        <w:numPr>
          <w:ilvl w:val="0"/>
          <w:numId w:val="82"/>
        </w:numPr>
        <w:rPr>
          <w:rFonts w:asciiTheme="minorHAnsi" w:hAnsiTheme="minorHAnsi" w:cstheme="minorHAnsi"/>
          <w:iCs/>
          <w:szCs w:val="20"/>
          <w:lang w:val="fr-FR"/>
        </w:rPr>
      </w:pPr>
      <w:r w:rsidRPr="00C73365">
        <w:rPr>
          <w:rFonts w:asciiTheme="minorHAnsi" w:eastAsiaTheme="minorHAnsi" w:hAnsiTheme="minorHAnsi" w:cstheme="minorHAnsi"/>
          <w:iCs/>
          <w:spacing w:val="-2"/>
          <w:szCs w:val="20"/>
          <w:lang w:val="fr-FR" w:eastAsia="fr-FR"/>
        </w:rPr>
        <w:t>Profectus Biosciences : Vaccin monovalent contre la souche Zaïre produit à partir du Virus de la stomatite vésiculaire (VSV) : Phase I</w:t>
      </w:r>
    </w:p>
    <w:p w14:paraId="7BD0E7D2" w14:textId="77777777" w:rsidR="00B67A56" w:rsidRPr="00C73365" w:rsidRDefault="00B67A56" w:rsidP="00B67A56">
      <w:pPr>
        <w:pStyle w:val="Paragraphedeliste"/>
        <w:numPr>
          <w:ilvl w:val="3"/>
          <w:numId w:val="9"/>
        </w:numPr>
        <w:outlineLvl w:val="2"/>
        <w:rPr>
          <w:rFonts w:asciiTheme="minorHAnsi" w:hAnsiTheme="minorHAnsi" w:cstheme="minorHAnsi"/>
          <w:lang w:val="fr-FR"/>
        </w:rPr>
      </w:pPr>
      <w:r w:rsidRPr="00C73365">
        <w:rPr>
          <w:rFonts w:asciiTheme="minorHAnsi" w:hAnsiTheme="minorHAnsi" w:cstheme="minorHAnsi"/>
          <w:lang w:val="fr-FR"/>
        </w:rPr>
        <w:t>Programme ABX544</w:t>
      </w:r>
    </w:p>
    <w:p w14:paraId="185A6418" w14:textId="77777777"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color w:val="000000"/>
          <w:sz w:val="20"/>
        </w:rPr>
        <w:t xml:space="preserve">L’utilisation d’anticorps polyclonaux de lapin, purifiés et neutralisants </w:t>
      </w:r>
      <w:r w:rsidR="00793D85" w:rsidRPr="00C73365">
        <w:rPr>
          <w:rFonts w:asciiTheme="minorHAnsi" w:hAnsiTheme="minorHAnsi" w:cstheme="minorHAnsi"/>
          <w:color w:val="000000"/>
          <w:sz w:val="20"/>
        </w:rPr>
        <w:t>présente</w:t>
      </w:r>
      <w:r w:rsidRPr="00C73365">
        <w:rPr>
          <w:rFonts w:asciiTheme="minorHAnsi" w:hAnsiTheme="minorHAnsi" w:cstheme="minorHAnsi"/>
          <w:color w:val="000000"/>
          <w:sz w:val="20"/>
        </w:rPr>
        <w:t xml:space="preserve"> les avantages</w:t>
      </w:r>
      <w:r w:rsidRPr="00C73365">
        <w:rPr>
          <w:rFonts w:asciiTheme="minorHAnsi" w:hAnsiTheme="minorHAnsi" w:cstheme="minorHAnsi"/>
          <w:iCs/>
          <w:spacing w:val="-2"/>
          <w:sz w:val="20"/>
          <w:szCs w:val="20"/>
        </w:rPr>
        <w:t xml:space="preserve"> d’un bas coût de production, d’une rapidité de déploiement, d’une efficacité thérapeutique, et d’un profil de toxicité exceptionnels, et d’une probabilité de succès pharmaceutique, clinique et réglementaire élevée. Ces anticorps polyclonaux sont encore largement utilisés lors d’infection par les agents </w:t>
      </w:r>
      <w:r w:rsidR="00761572" w:rsidRPr="00C73365">
        <w:rPr>
          <w:rFonts w:asciiTheme="minorHAnsi" w:hAnsiTheme="minorHAnsi" w:cstheme="minorHAnsi"/>
          <w:iCs/>
          <w:spacing w:val="-2"/>
          <w:sz w:val="20"/>
          <w:szCs w:val="20"/>
        </w:rPr>
        <w:t>suivants :</w:t>
      </w:r>
      <w:r w:rsidRPr="00C73365">
        <w:rPr>
          <w:rFonts w:asciiTheme="minorHAnsi" w:hAnsiTheme="minorHAnsi" w:cstheme="minorHAnsi"/>
          <w:iCs/>
          <w:spacing w:val="-2"/>
          <w:sz w:val="20"/>
          <w:szCs w:val="20"/>
        </w:rPr>
        <w:t xml:space="preserve"> Diphtérie, Hépatite B et Rage ainsi que dans le traitement des personnes mordues/piquées par des animaux venimeux (serpents, scorpions…)</w:t>
      </w:r>
    </w:p>
    <w:p w14:paraId="5EBEA97C" w14:textId="77777777"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Sur la base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expertise précédemment acquise dans le développement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anticorps polyclonaux employés dans la prévention des rejets de greffe,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a décidé de développer des anticorps polyclonaux destinés au traitement des personnes infectées.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est l’une des rares compagnies de biotechnologie internationales qui a l’expertise dans ce domaine.</w:t>
      </w:r>
    </w:p>
    <w:p w14:paraId="5378DFCC" w14:textId="77777777"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Les immunogènes (protéines virales, principalement des protéines GP1 et GP2 issues du virus Ebola) sont produites selon la technique de protéines recombinantes à partir d’une séquence « consensus ». De plus,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et l’INSERM ont convenu de collaborer sur le contrôle de l’activité des sérums de lapins.</w:t>
      </w:r>
    </w:p>
    <w:p w14:paraId="5F2E8893" w14:textId="77777777"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Le plan repose sur les étapes suivantes :</w:t>
      </w:r>
    </w:p>
    <w:p w14:paraId="173A45B9" w14:textId="77777777" w:rsidR="00B67A56" w:rsidRPr="00C73365" w:rsidRDefault="00761572"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Production</w:t>
      </w:r>
      <w:r w:rsidR="00B67A56" w:rsidRPr="00C73365">
        <w:rPr>
          <w:rFonts w:asciiTheme="minorHAnsi" w:hAnsiTheme="minorHAnsi" w:cstheme="minorHAnsi"/>
          <w:szCs w:val="20"/>
          <w:lang w:val="fr-FR"/>
        </w:rPr>
        <w:t xml:space="preserve"> de glycoprotéines GP1et GP2 aux normes BPL</w:t>
      </w:r>
      <w:bookmarkStart w:id="299" w:name="_ftnref2"/>
      <w:r w:rsidR="00B67A56" w:rsidRPr="00C73365">
        <w:rPr>
          <w:rFonts w:asciiTheme="minorHAnsi" w:hAnsiTheme="minorHAnsi" w:cstheme="minorHAnsi"/>
          <w:szCs w:val="20"/>
          <w:lang w:val="fr-FR"/>
        </w:rPr>
        <w:fldChar w:fldCharType="begin"/>
      </w:r>
      <w:r w:rsidR="00B67A56" w:rsidRPr="00C73365">
        <w:rPr>
          <w:rFonts w:asciiTheme="minorHAnsi" w:hAnsiTheme="minorHAnsi" w:cstheme="minorHAnsi"/>
          <w:szCs w:val="20"/>
          <w:lang w:val="fr-FR"/>
        </w:rPr>
        <w:instrText xml:space="preserve"> HYPERLINK "" \l "_ftn2" \o "" </w:instrText>
      </w:r>
      <w:r w:rsidR="00B67A56" w:rsidRPr="00C73365">
        <w:rPr>
          <w:rFonts w:asciiTheme="minorHAnsi" w:hAnsiTheme="minorHAnsi" w:cstheme="minorHAnsi"/>
          <w:szCs w:val="20"/>
          <w:lang w:val="fr-FR"/>
        </w:rPr>
        <w:fldChar w:fldCharType="separate"/>
      </w:r>
      <w:r w:rsidR="00B67A56" w:rsidRPr="00C73365">
        <w:rPr>
          <w:rFonts w:asciiTheme="minorHAnsi" w:hAnsiTheme="minorHAnsi" w:cstheme="minorHAnsi"/>
          <w:lang w:val="fr-FR"/>
        </w:rPr>
        <w:t>[2],</w:t>
      </w:r>
      <w:r w:rsidR="00B67A56" w:rsidRPr="00C73365">
        <w:rPr>
          <w:rFonts w:asciiTheme="minorHAnsi" w:hAnsiTheme="minorHAnsi" w:cstheme="minorHAnsi"/>
          <w:szCs w:val="20"/>
          <w:lang w:val="fr-FR"/>
        </w:rPr>
        <w:fldChar w:fldCharType="end"/>
      </w:r>
      <w:bookmarkEnd w:id="299"/>
    </w:p>
    <w:p w14:paraId="31918746" w14:textId="77777777" w:rsidR="00B67A56" w:rsidRPr="00C73365" w:rsidRDefault="00761572"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Injection</w:t>
      </w:r>
      <w:r w:rsidR="00B67A56" w:rsidRPr="00C73365">
        <w:rPr>
          <w:rFonts w:asciiTheme="minorHAnsi" w:hAnsiTheme="minorHAnsi" w:cstheme="minorHAnsi"/>
          <w:szCs w:val="20"/>
          <w:lang w:val="fr-FR"/>
        </w:rPr>
        <w:t xml:space="preserve"> de l</w:t>
      </w:r>
      <w:r w:rsidR="004572A0" w:rsidRPr="00C73365">
        <w:rPr>
          <w:rFonts w:asciiTheme="minorHAnsi" w:hAnsiTheme="minorHAnsi" w:cstheme="minorHAnsi"/>
          <w:szCs w:val="20"/>
          <w:lang w:val="fr-FR"/>
        </w:rPr>
        <w:t>’</w:t>
      </w:r>
      <w:r w:rsidR="00B67A56" w:rsidRPr="00C73365">
        <w:rPr>
          <w:rFonts w:asciiTheme="minorHAnsi" w:hAnsiTheme="minorHAnsi" w:cstheme="minorHAnsi"/>
          <w:szCs w:val="20"/>
          <w:lang w:val="fr-FR"/>
        </w:rPr>
        <w:t>antigène purifié à des lapins SPF</w:t>
      </w:r>
      <w:bookmarkStart w:id="300" w:name="_ftnref3"/>
      <w:r w:rsidR="00B67A56" w:rsidRPr="00C73365">
        <w:rPr>
          <w:rFonts w:asciiTheme="minorHAnsi" w:hAnsiTheme="minorHAnsi" w:cstheme="minorHAnsi"/>
          <w:szCs w:val="20"/>
          <w:lang w:val="fr-FR"/>
        </w:rPr>
        <w:fldChar w:fldCharType="begin"/>
      </w:r>
      <w:r w:rsidR="00B67A56" w:rsidRPr="00C73365">
        <w:rPr>
          <w:rFonts w:asciiTheme="minorHAnsi" w:hAnsiTheme="minorHAnsi" w:cstheme="minorHAnsi"/>
          <w:szCs w:val="20"/>
          <w:lang w:val="fr-FR"/>
        </w:rPr>
        <w:instrText xml:space="preserve"> HYPERLINK "" \l "_ftn3" \o "" </w:instrText>
      </w:r>
      <w:r w:rsidR="00B67A56" w:rsidRPr="00C73365">
        <w:rPr>
          <w:rFonts w:asciiTheme="minorHAnsi" w:hAnsiTheme="minorHAnsi" w:cstheme="minorHAnsi"/>
          <w:szCs w:val="20"/>
          <w:lang w:val="fr-FR"/>
        </w:rPr>
        <w:fldChar w:fldCharType="separate"/>
      </w:r>
      <w:r w:rsidR="00B67A56" w:rsidRPr="00C73365">
        <w:rPr>
          <w:rFonts w:asciiTheme="minorHAnsi" w:hAnsiTheme="minorHAnsi" w:cstheme="minorHAnsi"/>
          <w:lang w:val="fr-FR"/>
        </w:rPr>
        <w:t>[3]</w:t>
      </w:r>
      <w:r w:rsidR="00B67A56" w:rsidRPr="00C73365">
        <w:rPr>
          <w:rFonts w:asciiTheme="minorHAnsi" w:hAnsiTheme="minorHAnsi" w:cstheme="minorHAnsi"/>
          <w:szCs w:val="20"/>
          <w:lang w:val="fr-FR"/>
        </w:rPr>
        <w:fldChar w:fldCharType="end"/>
      </w:r>
      <w:bookmarkEnd w:id="300"/>
    </w:p>
    <w:p w14:paraId="36FF63B1" w14:textId="77777777" w:rsidR="00B67A56" w:rsidRPr="00C73365" w:rsidRDefault="00761572"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Prélèvement</w:t>
      </w:r>
      <w:r w:rsidR="00B67A56" w:rsidRPr="00C73365">
        <w:rPr>
          <w:rFonts w:asciiTheme="minorHAnsi" w:hAnsiTheme="minorHAnsi" w:cstheme="minorHAnsi"/>
          <w:szCs w:val="20"/>
          <w:lang w:val="fr-FR"/>
        </w:rPr>
        <w:t xml:space="preserve"> du sérum</w:t>
      </w:r>
    </w:p>
    <w:p w14:paraId="7EA06047" w14:textId="77777777" w:rsidR="00B67A56" w:rsidRPr="00C73365" w:rsidRDefault="00761572"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Purification</w:t>
      </w:r>
      <w:r w:rsidR="00B67A56" w:rsidRPr="00C73365">
        <w:rPr>
          <w:rFonts w:asciiTheme="minorHAnsi" w:hAnsiTheme="minorHAnsi" w:cstheme="minorHAnsi"/>
          <w:szCs w:val="20"/>
          <w:lang w:val="fr-FR"/>
        </w:rPr>
        <w:t xml:space="preserve"> du sérum</w:t>
      </w:r>
    </w:p>
    <w:p w14:paraId="699A81F8" w14:textId="77777777" w:rsidR="00B67A56" w:rsidRPr="00C73365" w:rsidRDefault="00761572"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Production</w:t>
      </w:r>
      <w:r w:rsidR="00B67A56" w:rsidRPr="00C73365">
        <w:rPr>
          <w:rFonts w:asciiTheme="minorHAnsi" w:hAnsiTheme="minorHAnsi" w:cstheme="minorHAnsi"/>
          <w:szCs w:val="20"/>
          <w:lang w:val="fr-FR"/>
        </w:rPr>
        <w:t xml:space="preserve"> d</w:t>
      </w:r>
      <w:r w:rsidR="004572A0" w:rsidRPr="00C73365">
        <w:rPr>
          <w:rFonts w:asciiTheme="minorHAnsi" w:hAnsiTheme="minorHAnsi" w:cstheme="minorHAnsi"/>
          <w:szCs w:val="20"/>
          <w:lang w:val="fr-FR"/>
        </w:rPr>
        <w:t>’</w:t>
      </w:r>
      <w:r w:rsidR="00B67A56" w:rsidRPr="00C73365">
        <w:rPr>
          <w:rFonts w:asciiTheme="minorHAnsi" w:hAnsiTheme="minorHAnsi" w:cstheme="minorHAnsi"/>
          <w:szCs w:val="20"/>
          <w:lang w:val="fr-FR"/>
        </w:rPr>
        <w:t>anticorps IgG entiers ou fragmentés (Fab ou F(ab’)2)</w:t>
      </w:r>
    </w:p>
    <w:p w14:paraId="677902CC" w14:textId="77777777" w:rsidR="00B67A56" w:rsidRPr="00C73365" w:rsidRDefault="00761572"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Formulation</w:t>
      </w:r>
      <w:r w:rsidR="00B67A56" w:rsidRPr="00C73365">
        <w:rPr>
          <w:rFonts w:asciiTheme="minorHAnsi" w:hAnsiTheme="minorHAnsi" w:cstheme="minorHAnsi"/>
          <w:szCs w:val="20"/>
          <w:lang w:val="fr-FR"/>
        </w:rPr>
        <w:t xml:space="preserve"> et lyophilisation</w:t>
      </w:r>
    </w:p>
    <w:p w14:paraId="286D480B" w14:textId="77777777" w:rsidR="00B67A56" w:rsidRPr="00C73365" w:rsidRDefault="00B67A56" w:rsidP="00434C49">
      <w:pPr>
        <w:pStyle w:val="Paragraphedeliste"/>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Des étapes spécifiques en matière de sécurité virale seront intégrées au processus de purification.</w:t>
      </w:r>
    </w:p>
    <w:p w14:paraId="0371921C" w14:textId="77777777"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eastAsia="Times New Roman" w:hAnsiTheme="minorHAnsi" w:cstheme="minorHAnsi"/>
          <w:iCs/>
          <w:color w:val="000000"/>
          <w:sz w:val="20"/>
          <w:szCs w:val="20"/>
          <w:lang w:eastAsia="en-US"/>
        </w:rPr>
        <w:t xml:space="preserve">Après avoir discuté avec des universités </w:t>
      </w:r>
      <w:r w:rsidR="00EF089C" w:rsidRPr="00C73365">
        <w:rPr>
          <w:rFonts w:asciiTheme="minorHAnsi" w:eastAsia="Times New Roman" w:hAnsiTheme="minorHAnsi" w:cstheme="minorHAnsi"/>
          <w:iCs/>
          <w:color w:val="000000"/>
          <w:sz w:val="20"/>
          <w:szCs w:val="20"/>
          <w:lang w:eastAsia="en-US"/>
        </w:rPr>
        <w:t>ABIVAX</w:t>
      </w:r>
      <w:r w:rsidRPr="00C73365">
        <w:rPr>
          <w:rFonts w:asciiTheme="minorHAnsi" w:eastAsia="Times New Roman" w:hAnsiTheme="minorHAnsi" w:cstheme="minorHAnsi"/>
          <w:iCs/>
          <w:color w:val="000000"/>
          <w:sz w:val="20"/>
          <w:szCs w:val="20"/>
          <w:lang w:eastAsia="en-US"/>
        </w:rPr>
        <w:t xml:space="preserve"> a décidé de développer sa propre technologie de sélection de séquences et de production de protéines dans des cellules d’insectes. Un brevet a été déposé protégeant ainsi l’ensemble de la chaine de </w:t>
      </w:r>
      <w:r w:rsidR="00761572" w:rsidRPr="00C73365">
        <w:rPr>
          <w:rFonts w:asciiTheme="minorHAnsi" w:eastAsia="Times New Roman" w:hAnsiTheme="minorHAnsi" w:cstheme="minorHAnsi"/>
          <w:iCs/>
          <w:color w:val="000000"/>
          <w:sz w:val="20"/>
          <w:szCs w:val="20"/>
          <w:lang w:eastAsia="en-US"/>
        </w:rPr>
        <w:t>production.</w:t>
      </w:r>
    </w:p>
    <w:p w14:paraId="36FEF3EB" w14:textId="77777777"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En 2017,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a obtenu les avancées suivantes : </w:t>
      </w:r>
    </w:p>
    <w:p w14:paraId="6DE05D9A" w14:textId="77777777"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Développement de procédé : </w:t>
      </w:r>
    </w:p>
    <w:p w14:paraId="5373D7FA" w14:textId="77777777"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La production de la protéine GP a été développée en collaboration avec l’entreprise Expression Biotechnologies, spécialiste de la production de protéines recombinante en cellules d’insectes. Un procédé a été mis au point permettant d’atteindre de très bons rendements et de produire une </w:t>
      </w:r>
      <w:r w:rsidRPr="00C73365">
        <w:rPr>
          <w:rFonts w:asciiTheme="minorHAnsi" w:hAnsiTheme="minorHAnsi" w:cstheme="minorHAnsi"/>
          <w:iCs/>
          <w:color w:val="000000"/>
          <w:sz w:val="20"/>
          <w:szCs w:val="20"/>
        </w:rPr>
        <w:lastRenderedPageBreak/>
        <w:t xml:space="preserve">protéine répondant aux niveaux appropriés de qualité (structure, pureté) pour un usage en production au grade pharmaceutique. </w:t>
      </w:r>
    </w:p>
    <w:p w14:paraId="1E31758D" w14:textId="77777777"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Différents protocoles d’immunisation de lapins avec la protéine GP ont été testés, en variant la dose injectée, le calendrier d’immunisation, les adjuvants utilisés. Ces protocoles ont permis de sélectionner les paramètres les plus critiques pour atteindre des niveaux d’anticorps polyclonaux significatifs.</w:t>
      </w:r>
    </w:p>
    <w:p w14:paraId="6A7772FE" w14:textId="77777777"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Le procédé de purification des anticorps polyclonaux à partir des sérums de lapins a été mis au point. Ce procédé est directement transposable à un grade de bonne pratique de fabrication et contient toutes les étapes garantissant le niveau de sécurité virale exigées par la réglementation pharmaceutique.    </w:t>
      </w:r>
    </w:p>
    <w:p w14:paraId="03837323" w14:textId="77777777"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Toxicité : des prétests pour évaluer la possibilité d’une réaction croisée des anticorps purifiés contre des tissus humains ont été menées. Les données n’indiquent pas de risque spécifique à ce stade.</w:t>
      </w:r>
    </w:p>
    <w:p w14:paraId="64E4B8AA" w14:textId="77777777"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Cs w:val="20"/>
        </w:rPr>
      </w:pPr>
      <w:r w:rsidRPr="00C73365">
        <w:rPr>
          <w:rFonts w:asciiTheme="minorHAnsi" w:hAnsiTheme="minorHAnsi" w:cstheme="minorHAnsi"/>
          <w:iCs/>
          <w:color w:val="000000"/>
          <w:sz w:val="20"/>
          <w:szCs w:val="20"/>
        </w:rPr>
        <w:t xml:space="preserve">Activité neutralisante des anticorps : </w:t>
      </w:r>
    </w:p>
    <w:p w14:paraId="358D3F61" w14:textId="77777777" w:rsidR="00B67A56" w:rsidRPr="00C73365" w:rsidRDefault="00B67A56" w:rsidP="00434C49">
      <w:pPr>
        <w:pStyle w:val="Paragraphedeliste"/>
        <w:numPr>
          <w:ilvl w:val="0"/>
          <w:numId w:val="85"/>
        </w:numPr>
        <w:rPr>
          <w:rFonts w:asciiTheme="minorHAnsi" w:hAnsiTheme="minorHAnsi" w:cstheme="minorHAnsi"/>
          <w:iCs/>
          <w:color w:val="000000"/>
          <w:szCs w:val="20"/>
          <w:lang w:val="fr-FR"/>
        </w:rPr>
      </w:pPr>
      <w:r w:rsidRPr="00C73365">
        <w:rPr>
          <w:rFonts w:asciiTheme="minorHAnsi" w:hAnsiTheme="minorHAnsi" w:cstheme="minorHAnsi"/>
          <w:color w:val="000000"/>
          <w:lang w:val="fr-FR"/>
        </w:rPr>
        <w:t xml:space="preserve">Au travers de sa collaboration avec l’INSERM </w:t>
      </w:r>
      <w:r w:rsidR="00761572" w:rsidRPr="00C73365">
        <w:rPr>
          <w:rFonts w:asciiTheme="minorHAnsi" w:hAnsiTheme="minorHAnsi" w:cstheme="minorHAnsi"/>
          <w:color w:val="000000"/>
          <w:lang w:val="fr-FR"/>
        </w:rPr>
        <w:t>de Lyon</w:t>
      </w:r>
      <w:r w:rsidRPr="00C73365">
        <w:rPr>
          <w:rFonts w:asciiTheme="minorHAnsi" w:hAnsiTheme="minorHAnsi" w:cstheme="minorHAnsi"/>
          <w:color w:val="000000"/>
          <w:lang w:val="fr-FR"/>
        </w:rPr>
        <w:t xml:space="preserve">, </w:t>
      </w:r>
      <w:r w:rsidR="00EF089C" w:rsidRPr="00C73365">
        <w:rPr>
          <w:rFonts w:asciiTheme="minorHAnsi" w:hAnsiTheme="minorHAnsi" w:cstheme="minorHAnsi"/>
          <w:color w:val="000000"/>
          <w:lang w:val="fr-FR"/>
        </w:rPr>
        <w:t>ABIVAX</w:t>
      </w:r>
      <w:r w:rsidRPr="00C73365">
        <w:rPr>
          <w:rFonts w:asciiTheme="minorHAnsi" w:hAnsiTheme="minorHAnsi" w:cstheme="minorHAnsi"/>
          <w:color w:val="000000"/>
          <w:lang w:val="fr-FR"/>
        </w:rPr>
        <w:t xml:space="preserve"> a eu accès à un laboratoire P2 pour l</w:t>
      </w:r>
      <w:r w:rsidR="004572A0" w:rsidRPr="00C73365">
        <w:rPr>
          <w:rFonts w:asciiTheme="minorHAnsi" w:hAnsiTheme="minorHAnsi" w:cstheme="minorHAnsi"/>
          <w:color w:val="000000"/>
          <w:lang w:val="fr-FR"/>
        </w:rPr>
        <w:t>’</w:t>
      </w:r>
      <w:r w:rsidRPr="00C73365">
        <w:rPr>
          <w:rFonts w:asciiTheme="minorHAnsi" w:hAnsiTheme="minorHAnsi" w:cstheme="minorHAnsi"/>
          <w:color w:val="000000"/>
          <w:lang w:val="fr-FR"/>
        </w:rPr>
        <w:t xml:space="preserve">évaluation de l’activité des sérums dans des tests in vitro : ces tests préliminaires sont réalisés sur des virus </w:t>
      </w:r>
      <w:r w:rsidR="00761572" w:rsidRPr="00C73365">
        <w:rPr>
          <w:rFonts w:asciiTheme="minorHAnsi" w:hAnsiTheme="minorHAnsi" w:cstheme="minorHAnsi"/>
          <w:color w:val="000000"/>
          <w:lang w:val="fr-FR"/>
        </w:rPr>
        <w:t xml:space="preserve">pseudo </w:t>
      </w:r>
      <w:r w:rsidR="000F1A28" w:rsidRPr="00C73365">
        <w:rPr>
          <w:rFonts w:asciiTheme="minorHAnsi" w:hAnsiTheme="minorHAnsi" w:cstheme="minorHAnsi"/>
          <w:color w:val="000000"/>
          <w:lang w:val="fr-FR"/>
        </w:rPr>
        <w:t>typés (</w:t>
      </w:r>
      <w:r w:rsidRPr="00C73365">
        <w:rPr>
          <w:rFonts w:asciiTheme="minorHAnsi" w:hAnsiTheme="minorHAnsi" w:cstheme="minorHAnsi"/>
          <w:color w:val="000000"/>
          <w:lang w:val="fr-FR"/>
        </w:rPr>
        <w:t xml:space="preserve">virus de la stomatite vésiculaire VSV transformé pour présenter à leur surface la protéine GP du virus EBOLA) et permettent une première évaluation de l’activité des sérums produits en lapins et des anticorps purifiés à partir de ces sérums.  Les titres neutralisants ont atteint, pour certains groupes de lapins immunisés, des niveaux significativement hauts dans ce test in vitro.  </w:t>
      </w:r>
    </w:p>
    <w:p w14:paraId="06C53C1E" w14:textId="77777777" w:rsidR="00B67A56" w:rsidRPr="00C73365" w:rsidRDefault="00B67A56" w:rsidP="00434C49">
      <w:pPr>
        <w:pStyle w:val="Paragraphedeliste"/>
        <w:numPr>
          <w:ilvl w:val="0"/>
          <w:numId w:val="85"/>
        </w:numPr>
        <w:rPr>
          <w:rFonts w:asciiTheme="minorHAnsi" w:hAnsiTheme="minorHAnsi" w:cstheme="minorHAnsi"/>
          <w:iCs/>
          <w:color w:val="000000"/>
          <w:szCs w:val="20"/>
          <w:lang w:val="fr-FR"/>
        </w:rPr>
      </w:pPr>
      <w:r w:rsidRPr="00C73365">
        <w:rPr>
          <w:rFonts w:asciiTheme="minorHAnsi" w:hAnsiTheme="minorHAnsi" w:cstheme="minorHAnsi"/>
          <w:color w:val="000000"/>
          <w:lang w:val="fr-FR"/>
        </w:rPr>
        <w:t xml:space="preserve">Des tests in vitro en laboratoire P4 ont donc ensuite été réalisés, pour évaluer in vitro le pouvoir neutralisant des anticorps contre des souches cliniques (Zaïre) du virus EBOLA : les résultats ont confirmé le pouvoir neutralisant des anticorps générés en lapins.          </w:t>
      </w:r>
    </w:p>
    <w:p w14:paraId="579FF023" w14:textId="77777777"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Si les résultats in vitro sont confirmés et consolidés par des preuves de concept dans un modèle animal pertinent (cochons d’inde ou macaque), le développement d’ABX544 se poursuivra </w:t>
      </w:r>
      <w:r w:rsidR="00761572" w:rsidRPr="00C73365">
        <w:rPr>
          <w:rFonts w:asciiTheme="minorHAnsi" w:hAnsiTheme="minorHAnsi" w:cstheme="minorHAnsi"/>
          <w:iCs/>
          <w:color w:val="000000"/>
          <w:sz w:val="20"/>
          <w:szCs w:val="20"/>
        </w:rPr>
        <w:t>par une</w:t>
      </w:r>
      <w:r w:rsidRPr="00C73365">
        <w:rPr>
          <w:rFonts w:asciiTheme="minorHAnsi" w:hAnsiTheme="minorHAnsi" w:cstheme="minorHAnsi"/>
          <w:iCs/>
          <w:color w:val="000000"/>
          <w:sz w:val="20"/>
          <w:szCs w:val="20"/>
        </w:rPr>
        <w:t xml:space="preserve"> évaluation toxicologique classique et le programme clinique se continuera par une étude de phase I chez des volontaires sains en vue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évaluer la tolérance.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évaluation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efficacité se fera </w:t>
      </w:r>
      <w:r w:rsidR="000F1A28" w:rsidRPr="00C73365">
        <w:rPr>
          <w:rFonts w:asciiTheme="minorHAnsi" w:hAnsiTheme="minorHAnsi" w:cstheme="minorHAnsi"/>
          <w:iCs/>
          <w:color w:val="000000"/>
          <w:sz w:val="20"/>
          <w:szCs w:val="20"/>
        </w:rPr>
        <w:t xml:space="preserve">ensuite </w:t>
      </w:r>
      <w:r w:rsidRPr="00C73365">
        <w:rPr>
          <w:rFonts w:asciiTheme="minorHAnsi" w:hAnsiTheme="minorHAnsi" w:cstheme="minorHAnsi"/>
          <w:iCs/>
          <w:color w:val="000000"/>
          <w:sz w:val="20"/>
          <w:szCs w:val="20"/>
        </w:rPr>
        <w:t>chez des personnes infectées.</w:t>
      </w:r>
    </w:p>
    <w:p w14:paraId="2DCC531F" w14:textId="77777777" w:rsidR="00B67A56"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compte développer et produire en moins de 2 ans un produit thérapeutique pour les malades infectés par Ebola, également utilisable pour la prophylaxie chez les personnes au contact de malades infectés et les personnels soignants.</w:t>
      </w:r>
    </w:p>
    <w:p w14:paraId="129D8F07" w14:textId="77777777" w:rsidR="00B67A56" w:rsidRPr="00C73365" w:rsidRDefault="00B67A56" w:rsidP="00B67A56">
      <w:pPr>
        <w:pStyle w:val="ConmainL2"/>
        <w:numPr>
          <w:ilvl w:val="1"/>
          <w:numId w:val="9"/>
        </w:numPr>
        <w:spacing w:after="120"/>
        <w:rPr>
          <w:rFonts w:asciiTheme="minorHAnsi" w:hAnsiTheme="minorHAnsi" w:cstheme="minorHAnsi"/>
          <w:sz w:val="22"/>
          <w:szCs w:val="22"/>
          <w:lang w:val="fr-FR"/>
        </w:rPr>
      </w:pPr>
      <w:bookmarkStart w:id="301" w:name="_Toc408918419"/>
      <w:bookmarkStart w:id="302" w:name="_Toc409537500"/>
      <w:bookmarkStart w:id="303" w:name="_Toc452704640"/>
      <w:bookmarkStart w:id="304" w:name="_Toc462673241"/>
      <w:bookmarkStart w:id="305" w:name="_Toc467835587"/>
      <w:bookmarkStart w:id="306" w:name="_Toc508786494"/>
      <w:bookmarkStart w:id="307" w:name="_Toc510548412"/>
      <w:r w:rsidRPr="00C73365">
        <w:rPr>
          <w:rFonts w:asciiTheme="minorHAnsi" w:hAnsiTheme="minorHAnsi" w:cstheme="minorHAnsi"/>
          <w:sz w:val="22"/>
          <w:szCs w:val="22"/>
          <w:lang w:val="fr-FR"/>
        </w:rPr>
        <w:t>Organisation d</w:t>
      </w:r>
      <w:r w:rsidR="004572A0" w:rsidRPr="00C73365">
        <w:rPr>
          <w:rFonts w:asciiTheme="minorHAnsi" w:hAnsiTheme="minorHAnsi" w:cstheme="minorHAnsi"/>
          <w:sz w:val="22"/>
          <w:szCs w:val="22"/>
          <w:lang w:val="fr-FR"/>
        </w:rPr>
        <w:t>’</w:t>
      </w:r>
      <w:r w:rsidR="00EF089C" w:rsidRPr="00C73365">
        <w:rPr>
          <w:rFonts w:asciiTheme="minorHAnsi" w:hAnsiTheme="minorHAnsi" w:cstheme="minorHAnsi"/>
          <w:sz w:val="22"/>
          <w:szCs w:val="22"/>
          <w:lang w:val="fr-FR"/>
        </w:rPr>
        <w:t>ABIVAX</w:t>
      </w:r>
      <w:bookmarkEnd w:id="301"/>
      <w:bookmarkEnd w:id="302"/>
      <w:bookmarkEnd w:id="303"/>
      <w:bookmarkEnd w:id="304"/>
      <w:bookmarkEnd w:id="305"/>
      <w:bookmarkEnd w:id="306"/>
      <w:bookmarkEnd w:id="307"/>
    </w:p>
    <w:p w14:paraId="4184ACF3" w14:textId="77777777" w:rsidR="00B67A56" w:rsidRPr="00C73365" w:rsidRDefault="00B67A56" w:rsidP="00B67A56">
      <w:pPr>
        <w:pStyle w:val="Paragraphedeliste"/>
        <w:numPr>
          <w:ilvl w:val="2"/>
          <w:numId w:val="9"/>
        </w:numPr>
        <w:outlineLvl w:val="2"/>
        <w:rPr>
          <w:rFonts w:asciiTheme="minorHAnsi" w:hAnsiTheme="minorHAnsi" w:cstheme="minorHAnsi"/>
          <w:b/>
          <w:color w:val="7030A0"/>
          <w:sz w:val="22"/>
          <w:szCs w:val="22"/>
          <w:lang w:val="fr-FR"/>
        </w:rPr>
      </w:pPr>
      <w:bookmarkStart w:id="308" w:name="_Toc408918420"/>
      <w:bookmarkStart w:id="309" w:name="_Toc409537501"/>
      <w:r w:rsidRPr="00C73365">
        <w:rPr>
          <w:rFonts w:asciiTheme="minorHAnsi" w:hAnsiTheme="minorHAnsi" w:cstheme="minorHAnsi"/>
          <w:b/>
          <w:color w:val="7030A0"/>
          <w:sz w:val="22"/>
          <w:szCs w:val="22"/>
          <w:lang w:val="fr-FR"/>
        </w:rPr>
        <w:t>Modèle et structure opérationnels</w:t>
      </w:r>
      <w:bookmarkEnd w:id="308"/>
      <w:bookmarkEnd w:id="309"/>
    </w:p>
    <w:p w14:paraId="19EBC2F7" w14:textId="77777777" w:rsidR="00B67A56" w:rsidRPr="00C73365" w:rsidRDefault="00B67A56" w:rsidP="00B67A56">
      <w:pPr>
        <w:pStyle w:val="ConmainL3"/>
        <w:keepLines/>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La stratégie de la société consiste à rechercher et développer des nouveaux agents thérapeutiques contre les infections virales et d’établir des partenariats à un moment adéquat du développement avec des autres sociétés pharmaceutiques et de biotechnologies tout en gardant au cas par cas des droits de commercialisation pour certains territoires. L’objectif de la société est à terme d’exploiter directement au travers de sa propre organisation commerciale certains de ses produits dans des zones géographiques déterminées.</w:t>
      </w:r>
    </w:p>
    <w:p w14:paraId="04A34BA9" w14:textId="77777777" w:rsidR="00B67A56" w:rsidRPr="00C73365" w:rsidRDefault="00B67A56" w:rsidP="00B67A56">
      <w:pPr>
        <w:pStyle w:val="ConmainL3"/>
        <w:keepLines/>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 xml:space="preserve">Pour ce faire, la Société dispose d’un centre de Recherche à Montpellier au sein du campus du CNRS, d’une équipe de développement et réglementaire à Paris et Montpellier et d’une fonction commerciale et de Business Development installée à Paris. </w:t>
      </w:r>
    </w:p>
    <w:p w14:paraId="079A4247" w14:textId="77777777" w:rsidR="00B67A56" w:rsidRPr="00C73365" w:rsidRDefault="00EF089C" w:rsidP="00B67A56">
      <w:pPr>
        <w:pStyle w:val="ConmainL3"/>
        <w:keepLines/>
        <w:tabs>
          <w:tab w:val="clear" w:pos="360"/>
        </w:tabs>
        <w:spacing w:after="120"/>
        <w:ind w:left="0" w:firstLine="0"/>
        <w:outlineLvl w:val="9"/>
        <w:rPr>
          <w:rFonts w:asciiTheme="minorHAnsi" w:hAnsiTheme="minorHAnsi" w:cstheme="minorHAns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peut être qualifié de laboratoire bio-pharmaceutique au stade clinique, se consacrant à la découverte et au développement des composés antiviraux et immunologiques novateurs suivants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985"/>
        <w:gridCol w:w="1962"/>
        <w:gridCol w:w="1581"/>
        <w:gridCol w:w="1276"/>
        <w:gridCol w:w="1701"/>
      </w:tblGrid>
      <w:tr w:rsidR="00B67A56" w:rsidRPr="00C73365" w14:paraId="0FA4F5A1" w14:textId="77777777" w:rsidTr="00045411">
        <w:tc>
          <w:tcPr>
            <w:tcW w:w="1271" w:type="dxa"/>
            <w:shd w:val="clear" w:color="auto" w:fill="7030A0"/>
            <w:vAlign w:val="center"/>
          </w:tcPr>
          <w:p w14:paraId="43ED53E4" w14:textId="77777777"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Candidats-Médicaments /</w:t>
            </w:r>
          </w:p>
          <w:p w14:paraId="02B83137" w14:textId="77777777"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Produits</w:t>
            </w:r>
          </w:p>
        </w:tc>
        <w:tc>
          <w:tcPr>
            <w:tcW w:w="1985" w:type="dxa"/>
            <w:shd w:val="clear" w:color="auto" w:fill="7030A0"/>
            <w:vAlign w:val="center"/>
          </w:tcPr>
          <w:p w14:paraId="6F44C738" w14:textId="77777777"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Propriété intellectuelle</w:t>
            </w:r>
          </w:p>
        </w:tc>
        <w:tc>
          <w:tcPr>
            <w:tcW w:w="1962" w:type="dxa"/>
            <w:shd w:val="clear" w:color="auto" w:fill="7030A0"/>
            <w:vAlign w:val="center"/>
          </w:tcPr>
          <w:p w14:paraId="3C9BB10C" w14:textId="77777777"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Stade de développement actuel</w:t>
            </w:r>
          </w:p>
        </w:tc>
        <w:tc>
          <w:tcPr>
            <w:tcW w:w="1581" w:type="dxa"/>
            <w:shd w:val="clear" w:color="auto" w:fill="7030A0"/>
            <w:vAlign w:val="center"/>
          </w:tcPr>
          <w:p w14:paraId="3BE3F3F3" w14:textId="77777777"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Modèle de développement</w:t>
            </w:r>
          </w:p>
        </w:tc>
        <w:tc>
          <w:tcPr>
            <w:tcW w:w="1276" w:type="dxa"/>
            <w:shd w:val="clear" w:color="auto" w:fill="7030A0"/>
            <w:vAlign w:val="center"/>
          </w:tcPr>
          <w:p w14:paraId="33127BE8" w14:textId="77777777"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Coûts associés</w:t>
            </w:r>
          </w:p>
        </w:tc>
        <w:tc>
          <w:tcPr>
            <w:tcW w:w="1701" w:type="dxa"/>
            <w:shd w:val="clear" w:color="auto" w:fill="7030A0"/>
            <w:vAlign w:val="center"/>
          </w:tcPr>
          <w:p w14:paraId="672849D2" w14:textId="77777777"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Revenus associés</w:t>
            </w:r>
          </w:p>
        </w:tc>
      </w:tr>
      <w:tr w:rsidR="00B67A56" w:rsidRPr="0030056F" w14:paraId="6D640DA6" w14:textId="77777777" w:rsidTr="00045411">
        <w:trPr>
          <w:trHeight w:val="1106"/>
        </w:trPr>
        <w:tc>
          <w:tcPr>
            <w:tcW w:w="1271" w:type="dxa"/>
            <w:vMerge w:val="restart"/>
            <w:vAlign w:val="center"/>
          </w:tcPr>
          <w:p w14:paraId="466FCA06" w14:textId="77777777" w:rsidR="00553DB0"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ABX464 : Traitement du VIH/SIDA</w:t>
            </w:r>
          </w:p>
          <w:p w14:paraId="49A62C49" w14:textId="77777777" w:rsidR="00B67A56" w:rsidRPr="00C73365" w:rsidRDefault="00553DB0"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et des MICI</w:t>
            </w:r>
          </w:p>
        </w:tc>
        <w:tc>
          <w:tcPr>
            <w:tcW w:w="1985" w:type="dxa"/>
            <w:vMerge w:val="restart"/>
            <w:vAlign w:val="center"/>
          </w:tcPr>
          <w:p w14:paraId="06FDB9C6"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issue de la plateforme technologique «antivirale» d’</w:t>
            </w:r>
            <w:r w:rsidR="00EF089C" w:rsidRPr="00C73365">
              <w:rPr>
                <w:rFonts w:asciiTheme="minorHAnsi" w:hAnsiTheme="minorHAnsi" w:cstheme="minorHAnsi"/>
                <w:sz w:val="18"/>
                <w:szCs w:val="18"/>
                <w:lang w:val="fr-FR"/>
              </w:rPr>
              <w:t>ABIVAX</w:t>
            </w:r>
          </w:p>
          <w:p w14:paraId="4ECC9ED2"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(copropriété de certains brevets avec le CNRS, l’Université de </w:t>
            </w:r>
            <w:r w:rsidRPr="00C73365">
              <w:rPr>
                <w:rFonts w:asciiTheme="minorHAnsi" w:hAnsiTheme="minorHAnsi" w:cstheme="minorHAnsi"/>
                <w:sz w:val="18"/>
                <w:szCs w:val="18"/>
                <w:lang w:val="fr-FR"/>
              </w:rPr>
              <w:lastRenderedPageBreak/>
              <w:t>Montpellier et de l’Institut Curie)</w:t>
            </w:r>
          </w:p>
        </w:tc>
        <w:tc>
          <w:tcPr>
            <w:tcW w:w="1962" w:type="dxa"/>
            <w:vMerge w:val="restart"/>
            <w:vAlign w:val="center"/>
          </w:tcPr>
          <w:p w14:paraId="1AF5B97B"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 xml:space="preserve">La première étude de phase IIa menée à l’Ile Maurice et en Thailande par </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ayant pour objectif de démontrer l’effet antiviral de L’</w:t>
            </w:r>
            <w:r w:rsidR="00E32CFE" w:rsidRPr="00C73365">
              <w:rPr>
                <w:rFonts w:asciiTheme="minorHAnsi" w:hAnsiTheme="minorHAnsi" w:cstheme="minorHAnsi"/>
                <w:sz w:val="18"/>
                <w:szCs w:val="18"/>
                <w:lang w:val="fr-FR"/>
              </w:rPr>
              <w:t>ABX464</w:t>
            </w:r>
            <w:r w:rsidRPr="00C73365">
              <w:rPr>
                <w:rFonts w:asciiTheme="minorHAnsi" w:hAnsiTheme="minorHAnsi" w:cstheme="minorHAnsi"/>
                <w:sz w:val="18"/>
                <w:szCs w:val="18"/>
                <w:lang w:val="fr-FR"/>
              </w:rPr>
              <w:t xml:space="preserve"> est achevée.</w:t>
            </w:r>
          </w:p>
          <w:p w14:paraId="5FD95955"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Les résultats préliminaires ont été communiqués à la CROI en février 2016. Les résultats finaux seront publiés vers la fin de l’année 2016.</w:t>
            </w:r>
          </w:p>
          <w:p w14:paraId="3044EDD1"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5F643FE5"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La deuxième étude de phase IIa ayant pour objectif de démontrer l’effet à long terme del’ABX464 est actuellement conduite en France, Espagne et Belgique.</w:t>
            </w:r>
          </w:p>
          <w:p w14:paraId="23F40D48" w14:textId="77777777" w:rsidR="00553DB0"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Les résultats intermédiaires ont été publiés le 2 </w:t>
            </w:r>
            <w:r w:rsidR="008A30B9" w:rsidRPr="00C73365">
              <w:rPr>
                <w:rFonts w:asciiTheme="minorHAnsi" w:hAnsiTheme="minorHAnsi" w:cstheme="minorHAnsi"/>
                <w:sz w:val="18"/>
                <w:szCs w:val="18"/>
                <w:lang w:val="fr-FR"/>
              </w:rPr>
              <w:t>M</w:t>
            </w:r>
            <w:r w:rsidRPr="00C73365">
              <w:rPr>
                <w:rFonts w:asciiTheme="minorHAnsi" w:hAnsiTheme="minorHAnsi" w:cstheme="minorHAnsi"/>
                <w:sz w:val="18"/>
                <w:szCs w:val="18"/>
                <w:lang w:val="fr-FR"/>
              </w:rPr>
              <w:t>ai 2017.</w:t>
            </w:r>
          </w:p>
          <w:p w14:paraId="64AE5BDF" w14:textId="77777777" w:rsidR="00553DB0" w:rsidRPr="00C73365" w:rsidRDefault="00553DB0" w:rsidP="009C5D68">
            <w:pPr>
              <w:autoSpaceDE w:val="0"/>
              <w:autoSpaceDN w:val="0"/>
              <w:adjustRightInd w:val="0"/>
              <w:spacing w:after="0"/>
              <w:jc w:val="center"/>
              <w:rPr>
                <w:rFonts w:asciiTheme="minorHAnsi" w:hAnsiTheme="minorHAnsi" w:cstheme="minorHAnsi"/>
                <w:sz w:val="18"/>
                <w:szCs w:val="18"/>
                <w:lang w:val="fr-FR"/>
              </w:rPr>
            </w:pPr>
          </w:p>
          <w:p w14:paraId="10075640" w14:textId="77777777" w:rsidR="00B67A56" w:rsidRPr="00C73365" w:rsidRDefault="00553DB0"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Résultats de la première cohorte </w:t>
            </w:r>
            <w:r w:rsidR="008A30B9" w:rsidRPr="00C73365">
              <w:rPr>
                <w:rFonts w:asciiTheme="minorHAnsi" w:hAnsiTheme="minorHAnsi" w:cstheme="minorHAnsi"/>
                <w:sz w:val="18"/>
                <w:szCs w:val="18"/>
                <w:lang w:val="fr-FR"/>
              </w:rPr>
              <w:t xml:space="preserve">de patients </w:t>
            </w:r>
            <w:r w:rsidRPr="00C73365">
              <w:rPr>
                <w:rFonts w:asciiTheme="minorHAnsi" w:hAnsiTheme="minorHAnsi" w:cstheme="minorHAnsi"/>
                <w:sz w:val="18"/>
                <w:szCs w:val="18"/>
                <w:lang w:val="fr-FR"/>
              </w:rPr>
              <w:t>de la troisième étude de phase IIa</w:t>
            </w:r>
            <w:r w:rsidR="008A30B9" w:rsidRPr="00C73365">
              <w:rPr>
                <w:rFonts w:asciiTheme="minorHAnsi" w:hAnsiTheme="minorHAnsi" w:cstheme="minorHAnsi"/>
                <w:sz w:val="18"/>
                <w:szCs w:val="18"/>
                <w:lang w:val="fr-FR"/>
              </w:rPr>
              <w:t xml:space="preserve"> traités par ABX464 durant un mois sont publiés en </w:t>
            </w:r>
            <w:r w:rsidR="006B119E" w:rsidRPr="00C73365">
              <w:rPr>
                <w:rFonts w:asciiTheme="minorHAnsi" w:hAnsiTheme="minorHAnsi" w:cstheme="minorHAnsi"/>
                <w:sz w:val="18"/>
                <w:szCs w:val="18"/>
                <w:lang w:val="fr-FR"/>
              </w:rPr>
              <w:t>Septembre</w:t>
            </w:r>
            <w:r w:rsidR="008A30B9" w:rsidRPr="00C73365">
              <w:rPr>
                <w:rFonts w:asciiTheme="minorHAnsi" w:hAnsiTheme="minorHAnsi" w:cstheme="minorHAnsi"/>
                <w:sz w:val="18"/>
                <w:szCs w:val="18"/>
                <w:lang w:val="fr-FR"/>
              </w:rPr>
              <w:t xml:space="preserve"> 2017</w:t>
            </w:r>
          </w:p>
          <w:p w14:paraId="04849FBC" w14:textId="77777777"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Cohorte de patients traités par ABX464 durant trois mois en cours.</w:t>
            </w:r>
          </w:p>
          <w:p w14:paraId="6EF09189" w14:textId="77777777"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p>
          <w:p w14:paraId="1E0C3559" w14:textId="77777777"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Etude de phase IIa dans la rectocol</w:t>
            </w:r>
            <w:r w:rsidR="00A26CFC" w:rsidRPr="00C73365">
              <w:rPr>
                <w:rFonts w:asciiTheme="minorHAnsi" w:hAnsiTheme="minorHAnsi" w:cstheme="minorHAnsi"/>
                <w:sz w:val="18"/>
                <w:szCs w:val="18"/>
                <w:lang w:val="fr-FR"/>
              </w:rPr>
              <w:t>it</w:t>
            </w:r>
            <w:r w:rsidRPr="00C73365">
              <w:rPr>
                <w:rFonts w:asciiTheme="minorHAnsi" w:hAnsiTheme="minorHAnsi" w:cstheme="minorHAnsi"/>
                <w:sz w:val="18"/>
                <w:szCs w:val="18"/>
                <w:lang w:val="fr-FR"/>
              </w:rPr>
              <w:t xml:space="preserve">e hémorragique en cours  </w:t>
            </w:r>
          </w:p>
          <w:p w14:paraId="5567657B"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 </w:t>
            </w:r>
          </w:p>
        </w:tc>
        <w:tc>
          <w:tcPr>
            <w:tcW w:w="1581" w:type="dxa"/>
            <w:vAlign w:val="center"/>
          </w:tcPr>
          <w:p w14:paraId="7AAD0AD4"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Commercialisation au travers de distributeurs en Asie, en Afrique et en Amérique Latine</w:t>
            </w:r>
          </w:p>
        </w:tc>
        <w:tc>
          <w:tcPr>
            <w:tcW w:w="1276" w:type="dxa"/>
            <w:vMerge w:val="restart"/>
            <w:vAlign w:val="center"/>
          </w:tcPr>
          <w:p w14:paraId="5B855D7A"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CNRS, l’Université de Montpellier, l’Institut Curie</w:t>
            </w:r>
          </w:p>
          <w:p w14:paraId="265FF1E8"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49D009ED"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Coût de fabrication de </w:t>
            </w:r>
            <w:r w:rsidRPr="00C73365">
              <w:rPr>
                <w:rFonts w:asciiTheme="minorHAnsi" w:hAnsiTheme="minorHAnsi" w:cstheme="minorHAnsi"/>
                <w:sz w:val="18"/>
                <w:szCs w:val="18"/>
                <w:lang w:val="fr-FR"/>
              </w:rPr>
              <w:lastRenderedPageBreak/>
              <w:t xml:space="preserve">l’antiviral </w:t>
            </w:r>
            <w:r w:rsidR="00E32CFE" w:rsidRPr="00C73365">
              <w:rPr>
                <w:rFonts w:asciiTheme="minorHAnsi" w:hAnsiTheme="minorHAnsi" w:cstheme="minorHAnsi"/>
                <w:sz w:val="18"/>
                <w:szCs w:val="18"/>
                <w:lang w:val="fr-FR"/>
              </w:rPr>
              <w:t>ABX464</w:t>
            </w:r>
          </w:p>
        </w:tc>
        <w:tc>
          <w:tcPr>
            <w:tcW w:w="1701" w:type="dxa"/>
            <w:vAlign w:val="center"/>
          </w:tcPr>
          <w:p w14:paraId="4D19AF39"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Chiffre d’affaires généré par les ventes de l’antiviral par les distributeurs</w:t>
            </w:r>
          </w:p>
        </w:tc>
      </w:tr>
      <w:tr w:rsidR="00B67A56" w:rsidRPr="0030056F" w14:paraId="15AC2B9F" w14:textId="77777777" w:rsidTr="00045411">
        <w:tc>
          <w:tcPr>
            <w:tcW w:w="1271" w:type="dxa"/>
            <w:vMerge/>
            <w:vAlign w:val="center"/>
          </w:tcPr>
          <w:p w14:paraId="326C8162" w14:textId="77777777"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p>
        </w:tc>
        <w:tc>
          <w:tcPr>
            <w:tcW w:w="1985" w:type="dxa"/>
            <w:vMerge/>
            <w:vAlign w:val="center"/>
          </w:tcPr>
          <w:p w14:paraId="07AC4B9F"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962" w:type="dxa"/>
            <w:vMerge/>
            <w:vAlign w:val="center"/>
          </w:tcPr>
          <w:p w14:paraId="77DDBD05"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581" w:type="dxa"/>
            <w:vAlign w:val="center"/>
          </w:tcPr>
          <w:p w14:paraId="10A953BE"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Licence accordée en Europe, aux </w:t>
            </w:r>
            <w:r w:rsidRPr="00C73365">
              <w:rPr>
                <w:rFonts w:asciiTheme="minorHAnsi" w:hAnsiTheme="minorHAnsi" w:cstheme="minorHAnsi"/>
                <w:sz w:val="18"/>
                <w:szCs w:val="18"/>
                <w:lang w:val="fr-FR"/>
              </w:rPr>
              <w:lastRenderedPageBreak/>
              <w:t>Etats-Unis et au Japon à un laboratoire pharmaceutique</w:t>
            </w:r>
          </w:p>
        </w:tc>
        <w:tc>
          <w:tcPr>
            <w:tcW w:w="1276" w:type="dxa"/>
            <w:vMerge/>
            <w:vAlign w:val="center"/>
          </w:tcPr>
          <w:p w14:paraId="4AFE5B4B"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701" w:type="dxa"/>
            <w:vAlign w:val="center"/>
          </w:tcPr>
          <w:p w14:paraId="1B0119B9"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1444A101"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27E17231"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0EE67894"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3AAC70C6"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046F3FD0"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3AEFC6E9"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1BAEA2E7"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w:t>
            </w:r>
            <w:r w:rsidR="00A26CFC" w:rsidRPr="00C73365">
              <w:rPr>
                <w:rFonts w:asciiTheme="minorHAnsi" w:hAnsiTheme="minorHAnsi" w:cstheme="minorHAnsi"/>
                <w:sz w:val="18"/>
                <w:szCs w:val="18"/>
                <w:lang w:val="fr-FR"/>
              </w:rPr>
              <w:t>l</w:t>
            </w:r>
            <w:r w:rsidRPr="00C73365">
              <w:rPr>
                <w:rFonts w:asciiTheme="minorHAnsi" w:hAnsiTheme="minorHAnsi" w:cstheme="minorHAnsi"/>
                <w:sz w:val="18"/>
                <w:szCs w:val="18"/>
                <w:lang w:val="fr-FR"/>
              </w:rPr>
              <w:t>e produit commercialisé)</w:t>
            </w:r>
          </w:p>
        </w:tc>
      </w:tr>
      <w:tr w:rsidR="00B67A56" w:rsidRPr="0030056F" w14:paraId="49AA75A5" w14:textId="77777777" w:rsidTr="00045411">
        <w:trPr>
          <w:trHeight w:val="64"/>
        </w:trPr>
        <w:tc>
          <w:tcPr>
            <w:tcW w:w="1271" w:type="dxa"/>
            <w:vAlign w:val="center"/>
          </w:tcPr>
          <w:p w14:paraId="091232FB" w14:textId="77777777"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lastRenderedPageBreak/>
              <w:t>ABX196 :</w:t>
            </w:r>
          </w:p>
          <w:p w14:paraId="1A3A6DD9" w14:textId="77777777"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Agent immuno</w:t>
            </w:r>
          </w:p>
          <w:p w14:paraId="4E94ED2E" w14:textId="77777777"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 xml:space="preserve">stimulant pour l’immuno-oncologie et l’immuno-virologie </w:t>
            </w:r>
          </w:p>
        </w:tc>
        <w:tc>
          <w:tcPr>
            <w:tcW w:w="1985" w:type="dxa"/>
            <w:vAlign w:val="center"/>
          </w:tcPr>
          <w:p w14:paraId="425BE543"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issue de la plateforme technologique « Stimulation Immunitaire » d’</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et d’une licence du Scripps Research Institute, à l’Université de Chicago et à la Brigham Young University</w:t>
            </w:r>
          </w:p>
        </w:tc>
        <w:tc>
          <w:tcPr>
            <w:tcW w:w="1962" w:type="dxa"/>
            <w:vAlign w:val="center"/>
          </w:tcPr>
          <w:p w14:paraId="5A77163A" w14:textId="77777777" w:rsidR="00B67A56" w:rsidRPr="00C73365" w:rsidRDefault="00EF089C"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ABIVAX</w:t>
            </w:r>
            <w:r w:rsidR="00B67A56" w:rsidRPr="00C73365">
              <w:rPr>
                <w:rFonts w:asciiTheme="minorHAnsi" w:hAnsiTheme="minorHAnsi" w:cstheme="minorHAnsi"/>
                <w:sz w:val="18"/>
                <w:szCs w:val="18"/>
                <w:lang w:val="fr-FR"/>
              </w:rPr>
              <w:t xml:space="preserve"> conduit actuellement des études précliniques pour les applications en immuno-oncologie (molécule anti-cancéreuse + ABX196)</w:t>
            </w:r>
          </w:p>
          <w:p w14:paraId="259C9593" w14:textId="77777777"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14:paraId="0322EE77"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6E22F856"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4E9DE26C" w14:textId="77777777" w:rsidR="008A30B9" w:rsidRPr="00C73365" w:rsidRDefault="00EF089C" w:rsidP="00A26CFC">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ABIVAX</w:t>
            </w:r>
            <w:r w:rsidR="00B67A56" w:rsidRPr="00C73365">
              <w:rPr>
                <w:rFonts w:asciiTheme="minorHAnsi" w:hAnsiTheme="minorHAnsi" w:cstheme="minorHAnsi"/>
                <w:sz w:val="18"/>
                <w:szCs w:val="18"/>
                <w:lang w:val="fr-FR"/>
              </w:rPr>
              <w:t xml:space="preserve"> prévoit de </w:t>
            </w:r>
            <w:r w:rsidR="00A26CFC" w:rsidRPr="00C73365">
              <w:rPr>
                <w:rFonts w:asciiTheme="minorHAnsi" w:hAnsiTheme="minorHAnsi" w:cstheme="minorHAnsi"/>
                <w:sz w:val="18"/>
                <w:szCs w:val="18"/>
                <w:lang w:val="fr-FR"/>
              </w:rPr>
              <w:t xml:space="preserve">lancer </w:t>
            </w:r>
            <w:r w:rsidR="008A30B9" w:rsidRPr="00C73365">
              <w:rPr>
                <w:rFonts w:asciiTheme="minorHAnsi" w:hAnsiTheme="minorHAnsi" w:cstheme="minorHAnsi"/>
                <w:sz w:val="18"/>
                <w:szCs w:val="18"/>
                <w:lang w:val="fr-FR"/>
              </w:rPr>
              <w:t>une étude clinique de preuve de concept dans l’hépatocarcinome</w:t>
            </w:r>
            <w:r w:rsidR="00A26CFC" w:rsidRPr="00C73365">
              <w:rPr>
                <w:rFonts w:asciiTheme="minorHAnsi" w:hAnsiTheme="minorHAnsi" w:cstheme="minorHAnsi"/>
                <w:sz w:val="18"/>
                <w:szCs w:val="18"/>
                <w:lang w:val="fr-FR"/>
              </w:rPr>
              <w:t xml:space="preserve"> avancé</w:t>
            </w:r>
            <w:r w:rsidR="008A30B9" w:rsidRPr="00C73365">
              <w:rPr>
                <w:rFonts w:asciiTheme="minorHAnsi" w:hAnsiTheme="minorHAnsi" w:cstheme="minorHAnsi"/>
                <w:sz w:val="18"/>
                <w:szCs w:val="18"/>
                <w:lang w:val="fr-FR"/>
              </w:rPr>
              <w:t>, associant ABX196 + Anti-PD1</w:t>
            </w:r>
          </w:p>
          <w:p w14:paraId="1A041849"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2A247433"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538A8D89"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581" w:type="dxa"/>
            <w:vAlign w:val="center"/>
          </w:tcPr>
          <w:p w14:paraId="0564A5C7"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01387114"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Licence accordée à un laboratoire pharmaceutique après validation de la preuve de concept</w:t>
            </w:r>
          </w:p>
          <w:p w14:paraId="6D56BF11" w14:textId="77777777"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14:paraId="33ECCEDD"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1EC8B1A7"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14:paraId="14542472" w14:textId="77777777" w:rsidR="00B67A56" w:rsidRPr="00C73365" w:rsidRDefault="00B67A56" w:rsidP="009C5D68">
            <w:pPr>
              <w:autoSpaceDE w:val="0"/>
              <w:autoSpaceDN w:val="0"/>
              <w:adjustRightInd w:val="0"/>
              <w:spacing w:after="0"/>
              <w:rPr>
                <w:rFonts w:asciiTheme="minorHAnsi" w:hAnsiTheme="minorHAnsi" w:cstheme="minorHAnsi"/>
                <w:sz w:val="18"/>
                <w:szCs w:val="18"/>
                <w:lang w:val="fr-FR"/>
              </w:rPr>
            </w:pPr>
            <w:r w:rsidRPr="00C73365">
              <w:rPr>
                <w:rFonts w:asciiTheme="minorHAnsi" w:hAnsiTheme="minorHAnsi" w:cstheme="minorHAnsi"/>
                <w:sz w:val="18"/>
                <w:szCs w:val="18"/>
                <w:lang w:val="fr-FR"/>
              </w:rPr>
              <w:t>Commercialisation via des distributeurs et/ou License accordée à un laboratoire pharmaceutique</w:t>
            </w:r>
          </w:p>
        </w:tc>
        <w:tc>
          <w:tcPr>
            <w:tcW w:w="1276" w:type="dxa"/>
            <w:vAlign w:val="center"/>
          </w:tcPr>
          <w:p w14:paraId="7B06D58B"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Scripps Research Institute, à l’Université de Chicago et à la Brigham Young University</w:t>
            </w:r>
          </w:p>
        </w:tc>
        <w:tc>
          <w:tcPr>
            <w:tcW w:w="1701" w:type="dxa"/>
            <w:vAlign w:val="center"/>
          </w:tcPr>
          <w:p w14:paraId="503B352C"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le produit commercialisé)</w:t>
            </w:r>
          </w:p>
          <w:p w14:paraId="0A73C69C" w14:textId="77777777"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14:paraId="1696F82F" w14:textId="77777777" w:rsidR="00B67A56" w:rsidRPr="00C73365" w:rsidRDefault="00B67A56" w:rsidP="009C5D68">
            <w:pPr>
              <w:autoSpaceDE w:val="0"/>
              <w:autoSpaceDN w:val="0"/>
              <w:adjustRightInd w:val="0"/>
              <w:spacing w:after="0"/>
              <w:rPr>
                <w:rFonts w:asciiTheme="minorHAnsi" w:hAnsiTheme="minorHAnsi" w:cstheme="minorHAnsi"/>
                <w:sz w:val="18"/>
                <w:szCs w:val="18"/>
                <w:lang w:val="fr-FR"/>
              </w:rPr>
            </w:pPr>
          </w:p>
          <w:p w14:paraId="38BBEEAD" w14:textId="77777777" w:rsidR="00B67A56" w:rsidRPr="00C73365" w:rsidRDefault="00B67A56" w:rsidP="009C5D68">
            <w:pPr>
              <w:autoSpaceDE w:val="0"/>
              <w:autoSpaceDN w:val="0"/>
              <w:adjustRightInd w:val="0"/>
              <w:spacing w:after="0"/>
              <w:rPr>
                <w:rFonts w:asciiTheme="minorHAnsi" w:hAnsiTheme="minorHAnsi" w:cstheme="minorHAnsi"/>
                <w:sz w:val="18"/>
                <w:szCs w:val="18"/>
                <w:lang w:val="fr-FR"/>
              </w:rPr>
            </w:pPr>
            <w:r w:rsidRPr="00C73365">
              <w:rPr>
                <w:rFonts w:asciiTheme="minorHAnsi" w:hAnsiTheme="minorHAnsi" w:cstheme="minorHAnsi"/>
                <w:sz w:val="18"/>
                <w:szCs w:val="18"/>
                <w:lang w:val="fr-FR"/>
              </w:rPr>
              <w:t>Revenus générés via les ventes via des distributeurs et/ou 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le produit commercialisé)</w:t>
            </w:r>
          </w:p>
          <w:p w14:paraId="1CC04741" w14:textId="77777777" w:rsidR="00B67A56" w:rsidRPr="00C73365" w:rsidRDefault="00B67A56" w:rsidP="009C5D68">
            <w:pPr>
              <w:autoSpaceDE w:val="0"/>
              <w:autoSpaceDN w:val="0"/>
              <w:adjustRightInd w:val="0"/>
              <w:spacing w:after="0"/>
              <w:rPr>
                <w:rFonts w:asciiTheme="minorHAnsi" w:hAnsiTheme="minorHAnsi" w:cstheme="minorHAnsi"/>
                <w:sz w:val="18"/>
                <w:szCs w:val="18"/>
                <w:lang w:val="fr-FR"/>
              </w:rPr>
            </w:pPr>
          </w:p>
          <w:p w14:paraId="177A4B61"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r>
      <w:tr w:rsidR="00B67A56" w:rsidRPr="0030056F" w14:paraId="0A85C05A" w14:textId="77777777" w:rsidTr="00045411">
        <w:trPr>
          <w:trHeight w:val="41"/>
        </w:trPr>
        <w:tc>
          <w:tcPr>
            <w:tcW w:w="1271" w:type="dxa"/>
            <w:vAlign w:val="center"/>
          </w:tcPr>
          <w:p w14:paraId="2B7017A1" w14:textId="77777777"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rPr>
            </w:pPr>
            <w:r w:rsidRPr="00C73365">
              <w:rPr>
                <w:rFonts w:asciiTheme="minorHAnsi" w:hAnsiTheme="minorHAnsi" w:cstheme="minorHAnsi"/>
                <w:b/>
                <w:sz w:val="18"/>
                <w:szCs w:val="18"/>
              </w:rPr>
              <w:lastRenderedPageBreak/>
              <w:t>ABX544 :</w:t>
            </w:r>
          </w:p>
          <w:p w14:paraId="0647496B" w14:textId="77777777"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rPr>
              <w:t>Traitement d’Ebola</w:t>
            </w:r>
          </w:p>
        </w:tc>
        <w:tc>
          <w:tcPr>
            <w:tcW w:w="1985" w:type="dxa"/>
            <w:vAlign w:val="center"/>
          </w:tcPr>
          <w:p w14:paraId="77D83DBF"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Technologie mise en œuvre par </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w:t>
            </w:r>
          </w:p>
        </w:tc>
        <w:tc>
          <w:tcPr>
            <w:tcW w:w="1962" w:type="dxa"/>
            <w:vAlign w:val="center"/>
          </w:tcPr>
          <w:p w14:paraId="3DC5CB36"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rPr>
              <w:t>Stade préclinique</w:t>
            </w:r>
          </w:p>
        </w:tc>
        <w:tc>
          <w:tcPr>
            <w:tcW w:w="4558" w:type="dxa"/>
            <w:gridSpan w:val="3"/>
            <w:vAlign w:val="center"/>
          </w:tcPr>
          <w:p w14:paraId="6811B626"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Non arrêté à ce stade de développement (entre développement en propre et licence) et sera fonction des résultats précliniques</w:t>
            </w:r>
          </w:p>
        </w:tc>
      </w:tr>
      <w:tr w:rsidR="00B67A56" w:rsidRPr="0030056F" w14:paraId="4D2D2F4D" w14:textId="77777777" w:rsidTr="00045411">
        <w:trPr>
          <w:trHeight w:val="1773"/>
        </w:trPr>
        <w:tc>
          <w:tcPr>
            <w:tcW w:w="1271" w:type="dxa"/>
            <w:tcBorders>
              <w:top w:val="single" w:sz="4" w:space="0" w:color="auto"/>
              <w:left w:val="single" w:sz="4" w:space="0" w:color="auto"/>
              <w:bottom w:val="single" w:sz="4" w:space="0" w:color="auto"/>
              <w:right w:val="single" w:sz="4" w:space="0" w:color="auto"/>
            </w:tcBorders>
            <w:vAlign w:val="center"/>
          </w:tcPr>
          <w:p w14:paraId="4830E96D" w14:textId="77777777"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lang w:val="fr-FR"/>
              </w:rPr>
            </w:pPr>
          </w:p>
          <w:p w14:paraId="1777E54C" w14:textId="77777777"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lang w:val="fr-FR"/>
              </w:rPr>
            </w:pPr>
          </w:p>
          <w:p w14:paraId="6DA46142" w14:textId="77777777" w:rsidR="00280009" w:rsidRPr="00C73365" w:rsidRDefault="00B67A56" w:rsidP="009C5D68">
            <w:pPr>
              <w:keepNext/>
              <w:keepLines/>
              <w:autoSpaceDE w:val="0"/>
              <w:autoSpaceDN w:val="0"/>
              <w:adjustRightInd w:val="0"/>
              <w:spacing w:after="0"/>
              <w:jc w:val="center"/>
              <w:rPr>
                <w:rFonts w:asciiTheme="minorHAnsi" w:hAnsiTheme="minorHAnsi" w:cstheme="minorHAnsi"/>
                <w:b/>
                <w:sz w:val="18"/>
                <w:szCs w:val="18"/>
              </w:rPr>
            </w:pPr>
            <w:r w:rsidRPr="00C73365">
              <w:rPr>
                <w:rFonts w:asciiTheme="minorHAnsi" w:hAnsiTheme="minorHAnsi" w:cstheme="minorHAnsi"/>
                <w:b/>
                <w:sz w:val="18"/>
                <w:szCs w:val="18"/>
              </w:rPr>
              <w:t xml:space="preserve">Traitement </w:t>
            </w:r>
          </w:p>
          <w:p w14:paraId="56341A36" w14:textId="77777777" w:rsidR="00B67A56" w:rsidRPr="00C73365" w:rsidRDefault="00B67A56" w:rsidP="00280009">
            <w:pPr>
              <w:keepNext/>
              <w:keepLines/>
              <w:autoSpaceDE w:val="0"/>
              <w:autoSpaceDN w:val="0"/>
              <w:adjustRightInd w:val="0"/>
              <w:spacing w:after="0"/>
              <w:rPr>
                <w:rFonts w:asciiTheme="minorHAnsi" w:hAnsiTheme="minorHAnsi" w:cstheme="minorHAnsi"/>
                <w:b/>
                <w:sz w:val="18"/>
                <w:szCs w:val="18"/>
              </w:rPr>
            </w:pPr>
            <w:r w:rsidRPr="00C73365">
              <w:rPr>
                <w:rFonts w:asciiTheme="minorHAnsi" w:hAnsiTheme="minorHAnsi" w:cstheme="minorHAnsi"/>
                <w:b/>
                <w:sz w:val="18"/>
                <w:szCs w:val="18"/>
              </w:rPr>
              <w:t>de la Dengue</w:t>
            </w:r>
          </w:p>
        </w:tc>
        <w:tc>
          <w:tcPr>
            <w:tcW w:w="1985" w:type="dxa"/>
            <w:tcBorders>
              <w:top w:val="single" w:sz="4" w:space="0" w:color="auto"/>
              <w:left w:val="single" w:sz="4" w:space="0" w:color="auto"/>
              <w:bottom w:val="single" w:sz="4" w:space="0" w:color="auto"/>
              <w:right w:val="single" w:sz="4" w:space="0" w:color="auto"/>
            </w:tcBorders>
            <w:vAlign w:val="center"/>
          </w:tcPr>
          <w:p w14:paraId="27DE5F90" w14:textId="77777777" w:rsidR="00B67A56" w:rsidRPr="00C73365" w:rsidRDefault="00B67A56" w:rsidP="009C5D68">
            <w:pPr>
              <w:keepNext/>
              <w:keepLines/>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 de la plateforme technologique « Antivirale » d’</w:t>
            </w:r>
            <w:r w:rsidR="00EF089C" w:rsidRPr="00C73365">
              <w:rPr>
                <w:rFonts w:asciiTheme="minorHAnsi" w:hAnsiTheme="minorHAnsi" w:cstheme="minorHAnsi"/>
                <w:sz w:val="18"/>
                <w:szCs w:val="18"/>
                <w:lang w:val="fr-FR"/>
              </w:rPr>
              <w:t>ABIVAX</w:t>
            </w:r>
          </w:p>
          <w:p w14:paraId="1904D7E7" w14:textId="77777777" w:rsidR="00B67A56" w:rsidRPr="00C73365" w:rsidRDefault="00B67A56" w:rsidP="009C5D68">
            <w:pPr>
              <w:keepNext/>
              <w:keepLines/>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(Copropriété de certains brevets avec le CNRS, l’Université de Montpellier et de l’Institut Curie)</w:t>
            </w:r>
          </w:p>
        </w:tc>
        <w:tc>
          <w:tcPr>
            <w:tcW w:w="1962" w:type="dxa"/>
            <w:tcBorders>
              <w:top w:val="single" w:sz="4" w:space="0" w:color="auto"/>
              <w:left w:val="single" w:sz="4" w:space="0" w:color="auto"/>
              <w:bottom w:val="single" w:sz="4" w:space="0" w:color="auto"/>
              <w:right w:val="single" w:sz="4" w:space="0" w:color="auto"/>
            </w:tcBorders>
            <w:vAlign w:val="center"/>
          </w:tcPr>
          <w:p w14:paraId="69DB826C"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rPr>
            </w:pPr>
            <w:r w:rsidRPr="00C73365">
              <w:rPr>
                <w:rFonts w:asciiTheme="minorHAnsi" w:hAnsiTheme="minorHAnsi" w:cstheme="minorHAnsi"/>
                <w:sz w:val="18"/>
                <w:szCs w:val="18"/>
              </w:rPr>
              <w:t>Recherche</w:t>
            </w:r>
          </w:p>
          <w:p w14:paraId="25274A58"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rPr>
            </w:pPr>
          </w:p>
        </w:tc>
        <w:tc>
          <w:tcPr>
            <w:tcW w:w="1581" w:type="dxa"/>
            <w:tcBorders>
              <w:top w:val="single" w:sz="4" w:space="0" w:color="auto"/>
              <w:left w:val="single" w:sz="4" w:space="0" w:color="auto"/>
              <w:bottom w:val="single" w:sz="4" w:space="0" w:color="auto"/>
              <w:right w:val="single" w:sz="4" w:space="0" w:color="auto"/>
            </w:tcBorders>
            <w:vAlign w:val="center"/>
          </w:tcPr>
          <w:p w14:paraId="6F5BD507"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Non arrêté à ce stade de développement (entre développement en propre et licence) et sera fonction des résultats précliniques</w:t>
            </w:r>
          </w:p>
        </w:tc>
        <w:tc>
          <w:tcPr>
            <w:tcW w:w="1276" w:type="dxa"/>
            <w:vAlign w:val="center"/>
          </w:tcPr>
          <w:p w14:paraId="31085D30"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CNRS, l’Université de Montpellier, l’Institut Curie</w:t>
            </w:r>
          </w:p>
          <w:p w14:paraId="28EBC6CB"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701" w:type="dxa"/>
            <w:vAlign w:val="center"/>
          </w:tcPr>
          <w:p w14:paraId="783610BE" w14:textId="77777777"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Fonction du modèle de développement</w:t>
            </w:r>
          </w:p>
        </w:tc>
      </w:tr>
    </w:tbl>
    <w:p w14:paraId="597C7490" w14:textId="77777777" w:rsidR="00280009" w:rsidRPr="00C73365" w:rsidRDefault="00280009" w:rsidP="00280009">
      <w:pPr>
        <w:rPr>
          <w:rFonts w:asciiTheme="minorHAnsi" w:hAnsiTheme="minorHAnsi" w:cstheme="minorHAnsi"/>
          <w:lang w:val="fr-FR"/>
        </w:rPr>
      </w:pPr>
      <w:bookmarkStart w:id="310" w:name="_Toc461441216"/>
      <w:bookmarkStart w:id="311" w:name="_Toc460232645"/>
      <w:bookmarkStart w:id="312" w:name="_Toc460232646"/>
      <w:bookmarkStart w:id="313" w:name="_Toc466382417"/>
      <w:bookmarkStart w:id="314" w:name="_Toc466382418"/>
      <w:bookmarkStart w:id="315" w:name="_Toc466382419"/>
      <w:bookmarkStart w:id="316" w:name="_Toc408918421"/>
      <w:bookmarkStart w:id="317" w:name="_Toc409537502"/>
      <w:bookmarkEnd w:id="207"/>
      <w:bookmarkEnd w:id="310"/>
      <w:bookmarkEnd w:id="311"/>
      <w:bookmarkEnd w:id="312"/>
      <w:bookmarkEnd w:id="313"/>
      <w:bookmarkEnd w:id="314"/>
      <w:bookmarkEnd w:id="315"/>
    </w:p>
    <w:p w14:paraId="16909F1E" w14:textId="77777777" w:rsidR="00280009" w:rsidRPr="00C73365" w:rsidRDefault="00280009" w:rsidP="00280009">
      <w:pPr>
        <w:rPr>
          <w:rFonts w:asciiTheme="minorHAnsi" w:hAnsiTheme="minorHAnsi" w:cstheme="minorHAnsi"/>
          <w:lang w:val="fr-FR"/>
        </w:rPr>
      </w:pPr>
    </w:p>
    <w:p w14:paraId="4534FD77" w14:textId="77777777" w:rsidR="00B67A56" w:rsidRPr="00C73365" w:rsidRDefault="00B67A56" w:rsidP="00B67A56">
      <w:pPr>
        <w:pStyle w:val="Paragraphedeliste"/>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Organigramme d</w:t>
      </w:r>
      <w:r w:rsidR="004572A0" w:rsidRPr="00C73365">
        <w:rPr>
          <w:rFonts w:asciiTheme="minorHAnsi" w:hAnsiTheme="minorHAnsi" w:cstheme="minorHAnsi"/>
          <w:b/>
          <w:color w:val="7030A0"/>
          <w:sz w:val="22"/>
          <w:szCs w:val="22"/>
          <w:lang w:val="fr-FR"/>
        </w:rPr>
        <w:t>’</w:t>
      </w:r>
      <w:r w:rsidR="00EF089C" w:rsidRPr="00C73365">
        <w:rPr>
          <w:rFonts w:asciiTheme="minorHAnsi" w:hAnsiTheme="minorHAnsi" w:cstheme="minorHAnsi"/>
          <w:b/>
          <w:color w:val="7030A0"/>
          <w:sz w:val="22"/>
          <w:szCs w:val="22"/>
          <w:lang w:val="fr-FR"/>
        </w:rPr>
        <w:t>ABIVAX</w:t>
      </w:r>
      <w:bookmarkEnd w:id="316"/>
      <w:bookmarkEnd w:id="317"/>
    </w:p>
    <w:p w14:paraId="1CECA795" w14:textId="77777777" w:rsidR="00B67A56" w:rsidRPr="00C73365" w:rsidRDefault="00EF089C" w:rsidP="004572A0">
      <w:pPr>
        <w:pStyle w:val="Corpsdetexte"/>
        <w:rPr>
          <w:rFonts w:asciiTheme="minorHAnsi" w:hAnsiTheme="minorHAnsi" w:cstheme="minorHAnsi"/>
          <w: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dispose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une équipe dirigeante forte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une grande expérience internationale, ainsi que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administration et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 xml:space="preserve">un comité scientifique de classe internationale, qui permettront à la Société d’obtenir une nouvelle dimension (se référer au paragraphe 14.1 du présent document de référence). </w:t>
      </w:r>
    </w:p>
    <w:p w14:paraId="3DE5C171" w14:textId="77777777" w:rsidR="00045411" w:rsidRDefault="00B67A56" w:rsidP="004572A0">
      <w:pPr>
        <w:pStyle w:val="Corpsdetexte"/>
        <w:rPr>
          <w:rFonts w:asciiTheme="minorHAnsi" w:hAnsiTheme="minorHAnsi" w:cstheme="minorHAnsi"/>
          <w:b/>
          <w:noProof/>
        </w:rPr>
      </w:pPr>
      <w:r w:rsidRPr="00C73365">
        <w:rPr>
          <w:rFonts w:asciiTheme="minorHAnsi" w:hAnsiTheme="minorHAnsi" w:cstheme="minorHAnsi"/>
          <w:b/>
          <w:lang w:val="fr-FR"/>
        </w:rPr>
        <w:t>Organigramme d</w:t>
      </w:r>
      <w:r w:rsidR="004572A0" w:rsidRPr="00C73365">
        <w:rPr>
          <w:rFonts w:asciiTheme="minorHAnsi" w:hAnsiTheme="minorHAnsi" w:cstheme="minorHAnsi"/>
          <w:b/>
          <w:lang w:val="fr-FR"/>
        </w:rPr>
        <w:t>’</w:t>
      </w:r>
      <w:r w:rsidR="00EF089C" w:rsidRPr="00C73365">
        <w:rPr>
          <w:rFonts w:asciiTheme="minorHAnsi" w:hAnsiTheme="minorHAnsi" w:cstheme="minorHAnsi"/>
          <w:b/>
          <w:lang w:val="fr-FR"/>
        </w:rPr>
        <w:t>ABIVAX</w:t>
      </w:r>
      <w:r w:rsidRPr="00C73365">
        <w:rPr>
          <w:rFonts w:asciiTheme="minorHAnsi" w:hAnsiTheme="minorHAnsi" w:cstheme="minorHAnsi"/>
          <w:b/>
          <w:lang w:val="fr-FR"/>
        </w:rPr>
        <w:t> :</w:t>
      </w:r>
      <w:r w:rsidRPr="00C73365">
        <w:rPr>
          <w:rFonts w:asciiTheme="minorHAnsi" w:hAnsiTheme="minorHAnsi" w:cstheme="minorHAnsi"/>
          <w:b/>
          <w:noProof/>
          <w:lang w:val="fr-FR"/>
        </w:rPr>
        <w:t xml:space="preserve"> </w:t>
      </w:r>
    </w:p>
    <w:p w14:paraId="323ADC60" w14:textId="77777777" w:rsidR="00045411" w:rsidRPr="00C73365" w:rsidRDefault="00F06B5C" w:rsidP="004572A0">
      <w:pPr>
        <w:pStyle w:val="Corpsdetexte"/>
        <w:rPr>
          <w:rFonts w:asciiTheme="minorHAnsi" w:hAnsiTheme="minorHAnsi" w:cstheme="minorHAnsi"/>
          <w:b/>
          <w:noProof/>
          <w:lang w:val="fr-FR"/>
        </w:rPr>
      </w:pPr>
      <w:r w:rsidRPr="00F06B5C">
        <w:rPr>
          <w:rFonts w:asciiTheme="minorHAnsi" w:hAnsiTheme="minorHAnsi" w:cstheme="minorHAnsi"/>
          <w:b/>
          <w:noProof/>
          <w:lang w:val="fr-FR" w:eastAsia="fr-FR"/>
        </w:rPr>
        <w:drawing>
          <wp:inline distT="0" distB="0" distL="0" distR="0" wp14:anchorId="0884CE0E" wp14:editId="69E19B84">
            <wp:extent cx="6120765" cy="2954020"/>
            <wp:effectExtent l="38100" t="0" r="89535" b="0"/>
            <wp:docPr id="14" name="Diagramme 14">
              <a:extLst xmlns:a="http://schemas.openxmlformats.org/drawingml/2006/main">
                <a:ext uri="{FF2B5EF4-FFF2-40B4-BE49-F238E27FC236}">
                  <a16:creationId xmlns:a16="http://schemas.microsoft.com/office/drawing/2014/main" id="{B81C9680-E0BB-4EF9-8E49-DA0712372C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7251DED" w14:textId="77777777" w:rsidR="00B67A56" w:rsidRPr="00C73365" w:rsidRDefault="00B67A56" w:rsidP="004572A0">
      <w:pPr>
        <w:pStyle w:val="Corpsdetexte"/>
        <w:rPr>
          <w:rFonts w:asciiTheme="minorHAnsi" w:hAnsiTheme="minorHAnsi" w:cstheme="minorHAnsi"/>
          <w:b/>
          <w:i/>
          <w:lang w:val="fr-FR"/>
        </w:rPr>
      </w:pPr>
      <w:r w:rsidRPr="00C73365">
        <w:rPr>
          <w:rFonts w:asciiTheme="minorHAnsi" w:hAnsiTheme="minorHAnsi" w:cstheme="minorHAnsi"/>
          <w:b/>
          <w:lang w:val="fr-FR"/>
        </w:rPr>
        <w:t>Biographies de l</w:t>
      </w:r>
      <w:r w:rsidR="004572A0" w:rsidRPr="00C73365">
        <w:rPr>
          <w:rFonts w:asciiTheme="minorHAnsi" w:hAnsiTheme="minorHAnsi" w:cstheme="minorHAnsi"/>
          <w:b/>
          <w:lang w:val="fr-FR"/>
        </w:rPr>
        <w:t>’</w:t>
      </w:r>
      <w:r w:rsidRPr="00C73365">
        <w:rPr>
          <w:rFonts w:asciiTheme="minorHAnsi" w:hAnsiTheme="minorHAnsi" w:cstheme="minorHAnsi"/>
          <w:b/>
          <w:lang w:val="fr-FR"/>
        </w:rPr>
        <w:t>équipe dirigeante</w:t>
      </w:r>
      <w:r w:rsidR="00F06B5C">
        <w:rPr>
          <w:rFonts w:asciiTheme="minorHAnsi" w:hAnsiTheme="minorHAnsi" w:cstheme="minorHAnsi"/>
          <w:b/>
          <w:lang w:val="fr-FR"/>
        </w:rPr>
        <w:t xml:space="preserve"> : </w:t>
      </w:r>
    </w:p>
    <w:p w14:paraId="05F9D8C7" w14:textId="77777777" w:rsidR="00B67A56" w:rsidRPr="00C73365" w:rsidRDefault="00B67A56" w:rsidP="004572A0">
      <w:pPr>
        <w:pStyle w:val="Corpsdetexte"/>
        <w:rPr>
          <w:rFonts w:asciiTheme="minorHAnsi" w:hAnsiTheme="minorHAnsi" w:cstheme="minorHAnsi"/>
          <w:b/>
          <w:i/>
          <w:lang w:val="fr-FR"/>
        </w:rPr>
      </w:pPr>
      <w:r w:rsidRPr="00C73365">
        <w:rPr>
          <w:rFonts w:asciiTheme="minorHAnsi" w:hAnsiTheme="minorHAnsi" w:cstheme="minorHAnsi"/>
          <w:b/>
          <w:lang w:val="fr-FR"/>
        </w:rPr>
        <w:t>Prof. Dr. Hartmut J. Ehrlich, Directeur Général</w:t>
      </w:r>
    </w:p>
    <w:p w14:paraId="5CFE0F4D" w14:textId="77777777" w:rsidR="00B67A56" w:rsidRPr="00C73365" w:rsidRDefault="00B67A56" w:rsidP="004572A0">
      <w:pPr>
        <w:pStyle w:val="Corpsdetexte"/>
        <w:rPr>
          <w:rFonts w:asciiTheme="minorHAnsi" w:hAnsiTheme="minorHAnsi" w:cstheme="minorHAnsi"/>
          <w:i/>
          <w:lang w:val="fr-FR"/>
        </w:rPr>
      </w:pPr>
      <w:r w:rsidRPr="00C73365">
        <w:rPr>
          <w:rFonts w:asciiTheme="minorHAnsi" w:hAnsiTheme="minorHAnsi" w:cstheme="minorHAnsi"/>
          <w:lang w:val="fr-FR"/>
        </w:rPr>
        <w:t>Hartmut Ehrlich est directeur général d’</w:t>
      </w:r>
      <w:r w:rsidR="00EF089C" w:rsidRPr="00C73365">
        <w:rPr>
          <w:rFonts w:asciiTheme="minorHAnsi" w:hAnsiTheme="minorHAnsi" w:cstheme="minorHAnsi"/>
          <w:lang w:val="fr-FR"/>
        </w:rPr>
        <w:t>ABIVAX</w:t>
      </w:r>
      <w:r w:rsidRPr="00C73365">
        <w:rPr>
          <w:rFonts w:asciiTheme="minorHAnsi" w:hAnsiTheme="minorHAnsi" w:cstheme="minorHAnsi"/>
          <w:lang w:val="fr-FR"/>
        </w:rPr>
        <w:t>. Médecin, il travaille depuis 30 ans au sein d’universités et de l’industrie biopharmaceutique (dont 20 ans au sein de Baxter et Sandoz (désormais Novartis)). Il a vécu et travaillé aux Etats-Unis (Eli Lilly et Département de Médecine de l’Université de l’Indiana), aux Pays-Bas (Laboratoire Central de la Croix Rouge néerlandaise), en Allemagne (Fondation Max Planck, Sandoz, Baxter), en Suisse (Sandoz), en Autriche (Baxter) et en France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 cours des sept années précédant son arrivée chez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décembre 2013, Hartmut Ehrlich a mis en place et développé avec succès le portefeuille R&amp;D de Baxter BioSciences, avec plus de 50 programmes de développement précliniques et cliniques. Il fut à l’origine de l’obtention de nombreuses autorisations réglementaires dans différents domaines (hémophilie, thrombose, immunologie, neurologie, oncologie, bio-chirurgie ou vaccination). Hartmut Ehrlich a écrit et co-écrit plus de 120 publications. En 2011, Hartmut fut nommé « Professeur » par le Président autrichien et par le Ministre autrichien de la Science et de la Recherche, et a reçu le titre de « Professeur Adjoint » de l’université du Danube, Krems, en basse Autriche en 2013.</w:t>
      </w:r>
    </w:p>
    <w:p w14:paraId="199DE1FB" w14:textId="77777777" w:rsidR="00B67A56" w:rsidRPr="00C73365" w:rsidRDefault="00B67A56" w:rsidP="004572A0">
      <w:pPr>
        <w:pStyle w:val="Corpsdetexte"/>
        <w:rPr>
          <w:rFonts w:asciiTheme="minorHAnsi" w:hAnsiTheme="minorHAnsi" w:cstheme="minorHAnsi"/>
          <w:b/>
          <w:i/>
          <w:highlight w:val="yellow"/>
          <w:lang w:val="fr-FR"/>
        </w:rPr>
      </w:pPr>
      <w:r w:rsidRPr="00C73365">
        <w:rPr>
          <w:rFonts w:asciiTheme="minorHAnsi" w:hAnsiTheme="minorHAnsi" w:cstheme="minorHAnsi"/>
          <w:b/>
          <w:lang w:val="fr-FR"/>
        </w:rPr>
        <w:t>Didier Blondel, Vice-Président Directeur Administratif &amp; Financier et Secrétaire du Conseil d</w:t>
      </w:r>
      <w:r w:rsidR="004572A0" w:rsidRPr="00C73365">
        <w:rPr>
          <w:rFonts w:asciiTheme="minorHAnsi" w:hAnsiTheme="minorHAnsi" w:cstheme="minorHAnsi"/>
          <w:b/>
          <w:lang w:val="fr-FR"/>
        </w:rPr>
        <w:t>’</w:t>
      </w:r>
      <w:r w:rsidRPr="00C73365">
        <w:rPr>
          <w:rFonts w:asciiTheme="minorHAnsi" w:hAnsiTheme="minorHAnsi" w:cstheme="minorHAnsi"/>
          <w:b/>
          <w:lang w:val="fr-FR"/>
        </w:rPr>
        <w:t>Administration</w:t>
      </w:r>
    </w:p>
    <w:p w14:paraId="58F307F7"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Didier Blondel occupait depuis 2012 le poste de Directeur Financier de Sanofi Pasteur MSD, co-entreprise de Sanofi et Merck basée à Lyon et leader européen des vaccins humains. Auparavant, il a occupé durant près de 20 ans d</w:t>
      </w:r>
      <w:r w:rsidR="004572A0" w:rsidRPr="00C73365">
        <w:rPr>
          <w:rFonts w:asciiTheme="minorHAnsi" w:hAnsiTheme="minorHAnsi" w:cstheme="minorHAnsi"/>
          <w:lang w:val="fr-FR"/>
        </w:rPr>
        <w:t>’</w:t>
      </w:r>
      <w:r w:rsidRPr="00C73365">
        <w:rPr>
          <w:rFonts w:asciiTheme="minorHAnsi" w:hAnsiTheme="minorHAnsi" w:cstheme="minorHAnsi"/>
          <w:lang w:val="fr-FR"/>
        </w:rPr>
        <w:t>importants postes en finance au sein du groupe Sanofi, aux Opérations Commerciales et à la R&amp;D, dont il fut le Directeur Financier Global. Didier Blondel a démarré sa carrière en tant qu</w:t>
      </w:r>
      <w:r w:rsidR="004572A0" w:rsidRPr="00C73365">
        <w:rPr>
          <w:rFonts w:asciiTheme="minorHAnsi" w:hAnsiTheme="minorHAnsi" w:cstheme="minorHAnsi"/>
          <w:lang w:val="fr-FR"/>
        </w:rPr>
        <w:t>’</w:t>
      </w:r>
      <w:r w:rsidRPr="00C73365">
        <w:rPr>
          <w:rFonts w:asciiTheme="minorHAnsi" w:hAnsiTheme="minorHAnsi" w:cstheme="minorHAnsi"/>
          <w:lang w:val="fr-FR"/>
        </w:rPr>
        <w:t>auditeur chez Price Waterhouse Coopers après avoir obtenu son diplôme à l</w:t>
      </w:r>
      <w:r w:rsidR="004572A0" w:rsidRPr="00C73365">
        <w:rPr>
          <w:rFonts w:asciiTheme="minorHAnsi" w:hAnsiTheme="minorHAnsi" w:cstheme="minorHAnsi"/>
          <w:lang w:val="fr-FR"/>
        </w:rPr>
        <w:t>’</w:t>
      </w:r>
      <w:r w:rsidRPr="00C73365">
        <w:rPr>
          <w:rFonts w:asciiTheme="minorHAnsi" w:hAnsiTheme="minorHAnsi" w:cstheme="minorHAnsi"/>
          <w:lang w:val="fr-FR"/>
        </w:rPr>
        <w:t>Institut Commercial de Nancy. Il est également titulaire d</w:t>
      </w:r>
      <w:r w:rsidR="004572A0" w:rsidRPr="00C73365">
        <w:rPr>
          <w:rFonts w:asciiTheme="minorHAnsi" w:hAnsiTheme="minorHAnsi" w:cstheme="minorHAnsi"/>
          <w:lang w:val="fr-FR"/>
        </w:rPr>
        <w:t>’</w:t>
      </w:r>
      <w:r w:rsidRPr="00C73365">
        <w:rPr>
          <w:rFonts w:asciiTheme="minorHAnsi" w:hAnsiTheme="minorHAnsi" w:cstheme="minorHAnsi"/>
          <w:lang w:val="fr-FR"/>
        </w:rPr>
        <w:t>une Maîtrise des Sciences et Techniques Comptables et Financières de l</w:t>
      </w:r>
      <w:r w:rsidR="004572A0" w:rsidRPr="00C73365">
        <w:rPr>
          <w:rFonts w:asciiTheme="minorHAnsi" w:hAnsiTheme="minorHAnsi" w:cstheme="minorHAnsi"/>
          <w:lang w:val="fr-FR"/>
        </w:rPr>
        <w:t>’</w:t>
      </w:r>
      <w:r w:rsidRPr="00C73365">
        <w:rPr>
          <w:rFonts w:asciiTheme="minorHAnsi" w:hAnsiTheme="minorHAnsi" w:cstheme="minorHAnsi"/>
          <w:lang w:val="fr-FR"/>
        </w:rPr>
        <w:t>Université de Nancy II et d</w:t>
      </w:r>
      <w:r w:rsidR="004572A0" w:rsidRPr="00C73365">
        <w:rPr>
          <w:rFonts w:asciiTheme="minorHAnsi" w:hAnsiTheme="minorHAnsi" w:cstheme="minorHAnsi"/>
          <w:lang w:val="fr-FR"/>
        </w:rPr>
        <w:t>’</w:t>
      </w:r>
      <w:r w:rsidRPr="00C73365">
        <w:rPr>
          <w:rFonts w:asciiTheme="minorHAnsi" w:hAnsiTheme="minorHAnsi" w:cstheme="minorHAnsi"/>
          <w:lang w:val="fr-FR"/>
        </w:rPr>
        <w:t>un Diplôme d</w:t>
      </w:r>
      <w:r w:rsidR="004572A0" w:rsidRPr="00C73365">
        <w:rPr>
          <w:rFonts w:asciiTheme="minorHAnsi" w:hAnsiTheme="minorHAnsi" w:cstheme="minorHAnsi"/>
          <w:lang w:val="fr-FR"/>
        </w:rPr>
        <w:t>’</w:t>
      </w:r>
      <w:r w:rsidRPr="00C73365">
        <w:rPr>
          <w:rFonts w:asciiTheme="minorHAnsi" w:hAnsiTheme="minorHAnsi" w:cstheme="minorHAnsi"/>
          <w:lang w:val="fr-FR"/>
        </w:rPr>
        <w:t>Etudes Supérieures Comptables et Financières.</w:t>
      </w:r>
    </w:p>
    <w:p w14:paraId="1AEDDA3C" w14:textId="77777777" w:rsidR="00E92A57" w:rsidRDefault="00E92A57">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14:paraId="7E8567E4" w14:textId="7DF429A0" w:rsidR="00B67A56" w:rsidRPr="00C73365" w:rsidRDefault="00B67A56" w:rsidP="004572A0">
      <w:pPr>
        <w:pStyle w:val="Corpsdetexte"/>
        <w:rPr>
          <w:rFonts w:asciiTheme="minorHAnsi" w:hAnsiTheme="minorHAnsi" w:cstheme="minorHAnsi"/>
          <w:b/>
          <w:i/>
          <w:lang w:val="fr-FR"/>
        </w:rPr>
      </w:pPr>
      <w:r w:rsidRPr="00C73365">
        <w:rPr>
          <w:rFonts w:asciiTheme="minorHAnsi" w:hAnsiTheme="minorHAnsi" w:cstheme="minorHAnsi"/>
          <w:b/>
          <w:lang w:val="fr-FR"/>
        </w:rPr>
        <w:lastRenderedPageBreak/>
        <w:t>Pierre Courteille, Vice-Président Directeur Commercial et du Business Development</w:t>
      </w:r>
    </w:p>
    <w:p w14:paraId="5EEF9BE0"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Pharmacien, et diplômé  du MBA de l’Université de Chicago Booth,  Pierre Courteille cumule plus de 20 ans d’expérience dans les fonctions marketing et vente du secteur pharmaceutique en France et au Japon où il a travaillé 13 ans. Au sein de Sanofi-Pasteur Japon et de sa cœntreprise avec Daiichi, Pierre Courteille a notamment mis œuvre en tant que Marketing Manager les activités de pré-lancement des vaccins Hib/méningite et IPV/polio. Début 2005, Pierre Courteille prend la Présidence de Guerbet Japon &amp; la Vice-Présidence de GUERBET Asie. Il assure avec succès la mise en place, le déploiement de la filiale Japonaise ainsi que le développement des autres filiales asiatiques de Guerbet. A partir de 2009, Pierre Courteille assure la responsabilité de Vice-Président des Ventes pour l’Asie, l’Amérique Latine et l’EMEA et il atteint l’objectif ambitieux d’optimisation de la performance commerciale avec un remaniement réussi des structures déficitaires dans ces trois zones.  Avant de rejoindre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Pierre Courteille assurait depuis 2012 la fonction de Senior Vice-Président Commercial (Marketing et Ventes) pour Guerbet et CEO de MEDEX (société de dispositifs médicaux détenue par Guerbet). </w:t>
      </w:r>
    </w:p>
    <w:p w14:paraId="293BB891" w14:textId="77777777" w:rsidR="0045240E" w:rsidRPr="00C73365" w:rsidRDefault="0045240E" w:rsidP="004572A0">
      <w:pPr>
        <w:pStyle w:val="Corpsdetexte"/>
        <w:rPr>
          <w:rFonts w:asciiTheme="minorHAnsi" w:hAnsiTheme="minorHAnsi" w:cstheme="minorHAnsi"/>
          <w:b/>
          <w:lang w:val="fr-FR"/>
        </w:rPr>
      </w:pPr>
      <w:r w:rsidRPr="00C73365">
        <w:rPr>
          <w:rFonts w:asciiTheme="minorHAnsi" w:hAnsiTheme="minorHAnsi" w:cstheme="minorHAnsi"/>
          <w:b/>
          <w:lang w:val="fr-FR"/>
        </w:rPr>
        <w:t>Jean-Marc Steens, Vice-Président Directeur Médical</w:t>
      </w:r>
    </w:p>
    <w:p w14:paraId="7324647F" w14:textId="77777777" w:rsidR="0045240E" w:rsidRPr="00C73365" w:rsidRDefault="0045240E" w:rsidP="004572A0">
      <w:pPr>
        <w:pStyle w:val="Corpsdetexte"/>
        <w:rPr>
          <w:rFonts w:asciiTheme="minorHAnsi" w:hAnsiTheme="minorHAnsi" w:cstheme="minorHAnsi"/>
          <w:lang w:val="fr-FR"/>
        </w:rPr>
      </w:pPr>
      <w:r w:rsidRPr="00C73365">
        <w:rPr>
          <w:rFonts w:asciiTheme="minorHAnsi" w:hAnsiTheme="minorHAnsi" w:cstheme="minorHAnsi"/>
          <w:lang w:val="fr-FR"/>
        </w:rPr>
        <w:t>Jean-Marc Steens est médecin et dispose d’une expérience de 30 ans dans l’industrie biopharmaceutique. Après l’obtention de son diplôme en médecine, il a suivi une formation postdoctorale dans le domaine de la santé publique à l</w:t>
      </w:r>
      <w:r w:rsidR="004572A0" w:rsidRPr="00C73365">
        <w:rPr>
          <w:rFonts w:asciiTheme="minorHAnsi" w:hAnsiTheme="minorHAnsi" w:cstheme="minorHAnsi"/>
          <w:lang w:val="fr-FR"/>
        </w:rPr>
        <w:t>’</w:t>
      </w:r>
      <w:r w:rsidRPr="00C73365">
        <w:rPr>
          <w:rFonts w:asciiTheme="minorHAnsi" w:hAnsiTheme="minorHAnsi" w:cstheme="minorHAnsi"/>
          <w:lang w:val="fr-FR"/>
        </w:rPr>
        <w:t>Université catholique de Louvain (Belgique). Le Dr. Steens a débuté sa carrière chez Sandoz en Belgique et a ensuite rejoint Glaxo où il est resté plus de 20 ans. Pendant ces années, il a occupé différents postes de direction en Europe comme aux États-Unis, axés principalement sur les maladies virales, notamment sur le SIDA mais aussi l’hépatite B, dans les domaines du développement clinique et des affaires médicales à l’échelle mondiale. En 2009, le Dr. Steens a été nommé au poste de Vice-Président et Directeur Médical International de ViiV Healthcare, où il était responsable de la création et la gestion de départements médicaux en Europe de l</w:t>
      </w:r>
      <w:r w:rsidR="004572A0" w:rsidRPr="00C73365">
        <w:rPr>
          <w:rFonts w:asciiTheme="minorHAnsi" w:hAnsiTheme="minorHAnsi" w:cstheme="minorHAnsi"/>
          <w:lang w:val="fr-FR"/>
        </w:rPr>
        <w:t>’</w:t>
      </w:r>
      <w:r w:rsidRPr="00C73365">
        <w:rPr>
          <w:rFonts w:asciiTheme="minorHAnsi" w:hAnsiTheme="minorHAnsi" w:cstheme="minorHAnsi"/>
          <w:lang w:val="fr-FR"/>
        </w:rPr>
        <w:t>Est, Asie et Amérique latine. Depuis 2013, le Dr. Steens a travaillé en tant que consultant pour plusieurs entreprises de l</w:t>
      </w:r>
      <w:r w:rsidR="004572A0" w:rsidRPr="00C73365">
        <w:rPr>
          <w:rFonts w:asciiTheme="minorHAnsi" w:hAnsiTheme="minorHAnsi" w:cstheme="minorHAnsi"/>
          <w:lang w:val="fr-FR"/>
        </w:rPr>
        <w:t>’</w:t>
      </w:r>
      <w:r w:rsidRPr="00C73365">
        <w:rPr>
          <w:rFonts w:asciiTheme="minorHAnsi" w:hAnsiTheme="minorHAnsi" w:cstheme="minorHAnsi"/>
          <w:lang w:val="fr-FR"/>
        </w:rPr>
        <w:t>industrie pharmaceutique comme Novartis. Le Dr. Steens est membre des conseils consultatifs sur le HIV, ainsi que des comités scientifiques comme ceux de l’Organisation Mondiale de la Santé (OMS) et du National Institutes of Health (Etats-Unis). </w:t>
      </w:r>
    </w:p>
    <w:p w14:paraId="56304376" w14:textId="77777777" w:rsidR="0045240E" w:rsidRPr="00C73365" w:rsidRDefault="0045240E" w:rsidP="004572A0">
      <w:pPr>
        <w:pStyle w:val="Corpsdetexte"/>
        <w:rPr>
          <w:rFonts w:asciiTheme="minorHAnsi" w:hAnsiTheme="minorHAnsi" w:cstheme="minorHAnsi"/>
          <w:b/>
          <w:lang w:val="fr-FR"/>
        </w:rPr>
      </w:pPr>
      <w:r w:rsidRPr="00C73365">
        <w:rPr>
          <w:rFonts w:asciiTheme="minorHAnsi" w:hAnsiTheme="minorHAnsi" w:cstheme="minorHAnsi"/>
          <w:b/>
          <w:lang w:val="fr-FR"/>
        </w:rPr>
        <w:t>Paul Gineste, Vice-Président Opérations Cliniques</w:t>
      </w:r>
    </w:p>
    <w:p w14:paraId="1498F24B" w14:textId="77777777" w:rsidR="0045240E" w:rsidRPr="00C73365" w:rsidRDefault="0045240E"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Paul apporte plus de 20 ans d’expérience en développement clinique et stratégique au sein de société pharmaceutiques et de biotechnologie internationales. Paul a débuté sa carrière au sein de Boehringer Ingelheim en tant que International Clinical Trials Manager avant de prendre le poste de Head of Clinical R&amp;D chez Altana Pharma en 2003. En 2007, Paul a été nommé Directeur of Clinical Studies chez AB Science où il a mené des développements cliniques précoces sur l’inhibiteur de la tyronise-kinase aux Etats-Unis et en Europe. En 2013, il rejoint Theravectys, une entreprise issue de l’Institut Pasteur et spécialisée dans les vecteurs lentiviraux en tant que Executive VP, Clinical Development. Paul a rejoint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2015 en tant que Head of Clinical Operations. Il est titulaire d’un doctorat en pharmacie de l’Université de Rouen, France et d’un master en droit de l’Université de Paris XI.</w:t>
      </w:r>
    </w:p>
    <w:p w14:paraId="4A93D45A" w14:textId="77777777" w:rsidR="0045240E" w:rsidRPr="005B40E1" w:rsidRDefault="0045240E" w:rsidP="005B40E1">
      <w:pPr>
        <w:pStyle w:val="Corpsdetexte"/>
        <w:rPr>
          <w:rFonts w:asciiTheme="minorHAnsi" w:hAnsiTheme="minorHAnsi" w:cstheme="minorHAnsi"/>
          <w:b/>
          <w:lang w:val="fr-FR"/>
        </w:rPr>
      </w:pPr>
      <w:r w:rsidRPr="005B40E1">
        <w:rPr>
          <w:rFonts w:asciiTheme="minorHAnsi" w:hAnsiTheme="minorHAnsi" w:cstheme="minorHAnsi"/>
          <w:b/>
          <w:lang w:val="fr-FR"/>
        </w:rPr>
        <w:t>Bernard Fanget</w:t>
      </w:r>
      <w:r w:rsidR="005B40E1" w:rsidRPr="005B40E1">
        <w:rPr>
          <w:rFonts w:asciiTheme="minorHAnsi" w:hAnsiTheme="minorHAnsi" w:cstheme="minorHAnsi"/>
          <w:b/>
          <w:lang w:val="fr-FR"/>
        </w:rPr>
        <w:t>, Vice-Président</w:t>
      </w:r>
      <w:r w:rsidR="009E11D9" w:rsidRPr="005B40E1">
        <w:rPr>
          <w:rFonts w:asciiTheme="minorHAnsi" w:hAnsiTheme="minorHAnsi" w:cstheme="minorHAnsi"/>
          <w:b/>
          <w:lang w:val="fr-FR"/>
        </w:rPr>
        <w:t xml:space="preserve"> Affaires réglementaires</w:t>
      </w:r>
    </w:p>
    <w:p w14:paraId="244667E0" w14:textId="77777777" w:rsidR="005B40E1" w:rsidRPr="00C73365" w:rsidRDefault="005B40E1" w:rsidP="004572A0">
      <w:pPr>
        <w:pStyle w:val="Corpsdetexte"/>
        <w:rPr>
          <w:rFonts w:asciiTheme="minorHAnsi" w:hAnsiTheme="minorHAnsi" w:cstheme="minorHAnsi"/>
          <w:b/>
          <w:lang w:val="fr-FR"/>
        </w:rPr>
      </w:pPr>
      <w:r w:rsidRPr="005B40E1">
        <w:rPr>
          <w:rFonts w:asciiTheme="minorHAnsi" w:hAnsiTheme="minorHAnsi"/>
          <w:szCs w:val="22"/>
          <w:lang w:val="fr-FR"/>
        </w:rPr>
        <w:t xml:space="preserve">Bernard Fanget a plus de 30 ans d’expérience industrielle dans le développement des vaccins et protéines recombinantes. Il occupe depuis 2005 le poste de Vice-Président des affaires pharmaceutiques chez Neovacs. Il était auparavant Vice-Président Senior en charge du développement pharmaceutique chez Flamel Technologies, et Vice-Président Corporate, division d’Industrialisation Globale, chez Sanofi-Pasteur. M. Fanget a développé plusieurs technologies de production à grande échelle et a obtenu l’enregistrement de nombreux vaccins. Il est membre de nombreux groupes de travail au sein de l’Organisation mondiale de la santé. Il est diplômé de Biochimie de l’Université </w:t>
      </w:r>
      <w:r w:rsidRPr="005B40E1">
        <w:rPr>
          <w:rFonts w:asciiTheme="minorHAnsi" w:hAnsiTheme="minorHAnsi"/>
          <w:lang w:val="fr-FR"/>
        </w:rPr>
        <w:t>de Lyon, France</w:t>
      </w:r>
    </w:p>
    <w:p w14:paraId="1174A923" w14:textId="77777777" w:rsidR="00E92A57" w:rsidRDefault="00E92A57">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14:paraId="3C0BB46C" w14:textId="31D9F40F" w:rsidR="00B67A56" w:rsidRPr="00C73365" w:rsidRDefault="00B67A56" w:rsidP="004572A0">
      <w:pPr>
        <w:pStyle w:val="Corpsdetexte"/>
        <w:rPr>
          <w:rFonts w:asciiTheme="minorHAnsi" w:hAnsiTheme="minorHAnsi" w:cstheme="minorHAnsi"/>
          <w:b/>
          <w:lang w:val="fr-FR"/>
        </w:rPr>
      </w:pPr>
      <w:r w:rsidRPr="00C73365">
        <w:rPr>
          <w:rFonts w:asciiTheme="minorHAnsi" w:hAnsiTheme="minorHAnsi" w:cstheme="minorHAnsi"/>
          <w:b/>
          <w:lang w:val="fr-FR"/>
        </w:rPr>
        <w:lastRenderedPageBreak/>
        <w:t xml:space="preserve">Jérôme Denis, Vice-Président Directeur de la Production et du Développement des Procédés </w:t>
      </w:r>
    </w:p>
    <w:p w14:paraId="281567FB" w14:textId="77777777" w:rsidR="00B67A56" w:rsidRPr="00C73365" w:rsidRDefault="00B67A56"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Jérôme DENIS a plus de 10 d’expérience dans le développement pharmaceutique et la production de médicaments, à usage clinique ou commercial. Il a débuté sa carrière comme responsable de projet au Canada et en France au sein de programmes ciblant différentes maladies infectieuses. Il a ensuite rejoint imaxio (Lyan, France) en 2009, comme Exécutif Responsable du Développement puis Directeur Associé du Développement : ii a initié et piloté avec succès plusieurs projets de transferts et développement de procédés. Il a rejoint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2014 comme Directeur de la production, en charge de mettre en place et coordonner toutes les opérations de développement de procédé et de fabrication, lia également piloté l’approvisionnement et la distribution des IMP (Investigational Medicinal Praducts) pour les études ciiniques menées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Mie et en Europe. Il est titulaire d’un Ph.D. en Immunologie et Microbiologie à l’université Lavai (Québec, Canada).</w:t>
      </w:r>
    </w:p>
    <w:p w14:paraId="5842CC5E" w14:textId="77777777" w:rsidR="00B67A56" w:rsidRPr="00C73365" w:rsidRDefault="00B67A56" w:rsidP="004572A0">
      <w:pPr>
        <w:pStyle w:val="Corpsdetexte"/>
        <w:rPr>
          <w:rFonts w:asciiTheme="minorHAnsi" w:hAnsiTheme="minorHAnsi" w:cstheme="minorHAnsi"/>
          <w:b/>
          <w:i/>
          <w:lang w:val="fr-FR"/>
        </w:rPr>
      </w:pPr>
      <w:r w:rsidRPr="00C73365">
        <w:rPr>
          <w:rFonts w:asciiTheme="minorHAnsi" w:hAnsiTheme="minorHAnsi" w:cstheme="minorHAnsi"/>
          <w:b/>
          <w:lang w:val="fr-FR"/>
        </w:rPr>
        <w:t>Didier Scherrer Ph.D., Vice-Président Directeur de la Recherche</w:t>
      </w:r>
    </w:p>
    <w:p w14:paraId="15A7173B" w14:textId="77777777" w:rsidR="00B67A56" w:rsidRPr="00C73365" w:rsidRDefault="00B67A56" w:rsidP="004572A0">
      <w:pPr>
        <w:pStyle w:val="Corpsdetexte"/>
        <w:rPr>
          <w:rFonts w:asciiTheme="minorHAnsi" w:hAnsiTheme="minorHAnsi" w:cstheme="minorHAnsi"/>
          <w:i/>
          <w:lang w:val="fr-FR"/>
        </w:rPr>
      </w:pPr>
      <w:r w:rsidRPr="00C73365">
        <w:rPr>
          <w:rFonts w:asciiTheme="minorHAnsi" w:hAnsiTheme="minorHAnsi" w:cstheme="minorHAnsi"/>
          <w:lang w:val="fr-FR"/>
        </w:rPr>
        <w:t xml:space="preserve">Didier Scherrer, avant de rejoindre </w:t>
      </w:r>
      <w:r w:rsidR="00EF089C" w:rsidRPr="00C73365">
        <w:rPr>
          <w:rFonts w:asciiTheme="minorHAnsi" w:hAnsiTheme="minorHAnsi" w:cstheme="minorHAnsi"/>
          <w:lang w:val="fr-FR"/>
        </w:rPr>
        <w:t>ABIVAX</w:t>
      </w:r>
      <w:r w:rsidRPr="00C73365">
        <w:rPr>
          <w:rFonts w:asciiTheme="minorHAnsi" w:hAnsiTheme="minorHAnsi" w:cstheme="minorHAnsi"/>
          <w:lang w:val="fr-FR"/>
        </w:rPr>
        <w:t>, cumulait les fonctions de Directeur Général et de Directeur Scientifique de Splicos. Docteur en Pharmacologie Moléculaire, il a effectué ses études post doctorales à la Harvard Medical School puis à la Stanford University School of Medicine. Directeur de Recherches chez Entelos (Californie – USA) de 2000 à 2005, il a ensuite rejoint la Direction de la Recherche d’Astra-Zeneca en tant que Directeur Associé (Pathways Capability – Discovery Enabling Capabilities and Sciences) puis en tant que Directeur de la Recherche chez LFB Biotechnologies, où il dirigeait une équipe d’une cinquantaine de scientifiques en charge de développer le portefeuille de protéines thérapeutiques dans les domaines de l’oncologie, des maladies auto-immunes et de l’onco-hématologie. Il est l’auteur de nombreuses publications et de présentations dans le domaine de la biologie des systèmes appliqué à la recherche et au développement de nouveaux médicaments.</w:t>
      </w:r>
    </w:p>
    <w:p w14:paraId="4632E72F" w14:textId="77777777" w:rsidR="00B67A56" w:rsidRPr="00C73365" w:rsidRDefault="0045240E" w:rsidP="004572A0">
      <w:pPr>
        <w:pStyle w:val="Corpsdetexte"/>
        <w:rPr>
          <w:rFonts w:asciiTheme="minorHAnsi" w:hAnsiTheme="minorHAnsi" w:cstheme="minorHAnsi"/>
          <w:b/>
          <w:i/>
          <w:lang w:val="fr-FR"/>
        </w:rPr>
      </w:pPr>
      <w:r w:rsidRPr="00C73365">
        <w:rPr>
          <w:rFonts w:asciiTheme="minorHAnsi" w:hAnsiTheme="minorHAnsi" w:cstheme="minorHAnsi"/>
          <w:b/>
          <w:lang w:val="fr-FR"/>
        </w:rPr>
        <w:t>C</w:t>
      </w:r>
      <w:r w:rsidR="00B67A56" w:rsidRPr="00C73365">
        <w:rPr>
          <w:rFonts w:asciiTheme="minorHAnsi" w:hAnsiTheme="minorHAnsi" w:cstheme="minorHAnsi"/>
          <w:b/>
          <w:lang w:val="fr-FR"/>
        </w:rPr>
        <w:t>onseil d</w:t>
      </w:r>
      <w:r w:rsidR="004572A0" w:rsidRPr="00C73365">
        <w:rPr>
          <w:rFonts w:asciiTheme="minorHAnsi" w:hAnsiTheme="minorHAnsi" w:cstheme="minorHAnsi"/>
          <w:b/>
          <w:lang w:val="fr-FR"/>
        </w:rPr>
        <w:t>’</w:t>
      </w:r>
      <w:r w:rsidRPr="00C73365">
        <w:rPr>
          <w:rFonts w:asciiTheme="minorHAnsi" w:hAnsiTheme="minorHAnsi" w:cstheme="minorHAnsi"/>
          <w:b/>
          <w:lang w:val="fr-FR"/>
        </w:rPr>
        <w:t>A</w:t>
      </w:r>
      <w:r w:rsidR="00B67A56" w:rsidRPr="00C73365">
        <w:rPr>
          <w:rFonts w:asciiTheme="minorHAnsi" w:hAnsiTheme="minorHAnsi" w:cstheme="minorHAnsi"/>
          <w:b/>
          <w:lang w:val="fr-FR"/>
        </w:rPr>
        <w:t>dministration</w:t>
      </w:r>
      <w:r w:rsidRPr="00C73365">
        <w:rPr>
          <w:rFonts w:asciiTheme="minorHAnsi" w:hAnsiTheme="minorHAnsi" w:cstheme="minorHAnsi"/>
          <w:b/>
          <w:lang w:val="fr-FR"/>
        </w:rPr>
        <w:t xml:space="preserve"> : </w:t>
      </w:r>
    </w:p>
    <w:p w14:paraId="29DBCB1F" w14:textId="77777777" w:rsidR="00B67A56" w:rsidRPr="00C73365" w:rsidRDefault="00B67A56" w:rsidP="00B67A56">
      <w:pPr>
        <w:pStyle w:val="Paragraphedeliste"/>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Philippe Pouletty</w:t>
      </w:r>
      <w:r w:rsidRPr="00C73365">
        <w:rPr>
          <w:rFonts w:asciiTheme="minorHAnsi" w:hAnsiTheme="minorHAnsi" w:cstheme="minorHAnsi"/>
          <w:szCs w:val="20"/>
          <w:lang w:val="fr-FR"/>
        </w:rPr>
        <w:t>, MD, PhD, Président du Conseil d’Administration d’</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Directeur Général - Truffle Capital</w:t>
      </w:r>
    </w:p>
    <w:p w14:paraId="700C1DF4" w14:textId="77777777" w:rsidR="00B67A56" w:rsidRPr="00C73365" w:rsidRDefault="00B67A56" w:rsidP="00B67A56">
      <w:pPr>
        <w:pStyle w:val="Paragraphedeliste"/>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Joy Amundson</w:t>
      </w:r>
      <w:r w:rsidRPr="00C73365">
        <w:rPr>
          <w:rFonts w:asciiTheme="minorHAnsi" w:hAnsiTheme="minorHAnsi" w:cstheme="minorHAnsi"/>
          <w:szCs w:val="20"/>
          <w:lang w:val="fr-FR"/>
        </w:rPr>
        <w:t>, Ancienne Présidente de Baxter BioScience</w:t>
      </w:r>
    </w:p>
    <w:p w14:paraId="1BE6149A" w14:textId="77777777" w:rsidR="00B67A56" w:rsidRPr="00C73365" w:rsidRDefault="00B67A56" w:rsidP="00B67A56">
      <w:pPr>
        <w:pStyle w:val="Paragraphedeliste"/>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Claude Bertrand</w:t>
      </w:r>
      <w:r w:rsidRPr="00C73365">
        <w:rPr>
          <w:rFonts w:asciiTheme="minorHAnsi" w:hAnsiTheme="minorHAnsi" w:cstheme="minorHAnsi"/>
          <w:szCs w:val="20"/>
          <w:lang w:val="fr-FR"/>
        </w:rPr>
        <w:t>, Pharm.D, PhD, Directeur Général R&amp;D de Servier</w:t>
      </w:r>
    </w:p>
    <w:p w14:paraId="64B10E44" w14:textId="77777777" w:rsidR="00B67A56" w:rsidRPr="00C73365" w:rsidRDefault="00B67A56" w:rsidP="00B67A56">
      <w:pPr>
        <w:pStyle w:val="Paragraphedeliste"/>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Jean-Jacques Bertrand</w:t>
      </w:r>
      <w:r w:rsidRPr="00C73365">
        <w:rPr>
          <w:rFonts w:asciiTheme="minorHAnsi" w:hAnsiTheme="minorHAnsi" w:cstheme="minorHAnsi"/>
          <w:szCs w:val="20"/>
          <w:lang w:val="fr-FR"/>
        </w:rPr>
        <w:t>, Ancien Président du Conseil d’Administration de Pierre Fabre et Directeur Général d’Aventis Pasteur</w:t>
      </w:r>
    </w:p>
    <w:p w14:paraId="777D3AFD" w14:textId="77777777" w:rsidR="00B67A56" w:rsidRPr="00C73365" w:rsidRDefault="00B67A56" w:rsidP="00B67A56">
      <w:pPr>
        <w:pStyle w:val="Paragraphedeliste"/>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Dominique Costantini</w:t>
      </w:r>
      <w:r w:rsidRPr="00C73365">
        <w:rPr>
          <w:rFonts w:asciiTheme="minorHAnsi" w:hAnsiTheme="minorHAnsi" w:cstheme="minorHAnsi"/>
          <w:szCs w:val="20"/>
          <w:lang w:val="fr-FR"/>
        </w:rPr>
        <w:t>, MD, Directeur Général Ose Pharma, ancienne Dirigeante au sein d’Aventis Pharma</w:t>
      </w:r>
    </w:p>
    <w:p w14:paraId="1A4CF885" w14:textId="77777777" w:rsidR="00B67A56" w:rsidRPr="00C73365" w:rsidRDefault="00B67A56" w:rsidP="00B67A56">
      <w:pPr>
        <w:pStyle w:val="Paragraphedeliste"/>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Antonino Ligresti</w:t>
      </w:r>
      <w:r w:rsidRPr="00C73365">
        <w:rPr>
          <w:rFonts w:asciiTheme="minorHAnsi" w:hAnsiTheme="minorHAnsi" w:cstheme="minorHAnsi"/>
          <w:szCs w:val="20"/>
          <w:lang w:val="fr-FR"/>
        </w:rPr>
        <w:t>, MD, Ancien Président de Générale de Santé</w:t>
      </w:r>
    </w:p>
    <w:p w14:paraId="15E6BC7E" w14:textId="77777777" w:rsidR="00B67A56" w:rsidRPr="00C73365" w:rsidRDefault="00B67A56" w:rsidP="00B67A56">
      <w:pPr>
        <w:pStyle w:val="Paragraphedeliste"/>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Carol Brosgart</w:t>
      </w:r>
      <w:r w:rsidRPr="00C73365">
        <w:rPr>
          <w:rFonts w:asciiTheme="minorHAnsi" w:hAnsiTheme="minorHAnsi" w:cstheme="minorHAnsi"/>
          <w:szCs w:val="20"/>
          <w:lang w:val="fr-FR"/>
        </w:rPr>
        <w:t>, MD, Professeur de Médecine, Epidémiologie et Biostatistiques au sein de l’Université de Californie à San Francisco, ancienne Vice-Présidente Recherche Clinique de Gilead Sciences,</w:t>
      </w:r>
    </w:p>
    <w:p w14:paraId="4FD9EDC3" w14:textId="77777777" w:rsidR="00B67A56" w:rsidRPr="00C73365" w:rsidRDefault="00B67A56" w:rsidP="00B67A56">
      <w:pPr>
        <w:pStyle w:val="Paragraphedeliste"/>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Christian Pierret</w:t>
      </w:r>
      <w:r w:rsidRPr="00C73365">
        <w:rPr>
          <w:rFonts w:asciiTheme="minorHAnsi" w:hAnsiTheme="minorHAnsi" w:cstheme="minorHAnsi"/>
          <w:szCs w:val="20"/>
          <w:lang w:val="fr-FR"/>
        </w:rPr>
        <w:t>, Avocat Associé August Debouzy, ancien Ministre français de l’Industrie</w:t>
      </w:r>
    </w:p>
    <w:p w14:paraId="76833052" w14:textId="77777777" w:rsidR="00B67A56" w:rsidRPr="00C73365" w:rsidRDefault="00B67A56" w:rsidP="00B67A56">
      <w:pPr>
        <w:pStyle w:val="Paragraphedeliste"/>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Corinna Zur Bonsen-Thomas</w:t>
      </w:r>
      <w:r w:rsidRPr="00C73365">
        <w:rPr>
          <w:rFonts w:asciiTheme="minorHAnsi" w:hAnsiTheme="minorHAnsi" w:cstheme="minorHAnsi"/>
          <w:szCs w:val="20"/>
          <w:lang w:val="fr-FR"/>
        </w:rPr>
        <w:t>, Ancienne Directrice Juridique de Baxalta International</w:t>
      </w:r>
    </w:p>
    <w:p w14:paraId="21E1BBDE" w14:textId="77777777" w:rsidR="00B67A56" w:rsidRPr="001B34DD" w:rsidRDefault="00B67A56" w:rsidP="004572A0">
      <w:pPr>
        <w:pStyle w:val="Corpsdetexte"/>
        <w:rPr>
          <w:rFonts w:asciiTheme="minorHAnsi" w:hAnsiTheme="minorHAnsi" w:cstheme="minorHAnsi"/>
          <w:b/>
          <w:lang w:val="fr-FR"/>
        </w:rPr>
      </w:pPr>
      <w:r w:rsidRPr="001B34DD">
        <w:rPr>
          <w:rFonts w:asciiTheme="minorHAnsi" w:hAnsiTheme="minorHAnsi" w:cstheme="minorHAnsi"/>
          <w:b/>
          <w:lang w:val="fr-FR"/>
        </w:rPr>
        <w:t xml:space="preserve">Comité scientifique : </w:t>
      </w:r>
    </w:p>
    <w:p w14:paraId="6BF0F3B6" w14:textId="77777777" w:rsidR="00B67A56" w:rsidRPr="001B34DD" w:rsidRDefault="00B67A56" w:rsidP="00B67A56">
      <w:pPr>
        <w:pStyle w:val="Paragraphedeliste"/>
        <w:numPr>
          <w:ilvl w:val="0"/>
          <w:numId w:val="36"/>
        </w:numPr>
        <w:rPr>
          <w:rFonts w:asciiTheme="minorHAnsi" w:hAnsiTheme="minorHAnsi" w:cstheme="minorHAnsi"/>
          <w:b/>
          <w:szCs w:val="20"/>
          <w:lang w:val="fr-FR"/>
        </w:rPr>
      </w:pPr>
      <w:r w:rsidRPr="001B34DD">
        <w:rPr>
          <w:rFonts w:asciiTheme="minorHAnsi" w:hAnsiTheme="minorHAnsi" w:cstheme="minorHAnsi"/>
          <w:b/>
          <w:szCs w:val="20"/>
          <w:lang w:val="fr-FR"/>
        </w:rPr>
        <w:t>Prof. Luc Teyton M.D., Ph.D</w:t>
      </w:r>
      <w:r w:rsidRPr="001B34DD">
        <w:rPr>
          <w:rFonts w:asciiTheme="minorHAnsi" w:hAnsiTheme="minorHAnsi" w:cstheme="minorHAnsi"/>
          <w:szCs w:val="20"/>
          <w:lang w:val="fr-FR"/>
        </w:rPr>
        <w:t>., directeur du département d</w:t>
      </w:r>
      <w:r w:rsidR="004572A0" w:rsidRPr="001B34DD">
        <w:rPr>
          <w:rFonts w:asciiTheme="minorHAnsi" w:hAnsiTheme="minorHAnsi" w:cstheme="minorHAnsi"/>
          <w:szCs w:val="20"/>
          <w:lang w:val="fr-FR"/>
        </w:rPr>
        <w:t>’</w:t>
      </w:r>
      <w:r w:rsidRPr="001B34DD">
        <w:rPr>
          <w:rFonts w:asciiTheme="minorHAnsi" w:hAnsiTheme="minorHAnsi" w:cstheme="minorHAnsi"/>
          <w:szCs w:val="20"/>
          <w:lang w:val="fr-FR"/>
        </w:rPr>
        <w:t>immunologie du Scripps Research Institute, à La Jolla, États-Unis (président du comité scientifique)</w:t>
      </w:r>
    </w:p>
    <w:p w14:paraId="15C27293" w14:textId="77777777" w:rsidR="00B67A56" w:rsidRPr="001B34DD" w:rsidRDefault="00B67A56" w:rsidP="00B67A56">
      <w:pPr>
        <w:pStyle w:val="Paragraphedeliste"/>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Christoph Huber, M.D., </w:t>
      </w:r>
      <w:r w:rsidRPr="001B34DD">
        <w:rPr>
          <w:rFonts w:asciiTheme="minorHAnsi" w:hAnsiTheme="minorHAnsi" w:cstheme="minorHAnsi"/>
          <w:szCs w:val="20"/>
          <w:lang w:val="fr-FR"/>
        </w:rPr>
        <w:t>ex-directeur, département d’hématologie-oncologie de l’Université de Mayence, co-fondateur et membre du conseil d’administration de BioNtech, Mayence, Allemagne</w:t>
      </w:r>
    </w:p>
    <w:p w14:paraId="5FB222C7" w14:textId="77777777" w:rsidR="00B67A56" w:rsidRPr="001B34DD" w:rsidRDefault="00B67A56" w:rsidP="00B67A56">
      <w:pPr>
        <w:pStyle w:val="Paragraphedeliste"/>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Dr. Jean-Paul Prieels</w:t>
      </w:r>
      <w:r w:rsidRPr="001B34DD">
        <w:rPr>
          <w:rFonts w:asciiTheme="minorHAnsi" w:hAnsiTheme="minorHAnsi" w:cstheme="minorHAnsi"/>
          <w:szCs w:val="20"/>
          <w:lang w:val="fr-FR"/>
        </w:rPr>
        <w:t>, ancien vice-président de la R&amp;D de GSK Biologics, à Rixensart, Belgique</w:t>
      </w:r>
    </w:p>
    <w:p w14:paraId="4FED2108" w14:textId="77777777" w:rsidR="00B67A56" w:rsidRPr="001B34DD" w:rsidRDefault="00B67A56" w:rsidP="00B67A56">
      <w:pPr>
        <w:pStyle w:val="Paragraphedeliste"/>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Lawrence Stanberry, M.D., Ph.D., </w:t>
      </w:r>
      <w:r w:rsidRPr="001B34DD">
        <w:rPr>
          <w:rFonts w:asciiTheme="minorHAnsi" w:hAnsiTheme="minorHAnsi" w:cstheme="minorHAnsi"/>
          <w:szCs w:val="20"/>
          <w:lang w:val="fr-FR"/>
        </w:rPr>
        <w:t>directeur du département de pédiatrie du Collège des médecins et chirurgiens de l</w:t>
      </w:r>
      <w:r w:rsidR="004572A0" w:rsidRPr="001B34DD">
        <w:rPr>
          <w:rFonts w:asciiTheme="minorHAnsi" w:hAnsiTheme="minorHAnsi" w:cstheme="minorHAnsi"/>
          <w:szCs w:val="20"/>
          <w:lang w:val="fr-FR"/>
        </w:rPr>
        <w:t>’</w:t>
      </w:r>
      <w:r w:rsidRPr="001B34DD">
        <w:rPr>
          <w:rFonts w:asciiTheme="minorHAnsi" w:hAnsiTheme="minorHAnsi" w:cstheme="minorHAnsi"/>
          <w:szCs w:val="20"/>
          <w:lang w:val="fr-FR"/>
        </w:rPr>
        <w:t>Université Columbia, à New York, États-Unis</w:t>
      </w:r>
    </w:p>
    <w:p w14:paraId="57190998" w14:textId="77777777" w:rsidR="00B67A56" w:rsidRPr="001B34DD" w:rsidRDefault="00B67A56" w:rsidP="00B67A56">
      <w:pPr>
        <w:pStyle w:val="Paragraphedeliste"/>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Jamal Tazi, PhD, </w:t>
      </w:r>
      <w:r w:rsidRPr="001B34DD">
        <w:rPr>
          <w:rFonts w:asciiTheme="minorHAnsi" w:hAnsiTheme="minorHAnsi" w:cstheme="minorHAnsi"/>
          <w:szCs w:val="20"/>
          <w:lang w:val="fr-FR"/>
        </w:rPr>
        <w:t>directeur du département de génétique moléculaire, CNRS et Université de Montpellier, France</w:t>
      </w:r>
    </w:p>
    <w:p w14:paraId="7691F650" w14:textId="77777777" w:rsidR="00B67A56" w:rsidRPr="001B34DD" w:rsidRDefault="00B67A56" w:rsidP="00B67A56">
      <w:pPr>
        <w:pStyle w:val="Paragraphedeliste"/>
        <w:numPr>
          <w:ilvl w:val="0"/>
          <w:numId w:val="36"/>
        </w:numPr>
        <w:rPr>
          <w:rFonts w:asciiTheme="minorHAnsi" w:hAnsiTheme="minorHAnsi" w:cstheme="minorHAnsi"/>
          <w:b/>
          <w:szCs w:val="20"/>
          <w:lang w:val="fr-FR"/>
        </w:rPr>
      </w:pPr>
      <w:r w:rsidRPr="001B34DD">
        <w:rPr>
          <w:rFonts w:asciiTheme="minorHAnsi" w:hAnsiTheme="minorHAnsi" w:cstheme="minorHAnsi"/>
          <w:b/>
          <w:szCs w:val="20"/>
          <w:lang w:val="fr-FR"/>
        </w:rPr>
        <w:t xml:space="preserve">Prof. Christian Trepo, M.D., Ph.D., </w:t>
      </w:r>
      <w:r w:rsidRPr="001B34DD">
        <w:rPr>
          <w:rFonts w:asciiTheme="minorHAnsi" w:hAnsiTheme="minorHAnsi" w:cstheme="minorHAnsi"/>
          <w:szCs w:val="20"/>
          <w:lang w:val="fr-FR"/>
        </w:rPr>
        <w:t>département d’hépato-gastroentérologie, à l’Hôpital universitaire de Lyon et ancien directeur de l’unité de recherche sur l’hépatite à l’INSERM, à Lyon, France</w:t>
      </w:r>
    </w:p>
    <w:p w14:paraId="58A3630E" w14:textId="77777777" w:rsidR="00B67A56" w:rsidRPr="001B34DD" w:rsidRDefault="00B67A56" w:rsidP="00B67A56">
      <w:pPr>
        <w:pStyle w:val="Paragraphedeliste"/>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Christian Bréchot, M.D., Ph.D., </w:t>
      </w:r>
      <w:r w:rsidRPr="001B34DD">
        <w:rPr>
          <w:rFonts w:asciiTheme="minorHAnsi" w:hAnsiTheme="minorHAnsi" w:cstheme="minorHAnsi"/>
          <w:szCs w:val="20"/>
          <w:lang w:val="fr-FR"/>
        </w:rPr>
        <w:t>ancien directeur général de l’Institut Pasteur, à Paris, France</w:t>
      </w:r>
    </w:p>
    <w:p w14:paraId="0F1C0401" w14:textId="77777777" w:rsidR="00B67A56" w:rsidRPr="001B34DD" w:rsidRDefault="00B67A56" w:rsidP="00B67A56">
      <w:pPr>
        <w:pStyle w:val="Paragraphedeliste"/>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lastRenderedPageBreak/>
        <w:t xml:space="preserve">Prof. Ian McGowan, M.D., Ph.D., </w:t>
      </w:r>
      <w:r w:rsidRPr="001B34DD">
        <w:rPr>
          <w:rFonts w:asciiTheme="minorHAnsi" w:hAnsiTheme="minorHAnsi" w:cstheme="minorHAnsi"/>
          <w:szCs w:val="20"/>
          <w:lang w:val="fr-FR"/>
        </w:rPr>
        <w:t>département de gastroentérologie, hépatologie et nutrition à la faculté de médecine de l’Université de Pittsburg aux Etats-Unis et ancien président du comité consultatif de la FDA sur les médicaments antiviraux</w:t>
      </w:r>
    </w:p>
    <w:p w14:paraId="40D24DC4" w14:textId="77777777" w:rsidR="001E5FAB" w:rsidRPr="00C73365" w:rsidRDefault="001E5FAB" w:rsidP="007A1897">
      <w:pPr>
        <w:pStyle w:val="ConmainL2"/>
        <w:numPr>
          <w:ilvl w:val="1"/>
          <w:numId w:val="9"/>
        </w:numPr>
        <w:spacing w:after="120"/>
        <w:rPr>
          <w:rFonts w:asciiTheme="minorHAnsi" w:hAnsiTheme="minorHAnsi" w:cstheme="minorHAnsi"/>
          <w:sz w:val="22"/>
          <w:szCs w:val="22"/>
          <w:lang w:val="fr-FR"/>
        </w:rPr>
      </w:pPr>
      <w:bookmarkStart w:id="318" w:name="_Toc510548413"/>
      <w:r w:rsidRPr="00C73365">
        <w:rPr>
          <w:rFonts w:asciiTheme="minorHAnsi" w:hAnsiTheme="minorHAnsi" w:cstheme="minorHAnsi"/>
          <w:sz w:val="22"/>
          <w:szCs w:val="22"/>
          <w:lang w:val="fr-FR"/>
        </w:rPr>
        <w:t>Situation juridique de la Société durant l’exercice écoulé</w:t>
      </w:r>
      <w:bookmarkEnd w:id="318"/>
    </w:p>
    <w:p w14:paraId="5EFE22E8" w14:textId="77777777" w:rsidR="000422F4"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Contrat de liquidité</w:t>
      </w:r>
    </w:p>
    <w:p w14:paraId="568DFBCA" w14:textId="77777777" w:rsidR="001E5FAB" w:rsidRPr="00C73365" w:rsidRDefault="001E5FAB" w:rsidP="004572A0">
      <w:pPr>
        <w:pStyle w:val="Corpsdetexte"/>
        <w:rPr>
          <w:rFonts w:asciiTheme="minorHAnsi" w:hAnsiTheme="minorHAnsi" w:cstheme="minorHAnsi"/>
          <w:lang w:val="fr-FR"/>
        </w:rPr>
      </w:pPr>
      <w:r w:rsidRPr="00C73365">
        <w:rPr>
          <w:rFonts w:asciiTheme="minorHAnsi" w:hAnsiTheme="minorHAnsi" w:cstheme="minorHAnsi"/>
          <w:lang w:val="fr-FR"/>
        </w:rPr>
        <w:t>A partir du 26 juin 2015 et pour une durée d’un an renouvelable par tacite reconduction, la Société a confié la mise en œuvre d’un contrat de liquidité d’un montant de 1.000.000 euros à la société Tradition Securities and Futures.</w:t>
      </w:r>
    </w:p>
    <w:p w14:paraId="20016899" w14:textId="77777777" w:rsidR="001E5FAB" w:rsidRPr="00C73365" w:rsidRDefault="001E5FAB" w:rsidP="004572A0">
      <w:pPr>
        <w:pStyle w:val="Corpsdetexte"/>
        <w:rPr>
          <w:rFonts w:asciiTheme="minorHAnsi" w:hAnsiTheme="minorHAnsi" w:cstheme="minorHAnsi"/>
          <w:lang w:val="fr-FR"/>
        </w:rPr>
      </w:pPr>
      <w:r w:rsidRPr="00C73365">
        <w:rPr>
          <w:rFonts w:asciiTheme="minorHAnsi" w:hAnsiTheme="minorHAnsi" w:cstheme="minorHAnsi"/>
          <w:lang w:val="fr-FR"/>
        </w:rPr>
        <w:t>Ce contrat de liquidité en date du 25 juin 2015 a été établi conformément aux dispositions prévues par le cadre juridique en vigueur et notamment les dispositions du règlement européen 2273/2003 du 22 décembre 2003, des dispositions des articles L225-209 et suivants du Code de commerce, les dispositions du Règlement Général de l’Autorité des Marchés Financiers, de la décision AMF du 21 mars 2011 et est également conforme à la Charte de déontologie modifiée par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Association des Marchés financiers le 8 mars 2011. </w:t>
      </w:r>
    </w:p>
    <w:p w14:paraId="711684DA" w14:textId="77777777" w:rsidR="001E5FAB" w:rsidRPr="00C73365" w:rsidRDefault="001E5FA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Au 31 décembre </w:t>
      </w:r>
      <w:r w:rsidR="00ED01B4" w:rsidRPr="00C73365">
        <w:rPr>
          <w:rFonts w:asciiTheme="minorHAnsi" w:hAnsiTheme="minorHAnsi" w:cstheme="minorHAnsi"/>
          <w:lang w:val="fr-FR"/>
        </w:rPr>
        <w:t>2017</w:t>
      </w:r>
      <w:r w:rsidRPr="00C73365">
        <w:rPr>
          <w:rFonts w:asciiTheme="minorHAnsi" w:hAnsiTheme="minorHAnsi" w:cstheme="minorHAnsi"/>
          <w:lang w:val="fr-FR"/>
        </w:rPr>
        <w:t>, le nombre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actions propres détenues dans le cadre du contrat de liquidité était de </w:t>
      </w:r>
      <w:r w:rsidR="00ED01B4" w:rsidRPr="00C73365">
        <w:rPr>
          <w:rFonts w:asciiTheme="minorHAnsi" w:hAnsiTheme="minorHAnsi" w:cstheme="minorHAnsi"/>
          <w:lang w:val="fr-FR"/>
        </w:rPr>
        <w:t>34</w:t>
      </w:r>
      <w:r w:rsidRPr="00C73365">
        <w:rPr>
          <w:rFonts w:asciiTheme="minorHAnsi" w:hAnsiTheme="minorHAnsi" w:cstheme="minorHAnsi"/>
          <w:lang w:val="fr-FR"/>
        </w:rPr>
        <w:t>.</w:t>
      </w:r>
      <w:r w:rsidR="00ED01B4" w:rsidRPr="00C73365">
        <w:rPr>
          <w:rFonts w:asciiTheme="minorHAnsi" w:hAnsiTheme="minorHAnsi" w:cstheme="minorHAnsi"/>
          <w:lang w:val="fr-FR"/>
        </w:rPr>
        <w:t xml:space="preserve">050 </w:t>
      </w:r>
      <w:r w:rsidRPr="00C73365">
        <w:rPr>
          <w:rFonts w:asciiTheme="minorHAnsi" w:hAnsiTheme="minorHAnsi" w:cstheme="minorHAnsi"/>
          <w:lang w:val="fr-FR"/>
        </w:rPr>
        <w:t xml:space="preserve">actions acquises pour une valeur de </w:t>
      </w:r>
      <w:r w:rsidR="00AD2C40" w:rsidRPr="00C73365">
        <w:rPr>
          <w:rFonts w:asciiTheme="minorHAnsi" w:hAnsiTheme="minorHAnsi" w:cstheme="minorHAnsi"/>
          <w:lang w:val="fr-FR"/>
        </w:rPr>
        <w:t>384 992</w:t>
      </w:r>
      <w:r w:rsidRPr="00C73365">
        <w:rPr>
          <w:rFonts w:asciiTheme="minorHAnsi" w:hAnsiTheme="minorHAnsi" w:cstheme="minorHAnsi"/>
          <w:lang w:val="fr-FR"/>
        </w:rPr>
        <w:t>€.</w:t>
      </w:r>
      <w:r w:rsidR="001E4164" w:rsidRPr="00C73365">
        <w:rPr>
          <w:rFonts w:asciiTheme="minorHAnsi" w:hAnsiTheme="minorHAnsi" w:cstheme="minorHAnsi"/>
          <w:lang w:val="fr-FR"/>
        </w:rPr>
        <w:t xml:space="preserve"> </w:t>
      </w:r>
      <w:r w:rsidRPr="00C73365">
        <w:rPr>
          <w:rFonts w:asciiTheme="minorHAnsi" w:hAnsiTheme="minorHAnsi" w:cstheme="minorHAnsi"/>
          <w:lang w:val="fr-FR"/>
        </w:rPr>
        <w:t xml:space="preserve">Aucune dépréciation n’a été constatée au 31 Décembre </w:t>
      </w:r>
      <w:r w:rsidR="00ED01B4" w:rsidRPr="00C73365">
        <w:rPr>
          <w:rFonts w:asciiTheme="minorHAnsi" w:hAnsiTheme="minorHAnsi" w:cstheme="minorHAnsi"/>
          <w:lang w:val="fr-FR"/>
        </w:rPr>
        <w:t xml:space="preserve">2017 </w:t>
      </w:r>
      <w:r w:rsidRPr="00C73365">
        <w:rPr>
          <w:rFonts w:asciiTheme="minorHAnsi" w:hAnsiTheme="minorHAnsi" w:cstheme="minorHAnsi"/>
          <w:lang w:val="fr-FR"/>
        </w:rPr>
        <w:t>concernant les titres auto-détenus. Le solde du contrat de liquidité s’élevait au 31/12/</w:t>
      </w:r>
      <w:r w:rsidR="00ED01B4" w:rsidRPr="00C73365">
        <w:rPr>
          <w:rFonts w:asciiTheme="minorHAnsi" w:hAnsiTheme="minorHAnsi" w:cstheme="minorHAnsi"/>
          <w:lang w:val="fr-FR"/>
        </w:rPr>
        <w:t xml:space="preserve">2017 </w:t>
      </w:r>
      <w:r w:rsidRPr="00C73365">
        <w:rPr>
          <w:rFonts w:asciiTheme="minorHAnsi" w:hAnsiTheme="minorHAnsi" w:cstheme="minorHAnsi"/>
          <w:lang w:val="fr-FR"/>
        </w:rPr>
        <w:t xml:space="preserve">à </w:t>
      </w:r>
      <w:r w:rsidR="00ED01B4" w:rsidRPr="00C73365">
        <w:rPr>
          <w:rFonts w:asciiTheme="minorHAnsi" w:hAnsiTheme="minorHAnsi" w:cstheme="minorHAnsi"/>
          <w:lang w:val="fr-FR"/>
        </w:rPr>
        <w:t>336 617,93</w:t>
      </w:r>
      <w:r w:rsidR="00AD2C40" w:rsidRPr="00C73365">
        <w:rPr>
          <w:rFonts w:asciiTheme="minorHAnsi" w:hAnsiTheme="minorHAnsi" w:cstheme="minorHAnsi"/>
          <w:lang w:val="fr-FR"/>
        </w:rPr>
        <w:t xml:space="preserve"> </w:t>
      </w:r>
      <w:r w:rsidR="001E4164" w:rsidRPr="00C73365">
        <w:rPr>
          <w:rFonts w:asciiTheme="minorHAnsi" w:hAnsiTheme="minorHAnsi" w:cstheme="minorHAnsi"/>
          <w:lang w:val="fr-FR"/>
        </w:rPr>
        <w:t>€.</w:t>
      </w:r>
    </w:p>
    <w:p w14:paraId="07F3A625" w14:textId="77777777" w:rsidR="001E5FAB"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Augmentation du capital social</w:t>
      </w:r>
    </w:p>
    <w:p w14:paraId="2939922A" w14:textId="77777777" w:rsidR="001E5FAB" w:rsidRPr="00C73365" w:rsidRDefault="00277D7C" w:rsidP="004572A0">
      <w:pPr>
        <w:pStyle w:val="Corpsdetexte"/>
        <w:rPr>
          <w:rFonts w:asciiTheme="minorHAnsi" w:hAnsiTheme="minorHAnsi" w:cstheme="minorHAnsi"/>
          <w:lang w:val="fr-FR"/>
        </w:rPr>
      </w:pPr>
      <w:r w:rsidRPr="00C73365">
        <w:rPr>
          <w:rFonts w:asciiTheme="minorHAnsi" w:hAnsiTheme="minorHAnsi" w:cstheme="minorHAnsi"/>
          <w:lang w:val="fr-FR"/>
        </w:rPr>
        <w:t>Se référer au paragraphe 21.1</w:t>
      </w:r>
      <w:r w:rsidR="005C789C" w:rsidRPr="00C73365">
        <w:rPr>
          <w:rFonts w:asciiTheme="minorHAnsi" w:hAnsiTheme="minorHAnsi" w:cstheme="minorHAnsi"/>
          <w:lang w:val="fr-FR"/>
        </w:rPr>
        <w:t xml:space="preserve">.7 </w:t>
      </w:r>
      <w:r w:rsidRPr="00C73365">
        <w:rPr>
          <w:rFonts w:asciiTheme="minorHAnsi" w:hAnsiTheme="minorHAnsi" w:cstheme="minorHAnsi"/>
          <w:lang w:val="fr-FR"/>
        </w:rPr>
        <w:t>du présent document de référence.</w:t>
      </w:r>
    </w:p>
    <w:p w14:paraId="20A91BFE" w14:textId="77777777" w:rsidR="001E5FAB"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Emission d</w:t>
      </w:r>
      <w:r w:rsidR="004572A0" w:rsidRPr="00C73365">
        <w:rPr>
          <w:rFonts w:asciiTheme="minorHAnsi" w:hAnsiTheme="minorHAnsi" w:cstheme="minorHAnsi"/>
          <w:b/>
          <w:color w:val="7030A0"/>
          <w:lang w:val="fr-FR"/>
        </w:rPr>
        <w:t>’</w:t>
      </w:r>
      <w:r w:rsidRPr="00C73365">
        <w:rPr>
          <w:rFonts w:asciiTheme="minorHAnsi" w:hAnsiTheme="minorHAnsi" w:cstheme="minorHAnsi"/>
          <w:b/>
          <w:color w:val="7030A0"/>
          <w:lang w:val="fr-FR"/>
        </w:rPr>
        <w:t xml:space="preserve">instruments financiers dilutifs </w:t>
      </w:r>
    </w:p>
    <w:p w14:paraId="12A3A4BC" w14:textId="77777777" w:rsidR="00277D7C" w:rsidRPr="00C73365" w:rsidRDefault="00277D7C" w:rsidP="004572A0">
      <w:pPr>
        <w:pStyle w:val="Corpsdetexte"/>
        <w:rPr>
          <w:rFonts w:asciiTheme="minorHAnsi" w:hAnsiTheme="minorHAnsi" w:cstheme="minorHAnsi"/>
          <w:lang w:val="fr-FR"/>
        </w:rPr>
      </w:pPr>
      <w:r w:rsidRPr="00C73365">
        <w:rPr>
          <w:rFonts w:asciiTheme="minorHAnsi" w:hAnsiTheme="minorHAnsi" w:cstheme="minorHAnsi"/>
          <w:lang w:val="fr-FR"/>
        </w:rPr>
        <w:t>Se référer au paragraphe 21.1.5 du présent document de référence.</w:t>
      </w:r>
    </w:p>
    <w:p w14:paraId="2AF38263" w14:textId="77777777" w:rsidR="001E5FAB" w:rsidRPr="00C73365" w:rsidRDefault="001E5FAB" w:rsidP="00A96CCA">
      <w:pPr>
        <w:rPr>
          <w:rFonts w:asciiTheme="minorHAnsi" w:hAnsiTheme="minorHAnsi" w:cstheme="minorHAnsi"/>
          <w:szCs w:val="20"/>
          <w:highlight w:val="yellow"/>
          <w:lang w:val="fr-FR"/>
        </w:rPr>
      </w:pPr>
    </w:p>
    <w:p w14:paraId="5ADDCB62" w14:textId="77777777" w:rsidR="00136669" w:rsidRPr="00C73365" w:rsidRDefault="00136669">
      <w:pPr>
        <w:spacing w:after="160" w:line="259" w:lineRule="auto"/>
        <w:rPr>
          <w:rFonts w:asciiTheme="minorHAnsi" w:hAnsiTheme="minorHAnsi" w:cstheme="minorHAnsi"/>
          <w:szCs w:val="20"/>
          <w:lang w:val="fr-FR"/>
        </w:rPr>
      </w:pPr>
      <w:r w:rsidRPr="00C73365">
        <w:rPr>
          <w:rFonts w:asciiTheme="minorHAnsi" w:hAnsiTheme="minorHAnsi" w:cstheme="minorHAnsi"/>
          <w:szCs w:val="20"/>
          <w:lang w:val="fr-FR"/>
        </w:rPr>
        <w:br w:type="page"/>
      </w:r>
    </w:p>
    <w:p w14:paraId="09D04A05" w14:textId="77777777" w:rsidR="00136669" w:rsidRPr="00C73365" w:rsidRDefault="00136669" w:rsidP="00136669">
      <w:pPr>
        <w:pStyle w:val="ConmainL2"/>
        <w:numPr>
          <w:ilvl w:val="1"/>
          <w:numId w:val="9"/>
        </w:numPr>
        <w:spacing w:after="120"/>
        <w:rPr>
          <w:rFonts w:asciiTheme="minorHAnsi" w:hAnsiTheme="minorHAnsi" w:cstheme="minorHAnsi"/>
          <w:lang w:val="fr-FR"/>
        </w:rPr>
      </w:pPr>
      <w:bookmarkStart w:id="319" w:name="_Toc475457013"/>
      <w:bookmarkStart w:id="320" w:name="_Toc508786496"/>
      <w:bookmarkStart w:id="321" w:name="_Toc510548414"/>
      <w:r w:rsidRPr="00C73365">
        <w:rPr>
          <w:rFonts w:asciiTheme="minorHAnsi" w:hAnsiTheme="minorHAnsi" w:cstheme="minorHAnsi"/>
          <w:lang w:val="fr-FR"/>
        </w:rPr>
        <w:lastRenderedPageBreak/>
        <w:t>Politique de la Société en matière de responsabilité environnementale, sociale et sociétale</w:t>
      </w:r>
      <w:bookmarkEnd w:id="319"/>
      <w:bookmarkEnd w:id="320"/>
      <w:bookmarkEnd w:id="321"/>
      <w:r w:rsidRPr="00C73365">
        <w:rPr>
          <w:rFonts w:asciiTheme="minorHAnsi" w:hAnsiTheme="minorHAnsi" w:cstheme="minorHAnsi"/>
          <w:lang w:val="fr-FR"/>
        </w:rPr>
        <w:t xml:space="preserve"> </w:t>
      </w:r>
    </w:p>
    <w:p w14:paraId="16B44602" w14:textId="77777777" w:rsidR="00136669" w:rsidRPr="00C73365" w:rsidRDefault="00136669" w:rsidP="00136669">
      <w:pPr>
        <w:pStyle w:val="Paragraphedeliste"/>
        <w:numPr>
          <w:ilvl w:val="2"/>
          <w:numId w:val="9"/>
        </w:numPr>
        <w:outlineLvl w:val="2"/>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Politique générale en matière d’environnement</w:t>
      </w:r>
    </w:p>
    <w:p w14:paraId="1CEE8A4E"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activités de la Société se déroulent dans des bureaux et des laboratoires dont les propriétaires et opérateurs (Sogelym - Dixence pour le siège situé au 5, rue de la Baume 75008, au CNRS-Campus Languedoc Roussillon pour le laboratoire de recherche et développement de Montpellier) sont rigoureux sur les impacts environnementaux des activités qui se déroulent sur les sites qu’ils gèrent.</w:t>
      </w:r>
    </w:p>
    <w:p w14:paraId="063C8212"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activités de Recherche et Développement sont encadrées par une réglementation stricte qui vise entre autres à éviter des contaminations environnementales et la Société applique cette réglementation.</w:t>
      </w:r>
    </w:p>
    <w:p w14:paraId="5A5694B3"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Compte tenu de la nature des activités et de la taille de la Société, il n’existe toutefois pas de service interne de gestion de l’environnement. La Société n’est pas soumise à des procédures de certification spécifiquement environnementales. Il n’existe pas de provisions et garanties pour risques en matière d’environnement. La Société n’a pas versé d’indemnité au cours de l’exercice en exécution d’une décision judiciaire en matière d</w:t>
      </w:r>
      <w:r w:rsidR="004572A0" w:rsidRPr="00C73365">
        <w:rPr>
          <w:rFonts w:asciiTheme="minorHAnsi" w:hAnsiTheme="minorHAnsi" w:cstheme="minorHAnsi"/>
          <w:lang w:val="fr-FR"/>
        </w:rPr>
        <w:t>’</w:t>
      </w:r>
      <w:r w:rsidRPr="00C73365">
        <w:rPr>
          <w:rFonts w:asciiTheme="minorHAnsi" w:hAnsiTheme="minorHAnsi" w:cstheme="minorHAnsi"/>
          <w:lang w:val="fr-FR"/>
        </w:rPr>
        <w:t>environnement.</w:t>
      </w:r>
    </w:p>
    <w:p w14:paraId="46937EA7"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Toute personne localisée sur le site de Montpellier, reçoit à son arrivée une formation par le CNRS afin de les sensibiliser sur une problématique environnementale. </w:t>
      </w:r>
    </w:p>
    <w:p w14:paraId="236EAE87"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mettra en œuvre en fonction des besoins tous les moyens nécessaires à la prévention des risques environnementaux et des pollutions. Au cours de l’année 2017, la Société n’a pas eu besoin de déployer des moyens au vue de la prévention des risques environnementaux et des pollutions.</w:t>
      </w:r>
    </w:p>
    <w:p w14:paraId="682A2D0F" w14:textId="77777777"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 xml:space="preserve">Pollution et gestion des déchets </w:t>
      </w:r>
    </w:p>
    <w:p w14:paraId="350F853F"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activités de recherche et développement sous-traitées ou réalisées par la Société peuvent impliquer le stockage, l</w:t>
      </w:r>
      <w:r w:rsidR="004572A0" w:rsidRPr="00C73365">
        <w:rPr>
          <w:rFonts w:asciiTheme="minorHAnsi" w:hAnsiTheme="minorHAnsi" w:cstheme="minorHAnsi"/>
          <w:lang w:val="fr-FR"/>
        </w:rPr>
        <w:t>’</w:t>
      </w:r>
      <w:r w:rsidRPr="00C73365">
        <w:rPr>
          <w:rFonts w:asciiTheme="minorHAnsi" w:hAnsiTheme="minorHAnsi" w:cstheme="minorHAnsi"/>
          <w:lang w:val="fr-FR"/>
        </w:rPr>
        <w:t>utilisation et l</w:t>
      </w:r>
      <w:r w:rsidR="004572A0" w:rsidRPr="00C73365">
        <w:rPr>
          <w:rFonts w:asciiTheme="minorHAnsi" w:hAnsiTheme="minorHAnsi" w:cstheme="minorHAnsi"/>
          <w:lang w:val="fr-FR"/>
        </w:rPr>
        <w:t>’</w:t>
      </w:r>
      <w:r w:rsidRPr="00C73365">
        <w:rPr>
          <w:rFonts w:asciiTheme="minorHAnsi" w:hAnsiTheme="minorHAnsi" w:cstheme="minorHAnsi"/>
          <w:lang w:val="fr-FR"/>
        </w:rPr>
        <w:t>élimination de produits dangereux et biologiques et se traduise par des émissions de gaz à effet de serre et d’agents chimiques notamment concourant à l</w:t>
      </w:r>
      <w:r w:rsidR="004572A0" w:rsidRPr="00C73365">
        <w:rPr>
          <w:rFonts w:asciiTheme="minorHAnsi" w:hAnsiTheme="minorHAnsi" w:cstheme="minorHAnsi"/>
          <w:lang w:val="fr-FR"/>
        </w:rPr>
        <w:t>’</w:t>
      </w:r>
      <w:r w:rsidRPr="00C73365">
        <w:rPr>
          <w:rFonts w:asciiTheme="minorHAnsi" w:hAnsiTheme="minorHAnsi" w:cstheme="minorHAnsi"/>
          <w:lang w:val="fr-FR"/>
        </w:rPr>
        <w:t>acidification de l’eau, de l</w:t>
      </w:r>
      <w:r w:rsidR="004572A0" w:rsidRPr="00C73365">
        <w:rPr>
          <w:rFonts w:asciiTheme="minorHAnsi" w:hAnsiTheme="minorHAnsi" w:cstheme="minorHAnsi"/>
          <w:lang w:val="fr-FR"/>
        </w:rPr>
        <w:t>’</w:t>
      </w:r>
      <w:r w:rsidRPr="00C73365">
        <w:rPr>
          <w:rFonts w:asciiTheme="minorHAnsi" w:hAnsiTheme="minorHAnsi" w:cstheme="minorHAnsi"/>
          <w:lang w:val="fr-FR"/>
        </w:rPr>
        <w:t>air et des sols. Ces impacts restent dans les limites autorisées par la règlementation applicable.</w:t>
      </w:r>
    </w:p>
    <w:p w14:paraId="2F7791D6"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Etant entendu que le laboratoire de Montpellier est réservé à la manipulation de produits biologiques et chimiques dans le cadre des activités de Recherche et Développement de la Société, des précautions de manipulation et recyclage de déchets ont été mises en œuvre de manière à ce qu’aucun rejet significatif dans l</w:t>
      </w:r>
      <w:r w:rsidR="004572A0" w:rsidRPr="00C73365">
        <w:rPr>
          <w:rFonts w:asciiTheme="minorHAnsi" w:hAnsiTheme="minorHAnsi" w:cstheme="minorHAnsi"/>
          <w:lang w:val="fr-FR"/>
        </w:rPr>
        <w:t>’</w:t>
      </w:r>
      <w:r w:rsidRPr="00C73365">
        <w:rPr>
          <w:rFonts w:asciiTheme="minorHAnsi" w:hAnsiTheme="minorHAnsi" w:cstheme="minorHAnsi"/>
          <w:lang w:val="fr-FR"/>
        </w:rPr>
        <w:t>air, dans l’eau ou dans les sols ne soit susceptible d’affecter gravement l’environnement.</w:t>
      </w:r>
    </w:p>
    <w:p w14:paraId="19229151"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De même, il n</w:t>
      </w:r>
      <w:r w:rsidR="004572A0" w:rsidRPr="00C73365">
        <w:rPr>
          <w:rFonts w:asciiTheme="minorHAnsi" w:hAnsiTheme="minorHAnsi" w:cstheme="minorHAnsi"/>
          <w:lang w:val="fr-FR"/>
        </w:rPr>
        <w:t>’</w:t>
      </w:r>
      <w:r w:rsidRPr="00C73365">
        <w:rPr>
          <w:rFonts w:asciiTheme="minorHAnsi" w:hAnsiTheme="minorHAnsi" w:cstheme="minorHAnsi"/>
          <w:lang w:val="fr-FR"/>
        </w:rPr>
        <w:t>y a pas de stockage de produits dangereux pour l’environnement, y compris hydrocarbures, le chauffage des locaux étant électrique.</w:t>
      </w:r>
    </w:p>
    <w:p w14:paraId="5E2D8A58" w14:textId="77777777"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Les mesures de prévention, de recyclage et d’élimination des déchets</w:t>
      </w:r>
    </w:p>
    <w:p w14:paraId="14213B79"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Concernant le laboratoire de Montpellier, étant donné qu</w:t>
      </w:r>
      <w:r w:rsidR="004572A0" w:rsidRPr="00C73365">
        <w:rPr>
          <w:rFonts w:asciiTheme="minorHAnsi" w:hAnsiTheme="minorHAnsi" w:cstheme="minorHAnsi"/>
          <w:lang w:val="fr-FR"/>
        </w:rPr>
        <w:t>’</w:t>
      </w:r>
      <w:r w:rsidRPr="00C73365">
        <w:rPr>
          <w:rFonts w:asciiTheme="minorHAnsi" w:hAnsiTheme="minorHAnsi" w:cstheme="minorHAnsi"/>
          <w:lang w:val="fr-FR"/>
        </w:rPr>
        <w:t>il est directement hébergé dans les locaux du CNRS, nos activités bénéficient des actions mises en place par le CNRS pour le recyclage des déchets.</w:t>
      </w:r>
    </w:p>
    <w:p w14:paraId="59F33AD7"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autres déchets sont évacués par les services de collectes de la ville. Ils se limitent à des déchets non dangereux.</w:t>
      </w:r>
    </w:p>
    <w:p w14:paraId="6325388C"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Compte-tenu de la mutualisation de notre laboratoire de Montpellier avec le CNRS, aucune information quantitative n’est disponible à ce jour.</w:t>
      </w:r>
    </w:p>
    <w:p w14:paraId="25F74906"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 site de Paris sous-traite le recyclage des appareils informatiques ainsi que les cartouches d’encre des imprimantes.</w:t>
      </w:r>
    </w:p>
    <w:p w14:paraId="1AB92FD1"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Compte tenu des activités de la Société, aucune nuisance sonore ou toute autre forme de pollution spécifiques autres que celles déjà abordées ci-dessus, n</w:t>
      </w:r>
      <w:r w:rsidR="004572A0" w:rsidRPr="00C73365">
        <w:rPr>
          <w:rFonts w:asciiTheme="minorHAnsi" w:hAnsiTheme="minorHAnsi" w:cstheme="minorHAnsi"/>
          <w:lang w:val="fr-FR"/>
        </w:rPr>
        <w:t>’</w:t>
      </w:r>
      <w:r w:rsidRPr="00C73365">
        <w:rPr>
          <w:rFonts w:asciiTheme="minorHAnsi" w:hAnsiTheme="minorHAnsi" w:cstheme="minorHAnsi"/>
          <w:lang w:val="fr-FR"/>
        </w:rPr>
        <w:t>est à déplorée.</w:t>
      </w:r>
    </w:p>
    <w:p w14:paraId="4D6C2716" w14:textId="77777777"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Utilisation durable des ressources (eau - énergie)</w:t>
      </w:r>
    </w:p>
    <w:p w14:paraId="49245FBE"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activités non sous-traitées de la Société génèrent une consommation en eau, matières premières et énergie standard dans la mesure où elles sont conduites dans des bureaux et laboratoire. Elles ne génèrent pas d’impact significatif en matière d’utilisation du sol.</w:t>
      </w:r>
    </w:p>
    <w:p w14:paraId="1379D351"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Etant donné que la Société n</w:t>
      </w:r>
      <w:r w:rsidR="004572A0" w:rsidRPr="00C73365">
        <w:rPr>
          <w:rFonts w:asciiTheme="minorHAnsi" w:hAnsiTheme="minorHAnsi" w:cstheme="minorHAnsi"/>
          <w:lang w:val="fr-FR"/>
        </w:rPr>
        <w:t>’</w:t>
      </w:r>
      <w:r w:rsidRPr="00C73365">
        <w:rPr>
          <w:rFonts w:asciiTheme="minorHAnsi" w:hAnsiTheme="minorHAnsi" w:cstheme="minorHAnsi"/>
          <w:lang w:val="fr-FR"/>
        </w:rPr>
        <w:t>a aucune activité industrielle, les consommations de matières premières associées ne sont pas significatives. Dès lors le consommable majeur de l</w:t>
      </w:r>
      <w:r w:rsidR="004572A0" w:rsidRPr="00C73365">
        <w:rPr>
          <w:rFonts w:asciiTheme="minorHAnsi" w:hAnsiTheme="minorHAnsi" w:cstheme="minorHAnsi"/>
          <w:lang w:val="fr-FR"/>
        </w:rPr>
        <w:t>’</w:t>
      </w:r>
      <w:r w:rsidRPr="00C73365">
        <w:rPr>
          <w:rFonts w:asciiTheme="minorHAnsi" w:hAnsiTheme="minorHAnsi" w:cstheme="minorHAnsi"/>
          <w:lang w:val="fr-FR"/>
        </w:rPr>
        <w:t>entreprise est le papier.</w:t>
      </w:r>
    </w:p>
    <w:p w14:paraId="43AC955B"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collaborateurs sont sensibilisés aux économies de papier et, les photocopieurs étant d’ailleurs paramétrés pour des impressions recto-verso.</w:t>
      </w:r>
    </w:p>
    <w:p w14:paraId="4EEA901C"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estime que sa consommation d’eau pour son site de Paris pour l’année 2017 s’est élevée à 104 m3 d</w:t>
      </w:r>
      <w:r w:rsidR="004572A0" w:rsidRPr="00C73365">
        <w:rPr>
          <w:rFonts w:asciiTheme="minorHAnsi" w:hAnsiTheme="minorHAnsi" w:cstheme="minorHAnsi"/>
          <w:lang w:val="fr-FR"/>
        </w:rPr>
        <w:t>’</w:t>
      </w:r>
      <w:r w:rsidRPr="00C73365">
        <w:rPr>
          <w:rFonts w:asciiTheme="minorHAnsi" w:hAnsiTheme="minorHAnsi" w:cstheme="minorHAnsi"/>
          <w:lang w:val="fr-FR"/>
        </w:rPr>
        <w:t>eau*. L</w:t>
      </w:r>
      <w:r w:rsidR="004572A0" w:rsidRPr="00C73365">
        <w:rPr>
          <w:rFonts w:asciiTheme="minorHAnsi" w:hAnsiTheme="minorHAnsi" w:cstheme="minorHAnsi"/>
          <w:lang w:val="fr-FR"/>
        </w:rPr>
        <w:t>’</w:t>
      </w:r>
      <w:r w:rsidRPr="00C73365">
        <w:rPr>
          <w:rFonts w:asciiTheme="minorHAnsi" w:hAnsiTheme="minorHAnsi" w:cstheme="minorHAnsi"/>
          <w:lang w:val="fr-FR"/>
        </w:rPr>
        <w:t>approvisionnement en eau de la Société étant assuré sur chaque site par le réseau général d</w:t>
      </w:r>
      <w:r w:rsidR="004572A0" w:rsidRPr="00C73365">
        <w:rPr>
          <w:rFonts w:asciiTheme="minorHAnsi" w:hAnsiTheme="minorHAnsi" w:cstheme="minorHAnsi"/>
          <w:lang w:val="fr-FR"/>
        </w:rPr>
        <w:t>’</w:t>
      </w:r>
      <w:r w:rsidRPr="00C73365">
        <w:rPr>
          <w:rFonts w:asciiTheme="minorHAnsi" w:hAnsiTheme="minorHAnsi" w:cstheme="minorHAnsi"/>
          <w:lang w:val="fr-FR"/>
        </w:rPr>
        <w:t>alimentation en eau potable, il n</w:t>
      </w:r>
      <w:r w:rsidR="004572A0" w:rsidRPr="00C73365">
        <w:rPr>
          <w:rFonts w:asciiTheme="minorHAnsi" w:hAnsiTheme="minorHAnsi" w:cstheme="minorHAnsi"/>
          <w:lang w:val="fr-FR"/>
        </w:rPr>
        <w:t>’</w:t>
      </w:r>
      <w:r w:rsidRPr="00C73365">
        <w:rPr>
          <w:rFonts w:asciiTheme="minorHAnsi" w:hAnsiTheme="minorHAnsi" w:cstheme="minorHAnsi"/>
          <w:lang w:val="fr-FR"/>
        </w:rPr>
        <w:t>existe aucune contrainte particulière d</w:t>
      </w:r>
      <w:r w:rsidR="004572A0" w:rsidRPr="00C73365">
        <w:rPr>
          <w:rFonts w:asciiTheme="minorHAnsi" w:hAnsiTheme="minorHAnsi" w:cstheme="minorHAnsi"/>
          <w:lang w:val="fr-FR"/>
        </w:rPr>
        <w:t>’</w:t>
      </w:r>
      <w:r w:rsidRPr="00C73365">
        <w:rPr>
          <w:rFonts w:asciiTheme="minorHAnsi" w:hAnsiTheme="minorHAnsi" w:cstheme="minorHAnsi"/>
          <w:lang w:val="fr-FR"/>
        </w:rPr>
        <w:t>approvisionnement.</w:t>
      </w:r>
    </w:p>
    <w:p w14:paraId="17A76A06"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estime que sa consommation d’électricité pour son site de Paris pour l’année 2017 s’est élevée à 28 984 kWh.</w:t>
      </w:r>
    </w:p>
    <w:p w14:paraId="0C9B3895"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Aucune mesure n’a été mise en œuvre pour améliorer l</w:t>
      </w:r>
      <w:r w:rsidR="004572A0" w:rsidRPr="00C73365">
        <w:rPr>
          <w:rFonts w:asciiTheme="minorHAnsi" w:hAnsiTheme="minorHAnsi" w:cstheme="minorHAnsi"/>
          <w:lang w:val="fr-FR"/>
        </w:rPr>
        <w:t>’</w:t>
      </w:r>
      <w:r w:rsidRPr="00C73365">
        <w:rPr>
          <w:rFonts w:asciiTheme="minorHAnsi" w:hAnsiTheme="minorHAnsi" w:cstheme="minorHAnsi"/>
          <w:lang w:val="fr-FR"/>
        </w:rPr>
        <w:t>efficacité énergétique, par-delà la sensibilisation des collaborateurs aux économies d</w:t>
      </w:r>
      <w:r w:rsidR="004572A0" w:rsidRPr="00C73365">
        <w:rPr>
          <w:rFonts w:asciiTheme="minorHAnsi" w:hAnsiTheme="minorHAnsi" w:cstheme="minorHAnsi"/>
          <w:lang w:val="fr-FR"/>
        </w:rPr>
        <w:t>’</w:t>
      </w:r>
      <w:r w:rsidRPr="00C73365">
        <w:rPr>
          <w:rFonts w:asciiTheme="minorHAnsi" w:hAnsiTheme="minorHAnsi" w:cstheme="minorHAnsi"/>
          <w:lang w:val="fr-FR"/>
        </w:rPr>
        <w:t>énergie.</w:t>
      </w:r>
    </w:p>
    <w:p w14:paraId="39D65BC9"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Nous veillons tout particulièrement à éteindre systématique tout éclairage inutile.</w:t>
      </w:r>
    </w:p>
    <w:p w14:paraId="6F8BF593"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nature des activités de la Société n’entraîne donc pas de risque significatif pour l</w:t>
      </w:r>
      <w:r w:rsidR="004572A0" w:rsidRPr="00C73365">
        <w:rPr>
          <w:rFonts w:asciiTheme="minorHAnsi" w:hAnsiTheme="minorHAnsi" w:cstheme="minorHAnsi"/>
          <w:lang w:val="fr-FR"/>
        </w:rPr>
        <w:t>’</w:t>
      </w:r>
      <w:r w:rsidRPr="00C73365">
        <w:rPr>
          <w:rFonts w:asciiTheme="minorHAnsi" w:hAnsiTheme="minorHAnsi" w:cstheme="minorHAnsi"/>
          <w:lang w:val="fr-FR"/>
        </w:rPr>
        <w:t>environnement ou l’utilisation durable des ressources.</w:t>
      </w:r>
    </w:p>
    <w:p w14:paraId="6758F426"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consommations d’eau et d’électricité pour le site de Montpellier dépendent du CNRS et ne sont pas connues par la Société à ce jour.</w:t>
      </w:r>
    </w:p>
    <w:p w14:paraId="5A9B376F"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méthodologie de calcul a été changée grâce à l’obtention de données plus fiables</w:t>
      </w:r>
    </w:p>
    <w:p w14:paraId="0FAA912B" w14:textId="77777777"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Contribution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adaptation et à la lutte contre le réchauffement climatique</w:t>
      </w:r>
    </w:p>
    <w:p w14:paraId="1D8FCB0E"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estime qu</w:t>
      </w:r>
      <w:r w:rsidR="004572A0" w:rsidRPr="00C73365">
        <w:rPr>
          <w:rFonts w:asciiTheme="minorHAnsi" w:hAnsiTheme="minorHAnsi" w:cstheme="minorHAnsi"/>
          <w:lang w:val="fr-FR"/>
        </w:rPr>
        <w:t>’</w:t>
      </w:r>
      <w:r w:rsidRPr="00C73365">
        <w:rPr>
          <w:rFonts w:asciiTheme="minorHAnsi" w:hAnsiTheme="minorHAnsi" w:cstheme="minorHAnsi"/>
          <w:lang w:val="fr-FR"/>
        </w:rPr>
        <w:t>un réchauffement climatique n’aurait pas d’impact significatif sur ses activités.</w:t>
      </w:r>
    </w:p>
    <w:p w14:paraId="306DA6E9"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rejets de gaz à effet de serre de la Société proviennent essentiellement de ses consommations d’énergie et des transports de ses collaborateurs.</w:t>
      </w:r>
    </w:p>
    <w:p w14:paraId="79A915C7"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De ce fait, les rejets en C02 de la Société ne sont pas significatifs et donc actuellement non quantifiées.</w:t>
      </w:r>
    </w:p>
    <w:p w14:paraId="66B56B07" w14:textId="77777777" w:rsidR="00136669" w:rsidRPr="00C73365" w:rsidRDefault="00136669" w:rsidP="00136669">
      <w:pPr>
        <w:pStyle w:val="Paragraphedeliste"/>
        <w:numPr>
          <w:ilvl w:val="3"/>
          <w:numId w:val="9"/>
        </w:numPr>
        <w:rPr>
          <w:rFonts w:asciiTheme="minorHAnsi" w:hAnsiTheme="minorHAnsi" w:cstheme="minorHAnsi"/>
          <w:szCs w:val="20"/>
          <w:lang w:val="fr-FR"/>
        </w:rPr>
      </w:pPr>
      <w:r w:rsidRPr="00C73365">
        <w:rPr>
          <w:rFonts w:asciiTheme="minorHAnsi" w:hAnsiTheme="minorHAnsi" w:cstheme="minorHAnsi"/>
          <w:szCs w:val="20"/>
          <w:lang w:val="fr-FR"/>
        </w:rPr>
        <w:t>Lutte contre le gaspillage alimentaire</w:t>
      </w:r>
    </w:p>
    <w:p w14:paraId="58D7CF92"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ne dispose pas d’installation de repas en propre au sein de ses locaux. Elle propose à ses collaborateurs de se rendre à la cantine de la FNSEA pour son site de Paris et à celle du CNRS pour son site de Montpellier. Au vu des effectifs et de la configuration géographique de la Société, la politique de la Société ne peut donc entrainer un impact significatif sur la lutte contre le gaspillage alimentaire.</w:t>
      </w:r>
    </w:p>
    <w:p w14:paraId="6A4300AF" w14:textId="77777777"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Biodiversité</w:t>
      </w:r>
    </w:p>
    <w:p w14:paraId="277E21F3"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Etant donné les moyens limités dont elle dispose, mais malgré l’intérêt qu</w:t>
      </w:r>
      <w:r w:rsidR="004572A0" w:rsidRPr="00C73365">
        <w:rPr>
          <w:rFonts w:asciiTheme="minorHAnsi" w:hAnsiTheme="minorHAnsi" w:cstheme="minorHAnsi"/>
          <w:lang w:val="fr-FR"/>
        </w:rPr>
        <w:t>’</w:t>
      </w:r>
      <w:r w:rsidRPr="00C73365">
        <w:rPr>
          <w:rFonts w:asciiTheme="minorHAnsi" w:hAnsiTheme="minorHAnsi" w:cstheme="minorHAnsi"/>
          <w:lang w:val="fr-FR"/>
        </w:rPr>
        <w:t>elle y porte, la Société n’a engagé aucune action relative à la préservation de la biodiversité.</w:t>
      </w:r>
    </w:p>
    <w:tbl>
      <w:tblPr>
        <w:tblW w:w="5460" w:type="dxa"/>
        <w:tblCellMar>
          <w:left w:w="70" w:type="dxa"/>
          <w:right w:w="70" w:type="dxa"/>
        </w:tblCellMar>
        <w:tblLook w:val="04A0" w:firstRow="1" w:lastRow="0" w:firstColumn="1" w:lastColumn="0" w:noHBand="0" w:noVBand="1"/>
      </w:tblPr>
      <w:tblGrid>
        <w:gridCol w:w="2100"/>
        <w:gridCol w:w="1060"/>
        <w:gridCol w:w="1060"/>
        <w:gridCol w:w="1240"/>
      </w:tblGrid>
      <w:tr w:rsidR="00136669" w:rsidRPr="00C73365" w14:paraId="7CE079FC" w14:textId="77777777" w:rsidTr="009C5D68">
        <w:trPr>
          <w:trHeight w:hRule="exact" w:val="300"/>
        </w:trPr>
        <w:tc>
          <w:tcPr>
            <w:tcW w:w="2100" w:type="dxa"/>
            <w:tcBorders>
              <w:top w:val="single" w:sz="12" w:space="0" w:color="7030A0"/>
              <w:left w:val="nil"/>
              <w:bottom w:val="nil"/>
              <w:right w:val="nil"/>
            </w:tcBorders>
            <w:shd w:val="clear" w:color="000000" w:fill="FFFFFF"/>
            <w:vAlign w:val="center"/>
            <w:hideMark/>
          </w:tcPr>
          <w:p w14:paraId="2CE94218"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Tranche</w:t>
            </w:r>
          </w:p>
        </w:tc>
        <w:tc>
          <w:tcPr>
            <w:tcW w:w="1060" w:type="dxa"/>
            <w:vMerge w:val="restart"/>
            <w:tcBorders>
              <w:top w:val="single" w:sz="12" w:space="0" w:color="7030A0"/>
              <w:left w:val="nil"/>
              <w:bottom w:val="single" w:sz="8" w:space="0" w:color="7030A0"/>
              <w:right w:val="nil"/>
            </w:tcBorders>
            <w:shd w:val="clear" w:color="000000" w:fill="FFFFFF"/>
            <w:vAlign w:val="center"/>
            <w:hideMark/>
          </w:tcPr>
          <w:p w14:paraId="0B994BE4"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w:t>
            </w:r>
          </w:p>
        </w:tc>
        <w:tc>
          <w:tcPr>
            <w:tcW w:w="1060" w:type="dxa"/>
            <w:vMerge w:val="restart"/>
            <w:tcBorders>
              <w:top w:val="single" w:sz="12" w:space="0" w:color="7030A0"/>
              <w:left w:val="nil"/>
              <w:bottom w:val="single" w:sz="8" w:space="0" w:color="7030A0"/>
              <w:right w:val="nil"/>
            </w:tcBorders>
            <w:shd w:val="clear" w:color="000000" w:fill="FFFFFF"/>
            <w:vAlign w:val="center"/>
            <w:hideMark/>
          </w:tcPr>
          <w:p w14:paraId="13013403"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w:t>
            </w:r>
          </w:p>
        </w:tc>
        <w:tc>
          <w:tcPr>
            <w:tcW w:w="1240" w:type="dxa"/>
            <w:vMerge w:val="restart"/>
            <w:tcBorders>
              <w:top w:val="single" w:sz="12" w:space="0" w:color="7030A0"/>
              <w:left w:val="nil"/>
              <w:bottom w:val="single" w:sz="8" w:space="0" w:color="7030A0"/>
              <w:right w:val="nil"/>
            </w:tcBorders>
            <w:shd w:val="clear" w:color="000000" w:fill="FFFFFF"/>
            <w:vAlign w:val="center"/>
            <w:hideMark/>
          </w:tcPr>
          <w:p w14:paraId="303503D3"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w:t>
            </w:r>
          </w:p>
        </w:tc>
      </w:tr>
      <w:tr w:rsidR="00136669" w:rsidRPr="00C73365" w14:paraId="40ECA2B5" w14:textId="77777777" w:rsidTr="009C5D68">
        <w:trPr>
          <w:trHeight w:val="300"/>
        </w:trPr>
        <w:tc>
          <w:tcPr>
            <w:tcW w:w="2100" w:type="dxa"/>
            <w:tcBorders>
              <w:top w:val="nil"/>
              <w:left w:val="nil"/>
              <w:bottom w:val="single" w:sz="8" w:space="0" w:color="7030A0"/>
              <w:right w:val="nil"/>
            </w:tcBorders>
            <w:shd w:val="clear" w:color="000000" w:fill="FFFFFF"/>
            <w:vAlign w:val="center"/>
            <w:hideMark/>
          </w:tcPr>
          <w:p w14:paraId="4AB4AB90"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âge</w:t>
            </w:r>
          </w:p>
        </w:tc>
        <w:tc>
          <w:tcPr>
            <w:tcW w:w="1060" w:type="dxa"/>
            <w:vMerge/>
            <w:tcBorders>
              <w:top w:val="single" w:sz="12" w:space="0" w:color="7030A0"/>
              <w:left w:val="nil"/>
              <w:bottom w:val="single" w:sz="8" w:space="0" w:color="7030A0"/>
              <w:right w:val="nil"/>
            </w:tcBorders>
            <w:vAlign w:val="center"/>
            <w:hideMark/>
          </w:tcPr>
          <w:p w14:paraId="10268643" w14:textId="77777777" w:rsidR="00136669" w:rsidRPr="00C73365" w:rsidRDefault="00136669" w:rsidP="009C5D68">
            <w:pPr>
              <w:spacing w:after="0"/>
              <w:rPr>
                <w:rFonts w:asciiTheme="minorHAnsi" w:hAnsiTheme="minorHAnsi" w:cstheme="minorHAnsi"/>
                <w:color w:val="000000"/>
                <w:szCs w:val="20"/>
                <w:lang w:val="fr-FR" w:eastAsia="fr-FR"/>
              </w:rPr>
            </w:pPr>
          </w:p>
        </w:tc>
        <w:tc>
          <w:tcPr>
            <w:tcW w:w="1060" w:type="dxa"/>
            <w:vMerge/>
            <w:tcBorders>
              <w:top w:val="single" w:sz="12" w:space="0" w:color="7030A0"/>
              <w:left w:val="nil"/>
              <w:bottom w:val="single" w:sz="8" w:space="0" w:color="7030A0"/>
              <w:right w:val="nil"/>
            </w:tcBorders>
            <w:vAlign w:val="center"/>
            <w:hideMark/>
          </w:tcPr>
          <w:p w14:paraId="30F96EBD" w14:textId="77777777" w:rsidR="00136669" w:rsidRPr="00C73365" w:rsidRDefault="00136669" w:rsidP="009C5D68">
            <w:pPr>
              <w:spacing w:after="0"/>
              <w:rPr>
                <w:rFonts w:asciiTheme="minorHAnsi" w:hAnsiTheme="minorHAnsi" w:cstheme="minorHAnsi"/>
                <w:color w:val="000000"/>
                <w:szCs w:val="20"/>
                <w:lang w:val="fr-FR" w:eastAsia="fr-FR"/>
              </w:rPr>
            </w:pPr>
          </w:p>
        </w:tc>
        <w:tc>
          <w:tcPr>
            <w:tcW w:w="1240" w:type="dxa"/>
            <w:vMerge/>
            <w:tcBorders>
              <w:top w:val="single" w:sz="12" w:space="0" w:color="7030A0"/>
              <w:left w:val="nil"/>
              <w:bottom w:val="single" w:sz="8" w:space="0" w:color="7030A0"/>
              <w:right w:val="nil"/>
            </w:tcBorders>
            <w:vAlign w:val="center"/>
            <w:hideMark/>
          </w:tcPr>
          <w:p w14:paraId="6C1A1D8D" w14:textId="77777777"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14:paraId="2791BC6D" w14:textId="77777777" w:rsidTr="009C5D68">
        <w:trPr>
          <w:trHeight w:hRule="exact" w:val="288"/>
        </w:trPr>
        <w:tc>
          <w:tcPr>
            <w:tcW w:w="2100" w:type="dxa"/>
            <w:tcBorders>
              <w:top w:val="nil"/>
              <w:left w:val="nil"/>
              <w:bottom w:val="nil"/>
              <w:right w:val="nil"/>
            </w:tcBorders>
            <w:shd w:val="clear" w:color="000000" w:fill="FFFFFF"/>
            <w:vAlign w:val="center"/>
            <w:hideMark/>
          </w:tcPr>
          <w:p w14:paraId="512AD697"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&lt; 21 ans</w:t>
            </w:r>
          </w:p>
        </w:tc>
        <w:tc>
          <w:tcPr>
            <w:tcW w:w="1060" w:type="dxa"/>
            <w:tcBorders>
              <w:top w:val="nil"/>
              <w:left w:val="nil"/>
              <w:bottom w:val="nil"/>
              <w:right w:val="nil"/>
            </w:tcBorders>
            <w:shd w:val="clear" w:color="000000" w:fill="FFFFFF"/>
            <w:vAlign w:val="center"/>
            <w:hideMark/>
          </w:tcPr>
          <w:p w14:paraId="73773AB7"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060" w:type="dxa"/>
            <w:tcBorders>
              <w:top w:val="nil"/>
              <w:left w:val="nil"/>
              <w:bottom w:val="nil"/>
              <w:right w:val="nil"/>
            </w:tcBorders>
            <w:shd w:val="clear" w:color="000000" w:fill="FFFFFF"/>
            <w:vAlign w:val="center"/>
            <w:hideMark/>
          </w:tcPr>
          <w:p w14:paraId="401472D8"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240" w:type="dxa"/>
            <w:tcBorders>
              <w:top w:val="nil"/>
              <w:left w:val="nil"/>
              <w:bottom w:val="nil"/>
              <w:right w:val="nil"/>
            </w:tcBorders>
            <w:shd w:val="clear" w:color="000000" w:fill="FFFFFF"/>
            <w:vAlign w:val="center"/>
            <w:hideMark/>
          </w:tcPr>
          <w:p w14:paraId="6B86A5C1"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r>
      <w:tr w:rsidR="00136669" w:rsidRPr="00C73365" w14:paraId="749E9910" w14:textId="77777777" w:rsidTr="009C5D68">
        <w:trPr>
          <w:trHeight w:val="288"/>
        </w:trPr>
        <w:tc>
          <w:tcPr>
            <w:tcW w:w="2100" w:type="dxa"/>
            <w:tcBorders>
              <w:top w:val="nil"/>
              <w:left w:val="nil"/>
              <w:bottom w:val="nil"/>
              <w:right w:val="nil"/>
            </w:tcBorders>
            <w:shd w:val="clear" w:color="000000" w:fill="FFFFFF"/>
            <w:vAlign w:val="center"/>
            <w:hideMark/>
          </w:tcPr>
          <w:p w14:paraId="1CF656E0"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21 à 25 ans</w:t>
            </w:r>
          </w:p>
        </w:tc>
        <w:tc>
          <w:tcPr>
            <w:tcW w:w="1060" w:type="dxa"/>
            <w:tcBorders>
              <w:top w:val="nil"/>
              <w:left w:val="nil"/>
              <w:bottom w:val="nil"/>
              <w:right w:val="nil"/>
            </w:tcBorders>
            <w:shd w:val="clear" w:color="000000" w:fill="FFFFFF"/>
            <w:vAlign w:val="center"/>
            <w:hideMark/>
          </w:tcPr>
          <w:p w14:paraId="316F8879"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060" w:type="dxa"/>
            <w:tcBorders>
              <w:top w:val="nil"/>
              <w:left w:val="nil"/>
              <w:bottom w:val="nil"/>
              <w:right w:val="nil"/>
            </w:tcBorders>
            <w:shd w:val="clear" w:color="000000" w:fill="FFFFFF"/>
            <w:vAlign w:val="center"/>
            <w:hideMark/>
          </w:tcPr>
          <w:p w14:paraId="1ED34D2C"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240" w:type="dxa"/>
            <w:tcBorders>
              <w:top w:val="nil"/>
              <w:left w:val="nil"/>
              <w:bottom w:val="nil"/>
              <w:right w:val="nil"/>
            </w:tcBorders>
            <w:shd w:val="clear" w:color="000000" w:fill="FFFFFF"/>
            <w:vAlign w:val="center"/>
            <w:hideMark/>
          </w:tcPr>
          <w:p w14:paraId="2B4441D7"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r>
      <w:tr w:rsidR="00136669" w:rsidRPr="00C73365" w14:paraId="292DF2C5" w14:textId="77777777" w:rsidTr="009C5D68">
        <w:trPr>
          <w:trHeight w:val="288"/>
        </w:trPr>
        <w:tc>
          <w:tcPr>
            <w:tcW w:w="2100" w:type="dxa"/>
            <w:tcBorders>
              <w:top w:val="nil"/>
              <w:left w:val="nil"/>
              <w:bottom w:val="nil"/>
              <w:right w:val="nil"/>
            </w:tcBorders>
            <w:shd w:val="clear" w:color="000000" w:fill="FFFFFF"/>
            <w:vAlign w:val="center"/>
            <w:hideMark/>
          </w:tcPr>
          <w:p w14:paraId="0362F15A"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26 à 30 ans</w:t>
            </w:r>
          </w:p>
        </w:tc>
        <w:tc>
          <w:tcPr>
            <w:tcW w:w="1060" w:type="dxa"/>
            <w:tcBorders>
              <w:top w:val="nil"/>
              <w:left w:val="nil"/>
              <w:bottom w:val="nil"/>
              <w:right w:val="nil"/>
            </w:tcBorders>
            <w:shd w:val="clear" w:color="000000" w:fill="FFFFFF"/>
            <w:vAlign w:val="center"/>
            <w:hideMark/>
          </w:tcPr>
          <w:p w14:paraId="05D1CAF6"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060" w:type="dxa"/>
            <w:tcBorders>
              <w:top w:val="nil"/>
              <w:left w:val="nil"/>
              <w:bottom w:val="nil"/>
              <w:right w:val="nil"/>
            </w:tcBorders>
            <w:shd w:val="clear" w:color="000000" w:fill="FFFFFF"/>
            <w:vAlign w:val="center"/>
            <w:hideMark/>
          </w:tcPr>
          <w:p w14:paraId="5C63FADC"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000000" w:fill="FFFFFF"/>
            <w:vAlign w:val="center"/>
            <w:hideMark/>
          </w:tcPr>
          <w:p w14:paraId="029BAC4F"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14:paraId="1E253639" w14:textId="77777777" w:rsidTr="009C5D68">
        <w:trPr>
          <w:trHeight w:val="288"/>
        </w:trPr>
        <w:tc>
          <w:tcPr>
            <w:tcW w:w="2100" w:type="dxa"/>
            <w:tcBorders>
              <w:top w:val="nil"/>
              <w:left w:val="nil"/>
              <w:bottom w:val="nil"/>
              <w:right w:val="nil"/>
            </w:tcBorders>
            <w:shd w:val="clear" w:color="000000" w:fill="FFFFFF"/>
            <w:vAlign w:val="center"/>
            <w:hideMark/>
          </w:tcPr>
          <w:p w14:paraId="62C73F84"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31 à 35 ans</w:t>
            </w:r>
          </w:p>
        </w:tc>
        <w:tc>
          <w:tcPr>
            <w:tcW w:w="1060" w:type="dxa"/>
            <w:tcBorders>
              <w:top w:val="nil"/>
              <w:left w:val="nil"/>
              <w:bottom w:val="nil"/>
              <w:right w:val="nil"/>
            </w:tcBorders>
            <w:shd w:val="clear" w:color="000000" w:fill="FFFFFF"/>
            <w:vAlign w:val="center"/>
            <w:hideMark/>
          </w:tcPr>
          <w:p w14:paraId="10DC9488"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060" w:type="dxa"/>
            <w:tcBorders>
              <w:top w:val="nil"/>
              <w:left w:val="nil"/>
              <w:bottom w:val="nil"/>
              <w:right w:val="nil"/>
            </w:tcBorders>
            <w:shd w:val="clear" w:color="000000" w:fill="FFFFFF"/>
            <w:vAlign w:val="center"/>
            <w:hideMark/>
          </w:tcPr>
          <w:p w14:paraId="793AD642"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240" w:type="dxa"/>
            <w:tcBorders>
              <w:top w:val="nil"/>
              <w:left w:val="nil"/>
              <w:bottom w:val="nil"/>
              <w:right w:val="nil"/>
            </w:tcBorders>
            <w:shd w:val="clear" w:color="000000" w:fill="FFFFFF"/>
            <w:vAlign w:val="center"/>
            <w:hideMark/>
          </w:tcPr>
          <w:p w14:paraId="613A8C4C"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14:paraId="1CF3548C" w14:textId="77777777" w:rsidTr="009C5D68">
        <w:trPr>
          <w:trHeight w:val="288"/>
        </w:trPr>
        <w:tc>
          <w:tcPr>
            <w:tcW w:w="2100" w:type="dxa"/>
            <w:tcBorders>
              <w:top w:val="nil"/>
              <w:left w:val="nil"/>
              <w:bottom w:val="nil"/>
              <w:right w:val="nil"/>
            </w:tcBorders>
            <w:shd w:val="clear" w:color="000000" w:fill="FFFFFF"/>
            <w:vAlign w:val="center"/>
            <w:hideMark/>
          </w:tcPr>
          <w:p w14:paraId="149DF0CB"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36 à 40 ans</w:t>
            </w:r>
          </w:p>
        </w:tc>
        <w:tc>
          <w:tcPr>
            <w:tcW w:w="1060" w:type="dxa"/>
            <w:tcBorders>
              <w:top w:val="nil"/>
              <w:left w:val="nil"/>
              <w:bottom w:val="nil"/>
              <w:right w:val="nil"/>
            </w:tcBorders>
            <w:shd w:val="clear" w:color="000000" w:fill="FFFFFF"/>
            <w:vAlign w:val="center"/>
            <w:hideMark/>
          </w:tcPr>
          <w:p w14:paraId="0A2B452F"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060" w:type="dxa"/>
            <w:tcBorders>
              <w:top w:val="nil"/>
              <w:left w:val="nil"/>
              <w:bottom w:val="nil"/>
              <w:right w:val="nil"/>
            </w:tcBorders>
            <w:shd w:val="clear" w:color="000000" w:fill="FFFFFF"/>
            <w:vAlign w:val="center"/>
            <w:hideMark/>
          </w:tcPr>
          <w:p w14:paraId="3909E0B6"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w:t>
            </w:r>
          </w:p>
        </w:tc>
        <w:tc>
          <w:tcPr>
            <w:tcW w:w="1240" w:type="dxa"/>
            <w:tcBorders>
              <w:top w:val="nil"/>
              <w:left w:val="nil"/>
              <w:bottom w:val="nil"/>
              <w:right w:val="nil"/>
            </w:tcBorders>
            <w:shd w:val="clear" w:color="000000" w:fill="FFFFFF"/>
            <w:vAlign w:val="center"/>
            <w:hideMark/>
          </w:tcPr>
          <w:p w14:paraId="4AFE6847"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136669" w:rsidRPr="00C73365" w14:paraId="0F507D5D" w14:textId="77777777" w:rsidTr="009C5D68">
        <w:trPr>
          <w:trHeight w:val="288"/>
        </w:trPr>
        <w:tc>
          <w:tcPr>
            <w:tcW w:w="2100" w:type="dxa"/>
            <w:tcBorders>
              <w:top w:val="nil"/>
              <w:left w:val="nil"/>
              <w:bottom w:val="nil"/>
              <w:right w:val="nil"/>
            </w:tcBorders>
            <w:shd w:val="clear" w:color="000000" w:fill="FFFFFF"/>
            <w:vAlign w:val="center"/>
            <w:hideMark/>
          </w:tcPr>
          <w:p w14:paraId="3DFF2FCA"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41 à 45 ans</w:t>
            </w:r>
          </w:p>
        </w:tc>
        <w:tc>
          <w:tcPr>
            <w:tcW w:w="1060" w:type="dxa"/>
            <w:tcBorders>
              <w:top w:val="nil"/>
              <w:left w:val="nil"/>
              <w:bottom w:val="nil"/>
              <w:right w:val="nil"/>
            </w:tcBorders>
            <w:shd w:val="clear" w:color="000000" w:fill="FFFFFF"/>
            <w:vAlign w:val="center"/>
            <w:hideMark/>
          </w:tcPr>
          <w:p w14:paraId="01D92351"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060" w:type="dxa"/>
            <w:tcBorders>
              <w:top w:val="nil"/>
              <w:left w:val="nil"/>
              <w:bottom w:val="nil"/>
              <w:right w:val="nil"/>
            </w:tcBorders>
            <w:shd w:val="clear" w:color="000000" w:fill="FFFFFF"/>
            <w:vAlign w:val="center"/>
            <w:hideMark/>
          </w:tcPr>
          <w:p w14:paraId="022C801E"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240" w:type="dxa"/>
            <w:tcBorders>
              <w:top w:val="nil"/>
              <w:left w:val="nil"/>
              <w:bottom w:val="nil"/>
              <w:right w:val="nil"/>
            </w:tcBorders>
            <w:shd w:val="clear" w:color="000000" w:fill="FFFFFF"/>
            <w:vAlign w:val="center"/>
            <w:hideMark/>
          </w:tcPr>
          <w:p w14:paraId="003BC064"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r>
      <w:tr w:rsidR="00136669" w:rsidRPr="00C73365" w14:paraId="69C5E605" w14:textId="77777777" w:rsidTr="009C5D68">
        <w:trPr>
          <w:trHeight w:val="288"/>
        </w:trPr>
        <w:tc>
          <w:tcPr>
            <w:tcW w:w="2100" w:type="dxa"/>
            <w:tcBorders>
              <w:top w:val="nil"/>
              <w:left w:val="nil"/>
              <w:bottom w:val="nil"/>
              <w:right w:val="nil"/>
            </w:tcBorders>
            <w:shd w:val="clear" w:color="000000" w:fill="FFFFFF"/>
            <w:vAlign w:val="center"/>
            <w:hideMark/>
          </w:tcPr>
          <w:p w14:paraId="1DE61E1D"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46 à 50 ans</w:t>
            </w:r>
          </w:p>
        </w:tc>
        <w:tc>
          <w:tcPr>
            <w:tcW w:w="1060" w:type="dxa"/>
            <w:tcBorders>
              <w:top w:val="nil"/>
              <w:left w:val="nil"/>
              <w:bottom w:val="nil"/>
              <w:right w:val="nil"/>
            </w:tcBorders>
            <w:shd w:val="clear" w:color="000000" w:fill="FFFFFF"/>
            <w:vAlign w:val="center"/>
            <w:hideMark/>
          </w:tcPr>
          <w:p w14:paraId="201DF195"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060" w:type="dxa"/>
            <w:tcBorders>
              <w:top w:val="nil"/>
              <w:left w:val="nil"/>
              <w:bottom w:val="nil"/>
              <w:right w:val="nil"/>
            </w:tcBorders>
            <w:shd w:val="clear" w:color="000000" w:fill="FFFFFF"/>
            <w:vAlign w:val="center"/>
            <w:hideMark/>
          </w:tcPr>
          <w:p w14:paraId="37C9A77D"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240" w:type="dxa"/>
            <w:tcBorders>
              <w:top w:val="nil"/>
              <w:left w:val="nil"/>
              <w:bottom w:val="nil"/>
              <w:right w:val="nil"/>
            </w:tcBorders>
            <w:shd w:val="clear" w:color="000000" w:fill="FFFFFF"/>
            <w:vAlign w:val="center"/>
            <w:hideMark/>
          </w:tcPr>
          <w:p w14:paraId="4E2B2F64"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w:t>
            </w:r>
          </w:p>
        </w:tc>
      </w:tr>
      <w:tr w:rsidR="00136669" w:rsidRPr="00C73365" w14:paraId="26436BBF" w14:textId="77777777" w:rsidTr="009C5D68">
        <w:trPr>
          <w:trHeight w:val="288"/>
        </w:trPr>
        <w:tc>
          <w:tcPr>
            <w:tcW w:w="2100" w:type="dxa"/>
            <w:tcBorders>
              <w:top w:val="nil"/>
              <w:left w:val="nil"/>
              <w:bottom w:val="nil"/>
              <w:right w:val="nil"/>
            </w:tcBorders>
            <w:shd w:val="clear" w:color="000000" w:fill="FFFFFF"/>
            <w:vAlign w:val="center"/>
            <w:hideMark/>
          </w:tcPr>
          <w:p w14:paraId="68162DB9"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51 à 55 ans</w:t>
            </w:r>
          </w:p>
        </w:tc>
        <w:tc>
          <w:tcPr>
            <w:tcW w:w="1060" w:type="dxa"/>
            <w:tcBorders>
              <w:top w:val="nil"/>
              <w:left w:val="nil"/>
              <w:bottom w:val="nil"/>
              <w:right w:val="nil"/>
            </w:tcBorders>
            <w:shd w:val="clear" w:color="000000" w:fill="FFFFFF"/>
            <w:vAlign w:val="center"/>
            <w:hideMark/>
          </w:tcPr>
          <w:p w14:paraId="35E4FF3B"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060" w:type="dxa"/>
            <w:tcBorders>
              <w:top w:val="nil"/>
              <w:left w:val="nil"/>
              <w:bottom w:val="nil"/>
              <w:right w:val="nil"/>
            </w:tcBorders>
            <w:shd w:val="clear" w:color="000000" w:fill="FFFFFF"/>
            <w:vAlign w:val="center"/>
            <w:hideMark/>
          </w:tcPr>
          <w:p w14:paraId="2D2038ED"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240" w:type="dxa"/>
            <w:tcBorders>
              <w:top w:val="nil"/>
              <w:left w:val="nil"/>
              <w:bottom w:val="nil"/>
              <w:right w:val="nil"/>
            </w:tcBorders>
            <w:shd w:val="clear" w:color="000000" w:fill="FFFFFF"/>
            <w:vAlign w:val="center"/>
            <w:hideMark/>
          </w:tcPr>
          <w:p w14:paraId="4834A24E"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14:paraId="5B3F2437" w14:textId="77777777" w:rsidTr="009C5D68">
        <w:trPr>
          <w:trHeight w:hRule="exact" w:val="300"/>
        </w:trPr>
        <w:tc>
          <w:tcPr>
            <w:tcW w:w="2100" w:type="dxa"/>
            <w:tcBorders>
              <w:top w:val="nil"/>
              <w:left w:val="nil"/>
              <w:bottom w:val="single" w:sz="8" w:space="0" w:color="7030A0"/>
              <w:right w:val="nil"/>
            </w:tcBorders>
            <w:shd w:val="clear" w:color="000000" w:fill="FFFFFF"/>
            <w:vAlign w:val="center"/>
            <w:hideMark/>
          </w:tcPr>
          <w:p w14:paraId="038936F6"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 ans et plus</w:t>
            </w:r>
          </w:p>
        </w:tc>
        <w:tc>
          <w:tcPr>
            <w:tcW w:w="1060" w:type="dxa"/>
            <w:tcBorders>
              <w:top w:val="nil"/>
              <w:left w:val="nil"/>
              <w:bottom w:val="single" w:sz="8" w:space="0" w:color="7030A0"/>
              <w:right w:val="nil"/>
            </w:tcBorders>
            <w:shd w:val="clear" w:color="000000" w:fill="FFFFFF"/>
            <w:vAlign w:val="center"/>
            <w:hideMark/>
          </w:tcPr>
          <w:p w14:paraId="420E342A"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060" w:type="dxa"/>
            <w:tcBorders>
              <w:top w:val="nil"/>
              <w:left w:val="nil"/>
              <w:bottom w:val="single" w:sz="8" w:space="0" w:color="7030A0"/>
              <w:right w:val="nil"/>
            </w:tcBorders>
            <w:shd w:val="clear" w:color="000000" w:fill="FFFFFF"/>
            <w:vAlign w:val="center"/>
            <w:hideMark/>
          </w:tcPr>
          <w:p w14:paraId="35F3FCF6"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240" w:type="dxa"/>
            <w:tcBorders>
              <w:top w:val="nil"/>
              <w:left w:val="nil"/>
              <w:bottom w:val="single" w:sz="8" w:space="0" w:color="7030A0"/>
              <w:right w:val="nil"/>
            </w:tcBorders>
            <w:shd w:val="clear" w:color="000000" w:fill="FFFFFF"/>
            <w:vAlign w:val="center"/>
            <w:hideMark/>
          </w:tcPr>
          <w:p w14:paraId="6C3C2AB4"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14:paraId="29F90D49" w14:textId="77777777" w:rsidTr="009C5D68">
        <w:trPr>
          <w:trHeight w:hRule="exact" w:val="300"/>
        </w:trPr>
        <w:tc>
          <w:tcPr>
            <w:tcW w:w="2100" w:type="dxa"/>
            <w:tcBorders>
              <w:top w:val="nil"/>
              <w:left w:val="nil"/>
              <w:bottom w:val="single" w:sz="8" w:space="0" w:color="7030A0"/>
              <w:right w:val="nil"/>
            </w:tcBorders>
            <w:shd w:val="clear" w:color="000000" w:fill="FFFFFF"/>
            <w:vAlign w:val="center"/>
            <w:hideMark/>
          </w:tcPr>
          <w:p w14:paraId="205D3051"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w:t>
            </w:r>
          </w:p>
        </w:tc>
        <w:tc>
          <w:tcPr>
            <w:tcW w:w="1060" w:type="dxa"/>
            <w:tcBorders>
              <w:top w:val="nil"/>
              <w:left w:val="nil"/>
              <w:bottom w:val="single" w:sz="8" w:space="0" w:color="7030A0"/>
              <w:right w:val="nil"/>
            </w:tcBorders>
            <w:shd w:val="clear" w:color="000000" w:fill="FFFFFF"/>
            <w:vAlign w:val="center"/>
            <w:hideMark/>
          </w:tcPr>
          <w:p w14:paraId="32136134"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060" w:type="dxa"/>
            <w:tcBorders>
              <w:top w:val="nil"/>
              <w:left w:val="nil"/>
              <w:bottom w:val="single" w:sz="8" w:space="0" w:color="7030A0"/>
              <w:right w:val="nil"/>
            </w:tcBorders>
            <w:shd w:val="clear" w:color="000000" w:fill="FFFFFF"/>
            <w:vAlign w:val="center"/>
            <w:hideMark/>
          </w:tcPr>
          <w:p w14:paraId="2C84D033"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w:t>
            </w:r>
          </w:p>
        </w:tc>
        <w:tc>
          <w:tcPr>
            <w:tcW w:w="1240" w:type="dxa"/>
            <w:tcBorders>
              <w:top w:val="nil"/>
              <w:left w:val="nil"/>
              <w:bottom w:val="single" w:sz="8" w:space="0" w:color="7030A0"/>
              <w:right w:val="nil"/>
            </w:tcBorders>
            <w:shd w:val="clear" w:color="000000" w:fill="FFFFFF"/>
            <w:vAlign w:val="center"/>
            <w:hideMark/>
          </w:tcPr>
          <w:p w14:paraId="7E33F2DD"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24</w:t>
            </w:r>
          </w:p>
        </w:tc>
      </w:tr>
    </w:tbl>
    <w:p w14:paraId="527F6CE1" w14:textId="77777777" w:rsidR="00136669" w:rsidRPr="00C73365" w:rsidRDefault="00136669" w:rsidP="00136669">
      <w:pPr>
        <w:rPr>
          <w:rFonts w:asciiTheme="minorHAnsi" w:hAnsiTheme="minorHAnsi" w:cstheme="minorHAnsi"/>
          <w:bCs/>
          <w:szCs w:val="22"/>
          <w:lang w:val="fr-FR"/>
        </w:rPr>
      </w:pPr>
    </w:p>
    <w:p w14:paraId="7D80D8E3"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moyenne d</w:t>
      </w:r>
      <w:r w:rsidR="004572A0" w:rsidRPr="00C73365">
        <w:rPr>
          <w:rFonts w:asciiTheme="minorHAnsi" w:hAnsiTheme="minorHAnsi" w:cstheme="minorHAnsi"/>
          <w:lang w:val="fr-FR"/>
        </w:rPr>
        <w:t>’</w:t>
      </w:r>
      <w:r w:rsidRPr="00C73365">
        <w:rPr>
          <w:rFonts w:asciiTheme="minorHAnsi" w:hAnsiTheme="minorHAnsi" w:cstheme="minorHAnsi"/>
          <w:lang w:val="fr-FR"/>
        </w:rPr>
        <w:t>âge est de 43, 6 ans en décembre 2017, elle était de 43,5 ans au 31 décembre 2016.</w:t>
      </w:r>
    </w:p>
    <w:p w14:paraId="530D84E9"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Enfin, l</w:t>
      </w:r>
      <w:r w:rsidR="004572A0" w:rsidRPr="00C73365">
        <w:rPr>
          <w:rFonts w:asciiTheme="minorHAnsi" w:hAnsiTheme="minorHAnsi" w:cstheme="minorHAnsi"/>
          <w:lang w:val="fr-FR"/>
        </w:rPr>
        <w:t>’</w:t>
      </w:r>
      <w:r w:rsidRPr="00C73365">
        <w:rPr>
          <w:rFonts w:asciiTheme="minorHAnsi" w:hAnsiTheme="minorHAnsi" w:cstheme="minorHAnsi"/>
          <w:lang w:val="fr-FR"/>
        </w:rPr>
        <w:t>âge minimum est de 28 ans et l</w:t>
      </w:r>
      <w:r w:rsidR="004572A0" w:rsidRPr="00C73365">
        <w:rPr>
          <w:rFonts w:asciiTheme="minorHAnsi" w:hAnsiTheme="minorHAnsi" w:cstheme="minorHAnsi"/>
          <w:lang w:val="fr-FR"/>
        </w:rPr>
        <w:t>’</w:t>
      </w:r>
      <w:r w:rsidRPr="00C73365">
        <w:rPr>
          <w:rFonts w:asciiTheme="minorHAnsi" w:hAnsiTheme="minorHAnsi" w:cstheme="minorHAnsi"/>
          <w:lang w:val="fr-FR"/>
        </w:rPr>
        <w:t>âge maximum de 73 ans au 31 décembre 2017</w:t>
      </w:r>
    </w:p>
    <w:p w14:paraId="48B0AFA4"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Effectif par site</w:t>
      </w:r>
    </w:p>
    <w:tbl>
      <w:tblPr>
        <w:tblW w:w="3240" w:type="dxa"/>
        <w:tblCellMar>
          <w:left w:w="70" w:type="dxa"/>
          <w:right w:w="70" w:type="dxa"/>
        </w:tblCellMar>
        <w:tblLook w:val="04A0" w:firstRow="1" w:lastRow="0" w:firstColumn="1" w:lastColumn="0" w:noHBand="0" w:noVBand="1"/>
      </w:tblPr>
      <w:tblGrid>
        <w:gridCol w:w="2100"/>
        <w:gridCol w:w="1140"/>
      </w:tblGrid>
      <w:tr w:rsidR="00136669" w:rsidRPr="00C73365" w14:paraId="2AC8BE19" w14:textId="77777777" w:rsidTr="009C5D68">
        <w:trPr>
          <w:trHeight w:val="300"/>
        </w:trPr>
        <w:tc>
          <w:tcPr>
            <w:tcW w:w="2100" w:type="dxa"/>
            <w:tcBorders>
              <w:top w:val="single" w:sz="12" w:space="0" w:color="7030A0"/>
              <w:left w:val="nil"/>
              <w:bottom w:val="nil"/>
              <w:right w:val="nil"/>
            </w:tcBorders>
            <w:shd w:val="clear" w:color="000000" w:fill="FFFFFF"/>
            <w:vAlign w:val="center"/>
            <w:hideMark/>
          </w:tcPr>
          <w:p w14:paraId="3D4F0DFB"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140" w:type="dxa"/>
            <w:tcBorders>
              <w:top w:val="single" w:sz="12" w:space="0" w:color="7030A0"/>
              <w:left w:val="nil"/>
              <w:bottom w:val="nil"/>
              <w:right w:val="nil"/>
            </w:tcBorders>
            <w:shd w:val="clear" w:color="000000" w:fill="FFFFFF"/>
            <w:vAlign w:val="center"/>
            <w:hideMark/>
          </w:tcPr>
          <w:p w14:paraId="1CD82323"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w:t>
            </w:r>
          </w:p>
        </w:tc>
      </w:tr>
      <w:tr w:rsidR="00136669" w:rsidRPr="00C73365" w14:paraId="47D53A21" w14:textId="77777777" w:rsidTr="009C5D68">
        <w:trPr>
          <w:trHeight w:val="288"/>
        </w:trPr>
        <w:tc>
          <w:tcPr>
            <w:tcW w:w="2100" w:type="dxa"/>
            <w:tcBorders>
              <w:top w:val="nil"/>
              <w:left w:val="nil"/>
              <w:bottom w:val="nil"/>
              <w:right w:val="nil"/>
            </w:tcBorders>
            <w:shd w:val="clear" w:color="000000" w:fill="FFFFFF"/>
            <w:vAlign w:val="center"/>
            <w:hideMark/>
          </w:tcPr>
          <w:p w14:paraId="72318A63"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140" w:type="dxa"/>
            <w:tcBorders>
              <w:top w:val="nil"/>
              <w:left w:val="nil"/>
              <w:bottom w:val="nil"/>
              <w:right w:val="nil"/>
            </w:tcBorders>
            <w:shd w:val="clear" w:color="000000" w:fill="FFFFFF"/>
            <w:vAlign w:val="center"/>
            <w:hideMark/>
          </w:tcPr>
          <w:p w14:paraId="7196F8D7"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p>
        </w:tc>
      </w:tr>
      <w:tr w:rsidR="00136669" w:rsidRPr="00C73365" w14:paraId="673C3303" w14:textId="77777777" w:rsidTr="009C5D68">
        <w:trPr>
          <w:trHeight w:val="300"/>
        </w:trPr>
        <w:tc>
          <w:tcPr>
            <w:tcW w:w="2100" w:type="dxa"/>
            <w:tcBorders>
              <w:top w:val="nil"/>
              <w:left w:val="nil"/>
              <w:bottom w:val="single" w:sz="8" w:space="0" w:color="7030A0"/>
              <w:right w:val="nil"/>
            </w:tcBorders>
            <w:shd w:val="clear" w:color="000000" w:fill="FFFFFF"/>
            <w:vAlign w:val="center"/>
            <w:hideMark/>
          </w:tcPr>
          <w:p w14:paraId="5A23DEBA" w14:textId="77777777"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140" w:type="dxa"/>
            <w:tcBorders>
              <w:top w:val="nil"/>
              <w:left w:val="nil"/>
              <w:bottom w:val="single" w:sz="8" w:space="0" w:color="7030A0"/>
              <w:right w:val="nil"/>
            </w:tcBorders>
            <w:shd w:val="clear" w:color="000000" w:fill="FFFFFF"/>
            <w:vAlign w:val="center"/>
            <w:hideMark/>
          </w:tcPr>
          <w:p w14:paraId="2D245E23"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14:paraId="0B7DF32D" w14:textId="77777777" w:rsidR="00136669" w:rsidRPr="00C73365" w:rsidRDefault="00136669" w:rsidP="00136669">
      <w:pPr>
        <w:rPr>
          <w:rFonts w:asciiTheme="minorHAnsi" w:hAnsiTheme="minorHAnsi" w:cstheme="minorHAnsi"/>
          <w:bCs/>
          <w:szCs w:val="22"/>
          <w:lang w:val="fr-FR"/>
        </w:rPr>
      </w:pPr>
    </w:p>
    <w:p w14:paraId="79E6CD33"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Evolution des effectifs </w:t>
      </w:r>
    </w:p>
    <w:p w14:paraId="265B2526" w14:textId="77777777" w:rsidR="00136669" w:rsidRPr="00C73365" w:rsidRDefault="00136669" w:rsidP="00136669">
      <w:pPr>
        <w:rPr>
          <w:rFonts w:asciiTheme="minorHAnsi" w:hAnsiTheme="minorHAnsi" w:cstheme="minorHAnsi"/>
          <w:bCs/>
          <w:szCs w:val="22"/>
          <w:lang w:val="fr-FR"/>
        </w:rPr>
      </w:pPr>
    </w:p>
    <w:tbl>
      <w:tblPr>
        <w:tblW w:w="4660" w:type="dxa"/>
        <w:tblCellMar>
          <w:left w:w="70" w:type="dxa"/>
          <w:right w:w="70" w:type="dxa"/>
        </w:tblCellMar>
        <w:tblLook w:val="04A0" w:firstRow="1" w:lastRow="0" w:firstColumn="1" w:lastColumn="0" w:noHBand="0" w:noVBand="1"/>
      </w:tblPr>
      <w:tblGrid>
        <w:gridCol w:w="1638"/>
        <w:gridCol w:w="1511"/>
        <w:gridCol w:w="1511"/>
      </w:tblGrid>
      <w:tr w:rsidR="00136669" w:rsidRPr="00C73365" w14:paraId="4D59BB4D" w14:textId="77777777" w:rsidTr="00BF5902">
        <w:trPr>
          <w:trHeight w:val="315"/>
        </w:trPr>
        <w:tc>
          <w:tcPr>
            <w:tcW w:w="1638" w:type="dxa"/>
            <w:tcBorders>
              <w:top w:val="single" w:sz="12" w:space="0" w:color="7030A0"/>
              <w:left w:val="nil"/>
              <w:bottom w:val="nil"/>
              <w:right w:val="nil"/>
            </w:tcBorders>
            <w:shd w:val="clear" w:color="auto" w:fill="auto"/>
            <w:vAlign w:val="center"/>
            <w:hideMark/>
          </w:tcPr>
          <w:p w14:paraId="11ACF3F5"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val="restart"/>
            <w:tcBorders>
              <w:top w:val="single" w:sz="12" w:space="0" w:color="7030A0"/>
              <w:left w:val="nil"/>
              <w:bottom w:val="single" w:sz="8" w:space="0" w:color="7030A0"/>
              <w:right w:val="nil"/>
            </w:tcBorders>
            <w:shd w:val="clear" w:color="auto" w:fill="auto"/>
            <w:vAlign w:val="center"/>
            <w:hideMark/>
          </w:tcPr>
          <w:p w14:paraId="3317A69E"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31/12/2016</w:t>
            </w:r>
          </w:p>
        </w:tc>
        <w:tc>
          <w:tcPr>
            <w:tcW w:w="1511" w:type="dxa"/>
            <w:vMerge w:val="restart"/>
            <w:tcBorders>
              <w:top w:val="single" w:sz="12" w:space="0" w:color="7030A0"/>
              <w:left w:val="nil"/>
              <w:bottom w:val="single" w:sz="8" w:space="0" w:color="7030A0"/>
              <w:right w:val="nil"/>
            </w:tcBorders>
            <w:shd w:val="clear" w:color="auto" w:fill="auto"/>
            <w:vAlign w:val="center"/>
            <w:hideMark/>
          </w:tcPr>
          <w:p w14:paraId="2D5FC01C"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31/12/2017</w:t>
            </w:r>
          </w:p>
        </w:tc>
      </w:tr>
      <w:tr w:rsidR="00136669" w:rsidRPr="00C73365" w14:paraId="6B7D76DC" w14:textId="77777777" w:rsidTr="00BF5902">
        <w:trPr>
          <w:trHeight w:val="300"/>
        </w:trPr>
        <w:tc>
          <w:tcPr>
            <w:tcW w:w="1638" w:type="dxa"/>
            <w:tcBorders>
              <w:top w:val="nil"/>
              <w:left w:val="nil"/>
              <w:bottom w:val="single" w:sz="8" w:space="0" w:color="7030A0"/>
              <w:right w:val="nil"/>
            </w:tcBorders>
            <w:shd w:val="clear" w:color="auto" w:fill="auto"/>
            <w:vAlign w:val="center"/>
            <w:hideMark/>
          </w:tcPr>
          <w:p w14:paraId="06735D9B"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tcBorders>
              <w:top w:val="single" w:sz="12" w:space="0" w:color="7030A0"/>
              <w:left w:val="nil"/>
              <w:bottom w:val="single" w:sz="8" w:space="0" w:color="7030A0"/>
              <w:right w:val="nil"/>
            </w:tcBorders>
            <w:shd w:val="clear" w:color="auto" w:fill="auto"/>
            <w:vAlign w:val="center"/>
            <w:hideMark/>
          </w:tcPr>
          <w:p w14:paraId="12DAB49D" w14:textId="77777777" w:rsidR="00136669" w:rsidRPr="00C73365" w:rsidRDefault="00136669" w:rsidP="009C5D68">
            <w:pPr>
              <w:spacing w:after="0"/>
              <w:rPr>
                <w:rFonts w:asciiTheme="minorHAnsi" w:hAnsiTheme="minorHAnsi" w:cstheme="minorHAnsi"/>
                <w:color w:val="000000"/>
                <w:szCs w:val="20"/>
                <w:lang w:val="fr-FR" w:eastAsia="fr-FR"/>
              </w:rPr>
            </w:pPr>
          </w:p>
        </w:tc>
        <w:tc>
          <w:tcPr>
            <w:tcW w:w="1511" w:type="dxa"/>
            <w:vMerge/>
            <w:tcBorders>
              <w:top w:val="single" w:sz="12" w:space="0" w:color="7030A0"/>
              <w:left w:val="nil"/>
              <w:bottom w:val="single" w:sz="8" w:space="0" w:color="7030A0"/>
              <w:right w:val="nil"/>
            </w:tcBorders>
            <w:shd w:val="clear" w:color="auto" w:fill="auto"/>
            <w:vAlign w:val="center"/>
            <w:hideMark/>
          </w:tcPr>
          <w:p w14:paraId="6B4FB271" w14:textId="77777777"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14:paraId="570BD749" w14:textId="77777777" w:rsidTr="00BF5902">
        <w:trPr>
          <w:trHeight w:val="288"/>
        </w:trPr>
        <w:tc>
          <w:tcPr>
            <w:tcW w:w="1638" w:type="dxa"/>
            <w:tcBorders>
              <w:top w:val="nil"/>
              <w:left w:val="nil"/>
              <w:bottom w:val="nil"/>
              <w:right w:val="nil"/>
            </w:tcBorders>
            <w:shd w:val="clear" w:color="auto" w:fill="auto"/>
            <w:vAlign w:val="center"/>
            <w:hideMark/>
          </w:tcPr>
          <w:p w14:paraId="4745BFA5"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511" w:type="dxa"/>
            <w:tcBorders>
              <w:top w:val="nil"/>
              <w:left w:val="nil"/>
              <w:bottom w:val="nil"/>
              <w:right w:val="nil"/>
            </w:tcBorders>
            <w:shd w:val="clear" w:color="auto" w:fill="auto"/>
            <w:vAlign w:val="center"/>
            <w:hideMark/>
          </w:tcPr>
          <w:p w14:paraId="59D6022B"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w:t>
            </w:r>
          </w:p>
        </w:tc>
        <w:tc>
          <w:tcPr>
            <w:tcW w:w="1511" w:type="dxa"/>
            <w:tcBorders>
              <w:top w:val="nil"/>
              <w:left w:val="nil"/>
              <w:bottom w:val="nil"/>
              <w:right w:val="nil"/>
            </w:tcBorders>
            <w:shd w:val="clear" w:color="auto" w:fill="auto"/>
            <w:vAlign w:val="center"/>
            <w:hideMark/>
          </w:tcPr>
          <w:p w14:paraId="021E14AD"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r w:rsidR="00BF5902" w:rsidRPr="00C73365">
              <w:rPr>
                <w:rFonts w:asciiTheme="minorHAnsi" w:hAnsiTheme="minorHAnsi" w:cstheme="minorHAnsi"/>
                <w:color w:val="000000"/>
                <w:szCs w:val="20"/>
                <w:lang w:val="fr-FR" w:eastAsia="fr-FR"/>
              </w:rPr>
              <w:t>1</w:t>
            </w:r>
          </w:p>
        </w:tc>
      </w:tr>
      <w:tr w:rsidR="00136669" w:rsidRPr="00C73365" w14:paraId="32EB7581" w14:textId="77777777" w:rsidTr="00BF5902">
        <w:trPr>
          <w:trHeight w:val="288"/>
        </w:trPr>
        <w:tc>
          <w:tcPr>
            <w:tcW w:w="1638" w:type="dxa"/>
            <w:tcBorders>
              <w:top w:val="nil"/>
              <w:left w:val="nil"/>
              <w:bottom w:val="nil"/>
              <w:right w:val="nil"/>
            </w:tcBorders>
            <w:shd w:val="clear" w:color="auto" w:fill="auto"/>
            <w:vAlign w:val="center"/>
            <w:hideMark/>
          </w:tcPr>
          <w:p w14:paraId="7C4EEC53"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511" w:type="dxa"/>
            <w:tcBorders>
              <w:top w:val="nil"/>
              <w:left w:val="nil"/>
              <w:bottom w:val="nil"/>
              <w:right w:val="nil"/>
            </w:tcBorders>
            <w:shd w:val="clear" w:color="auto" w:fill="auto"/>
            <w:vAlign w:val="center"/>
            <w:hideMark/>
          </w:tcPr>
          <w:p w14:paraId="7ACD3711"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w:t>
            </w:r>
          </w:p>
        </w:tc>
        <w:tc>
          <w:tcPr>
            <w:tcW w:w="1511" w:type="dxa"/>
            <w:tcBorders>
              <w:top w:val="nil"/>
              <w:left w:val="nil"/>
              <w:bottom w:val="nil"/>
              <w:right w:val="nil"/>
            </w:tcBorders>
            <w:shd w:val="clear" w:color="auto" w:fill="auto"/>
            <w:vAlign w:val="center"/>
            <w:hideMark/>
          </w:tcPr>
          <w:p w14:paraId="2DC67E63" w14:textId="77777777" w:rsidR="00136669" w:rsidRPr="00C73365" w:rsidRDefault="00BF5902"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136669" w:rsidRPr="00C73365" w14:paraId="45320067" w14:textId="77777777" w:rsidTr="00BF5902">
        <w:trPr>
          <w:trHeight w:val="300"/>
        </w:trPr>
        <w:tc>
          <w:tcPr>
            <w:tcW w:w="1638" w:type="dxa"/>
            <w:tcBorders>
              <w:top w:val="nil"/>
              <w:left w:val="nil"/>
              <w:bottom w:val="single" w:sz="8" w:space="0" w:color="7030A0"/>
              <w:right w:val="nil"/>
            </w:tcBorders>
            <w:shd w:val="clear" w:color="auto" w:fill="auto"/>
            <w:vAlign w:val="center"/>
            <w:hideMark/>
          </w:tcPr>
          <w:p w14:paraId="0E07B207"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 Social</w:t>
            </w:r>
          </w:p>
        </w:tc>
        <w:tc>
          <w:tcPr>
            <w:tcW w:w="1511" w:type="dxa"/>
            <w:tcBorders>
              <w:top w:val="nil"/>
              <w:left w:val="nil"/>
              <w:bottom w:val="single" w:sz="8" w:space="0" w:color="7030A0"/>
              <w:right w:val="nil"/>
            </w:tcBorders>
            <w:shd w:val="clear" w:color="auto" w:fill="auto"/>
            <w:vAlign w:val="center"/>
            <w:hideMark/>
          </w:tcPr>
          <w:p w14:paraId="58457A0D"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c>
          <w:tcPr>
            <w:tcW w:w="1511" w:type="dxa"/>
            <w:tcBorders>
              <w:top w:val="nil"/>
              <w:left w:val="nil"/>
              <w:bottom w:val="single" w:sz="8" w:space="0" w:color="7030A0"/>
              <w:right w:val="nil"/>
            </w:tcBorders>
            <w:shd w:val="clear" w:color="auto" w:fill="auto"/>
            <w:vAlign w:val="center"/>
            <w:hideMark/>
          </w:tcPr>
          <w:p w14:paraId="7C6837CF"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136669" w:rsidRPr="00C73365" w14:paraId="27FC63FE" w14:textId="77777777" w:rsidTr="00BF5902">
        <w:trPr>
          <w:trHeight w:val="300"/>
        </w:trPr>
        <w:tc>
          <w:tcPr>
            <w:tcW w:w="1638" w:type="dxa"/>
            <w:tcBorders>
              <w:top w:val="nil"/>
              <w:left w:val="nil"/>
              <w:bottom w:val="single" w:sz="8" w:space="0" w:color="7030A0"/>
              <w:right w:val="nil"/>
            </w:tcBorders>
            <w:shd w:val="clear" w:color="auto" w:fill="auto"/>
            <w:vAlign w:val="center"/>
            <w:hideMark/>
          </w:tcPr>
          <w:p w14:paraId="2A46412B" w14:textId="77777777"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511" w:type="dxa"/>
            <w:tcBorders>
              <w:top w:val="nil"/>
              <w:left w:val="nil"/>
              <w:bottom w:val="single" w:sz="8" w:space="0" w:color="7030A0"/>
              <w:right w:val="nil"/>
            </w:tcBorders>
            <w:shd w:val="clear" w:color="auto" w:fill="auto"/>
            <w:vAlign w:val="center"/>
            <w:hideMark/>
          </w:tcPr>
          <w:p w14:paraId="643EC89D"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c>
          <w:tcPr>
            <w:tcW w:w="1511" w:type="dxa"/>
            <w:tcBorders>
              <w:top w:val="nil"/>
              <w:left w:val="nil"/>
              <w:bottom w:val="single" w:sz="8" w:space="0" w:color="7030A0"/>
              <w:right w:val="nil"/>
            </w:tcBorders>
            <w:shd w:val="clear" w:color="auto" w:fill="auto"/>
            <w:vAlign w:val="center"/>
            <w:hideMark/>
          </w:tcPr>
          <w:p w14:paraId="57A31F80"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14:paraId="1894CFBB" w14:textId="77777777" w:rsidR="00136669" w:rsidRPr="00C73365" w:rsidRDefault="00136669" w:rsidP="00136669">
      <w:pPr>
        <w:rPr>
          <w:rFonts w:asciiTheme="minorHAnsi" w:hAnsiTheme="minorHAnsi" w:cstheme="minorHAnsi"/>
          <w:bCs/>
          <w:szCs w:val="22"/>
          <w:lang w:val="fr-FR"/>
        </w:rPr>
      </w:pPr>
    </w:p>
    <w:p w14:paraId="1FF20536"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Répartition par sexe </w:t>
      </w:r>
    </w:p>
    <w:p w14:paraId="22BEBF03" w14:textId="77777777" w:rsidR="00136669" w:rsidRPr="00C73365" w:rsidRDefault="00136669" w:rsidP="00136669">
      <w:pPr>
        <w:rPr>
          <w:rFonts w:asciiTheme="minorHAnsi" w:hAnsiTheme="minorHAnsi" w:cstheme="minorHAnsi"/>
          <w:bCs/>
          <w:szCs w:val="22"/>
          <w:lang w:val="fr-FR"/>
        </w:rPr>
      </w:pPr>
    </w:p>
    <w:tbl>
      <w:tblPr>
        <w:tblW w:w="4660" w:type="dxa"/>
        <w:tblCellMar>
          <w:left w:w="70" w:type="dxa"/>
          <w:right w:w="70" w:type="dxa"/>
        </w:tblCellMar>
        <w:tblLook w:val="04A0" w:firstRow="1" w:lastRow="0" w:firstColumn="1" w:lastColumn="0" w:noHBand="0" w:noVBand="1"/>
      </w:tblPr>
      <w:tblGrid>
        <w:gridCol w:w="1638"/>
        <w:gridCol w:w="1511"/>
        <w:gridCol w:w="1511"/>
      </w:tblGrid>
      <w:tr w:rsidR="00136669" w:rsidRPr="00C73365" w14:paraId="0E877040" w14:textId="77777777" w:rsidTr="009C5D68">
        <w:trPr>
          <w:trHeight w:val="315"/>
        </w:trPr>
        <w:tc>
          <w:tcPr>
            <w:tcW w:w="1638" w:type="dxa"/>
            <w:tcBorders>
              <w:top w:val="single" w:sz="12" w:space="0" w:color="7030A0"/>
              <w:left w:val="nil"/>
              <w:bottom w:val="nil"/>
              <w:right w:val="nil"/>
            </w:tcBorders>
            <w:shd w:val="clear" w:color="000000" w:fill="FFFFFF"/>
            <w:vAlign w:val="center"/>
            <w:hideMark/>
          </w:tcPr>
          <w:p w14:paraId="0AB29A21" w14:textId="77777777" w:rsidR="00136669" w:rsidRPr="00C73365" w:rsidRDefault="00136669" w:rsidP="009C5D68">
            <w:pPr>
              <w:spacing w:after="0"/>
              <w:jc w:val="right"/>
              <w:rPr>
                <w:rFonts w:asciiTheme="minorHAnsi" w:hAnsiTheme="minorHAnsi" w:cstheme="minorHAnsi"/>
                <w:color w:val="000000"/>
                <w:szCs w:val="20"/>
                <w:lang w:val="fr-FR" w:eastAsia="fr-FR"/>
              </w:rPr>
            </w:pPr>
          </w:p>
        </w:tc>
        <w:tc>
          <w:tcPr>
            <w:tcW w:w="1511" w:type="dxa"/>
            <w:vMerge w:val="restart"/>
            <w:tcBorders>
              <w:top w:val="single" w:sz="12" w:space="0" w:color="7030A0"/>
              <w:left w:val="nil"/>
              <w:bottom w:val="single" w:sz="8" w:space="0" w:color="7030A0"/>
              <w:right w:val="nil"/>
            </w:tcBorders>
            <w:shd w:val="clear" w:color="000000" w:fill="FFFFFF"/>
            <w:vAlign w:val="center"/>
            <w:hideMark/>
          </w:tcPr>
          <w:p w14:paraId="00CF94C5"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31/12/2016</w:t>
            </w:r>
          </w:p>
        </w:tc>
        <w:tc>
          <w:tcPr>
            <w:tcW w:w="1511" w:type="dxa"/>
            <w:vMerge w:val="restart"/>
            <w:tcBorders>
              <w:top w:val="single" w:sz="12" w:space="0" w:color="7030A0"/>
              <w:left w:val="nil"/>
              <w:bottom w:val="single" w:sz="8" w:space="0" w:color="7030A0"/>
              <w:right w:val="nil"/>
            </w:tcBorders>
            <w:shd w:val="clear" w:color="000000" w:fill="FFFFFF"/>
            <w:vAlign w:val="center"/>
            <w:hideMark/>
          </w:tcPr>
          <w:p w14:paraId="368B068F"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31/12/2017</w:t>
            </w:r>
          </w:p>
        </w:tc>
      </w:tr>
      <w:tr w:rsidR="00136669" w:rsidRPr="00C73365" w14:paraId="19AD6C55" w14:textId="77777777" w:rsidTr="009C5D68">
        <w:trPr>
          <w:trHeight w:val="300"/>
        </w:trPr>
        <w:tc>
          <w:tcPr>
            <w:tcW w:w="1638" w:type="dxa"/>
            <w:tcBorders>
              <w:top w:val="nil"/>
              <w:left w:val="nil"/>
              <w:bottom w:val="single" w:sz="8" w:space="0" w:color="7030A0"/>
              <w:right w:val="nil"/>
            </w:tcBorders>
            <w:shd w:val="clear" w:color="000000" w:fill="FFFFFF"/>
            <w:vAlign w:val="center"/>
            <w:hideMark/>
          </w:tcPr>
          <w:p w14:paraId="7CE9ED16"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tcBorders>
              <w:top w:val="single" w:sz="12" w:space="0" w:color="7030A0"/>
              <w:left w:val="nil"/>
              <w:bottom w:val="single" w:sz="8" w:space="0" w:color="7030A0"/>
              <w:right w:val="nil"/>
            </w:tcBorders>
            <w:vAlign w:val="center"/>
            <w:hideMark/>
          </w:tcPr>
          <w:p w14:paraId="35395AC8" w14:textId="77777777" w:rsidR="00136669" w:rsidRPr="00C73365" w:rsidRDefault="00136669" w:rsidP="009C5D68">
            <w:pPr>
              <w:spacing w:after="0"/>
              <w:rPr>
                <w:rFonts w:asciiTheme="minorHAnsi" w:hAnsiTheme="minorHAnsi" w:cstheme="minorHAnsi"/>
                <w:color w:val="000000"/>
                <w:szCs w:val="20"/>
                <w:lang w:val="fr-FR" w:eastAsia="fr-FR"/>
              </w:rPr>
            </w:pPr>
          </w:p>
        </w:tc>
        <w:tc>
          <w:tcPr>
            <w:tcW w:w="1511" w:type="dxa"/>
            <w:vMerge/>
            <w:tcBorders>
              <w:top w:val="single" w:sz="12" w:space="0" w:color="7030A0"/>
              <w:left w:val="nil"/>
              <w:bottom w:val="single" w:sz="8" w:space="0" w:color="7030A0"/>
              <w:right w:val="nil"/>
            </w:tcBorders>
            <w:vAlign w:val="center"/>
            <w:hideMark/>
          </w:tcPr>
          <w:p w14:paraId="745C72CF" w14:textId="77777777"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14:paraId="1DF4D512" w14:textId="77777777" w:rsidTr="009C5D68">
        <w:trPr>
          <w:trHeight w:val="288"/>
        </w:trPr>
        <w:tc>
          <w:tcPr>
            <w:tcW w:w="1638" w:type="dxa"/>
            <w:tcBorders>
              <w:top w:val="nil"/>
              <w:left w:val="nil"/>
              <w:bottom w:val="nil"/>
              <w:right w:val="nil"/>
            </w:tcBorders>
            <w:shd w:val="clear" w:color="000000" w:fill="FFFFFF"/>
            <w:vAlign w:val="center"/>
            <w:hideMark/>
          </w:tcPr>
          <w:p w14:paraId="2D21B98B"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Hommes</w:t>
            </w:r>
          </w:p>
        </w:tc>
        <w:tc>
          <w:tcPr>
            <w:tcW w:w="1511" w:type="dxa"/>
            <w:tcBorders>
              <w:top w:val="nil"/>
              <w:left w:val="nil"/>
              <w:bottom w:val="nil"/>
              <w:right w:val="nil"/>
            </w:tcBorders>
            <w:shd w:val="clear" w:color="000000" w:fill="FFFFFF"/>
            <w:vAlign w:val="center"/>
            <w:hideMark/>
          </w:tcPr>
          <w:p w14:paraId="01D7D9F9"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w:t>
            </w:r>
          </w:p>
        </w:tc>
        <w:tc>
          <w:tcPr>
            <w:tcW w:w="1511" w:type="dxa"/>
            <w:tcBorders>
              <w:top w:val="nil"/>
              <w:left w:val="nil"/>
              <w:bottom w:val="nil"/>
              <w:right w:val="nil"/>
            </w:tcBorders>
            <w:shd w:val="clear" w:color="000000" w:fill="FFFFFF"/>
            <w:vAlign w:val="center"/>
            <w:hideMark/>
          </w:tcPr>
          <w:p w14:paraId="50D1DC14"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w:t>
            </w:r>
          </w:p>
        </w:tc>
      </w:tr>
      <w:tr w:rsidR="00136669" w:rsidRPr="00C73365" w14:paraId="41AE7696" w14:textId="77777777" w:rsidTr="009C5D68">
        <w:trPr>
          <w:trHeight w:val="300"/>
        </w:trPr>
        <w:tc>
          <w:tcPr>
            <w:tcW w:w="1638" w:type="dxa"/>
            <w:tcBorders>
              <w:top w:val="nil"/>
              <w:left w:val="nil"/>
              <w:bottom w:val="single" w:sz="8" w:space="0" w:color="7030A0"/>
              <w:right w:val="nil"/>
            </w:tcBorders>
            <w:shd w:val="clear" w:color="000000" w:fill="FFFFFF"/>
            <w:vAlign w:val="center"/>
            <w:hideMark/>
          </w:tcPr>
          <w:p w14:paraId="549EC9F0"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Femmes</w:t>
            </w:r>
          </w:p>
        </w:tc>
        <w:tc>
          <w:tcPr>
            <w:tcW w:w="1511" w:type="dxa"/>
            <w:tcBorders>
              <w:top w:val="nil"/>
              <w:left w:val="nil"/>
              <w:bottom w:val="single" w:sz="8" w:space="0" w:color="7030A0"/>
              <w:right w:val="nil"/>
            </w:tcBorders>
            <w:shd w:val="clear" w:color="000000" w:fill="FFFFFF"/>
            <w:vAlign w:val="center"/>
            <w:hideMark/>
          </w:tcPr>
          <w:p w14:paraId="6AB5D114"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w:t>
            </w:r>
          </w:p>
        </w:tc>
        <w:tc>
          <w:tcPr>
            <w:tcW w:w="1511" w:type="dxa"/>
            <w:tcBorders>
              <w:top w:val="nil"/>
              <w:left w:val="nil"/>
              <w:bottom w:val="single" w:sz="8" w:space="0" w:color="7030A0"/>
              <w:right w:val="nil"/>
            </w:tcBorders>
            <w:shd w:val="clear" w:color="000000" w:fill="FFFFFF"/>
            <w:vAlign w:val="center"/>
            <w:hideMark/>
          </w:tcPr>
          <w:p w14:paraId="5C22E4C0"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w:t>
            </w:r>
          </w:p>
        </w:tc>
      </w:tr>
      <w:tr w:rsidR="00136669" w:rsidRPr="00C73365" w14:paraId="5FC414BC" w14:textId="77777777" w:rsidTr="009C5D68">
        <w:trPr>
          <w:trHeight w:val="300"/>
        </w:trPr>
        <w:tc>
          <w:tcPr>
            <w:tcW w:w="1638" w:type="dxa"/>
            <w:tcBorders>
              <w:top w:val="nil"/>
              <w:left w:val="nil"/>
              <w:bottom w:val="single" w:sz="8" w:space="0" w:color="7030A0"/>
              <w:right w:val="nil"/>
            </w:tcBorders>
            <w:shd w:val="clear" w:color="000000" w:fill="FFFFFF"/>
            <w:vAlign w:val="center"/>
            <w:hideMark/>
          </w:tcPr>
          <w:p w14:paraId="5D08345A" w14:textId="77777777"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511" w:type="dxa"/>
            <w:tcBorders>
              <w:top w:val="nil"/>
              <w:left w:val="nil"/>
              <w:bottom w:val="single" w:sz="8" w:space="0" w:color="7030A0"/>
              <w:right w:val="nil"/>
            </w:tcBorders>
            <w:shd w:val="clear" w:color="000000" w:fill="FFFFFF"/>
            <w:vAlign w:val="center"/>
            <w:hideMark/>
          </w:tcPr>
          <w:p w14:paraId="1ECD5510"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c>
          <w:tcPr>
            <w:tcW w:w="1511" w:type="dxa"/>
            <w:tcBorders>
              <w:top w:val="nil"/>
              <w:left w:val="nil"/>
              <w:bottom w:val="single" w:sz="8" w:space="0" w:color="7030A0"/>
              <w:right w:val="nil"/>
            </w:tcBorders>
            <w:shd w:val="clear" w:color="000000" w:fill="FFFFFF"/>
            <w:vAlign w:val="center"/>
            <w:hideMark/>
          </w:tcPr>
          <w:p w14:paraId="4644FDA9"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14:paraId="005C500F"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Au 31 décembre 2017, 58,3 % des collaborateurs sont des femmes et 41.7 % sont des hommes, stable par rapport au 31 décembre 2016.</w:t>
      </w:r>
    </w:p>
    <w:p w14:paraId="7078082B"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Embauches, départs et licenciements : </w:t>
      </w:r>
    </w:p>
    <w:p w14:paraId="47DE46B8"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Entre le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et le 31 décembre 2017 :</w:t>
      </w:r>
    </w:p>
    <w:p w14:paraId="354BD4B1" w14:textId="77777777" w:rsidR="00136669" w:rsidRPr="00C73365" w:rsidRDefault="00136669" w:rsidP="00434C49">
      <w:pPr>
        <w:pStyle w:val="Paragraphedeliste"/>
        <w:widowControl w:val="0"/>
        <w:numPr>
          <w:ilvl w:val="0"/>
          <w:numId w:val="86"/>
        </w:numPr>
        <w:rPr>
          <w:rFonts w:asciiTheme="minorHAnsi" w:hAnsiTheme="minorHAnsi" w:cstheme="minorHAnsi"/>
          <w:bCs/>
          <w:szCs w:val="22"/>
          <w:lang w:val="fr-FR"/>
        </w:rPr>
      </w:pPr>
      <w:r w:rsidRPr="00C73365">
        <w:rPr>
          <w:rFonts w:asciiTheme="minorHAnsi" w:hAnsiTheme="minorHAnsi" w:cstheme="minorHAnsi"/>
          <w:bCs/>
          <w:szCs w:val="22"/>
          <w:lang w:val="fr-FR"/>
        </w:rPr>
        <w:t>1 salarié CDI a quitté l’entreprise (démission), 1 salarié CDI a été embauché en Janvier 2017</w:t>
      </w:r>
    </w:p>
    <w:p w14:paraId="392B4798" w14:textId="77777777" w:rsidR="00136669" w:rsidRPr="00C73365" w:rsidRDefault="00136669" w:rsidP="00434C49">
      <w:pPr>
        <w:pStyle w:val="Paragraphedeliste"/>
        <w:widowControl w:val="0"/>
        <w:numPr>
          <w:ilvl w:val="0"/>
          <w:numId w:val="86"/>
        </w:numPr>
        <w:rPr>
          <w:rFonts w:asciiTheme="minorHAnsi" w:hAnsiTheme="minorHAnsi" w:cstheme="minorHAnsi"/>
          <w:bCs/>
          <w:szCs w:val="22"/>
          <w:lang w:val="fr-FR"/>
        </w:rPr>
      </w:pPr>
      <w:r w:rsidRPr="00C73365">
        <w:rPr>
          <w:rFonts w:asciiTheme="minorHAnsi" w:hAnsiTheme="minorHAnsi" w:cstheme="minorHAnsi"/>
          <w:bCs/>
          <w:szCs w:val="22"/>
          <w:lang w:val="fr-FR"/>
        </w:rPr>
        <w:t>1 salariée dont le CDD s’achevait en janvier, a été réembauchée en CDI en mai</w:t>
      </w:r>
    </w:p>
    <w:p w14:paraId="4C665C06"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Organisation du travail</w:t>
      </w:r>
    </w:p>
    <w:p w14:paraId="0DE528CD"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L’organisation du temps de travail est régie par un accord signé en 2016. Tous les salariés sont employés sous contrat de travail à durée Indéterminée, à temps plein, à l</w:t>
      </w:r>
      <w:r w:rsidR="004572A0" w:rsidRPr="00C73365">
        <w:rPr>
          <w:rFonts w:asciiTheme="minorHAnsi" w:hAnsiTheme="minorHAnsi" w:cstheme="minorHAnsi"/>
          <w:lang w:val="fr-FR"/>
        </w:rPr>
        <w:t>’</w:t>
      </w:r>
      <w:r w:rsidRPr="00C73365">
        <w:rPr>
          <w:rFonts w:asciiTheme="minorHAnsi" w:hAnsiTheme="minorHAnsi" w:cstheme="minorHAnsi"/>
          <w:lang w:val="fr-FR"/>
        </w:rPr>
        <w:t>exception d</w:t>
      </w:r>
      <w:r w:rsidR="004572A0" w:rsidRPr="00C73365">
        <w:rPr>
          <w:rFonts w:asciiTheme="minorHAnsi" w:hAnsiTheme="minorHAnsi" w:cstheme="minorHAnsi"/>
          <w:lang w:val="fr-FR"/>
        </w:rPr>
        <w:t>’</w:t>
      </w:r>
      <w:r w:rsidRPr="00C73365">
        <w:rPr>
          <w:rFonts w:asciiTheme="minorHAnsi" w:hAnsiTheme="minorHAnsi" w:cstheme="minorHAnsi"/>
          <w:lang w:val="fr-FR"/>
        </w:rPr>
        <w:t>un salarié, employé à temps partiel :</w:t>
      </w:r>
    </w:p>
    <w:p w14:paraId="2B5AF30D" w14:textId="77777777" w:rsidR="00136669" w:rsidRPr="00C73365" w:rsidRDefault="002A30AE" w:rsidP="00434C49">
      <w:pPr>
        <w:pStyle w:val="Paragraphedeliste"/>
        <w:numPr>
          <w:ilvl w:val="0"/>
          <w:numId w:val="86"/>
        </w:numPr>
        <w:rPr>
          <w:rFonts w:asciiTheme="minorHAnsi" w:hAnsiTheme="minorHAnsi" w:cstheme="minorHAnsi"/>
          <w:bCs/>
          <w:lang w:val="fr-FR"/>
        </w:rPr>
      </w:pPr>
      <w:r w:rsidRPr="00C73365">
        <w:rPr>
          <w:rFonts w:asciiTheme="minorHAnsi" w:hAnsiTheme="minorHAnsi" w:cstheme="minorHAnsi"/>
          <w:bCs/>
          <w:lang w:val="fr-FR"/>
        </w:rPr>
        <w:t>6</w:t>
      </w:r>
      <w:r w:rsidR="00136669" w:rsidRPr="00C73365">
        <w:rPr>
          <w:rFonts w:asciiTheme="minorHAnsi" w:hAnsiTheme="minorHAnsi" w:cstheme="minorHAnsi"/>
          <w:bCs/>
          <w:lang w:val="fr-FR"/>
        </w:rPr>
        <w:t xml:space="preserve"> salariés</w:t>
      </w:r>
      <w:r w:rsidRPr="00C73365">
        <w:rPr>
          <w:rFonts w:asciiTheme="minorHAnsi" w:hAnsiTheme="minorHAnsi" w:cstheme="minorHAnsi"/>
          <w:bCs/>
          <w:lang w:val="fr-FR"/>
        </w:rPr>
        <w:t xml:space="preserve"> </w:t>
      </w:r>
      <w:r w:rsidR="00136669" w:rsidRPr="00C73365">
        <w:rPr>
          <w:rFonts w:asciiTheme="minorHAnsi" w:hAnsiTheme="minorHAnsi" w:cstheme="minorHAnsi"/>
          <w:bCs/>
          <w:lang w:val="fr-FR"/>
        </w:rPr>
        <w:t>ont un statut de cadre dirigeant</w:t>
      </w:r>
    </w:p>
    <w:p w14:paraId="5B2B0480" w14:textId="77777777" w:rsidR="00136669" w:rsidRPr="00C73365" w:rsidRDefault="00136669" w:rsidP="00434C49">
      <w:pPr>
        <w:pStyle w:val="Paragraphedeliste"/>
        <w:numPr>
          <w:ilvl w:val="0"/>
          <w:numId w:val="86"/>
        </w:numPr>
        <w:rPr>
          <w:rFonts w:asciiTheme="minorHAnsi" w:hAnsiTheme="minorHAnsi" w:cstheme="minorHAnsi"/>
          <w:bCs/>
          <w:lang w:val="fr-FR"/>
        </w:rPr>
      </w:pPr>
      <w:r w:rsidRPr="00C73365">
        <w:rPr>
          <w:rFonts w:asciiTheme="minorHAnsi" w:hAnsiTheme="minorHAnsi" w:cstheme="minorHAnsi"/>
          <w:bCs/>
          <w:lang w:val="fr-FR"/>
        </w:rPr>
        <w:t>15 salariés ont un statut cadre travaillent sous le régime du forfait jours</w:t>
      </w:r>
    </w:p>
    <w:p w14:paraId="1C5886FB" w14:textId="77777777" w:rsidR="00136669" w:rsidRPr="00C73365" w:rsidRDefault="00136669" w:rsidP="00434C49">
      <w:pPr>
        <w:pStyle w:val="Paragraphedeliste"/>
        <w:numPr>
          <w:ilvl w:val="0"/>
          <w:numId w:val="86"/>
        </w:numPr>
        <w:rPr>
          <w:rFonts w:asciiTheme="minorHAnsi" w:hAnsiTheme="minorHAnsi" w:cstheme="minorHAnsi"/>
          <w:bCs/>
          <w:lang w:val="fr-FR"/>
        </w:rPr>
      </w:pPr>
      <w:r w:rsidRPr="00C73365">
        <w:rPr>
          <w:rFonts w:asciiTheme="minorHAnsi" w:hAnsiTheme="minorHAnsi" w:cstheme="minorHAnsi"/>
          <w:bCs/>
          <w:lang w:val="fr-FR"/>
        </w:rPr>
        <w:t>1 salariée travaille 35 heures par semaine</w:t>
      </w:r>
    </w:p>
    <w:p w14:paraId="0B3F14EB" w14:textId="77777777" w:rsidR="00136669" w:rsidRPr="00C73365" w:rsidRDefault="00136669" w:rsidP="00434C49">
      <w:pPr>
        <w:pStyle w:val="Paragraphedeliste"/>
        <w:numPr>
          <w:ilvl w:val="0"/>
          <w:numId w:val="86"/>
        </w:numPr>
        <w:rPr>
          <w:rFonts w:asciiTheme="minorHAnsi" w:hAnsiTheme="minorHAnsi" w:cstheme="minorHAnsi"/>
          <w:bCs/>
          <w:lang w:val="fr-FR"/>
        </w:rPr>
      </w:pPr>
      <w:r w:rsidRPr="00C73365">
        <w:rPr>
          <w:rFonts w:asciiTheme="minorHAnsi" w:hAnsiTheme="minorHAnsi" w:cstheme="minorHAnsi"/>
          <w:bCs/>
          <w:lang w:val="fr-FR"/>
        </w:rPr>
        <w:t xml:space="preserve">1 salariée travaille sur la base d’un forfait horaire annualisé </w:t>
      </w:r>
    </w:p>
    <w:p w14:paraId="0E1224A9" w14:textId="77777777" w:rsidR="00136669" w:rsidRPr="00C73365" w:rsidRDefault="00136669" w:rsidP="00136669">
      <w:pPr>
        <w:rPr>
          <w:rFonts w:asciiTheme="minorHAnsi" w:hAnsiTheme="minorHAnsi" w:cstheme="minorHAnsi"/>
          <w:bCs/>
          <w:szCs w:val="22"/>
          <w:lang w:val="fr-FR"/>
        </w:rPr>
      </w:pPr>
    </w:p>
    <w:p w14:paraId="69151E17"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lastRenderedPageBreak/>
        <w:t>Bilan des accords collectifs</w:t>
      </w:r>
    </w:p>
    <w:p w14:paraId="6A30491F"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L’entreprise applique la convention collective de l’industrie pharmaceutique. Un accord d’entreprise sur l’organisation du temps de travail a été signé le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2016.</w:t>
      </w:r>
    </w:p>
    <w:p w14:paraId="59721243"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Ainsi, l’année 2017 a été la première année d’application de l’accord sur le temps de travail, avec un bilan très positif, tant du point de vue des salariés que de la Direction de l’entreprise.</w:t>
      </w:r>
    </w:p>
    <w:p w14:paraId="083372AE"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Absentéisme, accidents du travail et maladies professionnelles</w:t>
      </w:r>
    </w:p>
    <w:p w14:paraId="38C324A0"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En 2017, l’entreprise totalise 264 jours d’absentéisme, dont 238 jours concernent un arrêt prolongé suite à un accident de trajet. Les autres absences sont de faible durée.</w:t>
      </w:r>
    </w:p>
    <w:p w14:paraId="3160D66F"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Rémunérations</w:t>
      </w:r>
    </w:p>
    <w:p w14:paraId="6B0F1EAA"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rémunérations mensuelles moyennes brutes par niveau en 2017 sont indiquées dans les tableaux ci-dessous. Cette rémunération moyenne mensuelle (salaire de base brut) s</w:t>
      </w:r>
      <w:r w:rsidR="004572A0" w:rsidRPr="00C73365">
        <w:rPr>
          <w:rFonts w:asciiTheme="minorHAnsi" w:hAnsiTheme="minorHAnsi" w:cstheme="minorHAnsi"/>
          <w:lang w:val="fr-FR"/>
        </w:rPr>
        <w:t>’</w:t>
      </w:r>
      <w:r w:rsidRPr="00C73365">
        <w:rPr>
          <w:rFonts w:asciiTheme="minorHAnsi" w:hAnsiTheme="minorHAnsi" w:cstheme="minorHAnsi"/>
          <w:lang w:val="fr-FR"/>
        </w:rPr>
        <w:t>entend hors primes, avantages en nature et paiements en action pour les salariés présents au 31 décembre 2017 (hors mandataire social).</w:t>
      </w:r>
    </w:p>
    <w:tbl>
      <w:tblPr>
        <w:tblW w:w="4660" w:type="dxa"/>
        <w:tblCellMar>
          <w:left w:w="70" w:type="dxa"/>
          <w:right w:w="70" w:type="dxa"/>
        </w:tblCellMar>
        <w:tblLook w:val="04A0" w:firstRow="1" w:lastRow="0" w:firstColumn="1" w:lastColumn="0" w:noHBand="0" w:noVBand="1"/>
      </w:tblPr>
      <w:tblGrid>
        <w:gridCol w:w="1622"/>
        <w:gridCol w:w="1789"/>
        <w:gridCol w:w="1249"/>
      </w:tblGrid>
      <w:tr w:rsidR="00136669" w:rsidRPr="00C73365" w14:paraId="601B5A74" w14:textId="77777777" w:rsidTr="009C5D68">
        <w:trPr>
          <w:trHeight w:val="315"/>
        </w:trPr>
        <w:tc>
          <w:tcPr>
            <w:tcW w:w="1622" w:type="dxa"/>
            <w:tcBorders>
              <w:top w:val="single" w:sz="12" w:space="0" w:color="7030A0"/>
              <w:left w:val="nil"/>
              <w:bottom w:val="nil"/>
              <w:right w:val="nil"/>
            </w:tcBorders>
            <w:shd w:val="clear" w:color="000000" w:fill="FFFFFF"/>
            <w:vAlign w:val="center"/>
            <w:hideMark/>
          </w:tcPr>
          <w:p w14:paraId="3E183E65"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789" w:type="dxa"/>
            <w:vMerge w:val="restart"/>
            <w:tcBorders>
              <w:top w:val="single" w:sz="12" w:space="0" w:color="7030A0"/>
              <w:left w:val="nil"/>
              <w:bottom w:val="single" w:sz="8" w:space="0" w:color="7030A0"/>
              <w:right w:val="nil"/>
            </w:tcBorders>
            <w:shd w:val="clear" w:color="000000" w:fill="FFFFFF"/>
            <w:vAlign w:val="center"/>
            <w:hideMark/>
          </w:tcPr>
          <w:p w14:paraId="431E6C0D"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Moyenne 2016/mois</w:t>
            </w:r>
          </w:p>
        </w:tc>
        <w:tc>
          <w:tcPr>
            <w:tcW w:w="1249" w:type="dxa"/>
            <w:vMerge w:val="restart"/>
            <w:tcBorders>
              <w:top w:val="single" w:sz="12" w:space="0" w:color="7030A0"/>
              <w:left w:val="nil"/>
              <w:bottom w:val="single" w:sz="8" w:space="0" w:color="7030A0"/>
              <w:right w:val="nil"/>
            </w:tcBorders>
            <w:shd w:val="clear" w:color="000000" w:fill="FFFFFF"/>
            <w:vAlign w:val="center"/>
            <w:hideMark/>
          </w:tcPr>
          <w:p w14:paraId="012413E1" w14:textId="77777777"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Moyenne 2017/mois</w:t>
            </w:r>
          </w:p>
        </w:tc>
      </w:tr>
      <w:tr w:rsidR="00136669" w:rsidRPr="00C73365" w14:paraId="60486276" w14:textId="77777777" w:rsidTr="009C5D68">
        <w:trPr>
          <w:trHeight w:val="300"/>
        </w:trPr>
        <w:tc>
          <w:tcPr>
            <w:tcW w:w="1622" w:type="dxa"/>
            <w:tcBorders>
              <w:top w:val="nil"/>
              <w:left w:val="nil"/>
              <w:bottom w:val="single" w:sz="8" w:space="0" w:color="7030A0"/>
              <w:right w:val="nil"/>
            </w:tcBorders>
            <w:shd w:val="clear" w:color="000000" w:fill="FFFFFF"/>
            <w:vAlign w:val="center"/>
            <w:hideMark/>
          </w:tcPr>
          <w:p w14:paraId="146A0B6E"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789" w:type="dxa"/>
            <w:vMerge/>
            <w:tcBorders>
              <w:top w:val="single" w:sz="12" w:space="0" w:color="7030A0"/>
              <w:left w:val="nil"/>
              <w:bottom w:val="single" w:sz="8" w:space="0" w:color="7030A0"/>
              <w:right w:val="nil"/>
            </w:tcBorders>
            <w:vAlign w:val="center"/>
            <w:hideMark/>
          </w:tcPr>
          <w:p w14:paraId="4345407F" w14:textId="77777777" w:rsidR="00136669" w:rsidRPr="00C73365" w:rsidRDefault="00136669" w:rsidP="009C5D68">
            <w:pPr>
              <w:spacing w:after="0"/>
              <w:rPr>
                <w:rFonts w:asciiTheme="minorHAnsi" w:hAnsiTheme="minorHAnsi" w:cstheme="minorHAnsi"/>
                <w:color w:val="000000"/>
                <w:szCs w:val="20"/>
                <w:lang w:val="fr-FR" w:eastAsia="fr-FR"/>
              </w:rPr>
            </w:pPr>
          </w:p>
        </w:tc>
        <w:tc>
          <w:tcPr>
            <w:tcW w:w="1249" w:type="dxa"/>
            <w:vMerge/>
            <w:tcBorders>
              <w:top w:val="single" w:sz="12" w:space="0" w:color="7030A0"/>
              <w:left w:val="nil"/>
              <w:bottom w:val="single" w:sz="8" w:space="0" w:color="7030A0"/>
              <w:right w:val="nil"/>
            </w:tcBorders>
            <w:vAlign w:val="center"/>
            <w:hideMark/>
          </w:tcPr>
          <w:p w14:paraId="52C81131" w14:textId="77777777"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14:paraId="32087669" w14:textId="77777777" w:rsidTr="009C5D68">
        <w:trPr>
          <w:trHeight w:val="288"/>
        </w:trPr>
        <w:tc>
          <w:tcPr>
            <w:tcW w:w="1622" w:type="dxa"/>
            <w:tcBorders>
              <w:top w:val="nil"/>
              <w:left w:val="nil"/>
              <w:bottom w:val="nil"/>
              <w:right w:val="nil"/>
            </w:tcBorders>
            <w:shd w:val="clear" w:color="000000" w:fill="FFFFFF"/>
            <w:vAlign w:val="center"/>
            <w:hideMark/>
          </w:tcPr>
          <w:p w14:paraId="53F624A7"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 Dirigeants</w:t>
            </w:r>
          </w:p>
        </w:tc>
        <w:tc>
          <w:tcPr>
            <w:tcW w:w="1789" w:type="dxa"/>
            <w:tcBorders>
              <w:top w:val="nil"/>
              <w:left w:val="nil"/>
              <w:bottom w:val="nil"/>
              <w:right w:val="nil"/>
            </w:tcBorders>
            <w:shd w:val="clear" w:color="000000" w:fill="FFFFFF"/>
            <w:hideMark/>
          </w:tcPr>
          <w:p w14:paraId="24E90811" w14:textId="77777777"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13 746 €</w:t>
            </w:r>
          </w:p>
        </w:tc>
        <w:tc>
          <w:tcPr>
            <w:tcW w:w="1249" w:type="dxa"/>
            <w:tcBorders>
              <w:top w:val="nil"/>
              <w:left w:val="nil"/>
              <w:bottom w:val="nil"/>
              <w:right w:val="nil"/>
            </w:tcBorders>
            <w:shd w:val="clear" w:color="000000" w:fill="FFFFFF"/>
            <w:vAlign w:val="bottom"/>
            <w:hideMark/>
          </w:tcPr>
          <w:p w14:paraId="1AE72F26" w14:textId="77777777"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14 534 €</w:t>
            </w:r>
          </w:p>
        </w:tc>
      </w:tr>
      <w:tr w:rsidR="00136669" w:rsidRPr="00C73365" w14:paraId="28EE7142" w14:textId="77777777" w:rsidTr="009C5D68">
        <w:trPr>
          <w:trHeight w:val="288"/>
        </w:trPr>
        <w:tc>
          <w:tcPr>
            <w:tcW w:w="1622" w:type="dxa"/>
            <w:tcBorders>
              <w:top w:val="nil"/>
              <w:left w:val="nil"/>
              <w:bottom w:val="nil"/>
              <w:right w:val="nil"/>
            </w:tcBorders>
            <w:shd w:val="clear" w:color="000000" w:fill="FFFFFF"/>
            <w:vAlign w:val="center"/>
            <w:hideMark/>
          </w:tcPr>
          <w:p w14:paraId="09B35711"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789" w:type="dxa"/>
            <w:tcBorders>
              <w:top w:val="nil"/>
              <w:left w:val="nil"/>
              <w:bottom w:val="nil"/>
              <w:right w:val="nil"/>
            </w:tcBorders>
            <w:shd w:val="clear" w:color="000000" w:fill="FFFFFF"/>
            <w:hideMark/>
          </w:tcPr>
          <w:p w14:paraId="401FCE24" w14:textId="77777777"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4 855 €</w:t>
            </w:r>
          </w:p>
        </w:tc>
        <w:tc>
          <w:tcPr>
            <w:tcW w:w="1249" w:type="dxa"/>
            <w:tcBorders>
              <w:top w:val="nil"/>
              <w:left w:val="nil"/>
              <w:bottom w:val="nil"/>
              <w:right w:val="nil"/>
            </w:tcBorders>
            <w:shd w:val="clear" w:color="000000" w:fill="FFFFFF"/>
            <w:vAlign w:val="bottom"/>
            <w:hideMark/>
          </w:tcPr>
          <w:p w14:paraId="1F33FFF1" w14:textId="77777777"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5 201 €</w:t>
            </w:r>
          </w:p>
        </w:tc>
      </w:tr>
      <w:tr w:rsidR="00136669" w:rsidRPr="00C73365" w14:paraId="32D0B8C3" w14:textId="77777777" w:rsidTr="009C5D68">
        <w:trPr>
          <w:trHeight w:val="300"/>
        </w:trPr>
        <w:tc>
          <w:tcPr>
            <w:tcW w:w="1622" w:type="dxa"/>
            <w:tcBorders>
              <w:top w:val="nil"/>
              <w:left w:val="nil"/>
              <w:bottom w:val="single" w:sz="8" w:space="0" w:color="7030A0"/>
              <w:right w:val="nil"/>
            </w:tcBorders>
            <w:shd w:val="clear" w:color="000000" w:fill="FFFFFF"/>
            <w:vAlign w:val="center"/>
            <w:hideMark/>
          </w:tcPr>
          <w:p w14:paraId="5E7BA700" w14:textId="77777777"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789" w:type="dxa"/>
            <w:tcBorders>
              <w:top w:val="nil"/>
              <w:left w:val="nil"/>
              <w:bottom w:val="single" w:sz="8" w:space="0" w:color="7030A0"/>
              <w:right w:val="nil"/>
            </w:tcBorders>
            <w:shd w:val="clear" w:color="000000" w:fill="FFFFFF"/>
            <w:hideMark/>
          </w:tcPr>
          <w:p w14:paraId="48C2836A" w14:textId="77777777"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2 282 €</w:t>
            </w:r>
          </w:p>
        </w:tc>
        <w:tc>
          <w:tcPr>
            <w:tcW w:w="1249" w:type="dxa"/>
            <w:tcBorders>
              <w:top w:val="nil"/>
              <w:left w:val="nil"/>
              <w:bottom w:val="single" w:sz="8" w:space="0" w:color="7030A0"/>
              <w:right w:val="nil"/>
            </w:tcBorders>
            <w:shd w:val="clear" w:color="000000" w:fill="FFFFFF"/>
            <w:vAlign w:val="bottom"/>
            <w:hideMark/>
          </w:tcPr>
          <w:p w14:paraId="6938603B" w14:textId="77777777"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2 411 €</w:t>
            </w:r>
          </w:p>
        </w:tc>
      </w:tr>
    </w:tbl>
    <w:p w14:paraId="0C4CD7F3" w14:textId="77777777" w:rsidR="00136669" w:rsidRPr="00C73365" w:rsidRDefault="00136669" w:rsidP="00136669">
      <w:pPr>
        <w:rPr>
          <w:rFonts w:asciiTheme="minorHAnsi" w:hAnsiTheme="minorHAnsi" w:cstheme="minorHAnsi"/>
          <w:bCs/>
          <w:szCs w:val="22"/>
          <w:highlight w:val="yellow"/>
          <w:lang w:val="fr-FR"/>
        </w:rPr>
      </w:pPr>
    </w:p>
    <w:p w14:paraId="7B054736"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enveloppe utilisée en 2017 pour les augmentations salariales a été de 2.5 % de la masse salariale brute. Cette enveloppe a été distribuée sous forme d’augmentations individuelles et de primes exceptionnelles.</w:t>
      </w:r>
    </w:p>
    <w:p w14:paraId="1489DCD4"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salariés cadres bénéficient tous d</w:t>
      </w:r>
      <w:r w:rsidR="004572A0" w:rsidRPr="00C73365">
        <w:rPr>
          <w:rFonts w:asciiTheme="minorHAnsi" w:hAnsiTheme="minorHAnsi" w:cstheme="minorHAnsi"/>
          <w:lang w:val="fr-FR"/>
        </w:rPr>
        <w:t>’</w:t>
      </w:r>
      <w:r w:rsidRPr="00C73365">
        <w:rPr>
          <w:rFonts w:asciiTheme="minorHAnsi" w:hAnsiTheme="minorHAnsi" w:cstheme="minorHAnsi"/>
          <w:lang w:val="fr-FR"/>
        </w:rPr>
        <w:t>une rémunération fixe et variable. La rémunération variable est calculée sur la base d’un pourcentage allant de 10 à 40 % de la part fixe annuelle brute. Elle est versée en une seule fois, son montant dépend de l’atteinte d’objectifs annuels préalablement fixés par la Direction et communiqués à chaque salarié.</w:t>
      </w:r>
    </w:p>
    <w:p w14:paraId="07E96E63"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Tou</w:t>
      </w:r>
      <w:r w:rsidR="001306B6" w:rsidRPr="00C73365">
        <w:rPr>
          <w:rFonts w:asciiTheme="minorHAnsi" w:hAnsiTheme="minorHAnsi" w:cstheme="minorHAnsi"/>
          <w:lang w:val="fr-FR"/>
        </w:rPr>
        <w:t xml:space="preserve">t </w:t>
      </w:r>
      <w:r w:rsidRPr="00C73365">
        <w:rPr>
          <w:rFonts w:asciiTheme="minorHAnsi" w:hAnsiTheme="minorHAnsi" w:cstheme="minorHAnsi"/>
          <w:lang w:val="fr-FR"/>
        </w:rPr>
        <w:t>salarié CDI bén</w:t>
      </w:r>
      <w:r w:rsidR="003F5249" w:rsidRPr="00C73365">
        <w:rPr>
          <w:rFonts w:asciiTheme="minorHAnsi" w:hAnsiTheme="minorHAnsi" w:cstheme="minorHAnsi"/>
          <w:lang w:val="fr-FR"/>
        </w:rPr>
        <w:t>é</w:t>
      </w:r>
      <w:r w:rsidRPr="00C73365">
        <w:rPr>
          <w:rFonts w:asciiTheme="minorHAnsi" w:hAnsiTheme="minorHAnsi" w:cstheme="minorHAnsi"/>
          <w:lang w:val="fr-FR"/>
        </w:rPr>
        <w:t>ficie en outre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attribution de BSPCE </w:t>
      </w:r>
      <w:r w:rsidR="003F5249" w:rsidRPr="00C73365">
        <w:rPr>
          <w:rFonts w:asciiTheme="minorHAnsi" w:hAnsiTheme="minorHAnsi" w:cstheme="minorHAnsi"/>
          <w:lang w:val="fr-FR"/>
        </w:rPr>
        <w:t xml:space="preserve">au plus tard </w:t>
      </w:r>
      <w:r w:rsidRPr="00C73365">
        <w:rPr>
          <w:rFonts w:asciiTheme="minorHAnsi" w:hAnsiTheme="minorHAnsi" w:cstheme="minorHAnsi"/>
          <w:lang w:val="fr-FR"/>
        </w:rPr>
        <w:t>après un an d’ancienneté dans la société.</w:t>
      </w:r>
    </w:p>
    <w:p w14:paraId="213C7660"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 Directeur Général bénéficie d</w:t>
      </w:r>
      <w:r w:rsidR="004572A0" w:rsidRPr="00C73365">
        <w:rPr>
          <w:rFonts w:asciiTheme="minorHAnsi" w:hAnsiTheme="minorHAnsi" w:cstheme="minorHAnsi"/>
          <w:lang w:val="fr-FR"/>
        </w:rPr>
        <w:t>’</w:t>
      </w:r>
      <w:r w:rsidRPr="00C73365">
        <w:rPr>
          <w:rFonts w:asciiTheme="minorHAnsi" w:hAnsiTheme="minorHAnsi" w:cstheme="minorHAnsi"/>
          <w:lang w:val="fr-FR"/>
        </w:rPr>
        <w:t>un avantage en nature (véhicule).</w:t>
      </w:r>
    </w:p>
    <w:p w14:paraId="2796135F"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Relations professionnelles</w:t>
      </w:r>
    </w:p>
    <w:p w14:paraId="4371FCD4"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élections des Délégués du Personnel ont été organisées en 2015. Depuis l</w:t>
      </w:r>
      <w:r w:rsidR="004572A0" w:rsidRPr="00C73365">
        <w:rPr>
          <w:rFonts w:asciiTheme="minorHAnsi" w:hAnsiTheme="minorHAnsi" w:cstheme="minorHAnsi"/>
          <w:lang w:val="fr-FR"/>
        </w:rPr>
        <w:t>’</w:t>
      </w:r>
      <w:r w:rsidRPr="00C73365">
        <w:rPr>
          <w:rFonts w:asciiTheme="minorHAnsi" w:hAnsiTheme="minorHAnsi" w:cstheme="minorHAnsi"/>
          <w:lang w:val="fr-FR"/>
        </w:rPr>
        <w:t>élection, des réunions de délégués du personnel ont lieu tous les mois.</w:t>
      </w:r>
    </w:p>
    <w:p w14:paraId="06FD1847"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n</w:t>
      </w:r>
      <w:r w:rsidR="004572A0" w:rsidRPr="00C73365">
        <w:rPr>
          <w:rFonts w:asciiTheme="minorHAnsi" w:hAnsiTheme="minorHAnsi" w:cstheme="minorHAnsi"/>
          <w:lang w:val="fr-FR"/>
        </w:rPr>
        <w:t>’</w:t>
      </w:r>
      <w:r w:rsidRPr="00C73365">
        <w:rPr>
          <w:rFonts w:asciiTheme="minorHAnsi" w:hAnsiTheme="minorHAnsi" w:cstheme="minorHAnsi"/>
          <w:lang w:val="fr-FR"/>
        </w:rPr>
        <w:t>a pas de représentation syndicale.</w:t>
      </w:r>
    </w:p>
    <w:p w14:paraId="3699054E"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Conditions d</w:t>
      </w:r>
      <w:r w:rsidR="004572A0" w:rsidRPr="00C73365">
        <w:rPr>
          <w:rFonts w:asciiTheme="minorHAnsi" w:hAnsiTheme="minorHAnsi" w:cstheme="minorHAnsi"/>
          <w:lang w:val="fr-FR"/>
        </w:rPr>
        <w:t>’</w:t>
      </w:r>
      <w:r w:rsidRPr="00C73365">
        <w:rPr>
          <w:rFonts w:asciiTheme="minorHAnsi" w:hAnsiTheme="minorHAnsi" w:cstheme="minorHAnsi"/>
          <w:lang w:val="fr-FR"/>
        </w:rPr>
        <w:t>hygiène et de sécurité</w:t>
      </w:r>
    </w:p>
    <w:p w14:paraId="276D4CF1"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pour objet la recherche et le développement de nouveaux médicaments destinés au traitement de certaines maladies infectieuses. Les activités de recherche sont regroupées autour du centre de recherche situé à Montpellier à l’intérieur du campus CNRS Languedoc Roussillon. Les services généraux et les activités liées au développement clinique et au réglementaire sont gérés à partir du siège social parisien.</w:t>
      </w:r>
    </w:p>
    <w:p w14:paraId="272D7798"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A noter que l’ensemble des opérations liées au développement clinique, incluant les activités de fabrication des médicaments expérimentaux, sont sous-traitées à des prestataires de service dûment audités par notre service de qualité conformément aux bonnes pratiques de qualité en vigueur dans l</w:t>
      </w:r>
      <w:r w:rsidR="004572A0" w:rsidRPr="00C73365">
        <w:rPr>
          <w:rFonts w:asciiTheme="minorHAnsi" w:hAnsiTheme="minorHAnsi" w:cstheme="minorHAnsi"/>
          <w:lang w:val="fr-FR"/>
        </w:rPr>
        <w:t>’</w:t>
      </w:r>
      <w:r w:rsidRPr="00C73365">
        <w:rPr>
          <w:rFonts w:asciiTheme="minorHAnsi" w:hAnsiTheme="minorHAnsi" w:cstheme="minorHAnsi"/>
          <w:lang w:val="fr-FR"/>
        </w:rPr>
        <w:t>industrie pharmaceutique.</w:t>
      </w:r>
    </w:p>
    <w:p w14:paraId="1651C4FC"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En conséquence, la Société ne considère pas qu</w:t>
      </w:r>
      <w:r w:rsidR="004572A0" w:rsidRPr="00C73365">
        <w:rPr>
          <w:rFonts w:asciiTheme="minorHAnsi" w:hAnsiTheme="minorHAnsi" w:cstheme="minorHAnsi"/>
          <w:lang w:val="fr-FR"/>
        </w:rPr>
        <w:t>’</w:t>
      </w:r>
      <w:r w:rsidRPr="00C73365">
        <w:rPr>
          <w:rFonts w:asciiTheme="minorHAnsi" w:hAnsiTheme="minorHAnsi" w:cstheme="minorHAnsi"/>
          <w:lang w:val="fr-FR"/>
        </w:rPr>
        <w:t>elle expose ses employés à des risques particuliers. Par ailleurs, la Société forme certains de ses ingénieurs aux différentes normes spécifiquement relatives aux BPC (bonnes pratiques cliniques) et BPL (bonnes pratiques de laboratoires). Enfin, une analyse de la pénibilité individuelle a été réalisée en 2017 au titre de 2016 conformément à la législation en vigueur. Cette pénibilité a été réalisée sur Paris, Orsay et Montpellier. Le site d’Orsay est rattaché administrativement au site de Montpellier.</w:t>
      </w:r>
    </w:p>
    <w:p w14:paraId="59FEA4F4"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Les effectifs s</w:t>
      </w:r>
      <w:r w:rsidR="004572A0" w:rsidRPr="00C73365">
        <w:rPr>
          <w:rFonts w:asciiTheme="minorHAnsi" w:hAnsiTheme="minorHAnsi" w:cstheme="minorHAnsi"/>
          <w:lang w:val="fr-FR"/>
        </w:rPr>
        <w:t>’</w:t>
      </w:r>
      <w:r w:rsidRPr="00C73365">
        <w:rPr>
          <w:rFonts w:asciiTheme="minorHAnsi" w:hAnsiTheme="minorHAnsi" w:cstheme="minorHAnsi"/>
          <w:lang w:val="fr-FR"/>
        </w:rPr>
        <w:t>élevant à 24 personnes au 31 décembre 2017, la Société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pas de Comité d’hygiène, de sécurité et des conditions de travail (CHSCT). </w:t>
      </w:r>
    </w:p>
    <w:p w14:paraId="190B0154"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Au cours de l’année 2017, aucun accord n’a été signé en matière de santé et de sécurité au travail.</w:t>
      </w:r>
    </w:p>
    <w:p w14:paraId="563EC171"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Aucune maladie professionnelle n</w:t>
      </w:r>
      <w:r w:rsidR="004572A0" w:rsidRPr="00C73365">
        <w:rPr>
          <w:rFonts w:asciiTheme="minorHAnsi" w:hAnsiTheme="minorHAnsi" w:cstheme="minorHAnsi"/>
          <w:lang w:val="fr-FR"/>
        </w:rPr>
        <w:t>’</w:t>
      </w:r>
      <w:r w:rsidRPr="00C73365">
        <w:rPr>
          <w:rFonts w:asciiTheme="minorHAnsi" w:hAnsiTheme="minorHAnsi" w:cstheme="minorHAnsi"/>
          <w:lang w:val="fr-FR"/>
        </w:rPr>
        <w:t>est intervenue au cours de l</w:t>
      </w:r>
      <w:r w:rsidR="004572A0" w:rsidRPr="00C73365">
        <w:rPr>
          <w:rFonts w:asciiTheme="minorHAnsi" w:hAnsiTheme="minorHAnsi" w:cstheme="minorHAnsi"/>
          <w:lang w:val="fr-FR"/>
        </w:rPr>
        <w:t>’</w:t>
      </w:r>
      <w:r w:rsidRPr="00C73365">
        <w:rPr>
          <w:rFonts w:asciiTheme="minorHAnsi" w:hAnsiTheme="minorHAnsi" w:cstheme="minorHAnsi"/>
          <w:lang w:val="fr-FR"/>
        </w:rPr>
        <w:t>année 2017. Un accident de trajet a été constaté au cours de l’année 2017.</w:t>
      </w:r>
    </w:p>
    <w:p w14:paraId="408FE24B"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Formation</w:t>
      </w:r>
    </w:p>
    <w:p w14:paraId="6AE933B5"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est sensible au développement de ses collaborateurs en facilitant l</w:t>
      </w:r>
      <w:r w:rsidR="004572A0" w:rsidRPr="00C73365">
        <w:rPr>
          <w:rFonts w:asciiTheme="minorHAnsi" w:hAnsiTheme="minorHAnsi" w:cstheme="minorHAnsi"/>
          <w:lang w:val="fr-FR"/>
        </w:rPr>
        <w:t>’</w:t>
      </w:r>
      <w:r w:rsidRPr="00C73365">
        <w:rPr>
          <w:rFonts w:asciiTheme="minorHAnsi" w:hAnsiTheme="minorHAnsi" w:cstheme="minorHAnsi"/>
          <w:lang w:val="fr-FR"/>
        </w:rPr>
        <w:t>accès à la formation tout au long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année. Les besoins en formation sont définis dans le cadre de décisions d’entreprise, le stage de formation ayant pour objectif de développer les compétences du collaborateur pour le rendre plus performant et/ou plus préparé (changement de logiciel, etc.) aux évolutions de l’organisation. </w:t>
      </w:r>
    </w:p>
    <w:p w14:paraId="0F718624"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En 2016, la dépense de formation s’est élevée à 19314</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correspondant à 329 heures de formation</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réalisées par les salariés, en progression par rapport à l’année 2015. </w:t>
      </w:r>
    </w:p>
    <w:p w14:paraId="1133CF66"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En 2017, l’engagement formation de l’entreprise représente 20162</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 correspondant à 544 heures de formation. L’accent a été mis en particulier sur les formations en langue, avec mobilisation de 275 heures sur le compte personnel de formation. </w:t>
      </w:r>
    </w:p>
    <w:p w14:paraId="0BA83800"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Au total 8 personnes ont suivi une formation sur l’année 2017, soit 1/3 de l’effectif de la société.</w:t>
      </w:r>
    </w:p>
    <w:p w14:paraId="4F791777"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Egalité hommes-femmes</w:t>
      </w:r>
    </w:p>
    <w:p w14:paraId="7386044C"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s</w:t>
      </w:r>
      <w:r w:rsidR="004572A0" w:rsidRPr="00C73365">
        <w:rPr>
          <w:rFonts w:asciiTheme="minorHAnsi" w:hAnsiTheme="minorHAnsi" w:cstheme="minorHAnsi"/>
          <w:lang w:val="fr-FR"/>
        </w:rPr>
        <w:t>’</w:t>
      </w:r>
      <w:r w:rsidRPr="00C73365">
        <w:rPr>
          <w:rFonts w:asciiTheme="minorHAnsi" w:hAnsiTheme="minorHAnsi" w:cstheme="minorHAnsi"/>
          <w:lang w:val="fr-FR"/>
        </w:rPr>
        <w:t>attache à respecter les conditions relatives à la représentativité équilibrée entre les hommes et les femmes au sein du conseil d’administration, en conformité avec la loi n°2011-103 du 27 janvier 2011.</w:t>
      </w:r>
    </w:p>
    <w:p w14:paraId="775FD02A"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a engagé de longue date une action de recrutement d’administratrices femmes. A ce jour 4 administratrices sont nommées.</w:t>
      </w:r>
    </w:p>
    <w:p w14:paraId="31C1E580" w14:textId="77777777" w:rsidR="00136669" w:rsidRPr="00C73365" w:rsidRDefault="00136669" w:rsidP="00136669">
      <w:pPr>
        <w:pStyle w:val="Paragraphedeliste"/>
        <w:numPr>
          <w:ilvl w:val="3"/>
          <w:numId w:val="9"/>
        </w:numPr>
        <w:outlineLvl w:val="2"/>
        <w:rPr>
          <w:rFonts w:asciiTheme="minorHAnsi" w:hAnsiTheme="minorHAnsi" w:cstheme="minorHAnsi"/>
          <w:bCs/>
          <w:szCs w:val="22"/>
          <w:lang w:val="fr-FR"/>
        </w:rPr>
      </w:pPr>
      <w:r w:rsidRPr="00C73365">
        <w:rPr>
          <w:rFonts w:asciiTheme="minorHAnsi" w:hAnsiTheme="minorHAnsi" w:cstheme="minorHAnsi"/>
          <w:bCs/>
          <w:szCs w:val="22"/>
          <w:lang w:val="fr-FR"/>
        </w:rPr>
        <w:t>Emploi et insertion des travailleurs handicapés</w:t>
      </w:r>
    </w:p>
    <w:p w14:paraId="768E3E48"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Bien que sensible à cette question, l’entreprise n’emploie pas de travailleur reconnu handicapé. </w:t>
      </w:r>
    </w:p>
    <w:p w14:paraId="49F847BE"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Elle reste très ouverte aux opportunités permettant l’emploi ou l’insertion de personnes handicapées, malgré les contraintes liées à la spécificité de son activité et à son faible effectif.</w:t>
      </w:r>
    </w:p>
    <w:p w14:paraId="54E519F7" w14:textId="77777777"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Lutte contre les discriminations</w:t>
      </w:r>
    </w:p>
    <w:p w14:paraId="7421FFAE"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n’a pas encore mis en place de mesures spécifiques pour lutter contre la discrimination. Aucun cas n’a été à ce jour signalé. Cependant si un cas de discrimination se présentait, la Société engagerait des mesures adéquates.</w:t>
      </w:r>
    </w:p>
    <w:p w14:paraId="575AA614"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Promotion et respect des stipulations des conventions OIT relatives au respect de la liberté d’association et du droit de négociation collective, à l</w:t>
      </w:r>
      <w:r w:rsidR="004572A0" w:rsidRPr="00C73365">
        <w:rPr>
          <w:rFonts w:asciiTheme="minorHAnsi" w:hAnsiTheme="minorHAnsi" w:cstheme="minorHAnsi"/>
          <w:lang w:val="fr-FR"/>
        </w:rPr>
        <w:t>’</w:t>
      </w:r>
      <w:r w:rsidRPr="00C73365">
        <w:rPr>
          <w:rFonts w:asciiTheme="minorHAnsi" w:hAnsiTheme="minorHAnsi" w:cstheme="minorHAnsi"/>
          <w:lang w:val="fr-FR"/>
        </w:rPr>
        <w:t>élimination des discriminations en matière d</w:t>
      </w:r>
      <w:r w:rsidR="004572A0" w:rsidRPr="00C73365">
        <w:rPr>
          <w:rFonts w:asciiTheme="minorHAnsi" w:hAnsiTheme="minorHAnsi" w:cstheme="minorHAnsi"/>
          <w:lang w:val="fr-FR"/>
        </w:rPr>
        <w:t>’</w:t>
      </w:r>
      <w:r w:rsidRPr="00C73365">
        <w:rPr>
          <w:rFonts w:asciiTheme="minorHAnsi" w:hAnsiTheme="minorHAnsi" w:cstheme="minorHAnsi"/>
          <w:lang w:val="fr-FR"/>
        </w:rPr>
        <w:t>emploi et de profession, à l</w:t>
      </w:r>
      <w:r w:rsidR="004572A0" w:rsidRPr="00C73365">
        <w:rPr>
          <w:rFonts w:asciiTheme="minorHAnsi" w:hAnsiTheme="minorHAnsi" w:cstheme="minorHAnsi"/>
          <w:lang w:val="fr-FR"/>
        </w:rPr>
        <w:t>’</w:t>
      </w:r>
      <w:r w:rsidRPr="00C73365">
        <w:rPr>
          <w:rFonts w:asciiTheme="minorHAnsi" w:hAnsiTheme="minorHAnsi" w:cstheme="minorHAnsi"/>
          <w:lang w:val="fr-FR"/>
        </w:rPr>
        <w:t>élimination du travail forcé ou obligatoire, à l</w:t>
      </w:r>
      <w:r w:rsidR="004572A0" w:rsidRPr="00C73365">
        <w:rPr>
          <w:rFonts w:asciiTheme="minorHAnsi" w:hAnsiTheme="minorHAnsi" w:cstheme="minorHAnsi"/>
          <w:lang w:val="fr-FR"/>
        </w:rPr>
        <w:t>’</w:t>
      </w:r>
      <w:r w:rsidRPr="00C73365">
        <w:rPr>
          <w:rFonts w:asciiTheme="minorHAnsi" w:hAnsiTheme="minorHAnsi" w:cstheme="minorHAnsi"/>
          <w:lang w:val="fr-FR"/>
        </w:rPr>
        <w:t>abolition effective du travail des enfants</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w:t>
      </w:r>
    </w:p>
    <w:p w14:paraId="4BA22E72"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Etant entendu que les sites de la Société sont implantés en France,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soumise à la loi française et l’applique. Les stipulations des conventions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OIT ne représentent pas d’enjeu particulier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14:paraId="27DCBBCF" w14:textId="77777777" w:rsidR="00136669" w:rsidRPr="00C73365" w:rsidRDefault="00136669" w:rsidP="00136669">
      <w:pPr>
        <w:pStyle w:val="Paragraphedeliste"/>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 xml:space="preserve">Informations Sociétales </w:t>
      </w:r>
    </w:p>
    <w:p w14:paraId="5A1DB95B"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respecte la règlementation en faveur de la lutte contre les discriminations et la promotion des diversités.</w:t>
      </w:r>
    </w:p>
    <w:p w14:paraId="415CCB00"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Impact territorial, économique et social de l’activité</w:t>
      </w:r>
      <w:r w:rsidR="0045240E" w:rsidRPr="00C73365">
        <w:rPr>
          <w:rFonts w:asciiTheme="minorHAnsi" w:hAnsiTheme="minorHAnsi" w:cstheme="minorHAnsi"/>
          <w:lang w:val="fr-FR"/>
        </w:rPr>
        <w:t xml:space="preserve"> : </w:t>
      </w:r>
    </w:p>
    <w:p w14:paraId="1FE48AE8"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La Société emploie 24 personnes. Ces emplois constituent sa contribution directe à l’emploi local, à laquelle s’ajoute l</w:t>
      </w:r>
      <w:r w:rsidR="004572A0" w:rsidRPr="00C73365">
        <w:rPr>
          <w:rFonts w:asciiTheme="minorHAnsi" w:hAnsiTheme="minorHAnsi" w:cstheme="minorHAnsi"/>
          <w:lang w:val="fr-FR"/>
        </w:rPr>
        <w:t>’</w:t>
      </w:r>
      <w:r w:rsidRPr="00C73365">
        <w:rPr>
          <w:rFonts w:asciiTheme="minorHAnsi" w:hAnsiTheme="minorHAnsi" w:cstheme="minorHAnsi"/>
          <w:lang w:val="fr-FR"/>
        </w:rPr>
        <w:t>impact de leur famille, et les retombées indirectes en matière d’emplois et d’activité économique chez ses prestataires et fournisseurs.</w:t>
      </w:r>
    </w:p>
    <w:p w14:paraId="1DB199D6"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Cependant, compte-tenu de sa taille et de son implantation en zones urbaines, la Société évalue que son impact en matière d</w:t>
      </w:r>
      <w:r w:rsidR="004572A0" w:rsidRPr="00C73365">
        <w:rPr>
          <w:rFonts w:asciiTheme="minorHAnsi" w:hAnsiTheme="minorHAnsi" w:cstheme="minorHAnsi"/>
          <w:lang w:val="fr-FR"/>
        </w:rPr>
        <w:t>’</w:t>
      </w:r>
      <w:r w:rsidRPr="00C73365">
        <w:rPr>
          <w:rFonts w:asciiTheme="minorHAnsi" w:hAnsiTheme="minorHAnsi" w:cstheme="minorHAnsi"/>
          <w:lang w:val="fr-FR"/>
        </w:rPr>
        <w:t>emploi et de développement régional ainsi que sur les populations riveraines et locales, n’est pas significatif pour la zone concernée et n’a pas identifié d</w:t>
      </w:r>
      <w:r w:rsidR="004572A0" w:rsidRPr="00C73365">
        <w:rPr>
          <w:rFonts w:asciiTheme="minorHAnsi" w:hAnsiTheme="minorHAnsi" w:cstheme="minorHAnsi"/>
          <w:lang w:val="fr-FR"/>
        </w:rPr>
        <w:t>’</w:t>
      </w:r>
      <w:r w:rsidRPr="00C73365">
        <w:rPr>
          <w:rFonts w:asciiTheme="minorHAnsi" w:hAnsiTheme="minorHAnsi" w:cstheme="minorHAnsi"/>
          <w:lang w:val="fr-FR"/>
        </w:rPr>
        <w:t>enjeu spécifique sur le sujet.</w:t>
      </w:r>
    </w:p>
    <w:p w14:paraId="41675905"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Relations avec les personnes ou organisations intéressées par l’activité de la Société (associations d’insertion, établissements d’enseignement, association de défense de l’environnement, association de consommateurs et populations riveraines)</w:t>
      </w:r>
      <w:r w:rsidR="00F77970" w:rsidRPr="00C73365">
        <w:rPr>
          <w:rFonts w:asciiTheme="minorHAnsi" w:hAnsiTheme="minorHAnsi" w:cstheme="minorHAnsi"/>
          <w:lang w:val="fr-FR"/>
        </w:rPr>
        <w:t xml:space="preserve"> : </w:t>
      </w:r>
    </w:p>
    <w:p w14:paraId="34CEEA16"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Les conditions du dialogue avec ces personnes ou organisations</w:t>
      </w:r>
      <w:r w:rsidR="00F77970" w:rsidRPr="00C73365">
        <w:rPr>
          <w:rFonts w:asciiTheme="minorHAnsi" w:hAnsiTheme="minorHAnsi" w:cstheme="minorHAnsi"/>
          <w:lang w:val="fr-FR"/>
        </w:rPr>
        <w:t> : c</w:t>
      </w:r>
      <w:r w:rsidRPr="00C73365">
        <w:rPr>
          <w:rFonts w:asciiTheme="minorHAnsi" w:hAnsiTheme="minorHAnsi" w:cstheme="minorHAnsi"/>
          <w:lang w:val="fr-FR"/>
        </w:rPr>
        <w:t>ompte tenu de la taille de la Société, et du nombre limité de ses collaborateurs, aucune relation particulière n’a été établie avec les parties prenantes de la Société. Pour autant les dirigeants sont à l’écoute des attentes que certaines de ses parties prenantes pourraient formulées, telles que les universités, les écoles ou encore les collectivités locales</w:t>
      </w:r>
    </w:p>
    <w:p w14:paraId="00F71C99" w14:textId="77777777" w:rsidR="00136669" w:rsidRPr="00C73365" w:rsidRDefault="00136669" w:rsidP="004572A0">
      <w:pPr>
        <w:pStyle w:val="Corpsdetexte"/>
        <w:rPr>
          <w:rFonts w:asciiTheme="minorHAnsi" w:hAnsiTheme="minorHAnsi" w:cstheme="minorHAnsi"/>
          <w:b/>
          <w:lang w:val="fr-FR"/>
        </w:rPr>
      </w:pPr>
      <w:r w:rsidRPr="00C73365">
        <w:rPr>
          <w:rFonts w:asciiTheme="minorHAnsi" w:hAnsiTheme="minorHAnsi" w:cstheme="minorHAnsi"/>
          <w:lang w:val="fr-FR"/>
        </w:rPr>
        <w:t>Les actions de partenariat ou de mécénat</w:t>
      </w:r>
      <w:r w:rsidR="00F77970" w:rsidRPr="00C73365">
        <w:rPr>
          <w:rFonts w:asciiTheme="minorHAnsi" w:hAnsiTheme="minorHAnsi" w:cstheme="minorHAnsi"/>
          <w:lang w:val="fr-FR"/>
        </w:rPr>
        <w:t> : l</w:t>
      </w:r>
      <w:r w:rsidRPr="00C73365">
        <w:rPr>
          <w:rFonts w:asciiTheme="minorHAnsi" w:hAnsiTheme="minorHAnsi" w:cstheme="minorHAnsi"/>
          <w:lang w:val="fr-FR"/>
        </w:rPr>
        <w:t xml:space="preserve">a Société </w:t>
      </w:r>
      <w:r w:rsidR="004170D5" w:rsidRPr="00C73365">
        <w:rPr>
          <w:rFonts w:asciiTheme="minorHAnsi" w:hAnsiTheme="minorHAnsi" w:cstheme="minorHAnsi"/>
          <w:lang w:val="fr-FR"/>
        </w:rPr>
        <w:t>n’</w:t>
      </w:r>
      <w:r w:rsidRPr="00C73365">
        <w:rPr>
          <w:rFonts w:asciiTheme="minorHAnsi" w:hAnsiTheme="minorHAnsi" w:cstheme="minorHAnsi"/>
          <w:lang w:val="fr-FR"/>
        </w:rPr>
        <w:t>a</w:t>
      </w:r>
      <w:r w:rsidR="004170D5" w:rsidRPr="00C73365">
        <w:rPr>
          <w:rFonts w:asciiTheme="minorHAnsi" w:hAnsiTheme="minorHAnsi" w:cstheme="minorHAnsi"/>
          <w:lang w:val="fr-FR"/>
        </w:rPr>
        <w:t xml:space="preserve"> pas</w:t>
      </w:r>
      <w:r w:rsidRPr="00C73365">
        <w:rPr>
          <w:rFonts w:asciiTheme="minorHAnsi" w:hAnsiTheme="minorHAnsi" w:cstheme="minorHAnsi"/>
          <w:lang w:val="fr-FR"/>
        </w:rPr>
        <w:t xml:space="preserve"> versé </w:t>
      </w:r>
      <w:r w:rsidR="004170D5" w:rsidRPr="00C73365">
        <w:rPr>
          <w:rFonts w:asciiTheme="minorHAnsi" w:hAnsiTheme="minorHAnsi" w:cstheme="minorHAnsi"/>
          <w:lang w:val="fr-FR"/>
        </w:rPr>
        <w:t>d’argent</w:t>
      </w:r>
      <w:r w:rsidRPr="00C73365">
        <w:rPr>
          <w:rFonts w:asciiTheme="minorHAnsi" w:hAnsiTheme="minorHAnsi" w:cstheme="minorHAnsi"/>
          <w:lang w:val="fr-FR"/>
        </w:rPr>
        <w:t xml:space="preserve"> aux œuvres sociales</w:t>
      </w:r>
      <w:r w:rsidR="004170D5" w:rsidRPr="00C73365">
        <w:rPr>
          <w:rFonts w:asciiTheme="minorHAnsi" w:hAnsiTheme="minorHAnsi" w:cstheme="minorHAnsi"/>
          <w:lang w:val="fr-FR"/>
        </w:rPr>
        <w:t xml:space="preserve"> en 2017</w:t>
      </w:r>
      <w:r w:rsidRPr="00C73365">
        <w:rPr>
          <w:rFonts w:asciiTheme="minorHAnsi" w:hAnsiTheme="minorHAnsi" w:cstheme="minorHAnsi"/>
          <w:lang w:val="fr-FR"/>
        </w:rPr>
        <w:t>.</w:t>
      </w:r>
    </w:p>
    <w:p w14:paraId="2310BB74" w14:textId="77777777" w:rsidR="00136669" w:rsidRPr="00C73365" w:rsidRDefault="00136669" w:rsidP="004572A0">
      <w:pPr>
        <w:pStyle w:val="Corpsdetexte"/>
        <w:rPr>
          <w:rFonts w:asciiTheme="minorHAnsi" w:hAnsiTheme="minorHAnsi" w:cstheme="minorHAnsi"/>
          <w:b/>
          <w:lang w:val="fr-FR"/>
        </w:rPr>
      </w:pPr>
      <w:r w:rsidRPr="00C73365">
        <w:rPr>
          <w:rFonts w:asciiTheme="minorHAnsi" w:hAnsiTheme="minorHAnsi" w:cstheme="minorHAnsi"/>
          <w:lang w:val="fr-FR"/>
        </w:rPr>
        <w:t>Sous-traitance et fournisseurs</w:t>
      </w:r>
      <w:r w:rsidR="00F77970" w:rsidRPr="00C73365">
        <w:rPr>
          <w:rFonts w:asciiTheme="minorHAnsi" w:hAnsiTheme="minorHAnsi" w:cstheme="minorHAnsi"/>
          <w:lang w:val="fr-FR"/>
        </w:rPr>
        <w:t xml:space="preserve"> :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dépend de consultants externes et de sous-traitants (tels que des chercheurs universitaires, des médecins spécialistes et des organismes de recherche clinique et préclinique) pour le développement de ses études. De plus, la Société dépend de tiers pour la fabrication et la fourniture de tout produit.</w:t>
      </w:r>
    </w:p>
    <w:p w14:paraId="53F40883"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Lors de la sélection de nouveaux partenaires, les dirigeants de la Société vérifient les états financiers, la solvabilité, et la réputation de ceux-ci, sans pour autant s</w:t>
      </w:r>
      <w:r w:rsidR="004572A0" w:rsidRPr="00C73365">
        <w:rPr>
          <w:rFonts w:asciiTheme="minorHAnsi" w:hAnsiTheme="minorHAnsi" w:cstheme="minorHAnsi"/>
          <w:lang w:val="fr-FR"/>
        </w:rPr>
        <w:t>’</w:t>
      </w:r>
      <w:r w:rsidRPr="00C73365">
        <w:rPr>
          <w:rFonts w:asciiTheme="minorHAnsi" w:hAnsiTheme="minorHAnsi" w:cstheme="minorHAnsi"/>
          <w:lang w:val="fr-FR"/>
        </w:rPr>
        <w:t>appesantir sur leurs enjeux sociaux et environnementaux. Ainsi, la politique achat n</w:t>
      </w:r>
      <w:r w:rsidR="004572A0" w:rsidRPr="00C73365">
        <w:rPr>
          <w:rFonts w:asciiTheme="minorHAnsi" w:hAnsiTheme="minorHAnsi" w:cstheme="minorHAnsi"/>
          <w:lang w:val="fr-FR"/>
        </w:rPr>
        <w:t>’</w:t>
      </w:r>
      <w:r w:rsidRPr="00C73365">
        <w:rPr>
          <w:rFonts w:asciiTheme="minorHAnsi" w:hAnsiTheme="minorHAnsi" w:cstheme="minorHAnsi"/>
          <w:lang w:val="fr-FR"/>
        </w:rPr>
        <w:t>intègre pas explicitement à ce jour la prise en compte des enjeux sociaux et environnementaux.</w:t>
      </w:r>
    </w:p>
    <w:p w14:paraId="53F777D9"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Les contrats liant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à ses cocontractants ne comportent pas de dispositions relatives aux pratiques éthiques, environnementales et sociales au-delà des exigences règlementaires applicables.</w:t>
      </w:r>
    </w:p>
    <w:p w14:paraId="57BD915A"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Cependant, aucune problématique d</w:t>
      </w:r>
      <w:r w:rsidR="004572A0" w:rsidRPr="00C73365">
        <w:rPr>
          <w:rFonts w:asciiTheme="minorHAnsi" w:hAnsiTheme="minorHAnsi" w:cstheme="minorHAnsi"/>
          <w:lang w:val="fr-FR"/>
        </w:rPr>
        <w:t>’</w:t>
      </w:r>
      <w:r w:rsidRPr="00C73365">
        <w:rPr>
          <w:rFonts w:asciiTheme="minorHAnsi" w:hAnsiTheme="minorHAnsi" w:cstheme="minorHAnsi"/>
          <w:lang w:val="fr-FR"/>
        </w:rPr>
        <w:t>ordre éthique liée aux pratiques de ses cocontractants n</w:t>
      </w:r>
      <w:r w:rsidR="004572A0" w:rsidRPr="00C73365">
        <w:rPr>
          <w:rFonts w:asciiTheme="minorHAnsi" w:hAnsiTheme="minorHAnsi" w:cstheme="minorHAnsi"/>
          <w:lang w:val="fr-FR"/>
        </w:rPr>
        <w:t>’</w:t>
      </w:r>
      <w:r w:rsidRPr="00C73365">
        <w:rPr>
          <w:rFonts w:asciiTheme="minorHAnsi" w:hAnsiTheme="minorHAnsi" w:cstheme="minorHAnsi"/>
          <w:lang w:val="fr-FR"/>
        </w:rPr>
        <w:t>a été révélée en 201</w:t>
      </w:r>
      <w:r w:rsidR="004170D5" w:rsidRPr="00C73365">
        <w:rPr>
          <w:rFonts w:asciiTheme="minorHAnsi" w:hAnsiTheme="minorHAnsi" w:cstheme="minorHAnsi"/>
          <w:lang w:val="fr-FR"/>
        </w:rPr>
        <w:t>7</w:t>
      </w:r>
      <w:r w:rsidRPr="00C73365">
        <w:rPr>
          <w:rFonts w:asciiTheme="minorHAnsi" w:hAnsiTheme="minorHAnsi" w:cstheme="minorHAnsi"/>
          <w:lang w:val="fr-FR"/>
        </w:rPr>
        <w:t>.</w:t>
      </w:r>
    </w:p>
    <w:p w14:paraId="1E7E1B84" w14:textId="77777777" w:rsidR="00136669" w:rsidRPr="00C73365" w:rsidRDefault="00136669" w:rsidP="004572A0">
      <w:pPr>
        <w:pStyle w:val="Corpsdetexte"/>
        <w:rPr>
          <w:rFonts w:asciiTheme="minorHAnsi" w:hAnsiTheme="minorHAnsi" w:cstheme="minorHAnsi"/>
          <w:b/>
          <w:lang w:val="fr-FR"/>
        </w:rPr>
      </w:pPr>
      <w:r w:rsidRPr="00C73365">
        <w:rPr>
          <w:rFonts w:asciiTheme="minorHAnsi" w:hAnsiTheme="minorHAnsi" w:cstheme="minorHAnsi"/>
          <w:lang w:val="fr-FR"/>
        </w:rPr>
        <w:t>Sous-traitance de certaines activités Ressources Humaines</w:t>
      </w:r>
      <w:r w:rsidR="00F77970" w:rsidRPr="00C73365">
        <w:rPr>
          <w:rFonts w:asciiTheme="minorHAnsi" w:hAnsiTheme="minorHAnsi" w:cstheme="minorHAnsi"/>
          <w:lang w:val="fr-FR"/>
        </w:rPr>
        <w:t xml:space="preserve"> : </w:t>
      </w:r>
      <w:r w:rsidRPr="00C73365">
        <w:rPr>
          <w:rFonts w:asciiTheme="minorHAnsi" w:hAnsiTheme="minorHAnsi" w:cstheme="minorHAnsi"/>
          <w:lang w:val="fr-FR"/>
        </w:rPr>
        <w:t>Les activités RH sont aujourd</w:t>
      </w:r>
      <w:r w:rsidR="004572A0" w:rsidRPr="00C73365">
        <w:rPr>
          <w:rFonts w:asciiTheme="minorHAnsi" w:hAnsiTheme="minorHAnsi" w:cstheme="minorHAnsi"/>
          <w:lang w:val="fr-FR"/>
        </w:rPr>
        <w:t>’</w:t>
      </w:r>
      <w:r w:rsidRPr="00C73365">
        <w:rPr>
          <w:rFonts w:asciiTheme="minorHAnsi" w:hAnsiTheme="minorHAnsi" w:cstheme="minorHAnsi"/>
          <w:lang w:val="fr-FR"/>
        </w:rPr>
        <w:t>hui centralisées dans la Société. La Société travaille néanmoins avec des prestataires spécialisés (la gestion des paies et déclarations sociales).</w:t>
      </w:r>
    </w:p>
    <w:p w14:paraId="66F2470E" w14:textId="77777777" w:rsidR="00136669" w:rsidRPr="00C73365" w:rsidRDefault="00136669" w:rsidP="004572A0">
      <w:pPr>
        <w:pStyle w:val="Corpsdetexte"/>
        <w:rPr>
          <w:rFonts w:asciiTheme="minorHAnsi" w:hAnsiTheme="minorHAnsi" w:cstheme="minorHAnsi"/>
          <w:b/>
          <w:lang w:val="fr-FR"/>
        </w:rPr>
      </w:pPr>
      <w:r w:rsidRPr="00C73365">
        <w:rPr>
          <w:rFonts w:asciiTheme="minorHAnsi" w:hAnsiTheme="minorHAnsi" w:cstheme="minorHAnsi"/>
          <w:lang w:val="fr-FR"/>
        </w:rPr>
        <w:t>Loyauté des pratiques - Attention portée à la sécurité des patients et des consommateurs</w:t>
      </w:r>
      <w:r w:rsidR="00F77970" w:rsidRPr="00C73365">
        <w:rPr>
          <w:rFonts w:asciiTheme="minorHAnsi" w:hAnsiTheme="minorHAnsi" w:cstheme="minorHAnsi"/>
          <w:lang w:val="fr-FR"/>
        </w:rPr>
        <w:t xml:space="preserve"> : </w:t>
      </w:r>
      <w:r w:rsidRPr="00C73365">
        <w:rPr>
          <w:rFonts w:asciiTheme="minorHAnsi" w:hAnsiTheme="minorHAnsi" w:cstheme="minorHAnsi"/>
          <w:lang w:val="fr-FR"/>
        </w:rPr>
        <w:t>Conformément à la réglementation et au référentiel (« bonnes pratiques ») en vigueur qui régissent les activités de développement clinique, la responsabilité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engagée vis-à-vis des volontaires sains ou patients qui librement consentent à participer aux essais cliniques initiés par la société. Cette responsabilité couvre les aspects pharmaceutiques liés au produit mais aussi ceux liés au statut de promoteur d</w:t>
      </w:r>
      <w:r w:rsidR="004572A0" w:rsidRPr="00C73365">
        <w:rPr>
          <w:rFonts w:asciiTheme="minorHAnsi" w:hAnsiTheme="minorHAnsi" w:cstheme="minorHAnsi"/>
          <w:lang w:val="fr-FR"/>
        </w:rPr>
        <w:t>’</w:t>
      </w:r>
      <w:r w:rsidRPr="00C73365">
        <w:rPr>
          <w:rFonts w:asciiTheme="minorHAnsi" w:hAnsiTheme="minorHAnsi" w:cstheme="minorHAnsi"/>
          <w:lang w:val="fr-FR"/>
        </w:rPr>
        <w:t>essais cliniques. Elle concerne plus particulièrement la survenue d</w:t>
      </w:r>
      <w:r w:rsidR="004572A0" w:rsidRPr="00C73365">
        <w:rPr>
          <w:rFonts w:asciiTheme="minorHAnsi" w:hAnsiTheme="minorHAnsi" w:cstheme="minorHAnsi"/>
          <w:lang w:val="fr-FR"/>
        </w:rPr>
        <w:t>’</w:t>
      </w:r>
      <w:r w:rsidRPr="00C73365">
        <w:rPr>
          <w:rFonts w:asciiTheme="minorHAnsi" w:hAnsiTheme="minorHAnsi" w:cstheme="minorHAnsi"/>
          <w:lang w:val="fr-FR"/>
        </w:rPr>
        <w:t>effets indésirables alors même que les prescriptions et procédure prévues par le protocole ont été respectées. Cette responsabilité s</w:t>
      </w:r>
      <w:r w:rsidR="004572A0" w:rsidRPr="00C73365">
        <w:rPr>
          <w:rFonts w:asciiTheme="minorHAnsi" w:hAnsiTheme="minorHAnsi" w:cstheme="minorHAnsi"/>
          <w:lang w:val="fr-FR"/>
        </w:rPr>
        <w:t>’</w:t>
      </w:r>
      <w:r w:rsidRPr="00C73365">
        <w:rPr>
          <w:rFonts w:asciiTheme="minorHAnsi" w:hAnsiTheme="minorHAnsi" w:cstheme="minorHAnsi"/>
          <w:lang w:val="fr-FR"/>
        </w:rPr>
        <w:t>applique notamment en cas d</w:t>
      </w:r>
      <w:r w:rsidR="004572A0" w:rsidRPr="00C73365">
        <w:rPr>
          <w:rFonts w:asciiTheme="minorHAnsi" w:hAnsiTheme="minorHAnsi" w:cstheme="minorHAnsi"/>
          <w:lang w:val="fr-FR"/>
        </w:rPr>
        <w:t>’</w:t>
      </w:r>
      <w:r w:rsidRPr="00C73365">
        <w:rPr>
          <w:rFonts w:asciiTheme="minorHAnsi" w:hAnsiTheme="minorHAnsi" w:cstheme="minorHAnsi"/>
          <w:lang w:val="fr-FR"/>
        </w:rPr>
        <w:t>effets indésirables survenant tardivement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et ce dès qu</w:t>
      </w:r>
      <w:r w:rsidR="004572A0" w:rsidRPr="00C73365">
        <w:rPr>
          <w:rFonts w:asciiTheme="minorHAnsi" w:hAnsiTheme="minorHAnsi" w:cstheme="minorHAnsi"/>
          <w:lang w:val="fr-FR"/>
        </w:rPr>
        <w:t>’</w:t>
      </w:r>
      <w:r w:rsidRPr="00C73365">
        <w:rPr>
          <w:rFonts w:asciiTheme="minorHAnsi" w:hAnsiTheme="minorHAnsi" w:cstheme="minorHAnsi"/>
          <w:lang w:val="fr-FR"/>
        </w:rPr>
        <w:t>une relation de causalité entre la survenue de l</w:t>
      </w:r>
      <w:r w:rsidR="004572A0" w:rsidRPr="00C73365">
        <w:rPr>
          <w:rFonts w:asciiTheme="minorHAnsi" w:hAnsiTheme="minorHAnsi" w:cstheme="minorHAnsi"/>
          <w:lang w:val="fr-FR"/>
        </w:rPr>
        <w:t>’</w:t>
      </w:r>
      <w:r w:rsidRPr="00C73365">
        <w:rPr>
          <w:rFonts w:asciiTheme="minorHAnsi" w:hAnsiTheme="minorHAnsi" w:cstheme="minorHAnsi"/>
          <w:lang w:val="fr-FR"/>
        </w:rPr>
        <w:t>évènement et le produit d</w:t>
      </w:r>
      <w:r w:rsidR="004572A0" w:rsidRPr="00C73365">
        <w:rPr>
          <w:rFonts w:asciiTheme="minorHAnsi" w:hAnsiTheme="minorHAnsi" w:cstheme="minorHAnsi"/>
          <w:lang w:val="fr-FR"/>
        </w:rPr>
        <w:t>’</w:t>
      </w:r>
      <w:r w:rsidRPr="00C73365">
        <w:rPr>
          <w:rFonts w:asciiTheme="minorHAnsi" w:hAnsiTheme="minorHAnsi" w:cstheme="minorHAnsi"/>
          <w:lang w:val="fr-FR"/>
        </w:rPr>
        <w:t>expérimentation est avérée.</w:t>
      </w:r>
    </w:p>
    <w:p w14:paraId="779CD573"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Afin de garantir pleinement la sécurité des volontaires dans ses essais,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conforme strictement à la réglementation en vigueur dans chacun des pays qui autorise ses essais mais aussi aux principes de bonnes pratiques (Bonne Pratiques Cliniques définies par la Commission Internationale d’Harmonisation) et charte éthique (Déclaration d’Helsinki) qui encadrent le développement clinique international. Le respect de ce cadre réglementaire est surveillé de façon continue par les activités de monitorage et de contrôle de qualité mises en place et conduites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ou, sous sa responsabilité, par ses partenaires. Il est de plus régulièrement évalué et ce de façon indépendante par le département Assurance Qualité ainsi que par les Autorités Compétentes sous la forme d’audits et d’inspections.</w:t>
      </w:r>
    </w:p>
    <w:p w14:paraId="56B59629" w14:textId="77777777" w:rsidR="00136669" w:rsidRPr="00C73365"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Dans le but de prévenir des comportements déviants, la Société a mis en place des procédures qui régissent la conclusion des contrats avec des tiers. Dans le cadre de ces procédures, plusieurs fonctions sont appelées à valider ces accords dans leur principe et leur contenu. En effet, des seuils de validation sont mis en place à partir de certains montants d’achats et un audit qualité peut être réalisé pour certains tiers et fournisseurs. Cet audit devra déterminer la pertinence du service proposé par rapport au besoin, revoir le contrat puis suivre à long terme des prestations selon le cahier des charges. </w:t>
      </w:r>
    </w:p>
    <w:p w14:paraId="0F4E86A1" w14:textId="66247780" w:rsidR="00E92A57" w:rsidRDefault="00136669" w:rsidP="004572A0">
      <w:pPr>
        <w:pStyle w:val="Corpsdetexte"/>
        <w:rPr>
          <w:rFonts w:asciiTheme="minorHAnsi" w:hAnsiTheme="minorHAnsi" w:cstheme="minorHAnsi"/>
          <w:lang w:val="fr-FR"/>
        </w:rPr>
      </w:pPr>
      <w:r w:rsidRPr="00C73365">
        <w:rPr>
          <w:rFonts w:asciiTheme="minorHAnsi" w:hAnsiTheme="minorHAnsi" w:cstheme="minorHAnsi"/>
          <w:lang w:val="fr-FR"/>
        </w:rPr>
        <w:t>Autres actions engagées en faveur des droits de l’homme</w:t>
      </w:r>
      <w:r w:rsidR="00F77970" w:rsidRPr="00C73365">
        <w:rPr>
          <w:rFonts w:asciiTheme="minorHAnsi" w:hAnsiTheme="minorHAnsi" w:cstheme="minorHAnsi"/>
          <w:lang w:val="fr-FR"/>
        </w:rPr>
        <w:t> : n</w:t>
      </w:r>
      <w:r w:rsidRPr="00C73365">
        <w:rPr>
          <w:rFonts w:asciiTheme="minorHAnsi" w:hAnsiTheme="minorHAnsi" w:cstheme="minorHAnsi"/>
          <w:lang w:val="fr-FR"/>
        </w:rPr>
        <w:t>ous n’avons pas identifié d</w:t>
      </w:r>
      <w:r w:rsidR="004572A0" w:rsidRPr="00C73365">
        <w:rPr>
          <w:rFonts w:asciiTheme="minorHAnsi" w:hAnsiTheme="minorHAnsi" w:cstheme="minorHAnsi"/>
          <w:lang w:val="fr-FR"/>
        </w:rPr>
        <w:t>’</w:t>
      </w:r>
      <w:r w:rsidRPr="00C73365">
        <w:rPr>
          <w:rFonts w:asciiTheme="minorHAnsi" w:hAnsiTheme="minorHAnsi" w:cstheme="minorHAnsi"/>
          <w:lang w:val="fr-FR"/>
        </w:rPr>
        <w:t>enjeu à cet égard</w:t>
      </w:r>
    </w:p>
    <w:p w14:paraId="20094FDB" w14:textId="77777777" w:rsidR="00E92A57" w:rsidRDefault="00E92A57">
      <w:pPr>
        <w:spacing w:after="160" w:line="259" w:lineRule="auto"/>
        <w:jc w:val="left"/>
        <w:rPr>
          <w:rFonts w:asciiTheme="minorHAnsi" w:hAnsiTheme="minorHAnsi" w:cstheme="minorHAnsi"/>
          <w:szCs w:val="20"/>
          <w:lang w:val="fr-FR"/>
        </w:rPr>
      </w:pPr>
      <w:r>
        <w:rPr>
          <w:rFonts w:asciiTheme="minorHAnsi" w:hAnsiTheme="minorHAnsi" w:cstheme="minorHAnsi"/>
          <w:lang w:val="fr-FR"/>
        </w:rPr>
        <w:br w:type="page"/>
      </w:r>
    </w:p>
    <w:p w14:paraId="06758964" w14:textId="77777777" w:rsidR="00136669" w:rsidRPr="00C73365" w:rsidRDefault="00136669" w:rsidP="004572A0">
      <w:pPr>
        <w:pStyle w:val="Corpsdetexte"/>
        <w:rPr>
          <w:rFonts w:asciiTheme="minorHAnsi" w:hAnsiTheme="minorHAnsi" w:cstheme="minorHAnsi"/>
          <w:b/>
          <w:lang w:val="fr-FR"/>
        </w:rPr>
      </w:pPr>
    </w:p>
    <w:p w14:paraId="528F78E6" w14:textId="77777777" w:rsidR="00136669" w:rsidRPr="00C73365" w:rsidRDefault="00136669" w:rsidP="00136669">
      <w:pPr>
        <w:pStyle w:val="Paragraphedeliste"/>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 xml:space="preserve">Informations Sociétales Rapport du Commissaire aux comptes désigné organisme tiers-indépendant sur les informations sociales, environnementales et sociétales </w:t>
      </w:r>
    </w:p>
    <w:p w14:paraId="651DE20C" w14:textId="77777777" w:rsidR="00136669" w:rsidRPr="00C73365" w:rsidRDefault="00136669" w:rsidP="00136669">
      <w:pPr>
        <w:rPr>
          <w:rFonts w:asciiTheme="minorHAnsi" w:hAnsiTheme="minorHAnsi" w:cstheme="minorHAnsi"/>
          <w:highlight w:val="yellow"/>
          <w:lang w:val="fr-FR"/>
        </w:rPr>
      </w:pPr>
    </w:p>
    <w:p w14:paraId="4675E60A" w14:textId="41BADA11" w:rsidR="00136669" w:rsidRPr="00713CB6" w:rsidRDefault="00713CB6" w:rsidP="004572A0">
      <w:pPr>
        <w:pStyle w:val="Corpsdetexte"/>
        <w:rPr>
          <w:rFonts w:asciiTheme="minorHAnsi" w:hAnsiTheme="minorHAnsi" w:cstheme="minorHAnsi"/>
          <w:lang w:val="fr-FR"/>
        </w:rPr>
      </w:pPr>
      <w:r w:rsidRPr="00713CB6">
        <w:rPr>
          <w:rFonts w:asciiTheme="minorHAnsi" w:hAnsiTheme="minorHAnsi" w:cstheme="minorHAnsi"/>
          <w:lang w:val="fr-FR"/>
        </w:rPr>
        <w:t>[</w:t>
      </w:r>
      <w:r w:rsidR="00F77970" w:rsidRPr="00713CB6">
        <w:rPr>
          <w:rFonts w:asciiTheme="minorHAnsi" w:hAnsiTheme="minorHAnsi" w:cstheme="minorHAnsi"/>
          <w:b/>
          <w:i/>
          <w:highlight w:val="yellow"/>
          <w:lang w:val="fr-FR"/>
        </w:rPr>
        <w:t>R</w:t>
      </w:r>
      <w:r w:rsidRPr="00713CB6">
        <w:rPr>
          <w:rFonts w:asciiTheme="minorHAnsi" w:hAnsiTheme="minorHAnsi" w:cstheme="minorHAnsi"/>
          <w:b/>
          <w:i/>
          <w:highlight w:val="yellow"/>
          <w:lang w:val="fr-FR"/>
        </w:rPr>
        <w:t xml:space="preserve">apport </w:t>
      </w:r>
      <w:r w:rsidR="00F77970" w:rsidRPr="00713CB6">
        <w:rPr>
          <w:rFonts w:asciiTheme="minorHAnsi" w:hAnsiTheme="minorHAnsi" w:cstheme="minorHAnsi"/>
          <w:b/>
          <w:i/>
          <w:highlight w:val="yellow"/>
          <w:lang w:val="fr-FR"/>
        </w:rPr>
        <w:t xml:space="preserve">PWC </w:t>
      </w:r>
      <w:r w:rsidRPr="00713CB6">
        <w:rPr>
          <w:rFonts w:asciiTheme="minorHAnsi" w:hAnsiTheme="minorHAnsi" w:cstheme="minorHAnsi"/>
          <w:b/>
          <w:i/>
          <w:highlight w:val="yellow"/>
          <w:lang w:val="fr-FR"/>
        </w:rPr>
        <w:t>à insérer</w:t>
      </w:r>
      <w:r w:rsidRPr="00713CB6">
        <w:rPr>
          <w:rFonts w:asciiTheme="minorHAnsi" w:hAnsiTheme="minorHAnsi" w:cstheme="minorHAnsi"/>
          <w:b/>
          <w:lang w:val="fr-FR"/>
        </w:rPr>
        <w:t>]</w:t>
      </w:r>
    </w:p>
    <w:p w14:paraId="3406D4E4" w14:textId="77777777" w:rsidR="00F46C7B" w:rsidRPr="00C73365" w:rsidRDefault="00F46C7B" w:rsidP="007A1897">
      <w:pPr>
        <w:pStyle w:val="ConmainL1"/>
        <w:numPr>
          <w:ilvl w:val="0"/>
          <w:numId w:val="9"/>
        </w:numPr>
        <w:spacing w:after="120"/>
        <w:rPr>
          <w:rFonts w:asciiTheme="minorHAnsi" w:hAnsiTheme="minorHAnsi" w:cstheme="minorHAnsi"/>
          <w:lang w:val="fr-FR"/>
        </w:rPr>
      </w:pPr>
      <w:bookmarkStart w:id="322" w:name="_Toc462673242"/>
      <w:bookmarkStart w:id="323" w:name="_Toc467835588"/>
      <w:bookmarkStart w:id="324" w:name="_Toc510548415"/>
      <w:bookmarkStart w:id="325" w:name="_Toc290245289"/>
      <w:bookmarkStart w:id="326" w:name="_Toc290293214"/>
      <w:bookmarkStart w:id="327" w:name="_Toc290294847"/>
      <w:r w:rsidRPr="00C73365">
        <w:rPr>
          <w:rFonts w:asciiTheme="minorHAnsi" w:hAnsiTheme="minorHAnsi" w:cstheme="minorHAnsi"/>
          <w:lang w:val="fr-FR"/>
        </w:rPr>
        <w:lastRenderedPageBreak/>
        <w:t>ORGANIGRAMME</w:t>
      </w:r>
      <w:bookmarkEnd w:id="322"/>
      <w:bookmarkEnd w:id="323"/>
      <w:bookmarkEnd w:id="324"/>
    </w:p>
    <w:p w14:paraId="0521FEB5" w14:textId="77777777"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28" w:name="_Toc402884134"/>
      <w:bookmarkStart w:id="329" w:name="_Toc462673243"/>
      <w:bookmarkStart w:id="330" w:name="_Toc467835589"/>
      <w:bookmarkStart w:id="331" w:name="_Toc510548416"/>
      <w:r w:rsidRPr="00C73365">
        <w:rPr>
          <w:rFonts w:asciiTheme="minorHAnsi" w:hAnsiTheme="minorHAnsi" w:cstheme="minorHAnsi"/>
          <w:sz w:val="22"/>
          <w:szCs w:val="22"/>
          <w:lang w:val="fr-FR"/>
        </w:rPr>
        <w:t>Organisation de la Société</w:t>
      </w:r>
      <w:bookmarkEnd w:id="328"/>
      <w:bookmarkEnd w:id="329"/>
      <w:bookmarkEnd w:id="330"/>
      <w:bookmarkEnd w:id="331"/>
    </w:p>
    <w:p w14:paraId="04350AFF" w14:textId="77777777" w:rsidR="00F46C7B" w:rsidRPr="00C73365" w:rsidRDefault="00F46C7B" w:rsidP="004572A0">
      <w:pPr>
        <w:pStyle w:val="Listecontinue2"/>
        <w:rPr>
          <w:rFonts w:asciiTheme="minorHAnsi" w:hAnsiTheme="minorHAnsi" w:cstheme="minorHAnsi"/>
          <w:lang w:val="fr-FR"/>
        </w:rPr>
        <w:sectPr w:rsidR="00F46C7B" w:rsidRPr="00C73365" w:rsidSect="00EA3D80">
          <w:pgSz w:w="11907" w:h="16840" w:code="9"/>
          <w:pgMar w:top="1134" w:right="1134" w:bottom="1134" w:left="1134" w:header="709" w:footer="709" w:gutter="0"/>
          <w:cols w:space="708"/>
          <w:docGrid w:linePitch="360"/>
        </w:sectPr>
      </w:pPr>
    </w:p>
    <w:p w14:paraId="01F396AE" w14:textId="77777777" w:rsidR="00F46C7B" w:rsidRPr="00C73365" w:rsidRDefault="00F46C7B" w:rsidP="004572A0">
      <w:pPr>
        <w:pStyle w:val="Listecontinue2"/>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la Société ne détient aucune filiale.</w:t>
      </w:r>
    </w:p>
    <w:p w14:paraId="78E853F8" w14:textId="77777777" w:rsidR="00F46C7B" w:rsidRPr="00C73365" w:rsidRDefault="00F46C7B" w:rsidP="004572A0">
      <w:pPr>
        <w:pStyle w:val="Liste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14:paraId="03EA4B3C" w14:textId="77777777"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32" w:name="_Toc402884135"/>
      <w:bookmarkStart w:id="333" w:name="_Toc462673244"/>
      <w:bookmarkStart w:id="334" w:name="_Toc467835590"/>
      <w:bookmarkStart w:id="335" w:name="_Toc510548417"/>
      <w:r w:rsidRPr="00C73365">
        <w:rPr>
          <w:rFonts w:asciiTheme="minorHAnsi" w:hAnsiTheme="minorHAnsi" w:cstheme="minorHAnsi"/>
          <w:sz w:val="22"/>
          <w:szCs w:val="22"/>
          <w:lang w:val="fr-FR"/>
        </w:rPr>
        <w:t>Liste des filiales, succursales et établissements secondaires</w:t>
      </w:r>
      <w:bookmarkEnd w:id="332"/>
      <w:bookmarkEnd w:id="333"/>
      <w:bookmarkEnd w:id="334"/>
      <w:bookmarkEnd w:id="335"/>
    </w:p>
    <w:p w14:paraId="4E54E3D5" w14:textId="77777777" w:rsidR="00F46C7B" w:rsidRPr="00C73365" w:rsidRDefault="00F46C7B" w:rsidP="004572A0">
      <w:pPr>
        <w:pStyle w:val="Liste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14:paraId="29B55492" w14:textId="77777777" w:rsidR="00F46C7B" w:rsidRPr="00C73365" w:rsidRDefault="00F46C7B" w:rsidP="004572A0">
      <w:pPr>
        <w:pStyle w:val="Listecontinue2"/>
        <w:rPr>
          <w:rFonts w:asciiTheme="minorHAnsi" w:hAnsiTheme="minorHAnsi" w:cstheme="minorHAnsi"/>
          <w:lang w:val="fr-FR"/>
        </w:rPr>
      </w:pPr>
      <w:r w:rsidRPr="00C73365">
        <w:rPr>
          <w:rFonts w:asciiTheme="minorHAnsi" w:hAnsiTheme="minorHAnsi" w:cstheme="minorHAnsi"/>
          <w:lang w:val="fr-FR"/>
        </w:rPr>
        <w:t>La Société dispose d’un établissement secondaire à Montpellier depuis le 5 juin 2014, immatriculé au Greffe de Montpellier sous le numéro SIRET 799 363 718 00021. Il est situé 1919, route de Mende – Campus CNRS Languedoc-Roussillon – 34293 Montpellier Cedex 5.</w:t>
      </w:r>
    </w:p>
    <w:p w14:paraId="2C7A37FC" w14:textId="77777777" w:rsidR="00F46C7B" w:rsidRPr="00C73365" w:rsidRDefault="00F46C7B" w:rsidP="004572A0">
      <w:pPr>
        <w:pStyle w:val="Liste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14:paraId="67C29B4E" w14:textId="77777777" w:rsidR="00F46C7B" w:rsidRPr="00C73365" w:rsidRDefault="00F46C7B" w:rsidP="004572A0">
      <w:pPr>
        <w:pStyle w:val="Liste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14:paraId="2FCCFA98" w14:textId="77777777" w:rsidR="00F46C7B" w:rsidRPr="00C73365" w:rsidRDefault="00F46C7B" w:rsidP="007A1897">
      <w:pPr>
        <w:pStyle w:val="ConmainL1"/>
        <w:numPr>
          <w:ilvl w:val="0"/>
          <w:numId w:val="9"/>
        </w:numPr>
        <w:spacing w:after="120"/>
        <w:rPr>
          <w:rFonts w:asciiTheme="minorHAnsi" w:hAnsiTheme="minorHAnsi" w:cstheme="minorHAnsi"/>
          <w:lang w:val="fr-FR"/>
        </w:rPr>
      </w:pPr>
      <w:bookmarkStart w:id="336" w:name="_Toc462673245"/>
      <w:bookmarkStart w:id="337" w:name="_Toc467835591"/>
      <w:bookmarkStart w:id="338" w:name="_Toc510548418"/>
      <w:bookmarkEnd w:id="325"/>
      <w:bookmarkEnd w:id="326"/>
      <w:bookmarkEnd w:id="327"/>
      <w:r w:rsidRPr="00C73365">
        <w:rPr>
          <w:rFonts w:asciiTheme="minorHAnsi" w:hAnsiTheme="minorHAnsi" w:cstheme="minorHAnsi"/>
          <w:lang w:val="fr-FR"/>
        </w:rPr>
        <w:lastRenderedPageBreak/>
        <w:t>PROPRIETES IMMOBILIERES, USINES ET EQUIPEMENT</w:t>
      </w:r>
      <w:bookmarkEnd w:id="336"/>
      <w:bookmarkEnd w:id="337"/>
      <w:bookmarkEnd w:id="338"/>
    </w:p>
    <w:p w14:paraId="65B66B57" w14:textId="77777777"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39" w:name="_Toc402884137"/>
      <w:bookmarkStart w:id="340" w:name="_Toc462673246"/>
      <w:bookmarkStart w:id="341" w:name="_Toc467835592"/>
      <w:bookmarkStart w:id="342" w:name="_Toc510548419"/>
      <w:r w:rsidRPr="00C73365">
        <w:rPr>
          <w:rFonts w:asciiTheme="minorHAnsi" w:hAnsiTheme="minorHAnsi" w:cstheme="minorHAnsi"/>
          <w:sz w:val="22"/>
          <w:szCs w:val="22"/>
          <w:lang w:val="fr-FR"/>
        </w:rPr>
        <w:t>Descriptif des propriétés immobilières</w:t>
      </w:r>
      <w:bookmarkEnd w:id="339"/>
      <w:bookmarkEnd w:id="340"/>
      <w:bookmarkEnd w:id="341"/>
      <w:bookmarkEnd w:id="342"/>
      <w:r w:rsidRPr="00C73365">
        <w:rPr>
          <w:rFonts w:asciiTheme="minorHAnsi" w:hAnsiTheme="minorHAnsi" w:cstheme="minorHAnsi"/>
          <w:sz w:val="22"/>
          <w:szCs w:val="22"/>
          <w:lang w:val="fr-FR"/>
        </w:rPr>
        <w:t xml:space="preserve"> </w:t>
      </w:r>
    </w:p>
    <w:p w14:paraId="2240C572" w14:textId="77777777" w:rsidR="00F46C7B" w:rsidRPr="00C73365" w:rsidRDefault="00F46C7B" w:rsidP="004572A0">
      <w:pPr>
        <w:pStyle w:val="Liste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14:paraId="29E35BEA" w14:textId="77777777" w:rsidR="00F46C7B" w:rsidRPr="00C73365" w:rsidRDefault="00F46C7B" w:rsidP="004572A0">
      <w:pPr>
        <w:pStyle w:val="Listecontinue2"/>
        <w:rPr>
          <w:rFonts w:asciiTheme="minorHAnsi" w:hAnsiTheme="minorHAnsi" w:cstheme="minorHAnsi"/>
          <w:lang w:val="fr-FR"/>
        </w:rPr>
      </w:pPr>
      <w:r w:rsidRPr="00C73365">
        <w:rPr>
          <w:rFonts w:asciiTheme="minorHAnsi" w:hAnsiTheme="minorHAnsi" w:cstheme="minorHAnsi"/>
          <w:lang w:val="fr-FR"/>
        </w:rPr>
        <w:t xml:space="preserve">La Société exerce ses activités dans les locaux dont elle est locataire au terme de baux conclu aux prix et conditions conformes à ceux du marché.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n’est propriétaire d’aucun bien immobilier.</w:t>
      </w:r>
    </w:p>
    <w:p w14:paraId="1249EE03" w14:textId="77777777" w:rsidR="00F46C7B" w:rsidRPr="00C73365" w:rsidRDefault="00F46C7B" w:rsidP="004572A0">
      <w:pPr>
        <w:pStyle w:val="Corpsdetext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14:paraId="393C9FF0" w14:textId="77777777" w:rsidR="00F46C7B" w:rsidRPr="00C73365" w:rsidRDefault="00F46C7B" w:rsidP="004572A0">
      <w:pPr>
        <w:pStyle w:val="Corpsdetexte"/>
        <w:rPr>
          <w:rFonts w:asciiTheme="minorHAnsi" w:hAnsiTheme="minorHAnsi" w:cstheme="minorHAnsi"/>
          <w:b/>
          <w:szCs w:val="22"/>
          <w:lang w:val="fr-FR"/>
        </w:rPr>
      </w:pPr>
      <w:r w:rsidRPr="00C73365">
        <w:rPr>
          <w:rFonts w:asciiTheme="minorHAnsi" w:hAnsiTheme="minorHAnsi" w:cstheme="minorHAnsi"/>
          <w:b/>
          <w:lang w:val="fr-FR"/>
        </w:rPr>
        <w:t>A la date d’enregistrement du présent document de référence :</w:t>
      </w:r>
    </w:p>
    <w:tbl>
      <w:tblPr>
        <w:tblW w:w="9543" w:type="dxa"/>
        <w:tblCellMar>
          <w:left w:w="70" w:type="dxa"/>
          <w:right w:w="70" w:type="dxa"/>
        </w:tblCellMar>
        <w:tblLook w:val="04A0" w:firstRow="1" w:lastRow="0" w:firstColumn="1" w:lastColumn="0" w:noHBand="0" w:noVBand="1"/>
      </w:tblPr>
      <w:tblGrid>
        <w:gridCol w:w="1561"/>
        <w:gridCol w:w="2017"/>
        <w:gridCol w:w="1553"/>
        <w:gridCol w:w="923"/>
        <w:gridCol w:w="1142"/>
        <w:gridCol w:w="1041"/>
        <w:gridCol w:w="1306"/>
      </w:tblGrid>
      <w:tr w:rsidR="00F46C7B" w:rsidRPr="00C73365" w14:paraId="5B4AD0DE" w14:textId="77777777" w:rsidTr="007C607C">
        <w:trPr>
          <w:trHeight w:val="942"/>
        </w:trPr>
        <w:tc>
          <w:tcPr>
            <w:tcW w:w="1574" w:type="dxa"/>
            <w:tcBorders>
              <w:top w:val="single" w:sz="12" w:space="0" w:color="7030A0"/>
              <w:left w:val="nil"/>
              <w:bottom w:val="single" w:sz="8" w:space="0" w:color="7030A0"/>
              <w:right w:val="nil"/>
            </w:tcBorders>
            <w:shd w:val="clear" w:color="auto" w:fill="auto"/>
            <w:vAlign w:val="center"/>
            <w:hideMark/>
          </w:tcPr>
          <w:p w14:paraId="65D09287" w14:textId="77777777"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Bailleur</w:t>
            </w:r>
          </w:p>
        </w:tc>
        <w:tc>
          <w:tcPr>
            <w:tcW w:w="2017" w:type="dxa"/>
            <w:tcBorders>
              <w:top w:val="single" w:sz="12" w:space="0" w:color="7030A0"/>
              <w:left w:val="nil"/>
              <w:bottom w:val="single" w:sz="8" w:space="0" w:color="7030A0"/>
              <w:right w:val="nil"/>
            </w:tcBorders>
            <w:shd w:val="clear" w:color="auto" w:fill="auto"/>
            <w:vAlign w:val="center"/>
            <w:hideMark/>
          </w:tcPr>
          <w:p w14:paraId="0D9224CE" w14:textId="77777777"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Adresse</w:t>
            </w:r>
          </w:p>
        </w:tc>
        <w:tc>
          <w:tcPr>
            <w:tcW w:w="1567" w:type="dxa"/>
            <w:tcBorders>
              <w:top w:val="single" w:sz="12" w:space="0" w:color="7030A0"/>
              <w:left w:val="nil"/>
              <w:bottom w:val="single" w:sz="8" w:space="0" w:color="7030A0"/>
              <w:right w:val="nil"/>
            </w:tcBorders>
            <w:shd w:val="clear" w:color="auto" w:fill="auto"/>
            <w:vAlign w:val="center"/>
            <w:hideMark/>
          </w:tcPr>
          <w:p w14:paraId="3A9AAB8F" w14:textId="77777777"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bail</w:t>
            </w:r>
          </w:p>
        </w:tc>
        <w:tc>
          <w:tcPr>
            <w:tcW w:w="875" w:type="dxa"/>
            <w:tcBorders>
              <w:top w:val="single" w:sz="12" w:space="0" w:color="7030A0"/>
              <w:left w:val="nil"/>
              <w:bottom w:val="single" w:sz="8" w:space="0" w:color="7030A0"/>
              <w:right w:val="nil"/>
            </w:tcBorders>
            <w:shd w:val="clear" w:color="auto" w:fill="auto"/>
            <w:vAlign w:val="center"/>
            <w:hideMark/>
          </w:tcPr>
          <w:p w14:paraId="5AB453AE" w14:textId="77777777"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Surface</w:t>
            </w:r>
          </w:p>
        </w:tc>
        <w:tc>
          <w:tcPr>
            <w:tcW w:w="1145" w:type="dxa"/>
            <w:tcBorders>
              <w:top w:val="single" w:sz="12" w:space="0" w:color="7030A0"/>
              <w:left w:val="nil"/>
              <w:bottom w:val="single" w:sz="8" w:space="0" w:color="7030A0"/>
              <w:right w:val="nil"/>
            </w:tcBorders>
            <w:shd w:val="clear" w:color="auto" w:fill="auto"/>
            <w:vAlign w:val="center"/>
            <w:hideMark/>
          </w:tcPr>
          <w:p w14:paraId="52FB2608" w14:textId="77777777"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d’entrée en vigueur</w:t>
            </w:r>
          </w:p>
        </w:tc>
        <w:tc>
          <w:tcPr>
            <w:tcW w:w="1043" w:type="dxa"/>
            <w:tcBorders>
              <w:top w:val="single" w:sz="12" w:space="0" w:color="7030A0"/>
              <w:left w:val="nil"/>
              <w:bottom w:val="single" w:sz="8" w:space="0" w:color="7030A0"/>
              <w:right w:val="nil"/>
            </w:tcBorders>
            <w:shd w:val="clear" w:color="auto" w:fill="auto"/>
            <w:vAlign w:val="center"/>
            <w:hideMark/>
          </w:tcPr>
          <w:p w14:paraId="07EEE95C" w14:textId="77777777"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Echéance</w:t>
            </w:r>
          </w:p>
        </w:tc>
        <w:tc>
          <w:tcPr>
            <w:tcW w:w="1322" w:type="dxa"/>
            <w:tcBorders>
              <w:top w:val="single" w:sz="12" w:space="0" w:color="7030A0"/>
              <w:left w:val="nil"/>
              <w:bottom w:val="single" w:sz="4" w:space="0" w:color="7030A0"/>
              <w:right w:val="nil"/>
            </w:tcBorders>
            <w:shd w:val="clear" w:color="auto" w:fill="auto"/>
            <w:vAlign w:val="center"/>
            <w:hideMark/>
          </w:tcPr>
          <w:p w14:paraId="737B29D6" w14:textId="77777777"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Loyers </w:t>
            </w:r>
          </w:p>
          <w:p w14:paraId="5700F884" w14:textId="77777777"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annuels</w:t>
            </w:r>
          </w:p>
        </w:tc>
      </w:tr>
      <w:tr w:rsidR="00F46C7B" w:rsidRPr="00C73365" w14:paraId="61245ED2" w14:textId="77777777" w:rsidTr="007C607C">
        <w:trPr>
          <w:trHeight w:val="853"/>
        </w:trPr>
        <w:tc>
          <w:tcPr>
            <w:tcW w:w="1574" w:type="dxa"/>
            <w:vMerge w:val="restart"/>
            <w:tcBorders>
              <w:top w:val="nil"/>
              <w:left w:val="nil"/>
              <w:bottom w:val="single" w:sz="8" w:space="0" w:color="7030A0"/>
              <w:right w:val="nil"/>
            </w:tcBorders>
            <w:shd w:val="clear" w:color="auto" w:fill="auto"/>
            <w:vAlign w:val="center"/>
            <w:hideMark/>
          </w:tcPr>
          <w:p w14:paraId="603BCA95"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S.N.C Courcelles Baume</w:t>
            </w:r>
          </w:p>
        </w:tc>
        <w:tc>
          <w:tcPr>
            <w:tcW w:w="2017" w:type="dxa"/>
            <w:tcBorders>
              <w:top w:val="nil"/>
              <w:left w:val="nil"/>
              <w:bottom w:val="nil"/>
              <w:right w:val="nil"/>
            </w:tcBorders>
            <w:shd w:val="clear" w:color="auto" w:fill="auto"/>
            <w:noWrap/>
            <w:vAlign w:val="center"/>
            <w:hideMark/>
          </w:tcPr>
          <w:p w14:paraId="70D7B295"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rue de la Baume</w:t>
            </w:r>
          </w:p>
        </w:tc>
        <w:tc>
          <w:tcPr>
            <w:tcW w:w="1567" w:type="dxa"/>
            <w:vMerge w:val="restart"/>
            <w:tcBorders>
              <w:top w:val="nil"/>
              <w:left w:val="nil"/>
              <w:bottom w:val="single" w:sz="8" w:space="0" w:color="7030A0"/>
              <w:right w:val="nil"/>
            </w:tcBorders>
            <w:shd w:val="clear" w:color="auto" w:fill="auto"/>
            <w:vAlign w:val="center"/>
            <w:hideMark/>
          </w:tcPr>
          <w:p w14:paraId="1DEAF305"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Sous-location de bail dérogatoire à usage exclusif de bureaux</w:t>
            </w:r>
          </w:p>
        </w:tc>
        <w:tc>
          <w:tcPr>
            <w:tcW w:w="875" w:type="dxa"/>
            <w:vMerge w:val="restart"/>
            <w:tcBorders>
              <w:top w:val="nil"/>
              <w:left w:val="nil"/>
              <w:bottom w:val="single" w:sz="8" w:space="0" w:color="7030A0"/>
              <w:right w:val="nil"/>
            </w:tcBorders>
            <w:shd w:val="clear" w:color="auto" w:fill="auto"/>
            <w:vAlign w:val="center"/>
            <w:hideMark/>
          </w:tcPr>
          <w:p w14:paraId="5979C814"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342.32m</w:t>
            </w:r>
            <w:r w:rsidRPr="00C73365">
              <w:rPr>
                <w:rFonts w:asciiTheme="minorHAnsi" w:hAnsiTheme="minorHAnsi" w:cstheme="minorHAnsi"/>
                <w:color w:val="000000"/>
                <w:szCs w:val="20"/>
                <w:vertAlign w:val="superscript"/>
                <w:lang w:val="fr-FR" w:eastAsia="fr-FR"/>
              </w:rPr>
              <w:t>2</w:t>
            </w:r>
          </w:p>
        </w:tc>
        <w:tc>
          <w:tcPr>
            <w:tcW w:w="1145" w:type="dxa"/>
            <w:vMerge w:val="restart"/>
            <w:tcBorders>
              <w:top w:val="nil"/>
              <w:left w:val="nil"/>
              <w:bottom w:val="single" w:sz="8" w:space="0" w:color="7030A0"/>
              <w:right w:val="nil"/>
            </w:tcBorders>
            <w:shd w:val="clear" w:color="auto" w:fill="auto"/>
            <w:vAlign w:val="center"/>
            <w:hideMark/>
          </w:tcPr>
          <w:p w14:paraId="2FFD8920"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Pr="00C73365">
              <w:rPr>
                <w:rFonts w:asciiTheme="minorHAnsi" w:hAnsiTheme="minorHAnsi" w:cstheme="minorHAnsi"/>
                <w:color w:val="000000"/>
                <w:szCs w:val="20"/>
                <w:vertAlign w:val="superscript"/>
                <w:lang w:val="fr-FR" w:eastAsia="fr-FR"/>
              </w:rPr>
              <w:t>er</w:t>
            </w:r>
            <w:r w:rsidRPr="00C73365">
              <w:rPr>
                <w:rFonts w:asciiTheme="minorHAnsi" w:hAnsiTheme="minorHAnsi" w:cstheme="minorHAnsi"/>
                <w:color w:val="000000"/>
                <w:szCs w:val="20"/>
                <w:lang w:val="fr-FR" w:eastAsia="fr-FR"/>
              </w:rPr>
              <w:t xml:space="preserve"> </w:t>
            </w:r>
            <w:r w:rsidR="006B119E" w:rsidRPr="00C73365">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2016</w:t>
            </w:r>
          </w:p>
        </w:tc>
        <w:tc>
          <w:tcPr>
            <w:tcW w:w="1043" w:type="dxa"/>
            <w:vMerge w:val="restart"/>
            <w:tcBorders>
              <w:top w:val="nil"/>
              <w:left w:val="nil"/>
              <w:bottom w:val="single" w:sz="8" w:space="0" w:color="7030A0"/>
              <w:right w:val="nil"/>
            </w:tcBorders>
            <w:shd w:val="clear" w:color="auto" w:fill="auto"/>
            <w:vAlign w:val="center"/>
            <w:hideMark/>
          </w:tcPr>
          <w:p w14:paraId="2C824CA5"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 août 2025</w:t>
            </w:r>
          </w:p>
        </w:tc>
        <w:tc>
          <w:tcPr>
            <w:tcW w:w="1322" w:type="dxa"/>
            <w:vMerge w:val="restart"/>
            <w:tcBorders>
              <w:top w:val="single" w:sz="4" w:space="0" w:color="7030A0"/>
              <w:left w:val="nil"/>
              <w:bottom w:val="single" w:sz="8" w:space="0" w:color="7030A0"/>
              <w:right w:val="nil"/>
            </w:tcBorders>
            <w:shd w:val="clear" w:color="auto" w:fill="auto"/>
            <w:vAlign w:val="center"/>
            <w:hideMark/>
          </w:tcPr>
          <w:p w14:paraId="1DC31C60"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205 392 euros hors taxes / hors charges</w:t>
            </w:r>
          </w:p>
        </w:tc>
      </w:tr>
      <w:tr w:rsidR="00F46C7B" w:rsidRPr="00C73365" w14:paraId="3F038A34" w14:textId="77777777" w:rsidTr="007C607C">
        <w:trPr>
          <w:trHeight w:val="236"/>
        </w:trPr>
        <w:tc>
          <w:tcPr>
            <w:tcW w:w="1574" w:type="dxa"/>
            <w:vMerge/>
            <w:tcBorders>
              <w:top w:val="nil"/>
              <w:left w:val="nil"/>
              <w:bottom w:val="single" w:sz="8" w:space="0" w:color="7030A0"/>
              <w:right w:val="nil"/>
            </w:tcBorders>
            <w:vAlign w:val="center"/>
            <w:hideMark/>
          </w:tcPr>
          <w:p w14:paraId="4B569739" w14:textId="77777777" w:rsidR="00F46C7B" w:rsidRPr="00C73365" w:rsidRDefault="00F46C7B">
            <w:pPr>
              <w:rPr>
                <w:rFonts w:asciiTheme="minorHAnsi" w:hAnsiTheme="minorHAnsi" w:cstheme="minorHAnsi"/>
                <w:color w:val="000000"/>
                <w:szCs w:val="20"/>
                <w:highlight w:val="yellow"/>
                <w:lang w:val="fr-FR" w:eastAsia="fr-FR"/>
              </w:rPr>
            </w:pPr>
          </w:p>
        </w:tc>
        <w:tc>
          <w:tcPr>
            <w:tcW w:w="2017" w:type="dxa"/>
            <w:tcBorders>
              <w:top w:val="nil"/>
              <w:left w:val="nil"/>
              <w:bottom w:val="nil"/>
              <w:right w:val="nil"/>
            </w:tcBorders>
            <w:shd w:val="clear" w:color="auto" w:fill="auto"/>
            <w:noWrap/>
            <w:vAlign w:val="center"/>
            <w:hideMark/>
          </w:tcPr>
          <w:p w14:paraId="53F445FD" w14:textId="77777777" w:rsidR="00F46C7B" w:rsidRPr="00C73365" w:rsidRDefault="00F46C7B">
            <w:pPr>
              <w:jc w:val="center"/>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75008 Paris</w:t>
            </w:r>
          </w:p>
        </w:tc>
        <w:tc>
          <w:tcPr>
            <w:tcW w:w="1567" w:type="dxa"/>
            <w:vMerge/>
            <w:tcBorders>
              <w:top w:val="nil"/>
              <w:left w:val="nil"/>
              <w:bottom w:val="single" w:sz="8" w:space="0" w:color="7030A0"/>
              <w:right w:val="nil"/>
            </w:tcBorders>
            <w:vAlign w:val="center"/>
            <w:hideMark/>
          </w:tcPr>
          <w:p w14:paraId="5D2DE468" w14:textId="77777777" w:rsidR="00F46C7B" w:rsidRPr="00C73365" w:rsidRDefault="00F46C7B">
            <w:pPr>
              <w:rPr>
                <w:rFonts w:asciiTheme="minorHAnsi" w:hAnsiTheme="minorHAnsi" w:cstheme="minorHAnsi"/>
                <w:color w:val="000000"/>
                <w:szCs w:val="20"/>
                <w:highlight w:val="yellow"/>
                <w:lang w:val="fr-FR" w:eastAsia="fr-FR"/>
              </w:rPr>
            </w:pPr>
          </w:p>
        </w:tc>
        <w:tc>
          <w:tcPr>
            <w:tcW w:w="875" w:type="dxa"/>
            <w:vMerge/>
            <w:tcBorders>
              <w:top w:val="nil"/>
              <w:left w:val="nil"/>
              <w:bottom w:val="single" w:sz="8" w:space="0" w:color="7030A0"/>
              <w:right w:val="nil"/>
            </w:tcBorders>
            <w:vAlign w:val="center"/>
            <w:hideMark/>
          </w:tcPr>
          <w:p w14:paraId="44A06065" w14:textId="77777777" w:rsidR="00F46C7B" w:rsidRPr="00C73365" w:rsidRDefault="00F46C7B">
            <w:pPr>
              <w:rPr>
                <w:rFonts w:asciiTheme="minorHAnsi" w:hAnsiTheme="minorHAnsi" w:cstheme="minorHAnsi"/>
                <w:color w:val="000000"/>
                <w:szCs w:val="20"/>
                <w:highlight w:val="yellow"/>
                <w:lang w:val="fr-FR" w:eastAsia="fr-FR"/>
              </w:rPr>
            </w:pPr>
          </w:p>
        </w:tc>
        <w:tc>
          <w:tcPr>
            <w:tcW w:w="1145" w:type="dxa"/>
            <w:vMerge/>
            <w:tcBorders>
              <w:top w:val="nil"/>
              <w:left w:val="nil"/>
              <w:bottom w:val="single" w:sz="8" w:space="0" w:color="7030A0"/>
              <w:right w:val="nil"/>
            </w:tcBorders>
            <w:vAlign w:val="center"/>
            <w:hideMark/>
          </w:tcPr>
          <w:p w14:paraId="579ECAC5" w14:textId="77777777" w:rsidR="00F46C7B" w:rsidRPr="00C73365" w:rsidRDefault="00F46C7B">
            <w:pPr>
              <w:rPr>
                <w:rFonts w:asciiTheme="minorHAnsi" w:hAnsiTheme="minorHAnsi" w:cstheme="minorHAnsi"/>
                <w:color w:val="000000"/>
                <w:szCs w:val="20"/>
                <w:highlight w:val="yellow"/>
                <w:lang w:val="fr-FR" w:eastAsia="fr-FR"/>
              </w:rPr>
            </w:pPr>
          </w:p>
        </w:tc>
        <w:tc>
          <w:tcPr>
            <w:tcW w:w="1043" w:type="dxa"/>
            <w:vMerge/>
            <w:tcBorders>
              <w:top w:val="nil"/>
              <w:left w:val="nil"/>
              <w:bottom w:val="single" w:sz="8" w:space="0" w:color="7030A0"/>
              <w:right w:val="nil"/>
            </w:tcBorders>
            <w:vAlign w:val="center"/>
            <w:hideMark/>
          </w:tcPr>
          <w:p w14:paraId="01D5DDBC" w14:textId="77777777" w:rsidR="00F46C7B" w:rsidRPr="00C73365" w:rsidRDefault="00F46C7B">
            <w:pPr>
              <w:rPr>
                <w:rFonts w:asciiTheme="minorHAnsi" w:hAnsiTheme="minorHAnsi" w:cstheme="minorHAnsi"/>
                <w:color w:val="000000"/>
                <w:szCs w:val="20"/>
                <w:highlight w:val="yellow"/>
                <w:lang w:val="fr-FR" w:eastAsia="fr-FR"/>
              </w:rPr>
            </w:pPr>
          </w:p>
        </w:tc>
        <w:tc>
          <w:tcPr>
            <w:tcW w:w="1322" w:type="dxa"/>
            <w:vMerge/>
            <w:tcBorders>
              <w:top w:val="nil"/>
              <w:left w:val="nil"/>
              <w:bottom w:val="single" w:sz="8" w:space="0" w:color="7030A0"/>
              <w:right w:val="nil"/>
            </w:tcBorders>
            <w:vAlign w:val="center"/>
            <w:hideMark/>
          </w:tcPr>
          <w:p w14:paraId="04A81392" w14:textId="77777777" w:rsidR="00F46C7B" w:rsidRPr="00C73365" w:rsidRDefault="00F46C7B">
            <w:pPr>
              <w:rPr>
                <w:rFonts w:asciiTheme="minorHAnsi" w:hAnsiTheme="minorHAnsi" w:cstheme="minorHAnsi"/>
                <w:color w:val="000000"/>
                <w:szCs w:val="20"/>
                <w:highlight w:val="yellow"/>
                <w:lang w:val="fr-FR" w:eastAsia="fr-FR"/>
              </w:rPr>
            </w:pPr>
          </w:p>
        </w:tc>
      </w:tr>
      <w:tr w:rsidR="00F46C7B" w:rsidRPr="00C73365" w14:paraId="365204F1" w14:textId="77777777" w:rsidTr="007C607C">
        <w:trPr>
          <w:trHeight w:val="635"/>
        </w:trPr>
        <w:tc>
          <w:tcPr>
            <w:tcW w:w="1574" w:type="dxa"/>
            <w:vMerge w:val="restart"/>
            <w:tcBorders>
              <w:top w:val="nil"/>
              <w:left w:val="nil"/>
              <w:bottom w:val="single" w:sz="8" w:space="0" w:color="7030A0"/>
              <w:right w:val="nil"/>
            </w:tcBorders>
            <w:shd w:val="clear" w:color="auto" w:fill="auto"/>
            <w:vAlign w:val="center"/>
            <w:hideMark/>
          </w:tcPr>
          <w:p w14:paraId="05D9C646"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Centre National de la Recherche Scientifique</w:t>
            </w:r>
            <w:r w:rsidRPr="00C73365">
              <w:rPr>
                <w:rFonts w:asciiTheme="minorHAnsi" w:hAnsiTheme="minorHAnsi" w:cstheme="minorHAnsi"/>
                <w:color w:val="7030A0"/>
                <w:szCs w:val="20"/>
                <w:lang w:val="fr-FR" w:eastAsia="fr-FR"/>
              </w:rPr>
              <w:t>*</w:t>
            </w:r>
          </w:p>
        </w:tc>
        <w:tc>
          <w:tcPr>
            <w:tcW w:w="2017" w:type="dxa"/>
            <w:tcBorders>
              <w:top w:val="single" w:sz="8" w:space="0" w:color="7030A0"/>
              <w:left w:val="nil"/>
              <w:bottom w:val="nil"/>
              <w:right w:val="nil"/>
            </w:tcBorders>
            <w:shd w:val="clear" w:color="auto" w:fill="auto"/>
            <w:noWrap/>
            <w:vAlign w:val="center"/>
            <w:hideMark/>
          </w:tcPr>
          <w:p w14:paraId="0E982A5F"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1919, route de Mende</w:t>
            </w:r>
          </w:p>
        </w:tc>
        <w:tc>
          <w:tcPr>
            <w:tcW w:w="1567" w:type="dxa"/>
            <w:vMerge w:val="restart"/>
            <w:tcBorders>
              <w:top w:val="nil"/>
              <w:left w:val="nil"/>
              <w:bottom w:val="single" w:sz="8" w:space="0" w:color="7030A0"/>
              <w:right w:val="nil"/>
            </w:tcBorders>
            <w:shd w:val="clear" w:color="auto" w:fill="auto"/>
            <w:vAlign w:val="center"/>
            <w:hideMark/>
          </w:tcPr>
          <w:p w14:paraId="7E9E482A"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Mise à disposition de locaux tertiaires</w:t>
            </w:r>
          </w:p>
        </w:tc>
        <w:tc>
          <w:tcPr>
            <w:tcW w:w="875" w:type="dxa"/>
            <w:vMerge w:val="restart"/>
            <w:tcBorders>
              <w:top w:val="nil"/>
              <w:left w:val="nil"/>
              <w:bottom w:val="single" w:sz="8" w:space="0" w:color="7030A0"/>
              <w:right w:val="nil"/>
            </w:tcBorders>
            <w:shd w:val="clear" w:color="auto" w:fill="auto"/>
            <w:vAlign w:val="center"/>
            <w:hideMark/>
          </w:tcPr>
          <w:p w14:paraId="1943624E"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1145" w:type="dxa"/>
            <w:vMerge w:val="restart"/>
            <w:tcBorders>
              <w:top w:val="nil"/>
              <w:left w:val="nil"/>
              <w:bottom w:val="single" w:sz="8" w:space="0" w:color="7030A0"/>
              <w:right w:val="nil"/>
            </w:tcBorders>
            <w:shd w:val="clear" w:color="auto" w:fill="auto"/>
            <w:vAlign w:val="center"/>
            <w:hideMark/>
          </w:tcPr>
          <w:p w14:paraId="491F054E"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Pr="00C73365">
              <w:rPr>
                <w:rFonts w:asciiTheme="minorHAnsi" w:hAnsiTheme="minorHAnsi" w:cstheme="minorHAnsi"/>
                <w:color w:val="000000"/>
                <w:szCs w:val="20"/>
                <w:vertAlign w:val="superscript"/>
                <w:lang w:val="fr-FR" w:eastAsia="fr-FR"/>
              </w:rPr>
              <w:t>er</w:t>
            </w:r>
            <w:r w:rsidRPr="00C73365">
              <w:rPr>
                <w:rFonts w:asciiTheme="minorHAnsi" w:hAnsiTheme="minorHAnsi" w:cstheme="minorHAnsi"/>
                <w:color w:val="000000"/>
                <w:szCs w:val="20"/>
                <w:lang w:val="fr-FR" w:eastAsia="fr-FR"/>
              </w:rPr>
              <w:t xml:space="preserve"> janvier </w:t>
            </w:r>
            <w:r w:rsidR="00B30B92" w:rsidRPr="00C73365">
              <w:rPr>
                <w:rFonts w:asciiTheme="minorHAnsi" w:hAnsiTheme="minorHAnsi" w:cstheme="minorHAnsi"/>
                <w:color w:val="000000"/>
                <w:szCs w:val="20"/>
                <w:lang w:val="fr-FR" w:eastAsia="fr-FR"/>
              </w:rPr>
              <w:t>2017</w:t>
            </w:r>
          </w:p>
        </w:tc>
        <w:tc>
          <w:tcPr>
            <w:tcW w:w="1043" w:type="dxa"/>
            <w:vMerge w:val="restart"/>
            <w:tcBorders>
              <w:top w:val="nil"/>
              <w:left w:val="nil"/>
              <w:bottom w:val="single" w:sz="8" w:space="0" w:color="7030A0"/>
              <w:right w:val="nil"/>
            </w:tcBorders>
            <w:shd w:val="clear" w:color="auto" w:fill="auto"/>
            <w:vAlign w:val="center"/>
            <w:hideMark/>
          </w:tcPr>
          <w:p w14:paraId="461B594D"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 décembre </w:t>
            </w:r>
            <w:r w:rsidR="00B30B92" w:rsidRPr="00C73365">
              <w:rPr>
                <w:rFonts w:asciiTheme="minorHAnsi" w:hAnsiTheme="minorHAnsi" w:cstheme="minorHAnsi"/>
                <w:color w:val="000000"/>
                <w:szCs w:val="20"/>
                <w:lang w:val="fr-FR" w:eastAsia="fr-FR"/>
              </w:rPr>
              <w:t>2017</w:t>
            </w:r>
            <w:r w:rsidRPr="00C73365">
              <w:rPr>
                <w:rFonts w:asciiTheme="minorHAnsi" w:hAnsiTheme="minorHAnsi" w:cstheme="minorHAnsi"/>
                <w:color w:val="7030A0"/>
                <w:szCs w:val="20"/>
                <w:lang w:val="fr-FR" w:eastAsia="fr-FR"/>
              </w:rPr>
              <w:t>*</w:t>
            </w:r>
          </w:p>
        </w:tc>
        <w:tc>
          <w:tcPr>
            <w:tcW w:w="1322" w:type="dxa"/>
            <w:vMerge w:val="restart"/>
            <w:tcBorders>
              <w:top w:val="nil"/>
              <w:left w:val="nil"/>
              <w:bottom w:val="single" w:sz="8" w:space="0" w:color="7030A0"/>
              <w:right w:val="nil"/>
            </w:tcBorders>
            <w:shd w:val="clear" w:color="auto" w:fill="auto"/>
            <w:vAlign w:val="center"/>
            <w:hideMark/>
          </w:tcPr>
          <w:p w14:paraId="223DC241" w14:textId="77777777" w:rsidR="00F46C7B" w:rsidRPr="00C73365" w:rsidRDefault="00B30B92">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w:t>
            </w:r>
            <w:r w:rsidR="00F46C7B" w:rsidRPr="00C73365">
              <w:rPr>
                <w:rFonts w:asciiTheme="minorHAnsi" w:hAnsiTheme="minorHAnsi" w:cstheme="minorHAnsi"/>
                <w:color w:val="000000"/>
                <w:szCs w:val="20"/>
                <w:lang w:val="fr-FR" w:eastAsia="fr-FR"/>
              </w:rPr>
              <w:t>.000 euros hors taxes</w:t>
            </w:r>
          </w:p>
        </w:tc>
      </w:tr>
      <w:tr w:rsidR="00F46C7B" w:rsidRPr="00C73365" w14:paraId="15BCA484" w14:textId="77777777" w:rsidTr="007C607C">
        <w:trPr>
          <w:trHeight w:val="236"/>
        </w:trPr>
        <w:tc>
          <w:tcPr>
            <w:tcW w:w="1574" w:type="dxa"/>
            <w:vMerge/>
            <w:tcBorders>
              <w:top w:val="nil"/>
              <w:left w:val="nil"/>
              <w:bottom w:val="single" w:sz="8" w:space="0" w:color="7030A0"/>
              <w:right w:val="nil"/>
            </w:tcBorders>
            <w:vAlign w:val="center"/>
            <w:hideMark/>
          </w:tcPr>
          <w:p w14:paraId="0394566A" w14:textId="77777777" w:rsidR="00F46C7B" w:rsidRPr="00C73365" w:rsidRDefault="00F46C7B">
            <w:pPr>
              <w:rPr>
                <w:rFonts w:asciiTheme="minorHAnsi" w:hAnsiTheme="minorHAnsi" w:cstheme="minorHAnsi"/>
                <w:color w:val="000000"/>
                <w:szCs w:val="20"/>
                <w:highlight w:val="yellow"/>
                <w:lang w:val="fr-FR" w:eastAsia="fr-FR"/>
              </w:rPr>
            </w:pPr>
          </w:p>
        </w:tc>
        <w:tc>
          <w:tcPr>
            <w:tcW w:w="2017" w:type="dxa"/>
            <w:tcBorders>
              <w:top w:val="nil"/>
              <w:left w:val="nil"/>
              <w:bottom w:val="single" w:sz="8" w:space="0" w:color="7030A0"/>
              <w:right w:val="nil"/>
            </w:tcBorders>
            <w:shd w:val="clear" w:color="auto" w:fill="auto"/>
            <w:noWrap/>
            <w:vAlign w:val="center"/>
            <w:hideMark/>
          </w:tcPr>
          <w:p w14:paraId="6CC3D135"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34293 Montpellier Cedex 5</w:t>
            </w:r>
          </w:p>
        </w:tc>
        <w:tc>
          <w:tcPr>
            <w:tcW w:w="1567" w:type="dxa"/>
            <w:vMerge/>
            <w:tcBorders>
              <w:top w:val="nil"/>
              <w:left w:val="nil"/>
              <w:bottom w:val="single" w:sz="8" w:space="0" w:color="7030A0"/>
              <w:right w:val="nil"/>
            </w:tcBorders>
            <w:vAlign w:val="center"/>
            <w:hideMark/>
          </w:tcPr>
          <w:p w14:paraId="2F3DE101" w14:textId="77777777" w:rsidR="00F46C7B" w:rsidRPr="00C73365" w:rsidRDefault="00F46C7B">
            <w:pPr>
              <w:rPr>
                <w:rFonts w:asciiTheme="minorHAnsi" w:hAnsiTheme="minorHAnsi" w:cstheme="minorHAnsi"/>
                <w:color w:val="000000"/>
                <w:szCs w:val="20"/>
                <w:lang w:val="fr-FR" w:eastAsia="fr-FR"/>
              </w:rPr>
            </w:pPr>
          </w:p>
        </w:tc>
        <w:tc>
          <w:tcPr>
            <w:tcW w:w="875" w:type="dxa"/>
            <w:vMerge/>
            <w:tcBorders>
              <w:top w:val="nil"/>
              <w:left w:val="nil"/>
              <w:bottom w:val="single" w:sz="8" w:space="0" w:color="7030A0"/>
              <w:right w:val="nil"/>
            </w:tcBorders>
            <w:vAlign w:val="center"/>
            <w:hideMark/>
          </w:tcPr>
          <w:p w14:paraId="73EDBBDA" w14:textId="77777777" w:rsidR="00F46C7B" w:rsidRPr="00C73365" w:rsidRDefault="00F46C7B">
            <w:pPr>
              <w:rPr>
                <w:rFonts w:asciiTheme="minorHAnsi" w:hAnsiTheme="minorHAnsi" w:cstheme="minorHAnsi"/>
                <w:color w:val="000000"/>
                <w:szCs w:val="20"/>
                <w:lang w:val="fr-FR" w:eastAsia="fr-FR"/>
              </w:rPr>
            </w:pPr>
          </w:p>
        </w:tc>
        <w:tc>
          <w:tcPr>
            <w:tcW w:w="1145" w:type="dxa"/>
            <w:vMerge/>
            <w:tcBorders>
              <w:top w:val="nil"/>
              <w:left w:val="nil"/>
              <w:bottom w:val="single" w:sz="8" w:space="0" w:color="7030A0"/>
              <w:right w:val="nil"/>
            </w:tcBorders>
            <w:vAlign w:val="center"/>
            <w:hideMark/>
          </w:tcPr>
          <w:p w14:paraId="024C87E5" w14:textId="77777777" w:rsidR="00F46C7B" w:rsidRPr="00C73365" w:rsidRDefault="00F46C7B">
            <w:pPr>
              <w:rPr>
                <w:rFonts w:asciiTheme="minorHAnsi" w:hAnsiTheme="minorHAnsi" w:cstheme="minorHAnsi"/>
                <w:color w:val="000000"/>
                <w:szCs w:val="20"/>
                <w:lang w:val="fr-FR" w:eastAsia="fr-FR"/>
              </w:rPr>
            </w:pPr>
          </w:p>
        </w:tc>
        <w:tc>
          <w:tcPr>
            <w:tcW w:w="1043" w:type="dxa"/>
            <w:vMerge/>
            <w:tcBorders>
              <w:top w:val="nil"/>
              <w:left w:val="nil"/>
              <w:bottom w:val="single" w:sz="8" w:space="0" w:color="7030A0"/>
              <w:right w:val="nil"/>
            </w:tcBorders>
            <w:vAlign w:val="center"/>
            <w:hideMark/>
          </w:tcPr>
          <w:p w14:paraId="4D060CAB" w14:textId="77777777" w:rsidR="00F46C7B" w:rsidRPr="00C73365" w:rsidRDefault="00F46C7B">
            <w:pPr>
              <w:rPr>
                <w:rFonts w:asciiTheme="minorHAnsi" w:hAnsiTheme="minorHAnsi" w:cstheme="minorHAnsi"/>
                <w:color w:val="000000"/>
                <w:szCs w:val="20"/>
                <w:lang w:val="fr-FR" w:eastAsia="fr-FR"/>
              </w:rPr>
            </w:pPr>
          </w:p>
        </w:tc>
        <w:tc>
          <w:tcPr>
            <w:tcW w:w="1322" w:type="dxa"/>
            <w:vMerge/>
            <w:tcBorders>
              <w:top w:val="nil"/>
              <w:left w:val="nil"/>
              <w:bottom w:val="single" w:sz="8" w:space="0" w:color="7030A0"/>
              <w:right w:val="nil"/>
            </w:tcBorders>
            <w:vAlign w:val="center"/>
            <w:hideMark/>
          </w:tcPr>
          <w:p w14:paraId="7C20E9F7" w14:textId="77777777" w:rsidR="00F46C7B" w:rsidRPr="00C73365" w:rsidRDefault="00F46C7B">
            <w:pPr>
              <w:rPr>
                <w:rFonts w:asciiTheme="minorHAnsi" w:hAnsiTheme="minorHAnsi" w:cstheme="minorHAnsi"/>
                <w:color w:val="000000"/>
                <w:szCs w:val="20"/>
                <w:lang w:val="fr-FR" w:eastAsia="fr-FR"/>
              </w:rPr>
            </w:pPr>
          </w:p>
        </w:tc>
      </w:tr>
    </w:tbl>
    <w:p w14:paraId="01001221" w14:textId="77777777" w:rsidR="00F46C7B" w:rsidRPr="00C73365" w:rsidRDefault="00F46C7B" w:rsidP="004572A0">
      <w:pPr>
        <w:pStyle w:val="Lgende"/>
        <w:rPr>
          <w:rFonts w:asciiTheme="minorHAnsi" w:hAnsiTheme="minorHAnsi" w:cstheme="minorHAnsi"/>
          <w:lang w:val="fr-FR"/>
        </w:rPr>
      </w:pPr>
      <w:r w:rsidRPr="00C73365">
        <w:rPr>
          <w:rFonts w:asciiTheme="minorHAnsi" w:hAnsiTheme="minorHAnsi" w:cstheme="minorHAnsi"/>
          <w:lang w:val="fr-FR"/>
        </w:rPr>
        <w:t xml:space="preserve">*des avenants sont signés chaque année afin de prolonger l’échéance de la location des locaux mise à disposition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14:paraId="7AC43BF9" w14:textId="77777777" w:rsidR="00A23BC0" w:rsidRPr="00C73365" w:rsidRDefault="00A23BC0" w:rsidP="004572A0">
      <w:pPr>
        <w:pStyle w:val="Corpsdetexte"/>
        <w:rPr>
          <w:rFonts w:asciiTheme="minorHAnsi" w:hAnsiTheme="minorHAnsi" w:cstheme="minorHAnsi"/>
          <w:i/>
          <w:lang w:val="fr-FR"/>
        </w:rPr>
      </w:pPr>
      <w:r w:rsidRPr="00C73365">
        <w:rPr>
          <w:rFonts w:asciiTheme="minorHAnsi" w:hAnsiTheme="minorHAnsi" w:cstheme="minorHAnsi"/>
          <w:i/>
          <w:lang w:val="fr-FR"/>
        </w:rPr>
        <w:t>Un avenant avec le CNRS est actuellement en cours de signature</w:t>
      </w:r>
      <w:r w:rsidR="00DC2B5A" w:rsidRPr="00C73365">
        <w:rPr>
          <w:rFonts w:asciiTheme="minorHAnsi" w:hAnsiTheme="minorHAnsi" w:cstheme="minorHAnsi"/>
          <w:i/>
          <w:lang w:val="fr-FR"/>
        </w:rPr>
        <w:t xml:space="preserve"> avec une rétroactivité au 01/01/</w:t>
      </w:r>
      <w:r w:rsidR="006E30A2" w:rsidRPr="00C73365">
        <w:rPr>
          <w:rFonts w:asciiTheme="minorHAnsi" w:hAnsiTheme="minorHAnsi" w:cstheme="minorHAnsi"/>
          <w:i/>
          <w:lang w:val="fr-FR"/>
        </w:rPr>
        <w:t>2018</w:t>
      </w:r>
      <w:r w:rsidR="00B30B92" w:rsidRPr="00C73365">
        <w:rPr>
          <w:rFonts w:asciiTheme="minorHAnsi" w:hAnsiTheme="minorHAnsi" w:cstheme="minorHAnsi"/>
          <w:i/>
          <w:lang w:val="fr-FR"/>
        </w:rPr>
        <w:t>.</w:t>
      </w:r>
      <w:r w:rsidR="00AE4517" w:rsidRPr="00C73365">
        <w:rPr>
          <w:rFonts w:asciiTheme="minorHAnsi" w:hAnsiTheme="minorHAnsi" w:cstheme="minorHAnsi"/>
          <w:i/>
          <w:lang w:val="fr-FR"/>
        </w:rPr>
        <w:t xml:space="preserve"> Le montant indiqué </w:t>
      </w:r>
      <w:r w:rsidR="00AD2C40" w:rsidRPr="00C73365">
        <w:rPr>
          <w:rFonts w:asciiTheme="minorHAnsi" w:hAnsiTheme="minorHAnsi" w:cstheme="minorHAnsi"/>
          <w:i/>
          <w:lang w:val="fr-FR"/>
        </w:rPr>
        <w:t xml:space="preserve">ne </w:t>
      </w:r>
      <w:r w:rsidR="00AE4517" w:rsidRPr="00C73365">
        <w:rPr>
          <w:rFonts w:asciiTheme="minorHAnsi" w:hAnsiTheme="minorHAnsi" w:cstheme="minorHAnsi"/>
          <w:i/>
          <w:lang w:val="fr-FR"/>
        </w:rPr>
        <w:t>prend pas en compte une éventuelle inflation.</w:t>
      </w:r>
    </w:p>
    <w:p w14:paraId="553DC44E" w14:textId="77777777" w:rsidR="00F46C7B" w:rsidRPr="00C73365" w:rsidRDefault="00F46C7B" w:rsidP="004572A0">
      <w:pPr>
        <w:pStyle w:val="Corpsdetext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14:paraId="3DA0CBA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considère disposer de locaux adaptés qui devraient lui permettre de faire face à la croissance envisagée de la Société et de ses effectifs à court et moyen terme.</w:t>
      </w:r>
    </w:p>
    <w:p w14:paraId="5CB1FEBD" w14:textId="77777777" w:rsidR="00F46C7B" w:rsidRPr="00C73365" w:rsidRDefault="00F46C7B" w:rsidP="004572A0">
      <w:pPr>
        <w:pStyle w:val="Corpsdetext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14:paraId="33868B87" w14:textId="77777777"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43" w:name="_Toc402884138"/>
      <w:bookmarkStart w:id="344" w:name="_Toc462673247"/>
      <w:bookmarkStart w:id="345" w:name="_Toc467835593"/>
      <w:bookmarkStart w:id="346" w:name="_Toc510548420"/>
      <w:r w:rsidRPr="00C73365">
        <w:rPr>
          <w:rFonts w:asciiTheme="minorHAnsi" w:hAnsiTheme="minorHAnsi" w:cstheme="minorHAnsi"/>
          <w:sz w:val="22"/>
          <w:szCs w:val="22"/>
          <w:lang w:val="fr-FR"/>
        </w:rPr>
        <w:t>Questions environnementales</w:t>
      </w:r>
      <w:bookmarkEnd w:id="343"/>
      <w:bookmarkEnd w:id="344"/>
      <w:bookmarkEnd w:id="345"/>
      <w:bookmarkEnd w:id="346"/>
    </w:p>
    <w:p w14:paraId="4BA37EFA" w14:textId="77777777" w:rsidR="00F46C7B" w:rsidRPr="00C73365" w:rsidRDefault="00F46C7B" w:rsidP="00A96CCA">
      <w:pPr>
        <w:pStyle w:val="ConmainL2"/>
        <w:numPr>
          <w:ilvl w:val="0"/>
          <w:numId w:val="0"/>
        </w:numPr>
        <w:spacing w:after="120"/>
        <w:outlineLvl w:val="9"/>
        <w:rPr>
          <w:rFonts w:asciiTheme="minorHAnsi" w:hAnsiTheme="minorHAnsi" w:cstheme="minorHAnsi"/>
          <w:sz w:val="22"/>
          <w:szCs w:val="22"/>
          <w:lang w:val="fr-FR"/>
        </w:rPr>
      </w:pPr>
    </w:p>
    <w:p w14:paraId="5A4B1ADB" w14:textId="77777777" w:rsidR="00F46C7B" w:rsidRPr="00C73365" w:rsidRDefault="00F46C7B" w:rsidP="004572A0">
      <w:pPr>
        <w:pStyle w:val="Liste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14:paraId="0E521BD4" w14:textId="77777777" w:rsidR="00FC582F" w:rsidRPr="00C73365" w:rsidRDefault="00FC582F" w:rsidP="004572A0">
      <w:pPr>
        <w:pStyle w:val="Listecontinue2"/>
        <w:rPr>
          <w:rFonts w:asciiTheme="minorHAnsi" w:hAnsiTheme="minorHAnsi" w:cstheme="minorHAnsi"/>
          <w:lang w:val="fr-FR"/>
        </w:rPr>
      </w:pPr>
      <w:r w:rsidRPr="00C73365">
        <w:rPr>
          <w:rFonts w:asciiTheme="minorHAnsi" w:hAnsiTheme="minorHAnsi" w:cstheme="minorHAnsi"/>
          <w:lang w:val="fr-FR"/>
        </w:rPr>
        <w:t xml:space="preserve">Dans le cadre de ses programmes de recherche et développement, la Société utilise des matières dangereuses et des matériaux biologiques, des solvants et autres produits chimiques. En conséquence, la Société est soumise à des législations et des réglementations en matière d’environnement et de sécurité et protection des opérateurs régissant l’utilisation, le stockage, la manipulation, l’émission et la mise au rebut des matières dangereuses, y compris les produits chimiques et biologiques dont le détail figure au paragraphe 6.6.1 « Politique générale en matière d’environnement » ci-dessus. </w:t>
      </w:r>
    </w:p>
    <w:p w14:paraId="7F024670" w14:textId="77777777" w:rsidR="00FD503D" w:rsidRPr="00C73365" w:rsidRDefault="00EC12B4" w:rsidP="004572A0">
      <w:pPr>
        <w:pStyle w:val="Listecontinue2"/>
        <w:rPr>
          <w:rFonts w:asciiTheme="minorHAnsi" w:hAnsiTheme="minorHAnsi" w:cstheme="minorHAnsi"/>
          <w:lang w:val="fr-FR"/>
        </w:rPr>
      </w:pPr>
      <w:bookmarkStart w:id="347" w:name="_Toc462673248"/>
      <w:r w:rsidRPr="00C73365">
        <w:rPr>
          <w:rFonts w:asciiTheme="minorHAnsi" w:hAnsiTheme="minorHAnsi" w:cstheme="minorHAnsi"/>
          <w:lang w:val="fr-FR"/>
        </w:rPr>
        <w:t xml:space="preserve">Conformément à l’article L. 225-105-2 du Code de commerce, toutes les informations environnementales figurent dans le rapport de gestion contenu dans le </w:t>
      </w:r>
      <w:r w:rsidR="00C50FC3" w:rsidRPr="00C73365">
        <w:rPr>
          <w:rFonts w:asciiTheme="minorHAnsi" w:hAnsiTheme="minorHAnsi" w:cstheme="minorHAnsi"/>
          <w:lang w:val="fr-FR"/>
        </w:rPr>
        <w:t>document de référence enregistré le 11 mai 2017 sous le numéro</w:t>
      </w:r>
      <w:r w:rsidRPr="00C73365">
        <w:rPr>
          <w:rFonts w:asciiTheme="minorHAnsi" w:hAnsiTheme="minorHAnsi" w:cstheme="minorHAnsi"/>
          <w:lang w:val="fr-FR"/>
        </w:rPr>
        <w:t xml:space="preserve"> </w:t>
      </w:r>
      <w:r w:rsidR="00C50FC3" w:rsidRPr="00C73365">
        <w:rPr>
          <w:rFonts w:asciiTheme="minorHAnsi" w:hAnsiTheme="minorHAnsi" w:cstheme="minorHAnsi"/>
          <w:lang w:val="fr-FR"/>
        </w:rPr>
        <w:t xml:space="preserve">R.17-043 </w:t>
      </w:r>
      <w:r w:rsidRPr="00C73365">
        <w:rPr>
          <w:rFonts w:asciiTheme="minorHAnsi" w:hAnsiTheme="minorHAnsi" w:cstheme="minorHAnsi"/>
          <w:lang w:val="fr-FR"/>
        </w:rPr>
        <w:t xml:space="preserve">de la Société en pages </w:t>
      </w:r>
      <w:r w:rsidR="00C50FC3" w:rsidRPr="00C73365">
        <w:rPr>
          <w:rFonts w:asciiTheme="minorHAnsi" w:hAnsiTheme="minorHAnsi" w:cstheme="minorHAnsi"/>
          <w:lang w:val="fr-FR"/>
        </w:rPr>
        <w:t>251 à 252</w:t>
      </w:r>
      <w:r w:rsidRPr="00C73365">
        <w:rPr>
          <w:rFonts w:asciiTheme="minorHAnsi" w:hAnsiTheme="minorHAnsi" w:cstheme="minorHAnsi"/>
          <w:lang w:val="fr-FR"/>
        </w:rPr>
        <w:t xml:space="preserve">. Le rapport financier </w:t>
      </w:r>
      <w:r w:rsidR="00C50FC3" w:rsidRPr="00C73365">
        <w:rPr>
          <w:rFonts w:asciiTheme="minorHAnsi" w:hAnsiTheme="minorHAnsi" w:cstheme="minorHAnsi"/>
          <w:lang w:val="fr-FR"/>
        </w:rPr>
        <w:t xml:space="preserve">2016 </w:t>
      </w:r>
      <w:r w:rsidRPr="00C73365">
        <w:rPr>
          <w:rFonts w:asciiTheme="minorHAnsi" w:hAnsiTheme="minorHAnsi" w:cstheme="minorHAnsi"/>
          <w:lang w:val="fr-FR"/>
        </w:rPr>
        <w:t>ainsi que le rapport du commissaire aux comptes désigné tiers indépendant sont publiés sur le site internet de la Société dans l’onglet Assemblée Générale</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hyperlink r:id="rId43" w:history="1">
        <w:r w:rsidR="004572A0" w:rsidRPr="00C73365">
          <w:rPr>
            <w:rStyle w:val="Lienhypertexte"/>
            <w:rFonts w:asciiTheme="minorHAnsi" w:hAnsiTheme="minorHAnsi" w:cstheme="minorHAnsi"/>
            <w:szCs w:val="22"/>
            <w:lang w:val="fr-FR"/>
          </w:rPr>
          <w:t>http://www.ABIVAX.com/fr/investisseurs/assemblee-generale.html</w:t>
        </w:r>
      </w:hyperlink>
      <w:bookmarkStart w:id="348" w:name="_Toc478134744"/>
      <w:bookmarkStart w:id="349" w:name="_Toc478459551"/>
      <w:bookmarkStart w:id="350" w:name="_Toc478554757"/>
      <w:bookmarkStart w:id="351" w:name="_Toc478715742"/>
      <w:bookmarkStart w:id="352" w:name="_Toc478730327"/>
      <w:bookmarkStart w:id="353" w:name="_Toc478731119"/>
      <w:bookmarkEnd w:id="348"/>
      <w:bookmarkEnd w:id="349"/>
      <w:bookmarkEnd w:id="350"/>
      <w:bookmarkEnd w:id="351"/>
      <w:bookmarkEnd w:id="352"/>
      <w:bookmarkEnd w:id="353"/>
      <w:r w:rsidR="00A1434E" w:rsidRPr="00C73365">
        <w:rPr>
          <w:rFonts w:asciiTheme="minorHAnsi" w:hAnsiTheme="minorHAnsi" w:cstheme="minorHAnsi"/>
          <w:lang w:val="fr-FR"/>
        </w:rPr>
        <w:t xml:space="preserve"> </w:t>
      </w:r>
      <w:r w:rsidR="00FF2574" w:rsidRPr="00C73365">
        <w:rPr>
          <w:rFonts w:asciiTheme="minorHAnsi" w:hAnsiTheme="minorHAnsi" w:cstheme="minorHAnsi"/>
          <w:lang w:val="fr-FR"/>
        </w:rPr>
        <w:t xml:space="preserve">ainsi que dans le </w:t>
      </w:r>
      <w:r w:rsidR="00A1434E" w:rsidRPr="00C73365">
        <w:rPr>
          <w:rFonts w:asciiTheme="minorHAnsi" w:hAnsiTheme="minorHAnsi" w:cstheme="minorHAnsi"/>
          <w:lang w:val="fr-FR"/>
        </w:rPr>
        <w:t xml:space="preserve">chapitre 6.6 « Politique de la Société en matière de responsabilité environnementale, sociale et sociétale » </w:t>
      </w:r>
      <w:r w:rsidR="006A322F" w:rsidRPr="00C73365">
        <w:rPr>
          <w:rFonts w:asciiTheme="minorHAnsi" w:hAnsiTheme="minorHAnsi" w:cstheme="minorHAnsi"/>
          <w:lang w:val="fr-FR"/>
        </w:rPr>
        <w:t>du</w:t>
      </w:r>
      <w:r w:rsidR="00A1434E" w:rsidRPr="00C73365">
        <w:rPr>
          <w:rFonts w:asciiTheme="minorHAnsi" w:hAnsiTheme="minorHAnsi" w:cstheme="minorHAnsi"/>
          <w:lang w:val="fr-FR"/>
        </w:rPr>
        <w:t xml:space="preserve"> présent document de référence.</w:t>
      </w:r>
    </w:p>
    <w:p w14:paraId="15554042" w14:textId="77777777" w:rsidR="006A322F" w:rsidRPr="00C73365" w:rsidRDefault="006A322F" w:rsidP="004572A0">
      <w:pPr>
        <w:pStyle w:val="Listecontinue2"/>
        <w:rPr>
          <w:rFonts w:asciiTheme="minorHAnsi" w:hAnsiTheme="minorHAnsi" w:cstheme="minorHAnsi"/>
          <w:lang w:val="fr-FR"/>
        </w:rPr>
        <w:sectPr w:rsidR="006A322F" w:rsidRPr="00C73365" w:rsidSect="00167946">
          <w:type w:val="continuous"/>
          <w:pgSz w:w="11907" w:h="16840" w:code="9"/>
          <w:pgMar w:top="1134" w:right="1134" w:bottom="1134" w:left="1134" w:header="709" w:footer="709" w:gutter="0"/>
          <w:cols w:space="567"/>
          <w:docGrid w:linePitch="360"/>
        </w:sectPr>
      </w:pPr>
    </w:p>
    <w:p w14:paraId="028EEA57" w14:textId="77777777" w:rsidR="00F46C7B" w:rsidRPr="00C73365" w:rsidRDefault="00F46C7B" w:rsidP="007A1897">
      <w:pPr>
        <w:pStyle w:val="ConmainL1"/>
        <w:numPr>
          <w:ilvl w:val="0"/>
          <w:numId w:val="9"/>
        </w:numPr>
        <w:spacing w:after="120"/>
        <w:rPr>
          <w:rFonts w:asciiTheme="minorHAnsi" w:hAnsiTheme="minorHAnsi" w:cstheme="minorHAnsi"/>
          <w:lang w:val="fr-FR"/>
        </w:rPr>
      </w:pPr>
      <w:bookmarkStart w:id="354" w:name="_Toc467835594"/>
      <w:bookmarkStart w:id="355" w:name="_Toc510548421"/>
      <w:r w:rsidRPr="00C73365">
        <w:rPr>
          <w:rFonts w:asciiTheme="minorHAnsi" w:hAnsiTheme="minorHAnsi" w:cstheme="minorHAnsi"/>
          <w:lang w:val="fr-FR"/>
        </w:rPr>
        <w:lastRenderedPageBreak/>
        <w:t>EXAMEN DU RESULTAT ET DE LA SITUATION FINANCIERE</w:t>
      </w:r>
      <w:bookmarkEnd w:id="347"/>
      <w:bookmarkEnd w:id="354"/>
      <w:bookmarkEnd w:id="355"/>
    </w:p>
    <w:p w14:paraId="3FC0AE39" w14:textId="77777777" w:rsidR="00F77970" w:rsidRPr="00C73365" w:rsidRDefault="00027F81" w:rsidP="00A96CCA">
      <w:pPr>
        <w:pStyle w:val="ConmainL2"/>
        <w:numPr>
          <w:ilvl w:val="1"/>
          <w:numId w:val="9"/>
        </w:numPr>
        <w:spacing w:after="120"/>
        <w:rPr>
          <w:rFonts w:asciiTheme="minorHAnsi" w:hAnsiTheme="minorHAnsi" w:cstheme="minorHAnsi"/>
          <w:sz w:val="22"/>
          <w:szCs w:val="22"/>
          <w:lang w:val="fr-FR"/>
        </w:rPr>
      </w:pPr>
      <w:bookmarkStart w:id="356" w:name="_Toc510548422"/>
      <w:bookmarkStart w:id="357" w:name="_Toc462673250"/>
      <w:bookmarkStart w:id="358" w:name="_Toc467835596"/>
      <w:r w:rsidRPr="00C73365">
        <w:rPr>
          <w:rFonts w:asciiTheme="minorHAnsi" w:hAnsiTheme="minorHAnsi" w:cstheme="minorHAnsi"/>
          <w:sz w:val="22"/>
          <w:szCs w:val="22"/>
          <w:lang w:val="fr-FR"/>
        </w:rPr>
        <w:t>Présentation g</w:t>
      </w:r>
      <w:r w:rsidR="00CF2C35" w:rsidRPr="00C73365">
        <w:rPr>
          <w:rFonts w:asciiTheme="minorHAnsi" w:hAnsiTheme="minorHAnsi" w:cstheme="minorHAnsi"/>
          <w:sz w:val="22"/>
          <w:szCs w:val="22"/>
          <w:lang w:val="fr-FR"/>
        </w:rPr>
        <w:t>énérale</w:t>
      </w:r>
      <w:bookmarkEnd w:id="356"/>
    </w:p>
    <w:p w14:paraId="5DE89766" w14:textId="77777777" w:rsidR="00F77970" w:rsidRPr="00C73365" w:rsidRDefault="00EF089C" w:rsidP="00C73365">
      <w:pPr>
        <w:pStyle w:val="Listecontinue2"/>
        <w:ind w:left="0"/>
        <w:rPr>
          <w:rFonts w:asciiTheme="minorHAnsi" w:hAnsiTheme="minorHAnsi" w:cstheme="minorHAnsi"/>
          <w:lang w:val="fr-FR"/>
        </w:rPr>
      </w:pP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est une société innovante de biotechnologie qui cible le système immunitaire pour éliminer les maladies virales, les maladies inflammatoires et le cancer.</w:t>
      </w:r>
    </w:p>
    <w:p w14:paraId="3F051AF7" w14:textId="77777777" w:rsidR="00F77970" w:rsidRPr="00C73365" w:rsidRDefault="00F77970" w:rsidP="00C73365">
      <w:pPr>
        <w:pStyle w:val="Listecontinue2"/>
        <w:ind w:left="0"/>
        <w:rPr>
          <w:rFonts w:asciiTheme="minorHAnsi" w:hAnsiTheme="minorHAnsi" w:cstheme="minorHAnsi"/>
          <w:lang w:val="fr-FR"/>
        </w:rPr>
      </w:pPr>
      <w:r w:rsidRPr="00C73365">
        <w:rPr>
          <w:rFonts w:asciiTheme="minorHAnsi" w:hAnsiTheme="minorHAnsi" w:cstheme="minorHAnsi"/>
          <w:lang w:val="fr-FR"/>
        </w:rPr>
        <w:t xml:space="preserve">Les produits antiviraux et les immunothérapies que développe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issus de trois plateformes technologiques propriétaires :</w:t>
      </w:r>
    </w:p>
    <w:p w14:paraId="41E859AF" w14:textId="77777777" w:rsidR="00F77970" w:rsidRPr="00C73365" w:rsidRDefault="00F77970" w:rsidP="00434C49">
      <w:pPr>
        <w:pStyle w:val="Liste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Appelnotedebasdep"/>
          <w:rFonts w:asciiTheme="minorHAnsi" w:hAnsiTheme="minorHAnsi" w:cstheme="minorHAnsi"/>
          <w:b/>
          <w:color w:val="7030A0"/>
        </w:rPr>
        <w:footnoteReference w:id="15"/>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des technologies mises au point conjointement avec le CNRS (Montpellier-France) et l</w:t>
      </w:r>
      <w:r w:rsidR="004572A0" w:rsidRPr="00C73365">
        <w:rPr>
          <w:rFonts w:asciiTheme="minorHAnsi" w:hAnsiTheme="minorHAnsi" w:cstheme="minorHAnsi"/>
          <w:lang w:val="fr-FR"/>
        </w:rPr>
        <w:t>’</w:t>
      </w:r>
      <w:r w:rsidRPr="00C73365">
        <w:rPr>
          <w:rFonts w:asciiTheme="minorHAnsi" w:hAnsiTheme="minorHAnsi" w:cstheme="minorHAnsi"/>
          <w:lang w:val="fr-FR"/>
        </w:rPr>
        <w:t>Institut Curie (Orsay-France). Cette plateforme a généré une chimiothèque de plus de 1 200 petites molécules conçues pour bloquer les mécanismes de reproduction des virus grâce à des modes d</w:t>
      </w:r>
      <w:r w:rsidR="004572A0" w:rsidRPr="00C73365">
        <w:rPr>
          <w:rFonts w:asciiTheme="minorHAnsi" w:hAnsiTheme="minorHAnsi" w:cstheme="minorHAnsi"/>
          <w:lang w:val="fr-FR"/>
        </w:rPr>
        <w:t>’</w:t>
      </w:r>
      <w:r w:rsidRPr="00C73365">
        <w:rPr>
          <w:rFonts w:asciiTheme="minorHAnsi" w:hAnsiTheme="minorHAnsi" w:cstheme="minorHAnsi"/>
          <w:lang w:val="fr-FR"/>
        </w:rPr>
        <w:t>action nouveaux, ciblant la biogénèse des ARN. En plus d</w:t>
      </w:r>
      <w:r w:rsidR="004572A0" w:rsidRPr="00C73365">
        <w:rPr>
          <w:rFonts w:asciiTheme="minorHAnsi" w:hAnsiTheme="minorHAnsi" w:cstheme="minorHAnsi"/>
          <w:lang w:val="fr-FR"/>
        </w:rPr>
        <w:t>’</w:t>
      </w:r>
      <w:r w:rsidRPr="00C73365">
        <w:rPr>
          <w:rFonts w:asciiTheme="minorHAnsi" w:hAnsiTheme="minorHAnsi" w:cstheme="minorHAnsi"/>
          <w:lang w:val="fr-FR"/>
        </w:rPr>
        <w:t>ABX464, cette plateforme a généré différentes molécules ciblant d’autres virus comme le Chikungunya, le Virus Respiratoire Syncitial ou la Dengue avec des premières molécules actives identifiées.</w:t>
      </w:r>
    </w:p>
    <w:p w14:paraId="09C57441" w14:textId="77777777" w:rsidR="00F77970" w:rsidRPr="00C73365" w:rsidRDefault="00F77970" w:rsidP="00434C49">
      <w:pPr>
        <w:pStyle w:val="Liste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16"/>
      </w:r>
      <w:r w:rsidRPr="00C73365">
        <w:rPr>
          <w:rFonts w:asciiTheme="minorHAnsi" w:hAnsiTheme="minorHAnsi" w:cstheme="minorHAnsi"/>
          <w:b/>
          <w:color w:val="7030A0"/>
          <w:lang w:val="fr-FR"/>
        </w:rPr>
        <w:t xml:space="preserve"> </w:t>
      </w:r>
      <w:r w:rsidRPr="00C73365">
        <w:rPr>
          <w:rFonts w:asciiTheme="minorHAnsi" w:hAnsiTheme="minorHAnsi" w:cstheme="minorHAnsi"/>
          <w:lang w:val="fr-FR"/>
        </w:rPr>
        <w:t>fondée sur une propriété intellectuelle licenciée auprès du Scripps Research Institute (La Jolla, Etats-Unis). Celle-ci 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intéresse à des composés agonistes des « iNKT » qui peuvent stimuler la réponse immunitaire au niveau humoral et cellulaire, et qui ont potentiellement des applications cliniques en oncologie et dans le domaine des maladies infectieuses. Le produit cible ABX196 a déjà démontré son innocuité dans une étude de Phase 1 sur des volontaires sains. Dans un développement préclinique récent, ABX196 a démontré sa capacité à faire évoluer les tumeurs non répondantes au traitement par </w:t>
      </w:r>
      <w:r w:rsidR="004572A0" w:rsidRPr="00C73365">
        <w:rPr>
          <w:rFonts w:asciiTheme="minorHAnsi" w:hAnsiTheme="minorHAnsi" w:cstheme="minorHAnsi"/>
          <w:lang w:val="fr-FR"/>
        </w:rPr>
        <w:t>‘</w:t>
      </w:r>
      <w:r w:rsidRPr="00C73365">
        <w:rPr>
          <w:rFonts w:asciiTheme="minorHAnsi" w:hAnsiTheme="minorHAnsi" w:cstheme="minorHAnsi"/>
          <w:lang w:val="fr-FR"/>
        </w:rPr>
        <w:t>checkpoint inhibitors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 en tumeurs répondantes.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Pr="00C73365">
        <w:rPr>
          <w:rFonts w:asciiTheme="minorHAnsi" w:hAnsiTheme="minorHAnsi" w:cstheme="minorHAnsi"/>
          <w:lang w:val="fr-FR"/>
        </w:rPr>
        <w:t>ayant pas vocation stratégique à devenir une société présente en immuno-oncologie, vise à développer cette molécule avec le support d’un partenaire externe, dès lors que les premiers résultats cliniques d’efficacité auront été obtenus dans l’hépatocarcinome avancé.</w:t>
      </w:r>
    </w:p>
    <w:p w14:paraId="7709A7BE" w14:textId="77777777" w:rsidR="00F77970" w:rsidRPr="00C73365" w:rsidRDefault="00F77970" w:rsidP="00434C49">
      <w:pPr>
        <w:pStyle w:val="Liste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Appelnotedebasdep"/>
          <w:rFonts w:asciiTheme="minorHAnsi" w:hAnsiTheme="minorHAnsi" w:cstheme="minorHAnsi"/>
          <w:b/>
          <w:color w:val="7030A0"/>
        </w:rPr>
        <w:footnoteReference w:id="17"/>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la génération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anticorps neutralisants afin de traiter et prévenir les infections dues au virus Ebola. La molécule ABX544, produit cible, est un cours de développement préclinique. </w:t>
      </w:r>
    </w:p>
    <w:p w14:paraId="487524D3" w14:textId="77777777" w:rsidR="00F77970"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mène ses activités de R&amp;D principalement à Montpellier et possède son siège à Paris. Elle compte environ 25 collaborateurs sur les deux sites. L</w:t>
      </w:r>
      <w:r w:rsidR="004572A0" w:rsidRPr="00C73365">
        <w:rPr>
          <w:rFonts w:asciiTheme="minorHAnsi" w:hAnsiTheme="minorHAnsi" w:cstheme="minorHAnsi"/>
          <w:lang w:val="fr-FR"/>
        </w:rPr>
        <w:t>’</w:t>
      </w:r>
      <w:r w:rsidR="00F77970" w:rsidRPr="00C73365">
        <w:rPr>
          <w:rFonts w:asciiTheme="minorHAnsi" w:hAnsiTheme="minorHAnsi" w:cstheme="minorHAnsi"/>
          <w:lang w:val="fr-FR"/>
        </w:rPr>
        <w:t>équipe dirigeante d</w:t>
      </w:r>
      <w:r w:rsidR="004572A0" w:rsidRPr="00C73365">
        <w:rPr>
          <w:rFonts w:asciiTheme="minorHAnsi" w:hAnsiTheme="minorHAnsi" w:cstheme="minorHAnsi"/>
          <w:lang w:val="fr-FR"/>
        </w:rPr>
        <w:t>’</w:t>
      </w: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bénéficie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une grande expérience dans le développement et la commercialisation de produits biopharmaceutiques sur les maladies infectieuses et les antiviraux. La Société dispose en outre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 comité scientifique de renommée internationale, composé d’experts ainsi que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 xml:space="preserve">administration constitué de membres avec une solide expérience acquise au sein de grands laboratoires pharmaceutiques et de fabricants internationaux de vaccins. </w:t>
      </w:r>
    </w:p>
    <w:p w14:paraId="511295C8" w14:textId="77777777" w:rsidR="00776BB9" w:rsidRPr="00C73365" w:rsidRDefault="00776BB9" w:rsidP="007A1897">
      <w:pPr>
        <w:pStyle w:val="ConmainL2"/>
        <w:numPr>
          <w:ilvl w:val="1"/>
          <w:numId w:val="9"/>
        </w:numPr>
        <w:spacing w:after="120"/>
        <w:rPr>
          <w:rFonts w:asciiTheme="minorHAnsi" w:hAnsiTheme="minorHAnsi" w:cstheme="minorHAnsi"/>
          <w:sz w:val="22"/>
          <w:szCs w:val="22"/>
          <w:lang w:val="fr-FR"/>
        </w:rPr>
      </w:pPr>
      <w:bookmarkStart w:id="359" w:name="_Toc510548423"/>
      <w:r w:rsidRPr="00C73365">
        <w:rPr>
          <w:rFonts w:asciiTheme="minorHAnsi" w:hAnsiTheme="minorHAnsi" w:cstheme="minorHAnsi"/>
          <w:sz w:val="22"/>
          <w:szCs w:val="22"/>
          <w:lang w:val="fr-FR"/>
        </w:rPr>
        <w:t xml:space="preserve">Examen de la situation financière au 31 Décembre </w:t>
      </w:r>
      <w:bookmarkEnd w:id="357"/>
      <w:bookmarkEnd w:id="358"/>
      <w:r w:rsidRPr="00C73365">
        <w:rPr>
          <w:rFonts w:asciiTheme="minorHAnsi" w:hAnsiTheme="minorHAnsi" w:cstheme="minorHAnsi"/>
          <w:sz w:val="22"/>
          <w:szCs w:val="22"/>
          <w:lang w:val="fr-FR"/>
        </w:rPr>
        <w:t>2017</w:t>
      </w:r>
      <w:bookmarkEnd w:id="359"/>
    </w:p>
    <w:p w14:paraId="5108FF68" w14:textId="77777777" w:rsidR="00776BB9" w:rsidRPr="00C73365" w:rsidRDefault="00776BB9" w:rsidP="004572A0">
      <w:pPr>
        <w:pStyle w:val="Listecontinue"/>
        <w:rPr>
          <w:rFonts w:asciiTheme="minorHAnsi" w:hAnsiTheme="minorHAnsi" w:cstheme="minorHAnsi"/>
          <w:lang w:val="fr-FR"/>
        </w:rPr>
        <w:sectPr w:rsidR="00776BB9" w:rsidRPr="00C73365" w:rsidSect="00776BB9">
          <w:pgSz w:w="11907" w:h="16840" w:code="9"/>
          <w:pgMar w:top="1134" w:right="1134" w:bottom="1134" w:left="1134" w:header="709" w:footer="709" w:gutter="0"/>
          <w:cols w:space="567"/>
          <w:docGrid w:linePitch="360"/>
        </w:sectPr>
      </w:pPr>
    </w:p>
    <w:p w14:paraId="613B2C3E" w14:textId="77777777" w:rsidR="00776BB9" w:rsidRPr="00C73365" w:rsidRDefault="00776BB9" w:rsidP="004572A0">
      <w:pPr>
        <w:pStyle w:val="Listecontinue"/>
        <w:rPr>
          <w:rFonts w:asciiTheme="minorHAnsi" w:hAnsiTheme="minorHAnsi" w:cstheme="minorHAnsi"/>
          <w:b/>
          <w:lang w:val="fr-FR"/>
        </w:rPr>
      </w:pPr>
      <w:r w:rsidRPr="00C73365">
        <w:rPr>
          <w:rFonts w:asciiTheme="minorHAnsi" w:hAnsiTheme="minorHAnsi" w:cstheme="minorHAnsi"/>
          <w:b/>
          <w:lang w:val="fr-FR"/>
        </w:rPr>
        <w:t>ANALYSE DE LA SITUATION FINANCIERE</w:t>
      </w:r>
    </w:p>
    <w:p w14:paraId="361D4334" w14:textId="77777777" w:rsidR="00776BB9" w:rsidRPr="00C73365" w:rsidRDefault="00776BB9" w:rsidP="004572A0">
      <w:pPr>
        <w:pStyle w:val="Liste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a été créée sous forme de Société Anonyme le 6 Décembre 2013 et a intégré en 2014 par voie de transmission universelle de patrimoine les sociétés Splicos, Wittycell et Zophis.</w:t>
      </w:r>
    </w:p>
    <w:p w14:paraId="1BA80553" w14:textId="77777777" w:rsidR="00776BB9" w:rsidRPr="00C73365" w:rsidRDefault="00776BB9" w:rsidP="004572A0">
      <w:pPr>
        <w:pStyle w:val="Liste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Depuis le 26 Juin 2015, la Société est cotée sur le compartiment C d’Euronext à Paris. </w:t>
      </w:r>
    </w:p>
    <w:p w14:paraId="17E0F60E" w14:textId="77777777" w:rsidR="00776BB9" w:rsidRPr="00C73365" w:rsidRDefault="00776BB9" w:rsidP="004572A0">
      <w:pPr>
        <w:pStyle w:val="Liste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Elle n’a pas de filiale et n’est pas soumise de ce fait à l’obligation de présenter des comptes consolidés en normes IFRS. Ses comptes annuels sont donc élaborés en conformité avec les normes et principes de la comptabilité française.</w:t>
      </w:r>
    </w:p>
    <w:p w14:paraId="2C4C33B4" w14:textId="77777777" w:rsidR="00776BB9" w:rsidRPr="00C73365" w:rsidRDefault="00776BB9" w:rsidP="004572A0">
      <w:pPr>
        <w:pStyle w:val="Listecontinue"/>
        <w:rPr>
          <w:rFonts w:asciiTheme="minorHAnsi" w:hAnsiTheme="minorHAnsi" w:cstheme="minorHAnsi"/>
          <w:b/>
          <w:lang w:val="fr-FR"/>
        </w:rPr>
      </w:pPr>
      <w:r w:rsidRPr="00C73365">
        <w:rPr>
          <w:rFonts w:asciiTheme="minorHAnsi" w:hAnsiTheme="minorHAnsi" w:cstheme="minorHAnsi"/>
          <w:b/>
          <w:lang w:val="fr-FR"/>
        </w:rPr>
        <w:t>EXPOSE SUR LES RESULTATS AU 31/12/2017</w:t>
      </w:r>
    </w:p>
    <w:p w14:paraId="02685836" w14:textId="77777777" w:rsidR="00776BB9" w:rsidRPr="00C73365" w:rsidRDefault="00776BB9" w:rsidP="004572A0">
      <w:pPr>
        <w:pStyle w:val="Listecontinue"/>
        <w:rPr>
          <w:rFonts w:asciiTheme="minorHAnsi" w:hAnsiTheme="minorHAnsi" w:cstheme="minorHAnsi"/>
          <w:b/>
          <w:lang w:val="fr-FR"/>
        </w:rPr>
      </w:pPr>
      <w:r w:rsidRPr="00C73365">
        <w:rPr>
          <w:rFonts w:asciiTheme="minorHAnsi" w:hAnsiTheme="minorHAnsi" w:cstheme="minorHAnsi"/>
          <w:lang w:val="fr-FR"/>
        </w:rPr>
        <w:t>Les états financiers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 31 Décembre 2017 reflètent essentiellement :</w:t>
      </w:r>
    </w:p>
    <w:p w14:paraId="780CBE98" w14:textId="77777777" w:rsidR="00776BB9" w:rsidRPr="00C73365" w:rsidRDefault="00776BB9" w:rsidP="00434C49">
      <w:pPr>
        <w:pStyle w:val="Paragraphedeliste"/>
        <w:numPr>
          <w:ilvl w:val="0"/>
          <w:numId w:val="72"/>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La prépondérance des charges de R&amp;D</w:t>
      </w:r>
    </w:p>
    <w:p w14:paraId="1BF8C928"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L’importance des charges d’exploitation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le reflet d’une activité de recherche et développement intense sur la partie clinique et sur la partie pré clinique. </w:t>
      </w:r>
    </w:p>
    <w:p w14:paraId="3249B85B"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Les charges de R&amp;D représentent la grande majorité des charges </w:t>
      </w:r>
      <w:r w:rsidR="00226DD9" w:rsidRPr="00C73365">
        <w:rPr>
          <w:rFonts w:asciiTheme="minorHAnsi" w:hAnsiTheme="minorHAnsi" w:cstheme="minorHAnsi"/>
          <w:lang w:val="fr-FR"/>
        </w:rPr>
        <w:t>d’exploitation :</w:t>
      </w:r>
      <w:r w:rsidRPr="00C73365">
        <w:rPr>
          <w:rFonts w:asciiTheme="minorHAnsi" w:hAnsiTheme="minorHAnsi" w:cstheme="minorHAnsi"/>
          <w:lang w:val="fr-FR"/>
        </w:rPr>
        <w:t xml:space="preserve"> </w:t>
      </w:r>
      <w:r w:rsidR="00226DD9" w:rsidRPr="00C73365">
        <w:rPr>
          <w:rFonts w:asciiTheme="minorHAnsi" w:hAnsiTheme="minorHAnsi" w:cstheme="minorHAnsi"/>
          <w:lang w:val="fr-FR"/>
        </w:rPr>
        <w:t>75</w:t>
      </w:r>
      <w:r w:rsidRPr="00C73365">
        <w:rPr>
          <w:rFonts w:asciiTheme="minorHAnsi" w:hAnsiTheme="minorHAnsi" w:cstheme="minorHAnsi"/>
          <w:lang w:val="fr-FR"/>
        </w:rPr>
        <w:t>% du total des charges vs 8</w:t>
      </w:r>
      <w:r w:rsidR="00226DD9" w:rsidRPr="00C73365">
        <w:rPr>
          <w:rFonts w:asciiTheme="minorHAnsi" w:hAnsiTheme="minorHAnsi" w:cstheme="minorHAnsi"/>
          <w:lang w:val="fr-FR"/>
        </w:rPr>
        <w:t>4</w:t>
      </w:r>
      <w:r w:rsidRPr="00C73365">
        <w:rPr>
          <w:rFonts w:asciiTheme="minorHAnsi" w:hAnsiTheme="minorHAnsi" w:cstheme="minorHAnsi"/>
          <w:lang w:val="fr-FR"/>
        </w:rPr>
        <w:t>% sur l’année 201</w:t>
      </w:r>
      <w:r w:rsidR="00226DD9" w:rsidRPr="00C73365">
        <w:rPr>
          <w:rFonts w:asciiTheme="minorHAnsi" w:hAnsiTheme="minorHAnsi" w:cstheme="minorHAnsi"/>
          <w:lang w:val="fr-FR"/>
        </w:rPr>
        <w:t>6</w:t>
      </w:r>
      <w:r w:rsidRPr="00C73365">
        <w:rPr>
          <w:rFonts w:asciiTheme="minorHAnsi" w:hAnsiTheme="minorHAnsi" w:cstheme="minorHAnsi"/>
          <w:lang w:val="fr-FR"/>
        </w:rPr>
        <w:t>.</w:t>
      </w:r>
      <w:r w:rsidR="005D5BB7" w:rsidRPr="00C73365">
        <w:rPr>
          <w:rFonts w:asciiTheme="minorHAnsi" w:hAnsiTheme="minorHAnsi" w:cstheme="minorHAnsi"/>
          <w:lang w:val="fr-FR"/>
        </w:rPr>
        <w:t xml:space="preserve"> Cette baisse retrace l’arrêt du développement de l’ABX203 </w:t>
      </w:r>
      <w:r w:rsidR="00A35783" w:rsidRPr="00C73365">
        <w:rPr>
          <w:rFonts w:asciiTheme="minorHAnsi" w:hAnsiTheme="minorHAnsi" w:cstheme="minorHAnsi"/>
          <w:lang w:val="fr-FR"/>
        </w:rPr>
        <w:t xml:space="preserve">(Hépatite B) </w:t>
      </w:r>
      <w:r w:rsidR="005D5BB7" w:rsidRPr="00C73365">
        <w:rPr>
          <w:rFonts w:asciiTheme="minorHAnsi" w:hAnsiTheme="minorHAnsi" w:cstheme="minorHAnsi"/>
          <w:lang w:val="fr-FR"/>
        </w:rPr>
        <w:t xml:space="preserve">fin 2016. L’étude clinique de phase III portant sur l’ABX203 a engendré près de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5 millions d’euros ce coûts en 2016 qui n’ont pas été reproduits en 2017.</w:t>
      </w:r>
    </w:p>
    <w:p w14:paraId="51325712"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maintient sa politique stricte en matière de charges administratives tout en poursuivant activement ses programmes de recherche prioritaires et l’initiation de ses projets de R&amp;D émergents. </w:t>
      </w:r>
    </w:p>
    <w:p w14:paraId="1343297B" w14:textId="77777777" w:rsidR="005D5BB7"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Ces charges opérationnelles concernent majoritairement des travaux de R&amp;D sous-traités à des prestataires privés ou confiés à des organismes publics de recherche, notamment pour les essais cliniques internationaux d’ABX464, ainsi que les coûts liés au fonctionnement de ses plateformes technologiques.</w:t>
      </w:r>
      <w:r w:rsidR="003F09F3" w:rsidRPr="00C73365">
        <w:rPr>
          <w:rFonts w:asciiTheme="minorHAnsi" w:hAnsiTheme="minorHAnsi" w:cstheme="minorHAnsi"/>
          <w:lang w:val="fr-FR"/>
        </w:rPr>
        <w:t xml:space="preserve"> </w:t>
      </w:r>
      <w:r w:rsidR="005D5BB7" w:rsidRPr="00C73365">
        <w:rPr>
          <w:rFonts w:asciiTheme="minorHAnsi" w:hAnsiTheme="minorHAnsi" w:cstheme="minorHAnsi"/>
          <w:lang w:val="fr-FR"/>
        </w:rPr>
        <w:t>En 2017, les dépenses de R&amp;D s’élevaient</w:t>
      </w:r>
      <w:r w:rsidR="003F09F3" w:rsidRPr="00C73365">
        <w:rPr>
          <w:rFonts w:asciiTheme="minorHAnsi" w:hAnsiTheme="minorHAnsi" w:cstheme="minorHAnsi"/>
          <w:lang w:val="fr-FR"/>
        </w:rPr>
        <w:t xml:space="preserve"> ainsi</w:t>
      </w:r>
      <w:r w:rsidR="005D5BB7" w:rsidRPr="00C73365">
        <w:rPr>
          <w:rFonts w:asciiTheme="minorHAnsi" w:hAnsiTheme="minorHAnsi" w:cstheme="minorHAnsi"/>
          <w:lang w:val="fr-FR"/>
        </w:rPr>
        <w:t xml:space="preserve"> à </w:t>
      </w:r>
      <w:r w:rsidR="001306B6" w:rsidRPr="00C73365">
        <w:rPr>
          <w:rFonts w:asciiTheme="minorHAnsi" w:hAnsiTheme="minorHAnsi" w:cstheme="minorHAnsi"/>
          <w:lang w:val="fr-FR"/>
        </w:rPr>
        <w:t>-</w:t>
      </w:r>
      <w:r w:rsidR="005D5BB7" w:rsidRPr="00C73365">
        <w:rPr>
          <w:rFonts w:asciiTheme="minorHAnsi" w:hAnsiTheme="minorHAnsi" w:cstheme="minorHAnsi"/>
          <w:lang w:val="fr-FR"/>
        </w:rPr>
        <w:t xml:space="preserve">10,8 millions d’euros, investissements majoritairement ciblés sur l’ABX464, le principal composé chimique </w:t>
      </w:r>
      <w:r w:rsidR="00EF089C" w:rsidRPr="00C73365">
        <w:rPr>
          <w:rFonts w:asciiTheme="minorHAnsi" w:hAnsiTheme="minorHAnsi" w:cstheme="minorHAnsi"/>
          <w:lang w:val="fr-FR"/>
        </w:rPr>
        <w:t>ABIVAX</w:t>
      </w:r>
      <w:r w:rsidR="005D5BB7" w:rsidRPr="00C73365">
        <w:rPr>
          <w:rFonts w:asciiTheme="minorHAnsi" w:hAnsiTheme="minorHAnsi" w:cstheme="minorHAnsi"/>
          <w:lang w:val="fr-FR"/>
        </w:rPr>
        <w:t xml:space="preserve">, pour un montant de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6,2 millions d’euros</w:t>
      </w:r>
      <w:r w:rsidR="003F09F3" w:rsidRPr="00C73365">
        <w:rPr>
          <w:rFonts w:asciiTheme="minorHAnsi" w:hAnsiTheme="minorHAnsi" w:cstheme="minorHAnsi"/>
          <w:lang w:val="fr-FR"/>
        </w:rPr>
        <w:t xml:space="preserve"> puis sur le</w:t>
      </w:r>
      <w:r w:rsidR="005D5BB7" w:rsidRPr="00C73365">
        <w:rPr>
          <w:rFonts w:asciiTheme="minorHAnsi" w:hAnsiTheme="minorHAnsi" w:cstheme="minorHAnsi"/>
          <w:lang w:val="fr-FR"/>
        </w:rPr>
        <w:t xml:space="preserve"> développement</w:t>
      </w:r>
      <w:r w:rsidR="003F09F3" w:rsidRPr="00C73365">
        <w:rPr>
          <w:rFonts w:asciiTheme="minorHAnsi" w:hAnsiTheme="minorHAnsi" w:cstheme="minorHAnsi"/>
          <w:lang w:val="fr-FR"/>
        </w:rPr>
        <w:t xml:space="preserve"> notamment de l’ABX196 (Cancer) et de l’ABX544 (Ebola) </w:t>
      </w:r>
      <w:r w:rsidR="005D5BB7" w:rsidRPr="00C73365">
        <w:rPr>
          <w:rFonts w:asciiTheme="minorHAnsi" w:hAnsiTheme="minorHAnsi" w:cstheme="minorHAnsi"/>
          <w:lang w:val="fr-FR"/>
        </w:rPr>
        <w:t xml:space="preserve">et </w:t>
      </w:r>
      <w:r w:rsidR="003F09F3" w:rsidRPr="00C73365">
        <w:rPr>
          <w:rFonts w:asciiTheme="minorHAnsi" w:hAnsiTheme="minorHAnsi" w:cstheme="minorHAnsi"/>
          <w:lang w:val="fr-FR"/>
        </w:rPr>
        <w:t xml:space="preserve">enfin sur la phase de </w:t>
      </w:r>
      <w:r w:rsidR="005D5BB7" w:rsidRPr="00C73365">
        <w:rPr>
          <w:rFonts w:asciiTheme="minorHAnsi" w:hAnsiTheme="minorHAnsi" w:cstheme="minorHAnsi"/>
          <w:lang w:val="fr-FR"/>
        </w:rPr>
        <w:t>recherche.</w:t>
      </w:r>
    </w:p>
    <w:p w14:paraId="129B024B"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La perte opérationnelle s’élève au 31 Décembre 201</w:t>
      </w:r>
      <w:r w:rsidR="00226DD9" w:rsidRPr="00C73365">
        <w:rPr>
          <w:rFonts w:asciiTheme="minorHAnsi" w:hAnsiTheme="minorHAnsi" w:cstheme="minorHAnsi"/>
          <w:lang w:val="fr-FR"/>
        </w:rPr>
        <w:t>7</w:t>
      </w:r>
      <w:r w:rsidRPr="00C73365">
        <w:rPr>
          <w:rFonts w:asciiTheme="minorHAnsi" w:hAnsiTheme="minorHAnsi" w:cstheme="minorHAnsi"/>
          <w:lang w:val="fr-FR"/>
        </w:rPr>
        <w:t xml:space="preserve"> à </w:t>
      </w:r>
      <w:r w:rsidR="001306B6" w:rsidRPr="00C73365">
        <w:rPr>
          <w:rFonts w:asciiTheme="minorHAnsi" w:hAnsiTheme="minorHAnsi" w:cstheme="minorHAnsi"/>
          <w:lang w:val="fr-FR"/>
        </w:rPr>
        <w:t>-</w:t>
      </w:r>
      <w:r w:rsidRPr="00C73365">
        <w:rPr>
          <w:rFonts w:asciiTheme="minorHAnsi" w:hAnsiTheme="minorHAnsi" w:cstheme="minorHAnsi"/>
          <w:lang w:val="fr-FR"/>
        </w:rPr>
        <w:t>1</w:t>
      </w:r>
      <w:r w:rsidR="00226DD9" w:rsidRPr="00C73365">
        <w:rPr>
          <w:rFonts w:asciiTheme="minorHAnsi" w:hAnsiTheme="minorHAnsi" w:cstheme="minorHAnsi"/>
          <w:lang w:val="fr-FR"/>
        </w:rPr>
        <w:t>4 150</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1306B6" w:rsidRPr="00C73365">
        <w:rPr>
          <w:rFonts w:asciiTheme="minorHAnsi" w:hAnsiTheme="minorHAnsi" w:cstheme="minorHAnsi"/>
          <w:lang w:val="fr-FR"/>
        </w:rPr>
        <w:t>-</w:t>
      </w:r>
      <w:r w:rsidRPr="00C73365">
        <w:rPr>
          <w:rFonts w:asciiTheme="minorHAnsi" w:hAnsiTheme="minorHAnsi" w:cstheme="minorHAnsi"/>
          <w:lang w:val="fr-FR"/>
        </w:rPr>
        <w:t>18 2</w:t>
      </w:r>
      <w:r w:rsidR="00226DD9" w:rsidRPr="00C73365">
        <w:rPr>
          <w:rFonts w:asciiTheme="minorHAnsi" w:hAnsiTheme="minorHAnsi" w:cstheme="minorHAnsi"/>
          <w:lang w:val="fr-FR"/>
        </w:rPr>
        <w:t>36</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226DD9" w:rsidRPr="00C73365">
        <w:rPr>
          <w:rFonts w:asciiTheme="minorHAnsi" w:hAnsiTheme="minorHAnsi" w:cstheme="minorHAnsi"/>
          <w:lang w:val="fr-FR"/>
        </w:rPr>
        <w:t>6</w:t>
      </w:r>
      <w:r w:rsidRPr="00C73365">
        <w:rPr>
          <w:rFonts w:asciiTheme="minorHAnsi" w:hAnsiTheme="minorHAnsi" w:cstheme="minorHAnsi"/>
          <w:lang w:val="fr-FR"/>
        </w:rPr>
        <w:t xml:space="preserve">. </w:t>
      </w:r>
    </w:p>
    <w:p w14:paraId="5FB3A9F9"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Le crédit d’impôt recherche constaté à l’actif à fin Décembre 201</w:t>
      </w:r>
      <w:r w:rsidR="00226DD9" w:rsidRPr="00C73365">
        <w:rPr>
          <w:rFonts w:asciiTheme="minorHAnsi" w:hAnsiTheme="minorHAnsi" w:cstheme="minorHAnsi"/>
          <w:lang w:val="fr-FR"/>
        </w:rPr>
        <w:t>7</w:t>
      </w:r>
      <w:r w:rsidRPr="00C73365">
        <w:rPr>
          <w:rFonts w:asciiTheme="minorHAnsi" w:hAnsiTheme="minorHAnsi" w:cstheme="minorHAnsi"/>
          <w:lang w:val="fr-FR"/>
        </w:rPr>
        <w:t xml:space="preserve"> s’élève </w:t>
      </w:r>
      <w:r w:rsidR="005D5BB7" w:rsidRPr="00C73365">
        <w:rPr>
          <w:rFonts w:asciiTheme="minorHAnsi" w:hAnsiTheme="minorHAnsi" w:cstheme="minorHAnsi"/>
          <w:lang w:val="fr-FR"/>
        </w:rPr>
        <w:t>à 2</w:t>
      </w:r>
      <w:r w:rsidR="00226DD9" w:rsidRPr="00C73365">
        <w:rPr>
          <w:rFonts w:asciiTheme="minorHAnsi" w:hAnsiTheme="minorHAnsi" w:cstheme="minorHAnsi"/>
          <w:lang w:val="fr-FR"/>
        </w:rPr>
        <w:t xml:space="preserve"> 632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226DD9" w:rsidRPr="00C73365">
        <w:rPr>
          <w:rFonts w:asciiTheme="minorHAnsi" w:hAnsiTheme="minorHAnsi" w:cstheme="minorHAnsi"/>
          <w:lang w:val="fr-FR"/>
        </w:rPr>
        <w:t>3 519</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à fin Décembre 2015.</w:t>
      </w:r>
    </w:p>
    <w:p w14:paraId="0A8C8E2D"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perte nette s’établit donc à </w:t>
      </w:r>
      <w:r w:rsidR="001306B6" w:rsidRPr="00C73365">
        <w:rPr>
          <w:rFonts w:asciiTheme="minorHAnsi" w:hAnsiTheme="minorHAnsi" w:cstheme="minorHAnsi"/>
          <w:lang w:val="fr-FR"/>
        </w:rPr>
        <w:t>-</w:t>
      </w:r>
      <w:r w:rsidR="005D5BB7" w:rsidRPr="00C73365">
        <w:rPr>
          <w:rFonts w:asciiTheme="minorHAnsi" w:hAnsiTheme="minorHAnsi" w:cstheme="minorHAnsi"/>
          <w:lang w:val="fr-FR"/>
        </w:rPr>
        <w:t>11 223</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5D5BB7" w:rsidRPr="00C73365">
        <w:rPr>
          <w:rFonts w:asciiTheme="minorHAnsi" w:hAnsiTheme="minorHAnsi" w:cstheme="minorHAnsi"/>
          <w:lang w:val="fr-FR"/>
        </w:rPr>
        <w:t>7</w:t>
      </w:r>
      <w:r w:rsidRPr="00C73365">
        <w:rPr>
          <w:rFonts w:asciiTheme="minorHAnsi" w:hAnsiTheme="minorHAnsi" w:cstheme="minorHAnsi"/>
          <w:lang w:val="fr-FR"/>
        </w:rPr>
        <w:t xml:space="preserve"> contre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 xml:space="preserve">14 308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5D5BB7" w:rsidRPr="00C73365">
        <w:rPr>
          <w:rFonts w:asciiTheme="minorHAnsi" w:hAnsiTheme="minorHAnsi" w:cstheme="minorHAnsi"/>
          <w:lang w:val="fr-FR"/>
        </w:rPr>
        <w:t>6</w:t>
      </w:r>
      <w:r w:rsidRPr="00C73365">
        <w:rPr>
          <w:rFonts w:asciiTheme="minorHAnsi" w:hAnsiTheme="minorHAnsi" w:cstheme="minorHAnsi"/>
          <w:lang w:val="fr-FR"/>
        </w:rPr>
        <w:t>.</w:t>
      </w:r>
    </w:p>
    <w:p w14:paraId="4D370A38" w14:textId="77777777" w:rsidR="00776BB9" w:rsidRPr="00C73365" w:rsidRDefault="00776BB9" w:rsidP="00434C49">
      <w:pPr>
        <w:pStyle w:val="Paragraphedeliste"/>
        <w:numPr>
          <w:ilvl w:val="0"/>
          <w:numId w:val="72"/>
        </w:numPr>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Une trésorerie solide, qui sécurise l</w:t>
      </w:r>
      <w:r w:rsidR="004572A0"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atteinte des prochaines étapes-clés jusqu</w:t>
      </w:r>
      <w:r w:rsidR="004572A0"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à mi 201</w:t>
      </w:r>
      <w:r w:rsidR="00F77970" w:rsidRPr="00C73365">
        <w:rPr>
          <w:rFonts w:asciiTheme="minorHAnsi" w:hAnsiTheme="minorHAnsi" w:cstheme="minorHAnsi"/>
          <w:b/>
          <w:color w:val="7030A0"/>
          <w:szCs w:val="22"/>
          <w:lang w:val="fr-FR"/>
        </w:rPr>
        <w:t>9</w:t>
      </w:r>
    </w:p>
    <w:p w14:paraId="538FF72F" w14:textId="77777777" w:rsidR="00776BB9" w:rsidRPr="00C73365" w:rsidRDefault="00F7797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bénéficie au 31 Décembre 2017 de disponibilités de 2 032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auxquels s’ajoutent 15 000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placements sur des comptes à terme. </w:t>
      </w:r>
      <w:r w:rsidR="001306B6" w:rsidRPr="00C73365">
        <w:rPr>
          <w:rFonts w:asciiTheme="minorHAnsi" w:hAnsiTheme="minorHAnsi" w:cstheme="minorHAnsi"/>
          <w:lang w:val="fr-FR"/>
        </w:rPr>
        <w:t>L</w:t>
      </w:r>
      <w:r w:rsidR="00776BB9" w:rsidRPr="00C73365">
        <w:rPr>
          <w:rFonts w:asciiTheme="minorHAnsi" w:hAnsiTheme="minorHAnsi" w:cstheme="minorHAnsi"/>
          <w:lang w:val="fr-FR"/>
        </w:rPr>
        <w:t>es ressources financières de la Société permettront de couvrir les besoins nets de financement de la société jusqu’à mi 201</w:t>
      </w:r>
      <w:r w:rsidR="00E10E3F" w:rsidRPr="00C73365">
        <w:rPr>
          <w:rFonts w:asciiTheme="minorHAnsi" w:hAnsiTheme="minorHAnsi" w:cstheme="minorHAnsi"/>
          <w:lang w:val="fr-FR"/>
        </w:rPr>
        <w:t>9</w:t>
      </w:r>
      <w:r w:rsidR="00776BB9" w:rsidRPr="00C73365">
        <w:rPr>
          <w:rFonts w:asciiTheme="minorHAnsi" w:hAnsiTheme="minorHAnsi" w:cstheme="minorHAnsi"/>
          <w:lang w:val="fr-FR"/>
        </w:rPr>
        <w:t xml:space="preserve">. </w:t>
      </w:r>
    </w:p>
    <w:p w14:paraId="550AB50B" w14:textId="77777777" w:rsidR="00776BB9" w:rsidRPr="00C73365" w:rsidRDefault="00776BB9" w:rsidP="00A96CCA">
      <w:pPr>
        <w:pStyle w:val="Default"/>
        <w:spacing w:after="120"/>
        <w:jc w:val="both"/>
        <w:rPr>
          <w:rFonts w:asciiTheme="minorHAnsi" w:hAnsiTheme="minorHAnsi" w:cstheme="minorHAnsi"/>
          <w:b/>
          <w:color w:val="7030A0"/>
          <w:sz w:val="20"/>
          <w:szCs w:val="20"/>
          <w:lang w:val="fr-FR"/>
        </w:rPr>
      </w:pPr>
      <w:r w:rsidRPr="00C73365">
        <w:rPr>
          <w:rFonts w:asciiTheme="minorHAnsi" w:hAnsiTheme="minorHAnsi" w:cstheme="minorHAnsi"/>
          <w:b/>
          <w:color w:val="7030A0"/>
          <w:sz w:val="20"/>
          <w:szCs w:val="20"/>
          <w:lang w:val="fr-FR"/>
        </w:rPr>
        <w:t>CHIFFRES CLES</w:t>
      </w:r>
    </w:p>
    <w:p w14:paraId="16D04136" w14:textId="77777777" w:rsidR="00776BB9" w:rsidRPr="00C73365" w:rsidRDefault="00776BB9" w:rsidP="00A96CCA">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Les tableaux suivants reprennent les éléments clés des résultats semestriels établis conformément aux normes comptables françaises, pour les exercices 2017 et 2016</w:t>
      </w:r>
      <w:r w:rsidR="00E10E3F" w:rsidRPr="00C73365">
        <w:rPr>
          <w:rFonts w:asciiTheme="minorHAnsi" w:hAnsiTheme="minorHAnsi" w:cstheme="minorHAnsi"/>
          <w:color w:val="auto"/>
          <w:sz w:val="20"/>
          <w:szCs w:val="20"/>
          <w:lang w:val="fr-FR"/>
        </w:rPr>
        <w:t>.</w:t>
      </w:r>
    </w:p>
    <w:tbl>
      <w:tblPr>
        <w:tblpPr w:leftFromText="141" w:rightFromText="141" w:vertAnchor="text" w:horzAnchor="margin" w:tblpXSpec="center" w:tblpY="-13"/>
        <w:tblOverlap w:val="never"/>
        <w:tblW w:w="7204" w:type="dxa"/>
        <w:tblCellMar>
          <w:left w:w="70" w:type="dxa"/>
          <w:right w:w="70" w:type="dxa"/>
        </w:tblCellMar>
        <w:tblLook w:val="04A0" w:firstRow="1" w:lastRow="0" w:firstColumn="1" w:lastColumn="0" w:noHBand="0" w:noVBand="1"/>
      </w:tblPr>
      <w:tblGrid>
        <w:gridCol w:w="3760"/>
        <w:gridCol w:w="1225"/>
        <w:gridCol w:w="1225"/>
        <w:gridCol w:w="994"/>
      </w:tblGrid>
      <w:tr w:rsidR="00776BB9" w:rsidRPr="00C73365" w14:paraId="3D3871A8" w14:textId="77777777" w:rsidTr="00E10E3F">
        <w:trPr>
          <w:trHeight w:val="288"/>
        </w:trPr>
        <w:tc>
          <w:tcPr>
            <w:tcW w:w="3760" w:type="dxa"/>
            <w:tcBorders>
              <w:top w:val="single" w:sz="12" w:space="0" w:color="7030A0"/>
              <w:left w:val="nil"/>
              <w:bottom w:val="nil"/>
              <w:right w:val="nil"/>
            </w:tcBorders>
            <w:shd w:val="clear" w:color="auto" w:fill="auto"/>
            <w:vAlign w:val="center"/>
            <w:hideMark/>
          </w:tcPr>
          <w:p w14:paraId="4E6282C4" w14:textId="77777777" w:rsidR="00776BB9" w:rsidRPr="00C73365" w:rsidRDefault="00776BB9" w:rsidP="00E10E3F">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225" w:type="dxa"/>
            <w:vMerge w:val="restart"/>
            <w:tcBorders>
              <w:top w:val="single" w:sz="12" w:space="0" w:color="7030A0"/>
              <w:left w:val="nil"/>
              <w:bottom w:val="single" w:sz="8" w:space="0" w:color="7030A0"/>
              <w:right w:val="nil"/>
            </w:tcBorders>
            <w:shd w:val="clear" w:color="auto" w:fill="auto"/>
            <w:vAlign w:val="center"/>
            <w:hideMark/>
          </w:tcPr>
          <w:p w14:paraId="343F845A" w14:textId="77777777"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225" w:type="dxa"/>
            <w:vMerge w:val="restart"/>
            <w:tcBorders>
              <w:top w:val="single" w:sz="12" w:space="0" w:color="7030A0"/>
              <w:left w:val="nil"/>
              <w:bottom w:val="single" w:sz="8" w:space="0" w:color="7030A0"/>
              <w:right w:val="nil"/>
            </w:tcBorders>
            <w:shd w:val="clear" w:color="auto" w:fill="auto"/>
            <w:vAlign w:val="center"/>
            <w:hideMark/>
          </w:tcPr>
          <w:p w14:paraId="03C540CC" w14:textId="77777777" w:rsidR="00776BB9" w:rsidRPr="00C73365" w:rsidRDefault="00776BB9" w:rsidP="00E10E3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994" w:type="dxa"/>
            <w:vMerge w:val="restart"/>
            <w:tcBorders>
              <w:top w:val="single" w:sz="12" w:space="0" w:color="7030A0"/>
              <w:left w:val="nil"/>
              <w:bottom w:val="single" w:sz="8" w:space="0" w:color="7030A0"/>
              <w:right w:val="nil"/>
            </w:tcBorders>
            <w:shd w:val="clear" w:color="auto" w:fill="auto"/>
            <w:vAlign w:val="center"/>
            <w:hideMark/>
          </w:tcPr>
          <w:p w14:paraId="41538C41" w14:textId="77777777" w:rsidR="00776BB9" w:rsidRPr="00C73365" w:rsidRDefault="00776BB9" w:rsidP="00E10E3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776BB9" w:rsidRPr="00C73365" w14:paraId="22A9C1B8" w14:textId="77777777" w:rsidTr="00E10E3F">
        <w:trPr>
          <w:trHeight w:val="288"/>
        </w:trPr>
        <w:tc>
          <w:tcPr>
            <w:tcW w:w="3760" w:type="dxa"/>
            <w:tcBorders>
              <w:top w:val="nil"/>
              <w:left w:val="nil"/>
              <w:bottom w:val="single" w:sz="8" w:space="0" w:color="7030A0"/>
              <w:right w:val="nil"/>
            </w:tcBorders>
            <w:shd w:val="clear" w:color="auto" w:fill="auto"/>
            <w:vAlign w:val="center"/>
            <w:hideMark/>
          </w:tcPr>
          <w:p w14:paraId="396CFDEB" w14:textId="77777777"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25" w:type="dxa"/>
            <w:vMerge/>
            <w:tcBorders>
              <w:top w:val="single" w:sz="12" w:space="0" w:color="7030A0"/>
              <w:left w:val="nil"/>
              <w:bottom w:val="single" w:sz="8" w:space="0" w:color="7030A0"/>
              <w:right w:val="nil"/>
            </w:tcBorders>
            <w:vAlign w:val="center"/>
            <w:hideMark/>
          </w:tcPr>
          <w:p w14:paraId="2555E994" w14:textId="77777777" w:rsidR="00776BB9" w:rsidRPr="00C73365" w:rsidRDefault="00776BB9" w:rsidP="00E10E3F">
            <w:pPr>
              <w:spacing w:after="0"/>
              <w:jc w:val="center"/>
              <w:rPr>
                <w:rFonts w:asciiTheme="minorHAnsi" w:hAnsiTheme="minorHAnsi" w:cstheme="minorHAnsi"/>
                <w:b/>
                <w:bCs/>
                <w:color w:val="7030A0"/>
                <w:szCs w:val="20"/>
                <w:lang w:val="fr-FR" w:eastAsia="fr-FR"/>
              </w:rPr>
            </w:pPr>
          </w:p>
        </w:tc>
        <w:tc>
          <w:tcPr>
            <w:tcW w:w="1225" w:type="dxa"/>
            <w:vMerge/>
            <w:tcBorders>
              <w:top w:val="single" w:sz="12" w:space="0" w:color="7030A0"/>
              <w:left w:val="nil"/>
              <w:bottom w:val="single" w:sz="8" w:space="0" w:color="7030A0"/>
              <w:right w:val="nil"/>
            </w:tcBorders>
            <w:vAlign w:val="center"/>
            <w:hideMark/>
          </w:tcPr>
          <w:p w14:paraId="6BEE97FF" w14:textId="77777777" w:rsidR="00776BB9" w:rsidRPr="00C73365" w:rsidRDefault="00776BB9" w:rsidP="00E10E3F">
            <w:pPr>
              <w:spacing w:after="0"/>
              <w:jc w:val="center"/>
              <w:rPr>
                <w:rFonts w:asciiTheme="minorHAnsi" w:hAnsiTheme="minorHAnsi" w:cstheme="minorHAnsi"/>
                <w:b/>
                <w:bCs/>
                <w:color w:val="000000"/>
                <w:szCs w:val="20"/>
                <w:lang w:val="fr-FR" w:eastAsia="fr-FR"/>
              </w:rPr>
            </w:pPr>
          </w:p>
        </w:tc>
        <w:tc>
          <w:tcPr>
            <w:tcW w:w="994" w:type="dxa"/>
            <w:vMerge/>
            <w:tcBorders>
              <w:top w:val="single" w:sz="12" w:space="0" w:color="7030A0"/>
              <w:left w:val="nil"/>
              <w:bottom w:val="single" w:sz="8" w:space="0" w:color="7030A0"/>
              <w:right w:val="nil"/>
            </w:tcBorders>
            <w:vAlign w:val="center"/>
            <w:hideMark/>
          </w:tcPr>
          <w:p w14:paraId="3B4A0B8C" w14:textId="77777777" w:rsidR="00776BB9" w:rsidRPr="00C73365" w:rsidRDefault="00776BB9" w:rsidP="00E10E3F">
            <w:pPr>
              <w:spacing w:after="0"/>
              <w:jc w:val="center"/>
              <w:rPr>
                <w:rFonts w:asciiTheme="minorHAnsi" w:hAnsiTheme="minorHAnsi" w:cstheme="minorHAnsi"/>
                <w:b/>
                <w:bCs/>
                <w:color w:val="000000"/>
                <w:szCs w:val="20"/>
                <w:lang w:val="fr-FR" w:eastAsia="fr-FR"/>
              </w:rPr>
            </w:pPr>
          </w:p>
        </w:tc>
      </w:tr>
      <w:tr w:rsidR="00776BB9" w:rsidRPr="00C73365" w14:paraId="22D7AC40" w14:textId="77777777" w:rsidTr="00E10E3F">
        <w:trPr>
          <w:trHeight w:val="276"/>
        </w:trPr>
        <w:tc>
          <w:tcPr>
            <w:tcW w:w="3760" w:type="dxa"/>
            <w:tcBorders>
              <w:top w:val="nil"/>
              <w:left w:val="nil"/>
              <w:bottom w:val="nil"/>
              <w:right w:val="nil"/>
            </w:tcBorders>
            <w:shd w:val="clear" w:color="auto" w:fill="auto"/>
            <w:noWrap/>
            <w:vAlign w:val="center"/>
            <w:hideMark/>
          </w:tcPr>
          <w:p w14:paraId="65796ABC" w14:textId="77777777"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produits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14:paraId="7E00A5A7"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357</w:t>
            </w:r>
          </w:p>
        </w:tc>
        <w:tc>
          <w:tcPr>
            <w:tcW w:w="1225" w:type="dxa"/>
            <w:tcBorders>
              <w:top w:val="nil"/>
              <w:left w:val="nil"/>
              <w:bottom w:val="nil"/>
              <w:right w:val="nil"/>
            </w:tcBorders>
            <w:shd w:val="clear" w:color="auto" w:fill="auto"/>
            <w:vAlign w:val="center"/>
            <w:hideMark/>
          </w:tcPr>
          <w:p w14:paraId="79E0056E"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151</w:t>
            </w:r>
          </w:p>
        </w:tc>
        <w:tc>
          <w:tcPr>
            <w:tcW w:w="994" w:type="dxa"/>
            <w:tcBorders>
              <w:top w:val="nil"/>
              <w:left w:val="nil"/>
              <w:bottom w:val="nil"/>
              <w:right w:val="nil"/>
            </w:tcBorders>
            <w:shd w:val="clear" w:color="auto" w:fill="auto"/>
            <w:vAlign w:val="center"/>
            <w:hideMark/>
          </w:tcPr>
          <w:p w14:paraId="223D4047"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206</w:t>
            </w:r>
          </w:p>
        </w:tc>
      </w:tr>
      <w:tr w:rsidR="00776BB9" w:rsidRPr="00C73365" w14:paraId="77C8D9C2" w14:textId="77777777" w:rsidTr="00E10E3F">
        <w:trPr>
          <w:trHeight w:val="276"/>
        </w:trPr>
        <w:tc>
          <w:tcPr>
            <w:tcW w:w="3760" w:type="dxa"/>
            <w:tcBorders>
              <w:top w:val="nil"/>
              <w:left w:val="nil"/>
              <w:bottom w:val="nil"/>
              <w:right w:val="nil"/>
            </w:tcBorders>
            <w:shd w:val="clear" w:color="auto" w:fill="auto"/>
            <w:noWrap/>
            <w:vAlign w:val="center"/>
            <w:hideMark/>
          </w:tcPr>
          <w:p w14:paraId="46F7DF87" w14:textId="77777777"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14:paraId="2E471470" w14:textId="77777777"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14 507</w:t>
            </w:r>
          </w:p>
        </w:tc>
        <w:tc>
          <w:tcPr>
            <w:tcW w:w="1225" w:type="dxa"/>
            <w:tcBorders>
              <w:top w:val="nil"/>
              <w:left w:val="nil"/>
              <w:bottom w:val="nil"/>
              <w:right w:val="nil"/>
            </w:tcBorders>
            <w:shd w:val="clear" w:color="auto" w:fill="auto"/>
            <w:vAlign w:val="center"/>
            <w:hideMark/>
          </w:tcPr>
          <w:p w14:paraId="77E7D0B8" w14:textId="77777777"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18 387</w:t>
            </w:r>
          </w:p>
        </w:tc>
        <w:tc>
          <w:tcPr>
            <w:tcW w:w="994" w:type="dxa"/>
            <w:tcBorders>
              <w:top w:val="nil"/>
              <w:left w:val="nil"/>
              <w:bottom w:val="nil"/>
              <w:right w:val="nil"/>
            </w:tcBorders>
            <w:shd w:val="clear" w:color="auto" w:fill="auto"/>
            <w:vAlign w:val="center"/>
            <w:hideMark/>
          </w:tcPr>
          <w:p w14:paraId="133F205A"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3 880</w:t>
            </w:r>
          </w:p>
        </w:tc>
      </w:tr>
      <w:tr w:rsidR="00776BB9" w:rsidRPr="00C73365" w14:paraId="0D105BEF" w14:textId="77777777" w:rsidTr="00E10E3F">
        <w:trPr>
          <w:trHeight w:val="276"/>
        </w:trPr>
        <w:tc>
          <w:tcPr>
            <w:tcW w:w="3760" w:type="dxa"/>
            <w:tcBorders>
              <w:top w:val="nil"/>
              <w:left w:val="nil"/>
              <w:bottom w:val="nil"/>
              <w:right w:val="nil"/>
            </w:tcBorders>
            <w:shd w:val="clear" w:color="000000" w:fill="FFFFFF"/>
            <w:noWrap/>
            <w:vAlign w:val="center"/>
            <w:hideMark/>
          </w:tcPr>
          <w:p w14:paraId="6F56E91A" w14:textId="77777777" w:rsidR="00776BB9" w:rsidRPr="00C73365" w:rsidRDefault="00776BB9" w:rsidP="00E10E3F">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de Recherche et Développement</w:t>
            </w:r>
          </w:p>
        </w:tc>
        <w:tc>
          <w:tcPr>
            <w:tcW w:w="1225" w:type="dxa"/>
            <w:tcBorders>
              <w:top w:val="nil"/>
              <w:left w:val="nil"/>
              <w:bottom w:val="nil"/>
              <w:right w:val="nil"/>
            </w:tcBorders>
            <w:shd w:val="clear" w:color="auto" w:fill="auto"/>
            <w:vAlign w:val="center"/>
            <w:hideMark/>
          </w:tcPr>
          <w:p w14:paraId="74396D93" w14:textId="77777777"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10 846</w:t>
            </w:r>
          </w:p>
        </w:tc>
        <w:tc>
          <w:tcPr>
            <w:tcW w:w="1225" w:type="dxa"/>
            <w:tcBorders>
              <w:top w:val="nil"/>
              <w:left w:val="nil"/>
              <w:bottom w:val="nil"/>
              <w:right w:val="nil"/>
            </w:tcBorders>
            <w:shd w:val="clear" w:color="auto" w:fill="auto"/>
            <w:vAlign w:val="center"/>
            <w:hideMark/>
          </w:tcPr>
          <w:p w14:paraId="5A2D863B" w14:textId="77777777"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15 459</w:t>
            </w:r>
          </w:p>
        </w:tc>
        <w:tc>
          <w:tcPr>
            <w:tcW w:w="994" w:type="dxa"/>
            <w:tcBorders>
              <w:top w:val="nil"/>
              <w:left w:val="nil"/>
              <w:bottom w:val="nil"/>
              <w:right w:val="nil"/>
            </w:tcBorders>
            <w:shd w:val="clear" w:color="auto" w:fill="auto"/>
            <w:vAlign w:val="center"/>
            <w:hideMark/>
          </w:tcPr>
          <w:p w14:paraId="1F835995"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4 613</w:t>
            </w:r>
          </w:p>
        </w:tc>
      </w:tr>
      <w:tr w:rsidR="00776BB9" w:rsidRPr="00C73365" w14:paraId="3A452A58" w14:textId="77777777" w:rsidTr="00E10E3F">
        <w:trPr>
          <w:trHeight w:val="288"/>
        </w:trPr>
        <w:tc>
          <w:tcPr>
            <w:tcW w:w="3760" w:type="dxa"/>
            <w:tcBorders>
              <w:top w:val="nil"/>
              <w:left w:val="nil"/>
              <w:bottom w:val="single" w:sz="8" w:space="0" w:color="7030A0"/>
              <w:right w:val="nil"/>
            </w:tcBorders>
            <w:shd w:val="clear" w:color="auto" w:fill="auto"/>
            <w:noWrap/>
            <w:vAlign w:val="center"/>
            <w:hideMark/>
          </w:tcPr>
          <w:p w14:paraId="47A39925" w14:textId="77777777" w:rsidR="00776BB9" w:rsidRPr="00C73365" w:rsidRDefault="00776BB9" w:rsidP="00E10E3F">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administratifs et généraux</w:t>
            </w:r>
          </w:p>
        </w:tc>
        <w:tc>
          <w:tcPr>
            <w:tcW w:w="1225" w:type="dxa"/>
            <w:tcBorders>
              <w:top w:val="nil"/>
              <w:left w:val="nil"/>
              <w:bottom w:val="single" w:sz="8" w:space="0" w:color="7030A0"/>
              <w:right w:val="nil"/>
            </w:tcBorders>
            <w:shd w:val="clear" w:color="auto" w:fill="auto"/>
            <w:vAlign w:val="center"/>
            <w:hideMark/>
          </w:tcPr>
          <w:p w14:paraId="6A36F88E" w14:textId="77777777"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3 661</w:t>
            </w:r>
          </w:p>
        </w:tc>
        <w:tc>
          <w:tcPr>
            <w:tcW w:w="1225" w:type="dxa"/>
            <w:tcBorders>
              <w:top w:val="nil"/>
              <w:left w:val="nil"/>
              <w:bottom w:val="single" w:sz="8" w:space="0" w:color="7030A0"/>
              <w:right w:val="nil"/>
            </w:tcBorders>
            <w:shd w:val="clear" w:color="auto" w:fill="auto"/>
            <w:vAlign w:val="center"/>
            <w:hideMark/>
          </w:tcPr>
          <w:p w14:paraId="59EA50CD" w14:textId="77777777"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2 928</w:t>
            </w:r>
          </w:p>
        </w:tc>
        <w:tc>
          <w:tcPr>
            <w:tcW w:w="994" w:type="dxa"/>
            <w:tcBorders>
              <w:top w:val="nil"/>
              <w:left w:val="nil"/>
              <w:bottom w:val="single" w:sz="8" w:space="0" w:color="7030A0"/>
              <w:right w:val="nil"/>
            </w:tcBorders>
            <w:shd w:val="clear" w:color="auto" w:fill="auto"/>
            <w:vAlign w:val="center"/>
            <w:hideMark/>
          </w:tcPr>
          <w:p w14:paraId="0D2AB3EC" w14:textId="77777777"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733</w:t>
            </w:r>
          </w:p>
        </w:tc>
      </w:tr>
      <w:tr w:rsidR="00776BB9" w:rsidRPr="00C73365" w14:paraId="28800619" w14:textId="77777777" w:rsidTr="00E10E3F">
        <w:trPr>
          <w:trHeight w:val="288"/>
        </w:trPr>
        <w:tc>
          <w:tcPr>
            <w:tcW w:w="3760" w:type="dxa"/>
            <w:tcBorders>
              <w:top w:val="nil"/>
              <w:left w:val="nil"/>
              <w:bottom w:val="single" w:sz="8" w:space="0" w:color="7030A0"/>
              <w:right w:val="nil"/>
            </w:tcBorders>
            <w:shd w:val="clear" w:color="auto" w:fill="auto"/>
            <w:noWrap/>
            <w:vAlign w:val="center"/>
            <w:hideMark/>
          </w:tcPr>
          <w:p w14:paraId="0A7641FF" w14:textId="77777777" w:rsidR="00776BB9" w:rsidRPr="00C73365" w:rsidRDefault="00776BB9" w:rsidP="00E10E3F">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Résultat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exploitation</w:t>
            </w:r>
          </w:p>
        </w:tc>
        <w:tc>
          <w:tcPr>
            <w:tcW w:w="1225" w:type="dxa"/>
            <w:tcBorders>
              <w:top w:val="nil"/>
              <w:left w:val="nil"/>
              <w:bottom w:val="single" w:sz="8" w:space="0" w:color="7030A0"/>
              <w:right w:val="nil"/>
            </w:tcBorders>
            <w:shd w:val="clear" w:color="auto" w:fill="auto"/>
            <w:vAlign w:val="center"/>
            <w:hideMark/>
          </w:tcPr>
          <w:p w14:paraId="75CE86CF" w14:textId="77777777"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-14 150</w:t>
            </w:r>
          </w:p>
        </w:tc>
        <w:tc>
          <w:tcPr>
            <w:tcW w:w="1225" w:type="dxa"/>
            <w:tcBorders>
              <w:top w:val="nil"/>
              <w:left w:val="nil"/>
              <w:bottom w:val="single" w:sz="8" w:space="0" w:color="7030A0"/>
              <w:right w:val="nil"/>
            </w:tcBorders>
            <w:shd w:val="clear" w:color="auto" w:fill="auto"/>
            <w:vAlign w:val="center"/>
            <w:hideMark/>
          </w:tcPr>
          <w:p w14:paraId="0F16B5BA" w14:textId="77777777"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-18 236</w:t>
            </w:r>
          </w:p>
        </w:tc>
        <w:tc>
          <w:tcPr>
            <w:tcW w:w="994" w:type="dxa"/>
            <w:tcBorders>
              <w:top w:val="nil"/>
              <w:left w:val="nil"/>
              <w:bottom w:val="single" w:sz="8" w:space="0" w:color="7030A0"/>
              <w:right w:val="nil"/>
            </w:tcBorders>
            <w:shd w:val="clear" w:color="auto" w:fill="auto"/>
            <w:vAlign w:val="center"/>
            <w:hideMark/>
          </w:tcPr>
          <w:p w14:paraId="7546643A" w14:textId="77777777"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4 086</w:t>
            </w:r>
          </w:p>
        </w:tc>
      </w:tr>
      <w:tr w:rsidR="00776BB9" w:rsidRPr="00C73365" w14:paraId="64FACD84" w14:textId="77777777" w:rsidTr="00E10E3F">
        <w:trPr>
          <w:trHeight w:val="288"/>
        </w:trPr>
        <w:tc>
          <w:tcPr>
            <w:tcW w:w="3760" w:type="dxa"/>
            <w:tcBorders>
              <w:top w:val="nil"/>
              <w:left w:val="nil"/>
              <w:bottom w:val="single" w:sz="8" w:space="0" w:color="7030A0"/>
              <w:right w:val="nil"/>
            </w:tcBorders>
            <w:shd w:val="clear" w:color="auto" w:fill="auto"/>
            <w:noWrap/>
            <w:vAlign w:val="center"/>
            <w:hideMark/>
          </w:tcPr>
          <w:p w14:paraId="5276BED4" w14:textId="77777777"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financier</w:t>
            </w:r>
          </w:p>
        </w:tc>
        <w:tc>
          <w:tcPr>
            <w:tcW w:w="1225" w:type="dxa"/>
            <w:tcBorders>
              <w:top w:val="nil"/>
              <w:left w:val="nil"/>
              <w:bottom w:val="single" w:sz="8" w:space="0" w:color="7030A0"/>
              <w:right w:val="nil"/>
            </w:tcBorders>
            <w:shd w:val="clear" w:color="auto" w:fill="auto"/>
            <w:vAlign w:val="center"/>
            <w:hideMark/>
          </w:tcPr>
          <w:p w14:paraId="3083AB60"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77</w:t>
            </w:r>
          </w:p>
        </w:tc>
        <w:tc>
          <w:tcPr>
            <w:tcW w:w="1225" w:type="dxa"/>
            <w:tcBorders>
              <w:top w:val="nil"/>
              <w:left w:val="nil"/>
              <w:bottom w:val="single" w:sz="8" w:space="0" w:color="7030A0"/>
              <w:right w:val="nil"/>
            </w:tcBorders>
            <w:shd w:val="clear" w:color="auto" w:fill="auto"/>
            <w:vAlign w:val="center"/>
            <w:hideMark/>
          </w:tcPr>
          <w:p w14:paraId="46524BFB"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258</w:t>
            </w:r>
          </w:p>
        </w:tc>
        <w:tc>
          <w:tcPr>
            <w:tcW w:w="994" w:type="dxa"/>
            <w:tcBorders>
              <w:top w:val="nil"/>
              <w:left w:val="nil"/>
              <w:bottom w:val="single" w:sz="8" w:space="0" w:color="7030A0"/>
              <w:right w:val="nil"/>
            </w:tcBorders>
            <w:shd w:val="clear" w:color="auto" w:fill="auto"/>
            <w:vAlign w:val="center"/>
            <w:hideMark/>
          </w:tcPr>
          <w:p w14:paraId="5E39A84F"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-182</w:t>
            </w:r>
          </w:p>
        </w:tc>
      </w:tr>
      <w:tr w:rsidR="00776BB9" w:rsidRPr="00C73365" w14:paraId="20A35291" w14:textId="77777777" w:rsidTr="00E10E3F">
        <w:trPr>
          <w:trHeight w:val="288"/>
        </w:trPr>
        <w:tc>
          <w:tcPr>
            <w:tcW w:w="3760" w:type="dxa"/>
            <w:tcBorders>
              <w:top w:val="nil"/>
              <w:left w:val="nil"/>
              <w:bottom w:val="single" w:sz="8" w:space="0" w:color="7030A0"/>
              <w:right w:val="nil"/>
            </w:tcBorders>
            <w:shd w:val="clear" w:color="auto" w:fill="auto"/>
            <w:noWrap/>
            <w:vAlign w:val="center"/>
            <w:hideMark/>
          </w:tcPr>
          <w:p w14:paraId="04AB3399" w14:textId="77777777" w:rsidR="00776BB9" w:rsidRPr="00C73365" w:rsidRDefault="00776BB9" w:rsidP="00E10E3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courant</w:t>
            </w:r>
          </w:p>
        </w:tc>
        <w:tc>
          <w:tcPr>
            <w:tcW w:w="1225" w:type="dxa"/>
            <w:tcBorders>
              <w:top w:val="nil"/>
              <w:left w:val="nil"/>
              <w:bottom w:val="single" w:sz="8" w:space="0" w:color="7030A0"/>
              <w:right w:val="nil"/>
            </w:tcBorders>
            <w:shd w:val="clear" w:color="auto" w:fill="auto"/>
            <w:vAlign w:val="center"/>
            <w:hideMark/>
          </w:tcPr>
          <w:p w14:paraId="36E7249D" w14:textId="77777777"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-14 073</w:t>
            </w:r>
          </w:p>
        </w:tc>
        <w:tc>
          <w:tcPr>
            <w:tcW w:w="1225" w:type="dxa"/>
            <w:tcBorders>
              <w:top w:val="nil"/>
              <w:left w:val="nil"/>
              <w:bottom w:val="single" w:sz="8" w:space="0" w:color="7030A0"/>
              <w:right w:val="nil"/>
            </w:tcBorders>
            <w:shd w:val="clear" w:color="auto" w:fill="auto"/>
            <w:vAlign w:val="center"/>
            <w:hideMark/>
          </w:tcPr>
          <w:p w14:paraId="5C745F12" w14:textId="77777777"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-17 978</w:t>
            </w:r>
          </w:p>
        </w:tc>
        <w:tc>
          <w:tcPr>
            <w:tcW w:w="994" w:type="dxa"/>
            <w:tcBorders>
              <w:top w:val="nil"/>
              <w:left w:val="nil"/>
              <w:bottom w:val="single" w:sz="8" w:space="0" w:color="7030A0"/>
              <w:right w:val="nil"/>
            </w:tcBorders>
            <w:shd w:val="clear" w:color="auto" w:fill="auto"/>
            <w:vAlign w:val="center"/>
            <w:hideMark/>
          </w:tcPr>
          <w:p w14:paraId="77700CAD" w14:textId="77777777"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3 905</w:t>
            </w:r>
          </w:p>
        </w:tc>
      </w:tr>
      <w:tr w:rsidR="00776BB9" w:rsidRPr="00C73365" w14:paraId="6A01E1C4" w14:textId="77777777" w:rsidTr="00E10E3F">
        <w:trPr>
          <w:trHeight w:val="276"/>
        </w:trPr>
        <w:tc>
          <w:tcPr>
            <w:tcW w:w="3760" w:type="dxa"/>
            <w:tcBorders>
              <w:top w:val="nil"/>
              <w:left w:val="nil"/>
              <w:bottom w:val="nil"/>
              <w:right w:val="nil"/>
            </w:tcBorders>
            <w:shd w:val="clear" w:color="auto" w:fill="auto"/>
            <w:noWrap/>
            <w:vAlign w:val="center"/>
            <w:hideMark/>
          </w:tcPr>
          <w:p w14:paraId="34A3591F" w14:textId="77777777"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exceptionnel</w:t>
            </w:r>
          </w:p>
        </w:tc>
        <w:tc>
          <w:tcPr>
            <w:tcW w:w="1225" w:type="dxa"/>
            <w:tcBorders>
              <w:top w:val="nil"/>
              <w:left w:val="nil"/>
              <w:bottom w:val="nil"/>
              <w:right w:val="nil"/>
            </w:tcBorders>
            <w:shd w:val="clear" w:color="auto" w:fill="auto"/>
            <w:vAlign w:val="center"/>
            <w:hideMark/>
          </w:tcPr>
          <w:p w14:paraId="799EC8EF"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159</w:t>
            </w:r>
          </w:p>
        </w:tc>
        <w:tc>
          <w:tcPr>
            <w:tcW w:w="1225" w:type="dxa"/>
            <w:tcBorders>
              <w:top w:val="nil"/>
              <w:left w:val="nil"/>
              <w:bottom w:val="nil"/>
              <w:right w:val="nil"/>
            </w:tcBorders>
            <w:shd w:val="clear" w:color="auto" w:fill="auto"/>
            <w:vAlign w:val="center"/>
            <w:hideMark/>
          </w:tcPr>
          <w:p w14:paraId="5B8F6E63"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152</w:t>
            </w:r>
          </w:p>
        </w:tc>
        <w:tc>
          <w:tcPr>
            <w:tcW w:w="994" w:type="dxa"/>
            <w:tcBorders>
              <w:top w:val="nil"/>
              <w:left w:val="nil"/>
              <w:bottom w:val="nil"/>
              <w:right w:val="nil"/>
            </w:tcBorders>
            <w:shd w:val="clear" w:color="auto" w:fill="auto"/>
            <w:vAlign w:val="center"/>
            <w:hideMark/>
          </w:tcPr>
          <w:p w14:paraId="288AA5A8"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776BB9" w:rsidRPr="00C73365" w14:paraId="1DF1190E" w14:textId="77777777" w:rsidTr="00E10E3F">
        <w:trPr>
          <w:trHeight w:val="288"/>
        </w:trPr>
        <w:tc>
          <w:tcPr>
            <w:tcW w:w="3760" w:type="dxa"/>
            <w:tcBorders>
              <w:top w:val="nil"/>
              <w:left w:val="nil"/>
              <w:bottom w:val="single" w:sz="8" w:space="0" w:color="7030A0"/>
              <w:right w:val="nil"/>
            </w:tcBorders>
            <w:shd w:val="clear" w:color="auto" w:fill="auto"/>
            <w:noWrap/>
            <w:vAlign w:val="center"/>
            <w:hideMark/>
          </w:tcPr>
          <w:p w14:paraId="653EFDD5" w14:textId="77777777"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 sur les bénéfices</w:t>
            </w:r>
          </w:p>
        </w:tc>
        <w:tc>
          <w:tcPr>
            <w:tcW w:w="1225" w:type="dxa"/>
            <w:tcBorders>
              <w:top w:val="nil"/>
              <w:left w:val="nil"/>
              <w:bottom w:val="single" w:sz="8" w:space="0" w:color="7030A0"/>
              <w:right w:val="nil"/>
            </w:tcBorders>
            <w:shd w:val="clear" w:color="auto" w:fill="auto"/>
            <w:vAlign w:val="center"/>
            <w:hideMark/>
          </w:tcPr>
          <w:p w14:paraId="3C9CC838"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2 692</w:t>
            </w:r>
          </w:p>
        </w:tc>
        <w:tc>
          <w:tcPr>
            <w:tcW w:w="1225" w:type="dxa"/>
            <w:tcBorders>
              <w:top w:val="nil"/>
              <w:left w:val="nil"/>
              <w:bottom w:val="single" w:sz="8" w:space="0" w:color="7030A0"/>
              <w:right w:val="nil"/>
            </w:tcBorders>
            <w:shd w:val="clear" w:color="auto" w:fill="auto"/>
            <w:vAlign w:val="center"/>
            <w:hideMark/>
          </w:tcPr>
          <w:p w14:paraId="65B9DF23" w14:textId="77777777"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3 519</w:t>
            </w:r>
          </w:p>
        </w:tc>
        <w:tc>
          <w:tcPr>
            <w:tcW w:w="994" w:type="dxa"/>
            <w:tcBorders>
              <w:top w:val="nil"/>
              <w:left w:val="nil"/>
              <w:bottom w:val="single" w:sz="8" w:space="0" w:color="7030A0"/>
              <w:right w:val="nil"/>
            </w:tcBorders>
            <w:shd w:val="clear" w:color="auto" w:fill="auto"/>
            <w:vAlign w:val="center"/>
            <w:hideMark/>
          </w:tcPr>
          <w:p w14:paraId="26B236E8" w14:textId="77777777"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827</w:t>
            </w:r>
          </w:p>
        </w:tc>
      </w:tr>
      <w:tr w:rsidR="00776BB9" w:rsidRPr="00C73365" w14:paraId="1EF7117E" w14:textId="77777777" w:rsidTr="00E10E3F">
        <w:trPr>
          <w:trHeight w:val="288"/>
        </w:trPr>
        <w:tc>
          <w:tcPr>
            <w:tcW w:w="3760" w:type="dxa"/>
            <w:tcBorders>
              <w:top w:val="nil"/>
              <w:left w:val="nil"/>
              <w:bottom w:val="single" w:sz="8" w:space="0" w:color="7030A0"/>
              <w:right w:val="nil"/>
            </w:tcBorders>
            <w:shd w:val="clear" w:color="auto" w:fill="auto"/>
            <w:noWrap/>
            <w:vAlign w:val="center"/>
            <w:hideMark/>
          </w:tcPr>
          <w:p w14:paraId="455AFF75" w14:textId="77777777" w:rsidR="00776BB9" w:rsidRPr="00C73365" w:rsidRDefault="00776BB9" w:rsidP="00E10E3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de l</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exercice</w:t>
            </w:r>
          </w:p>
        </w:tc>
        <w:tc>
          <w:tcPr>
            <w:tcW w:w="1225" w:type="dxa"/>
            <w:tcBorders>
              <w:top w:val="nil"/>
              <w:left w:val="nil"/>
              <w:bottom w:val="single" w:sz="8" w:space="0" w:color="7030A0"/>
              <w:right w:val="nil"/>
            </w:tcBorders>
            <w:shd w:val="clear" w:color="auto" w:fill="auto"/>
            <w:vAlign w:val="center"/>
            <w:hideMark/>
          </w:tcPr>
          <w:p w14:paraId="4F070F62" w14:textId="77777777"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-11 223</w:t>
            </w:r>
          </w:p>
        </w:tc>
        <w:tc>
          <w:tcPr>
            <w:tcW w:w="1225" w:type="dxa"/>
            <w:tcBorders>
              <w:top w:val="nil"/>
              <w:left w:val="nil"/>
              <w:bottom w:val="single" w:sz="8" w:space="0" w:color="7030A0"/>
              <w:right w:val="nil"/>
            </w:tcBorders>
            <w:shd w:val="clear" w:color="auto" w:fill="auto"/>
            <w:vAlign w:val="center"/>
            <w:hideMark/>
          </w:tcPr>
          <w:p w14:paraId="5CE6014F" w14:textId="77777777"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-14 308</w:t>
            </w:r>
          </w:p>
        </w:tc>
        <w:tc>
          <w:tcPr>
            <w:tcW w:w="994" w:type="dxa"/>
            <w:tcBorders>
              <w:top w:val="nil"/>
              <w:left w:val="nil"/>
              <w:bottom w:val="single" w:sz="8" w:space="0" w:color="7030A0"/>
              <w:right w:val="nil"/>
            </w:tcBorders>
            <w:shd w:val="clear" w:color="auto" w:fill="auto"/>
            <w:vAlign w:val="center"/>
            <w:hideMark/>
          </w:tcPr>
          <w:p w14:paraId="7ECD2450" w14:textId="77777777"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3 085</w:t>
            </w:r>
          </w:p>
        </w:tc>
      </w:tr>
    </w:tbl>
    <w:p w14:paraId="0766CF24" w14:textId="77777777" w:rsidR="00776BB9" w:rsidRPr="00C73365" w:rsidRDefault="00776BB9">
      <w:pPr>
        <w:rPr>
          <w:rFonts w:asciiTheme="minorHAnsi" w:hAnsiTheme="minorHAnsi" w:cstheme="minorHAnsi"/>
          <w:szCs w:val="20"/>
          <w:lang w:val="fr-FR"/>
        </w:rPr>
      </w:pPr>
    </w:p>
    <w:p w14:paraId="0E254CAE" w14:textId="77777777" w:rsidR="00776BB9" w:rsidRPr="00C73365" w:rsidRDefault="00776BB9">
      <w:pPr>
        <w:rPr>
          <w:rFonts w:asciiTheme="minorHAnsi" w:hAnsiTheme="minorHAnsi" w:cstheme="minorHAnsi"/>
          <w:szCs w:val="20"/>
          <w:lang w:val="fr-FR"/>
        </w:rPr>
      </w:pPr>
    </w:p>
    <w:p w14:paraId="47FB7651" w14:textId="77777777" w:rsidR="00776BB9" w:rsidRPr="00C73365" w:rsidRDefault="00776BB9">
      <w:pPr>
        <w:rPr>
          <w:rFonts w:asciiTheme="minorHAnsi" w:hAnsiTheme="minorHAnsi" w:cstheme="minorHAnsi"/>
          <w:szCs w:val="20"/>
          <w:lang w:val="fr-FR"/>
        </w:rPr>
      </w:pPr>
    </w:p>
    <w:p w14:paraId="14F6E9BB" w14:textId="77777777" w:rsidR="00776BB9" w:rsidRPr="00C73365" w:rsidRDefault="00776BB9">
      <w:pPr>
        <w:rPr>
          <w:rFonts w:asciiTheme="minorHAnsi" w:hAnsiTheme="minorHAnsi" w:cstheme="minorHAnsi"/>
          <w:szCs w:val="20"/>
          <w:lang w:val="fr-FR"/>
        </w:rPr>
      </w:pPr>
    </w:p>
    <w:p w14:paraId="5F71586A" w14:textId="77777777" w:rsidR="00776BB9" w:rsidRPr="00C73365" w:rsidRDefault="00776BB9">
      <w:pPr>
        <w:rPr>
          <w:rFonts w:asciiTheme="minorHAnsi" w:hAnsiTheme="minorHAnsi" w:cstheme="minorHAnsi"/>
          <w:szCs w:val="20"/>
          <w:lang w:val="fr-FR"/>
        </w:rPr>
      </w:pPr>
    </w:p>
    <w:p w14:paraId="1A59BE2A" w14:textId="77777777" w:rsidR="00776BB9" w:rsidRPr="00C73365" w:rsidRDefault="00776BB9">
      <w:pPr>
        <w:rPr>
          <w:rFonts w:asciiTheme="minorHAnsi" w:hAnsiTheme="minorHAnsi" w:cstheme="minorHAnsi"/>
          <w:szCs w:val="20"/>
          <w:lang w:val="fr-FR"/>
        </w:rPr>
      </w:pPr>
    </w:p>
    <w:p w14:paraId="7FE11B0F" w14:textId="77777777" w:rsidR="00776BB9" w:rsidRPr="00C73365" w:rsidRDefault="00776BB9">
      <w:pPr>
        <w:rPr>
          <w:rFonts w:asciiTheme="minorHAnsi" w:hAnsiTheme="minorHAnsi" w:cstheme="minorHAnsi"/>
          <w:szCs w:val="20"/>
          <w:lang w:val="fr-FR"/>
        </w:rPr>
      </w:pPr>
    </w:p>
    <w:p w14:paraId="79D80B6D" w14:textId="77777777" w:rsidR="00776BB9" w:rsidRPr="00C73365" w:rsidRDefault="00776BB9">
      <w:pPr>
        <w:rPr>
          <w:rFonts w:asciiTheme="minorHAnsi" w:hAnsiTheme="minorHAnsi" w:cstheme="minorHAnsi"/>
          <w:szCs w:val="20"/>
          <w:lang w:val="fr-FR"/>
        </w:rPr>
      </w:pPr>
    </w:p>
    <w:p w14:paraId="703B53E6" w14:textId="77777777" w:rsidR="00776BB9" w:rsidRPr="00C73365" w:rsidRDefault="00776BB9">
      <w:pPr>
        <w:rPr>
          <w:rFonts w:asciiTheme="minorHAnsi" w:hAnsiTheme="minorHAnsi" w:cstheme="minorHAnsi"/>
          <w:szCs w:val="20"/>
          <w:lang w:val="fr-FR"/>
        </w:rPr>
      </w:pPr>
    </w:p>
    <w:p w14:paraId="2F0E8FC6" w14:textId="77777777" w:rsidR="00776BB9" w:rsidRPr="00C73365" w:rsidRDefault="00776BB9">
      <w:pPr>
        <w:rPr>
          <w:rFonts w:asciiTheme="minorHAnsi" w:hAnsiTheme="minorHAnsi" w:cstheme="minorHAnsi"/>
          <w:szCs w:val="20"/>
          <w:lang w:val="fr-FR"/>
        </w:rPr>
      </w:pPr>
    </w:p>
    <w:p w14:paraId="5CAE6416" w14:textId="77777777" w:rsidR="00776BB9" w:rsidRPr="00C73365" w:rsidRDefault="00776BB9">
      <w:pPr>
        <w:rPr>
          <w:rFonts w:asciiTheme="minorHAnsi" w:hAnsiTheme="minorHAnsi" w:cstheme="minorHAnsi"/>
          <w:szCs w:val="20"/>
          <w:lang w:val="fr-FR"/>
        </w:rPr>
      </w:pPr>
    </w:p>
    <w:p w14:paraId="294292EF" w14:textId="77777777" w:rsidR="00776BB9" w:rsidRPr="00C73365" w:rsidRDefault="00776BB9" w:rsidP="00616826">
      <w:pPr>
        <w:pStyle w:val="Paragraphedeliste"/>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Produits d’exploitation</w:t>
      </w:r>
    </w:p>
    <w:p w14:paraId="7A0BA6B9" w14:textId="77777777" w:rsidR="00E10E3F" w:rsidRPr="00C73365" w:rsidRDefault="00E10E3F" w:rsidP="00E10E3F">
      <w:pPr>
        <w:rPr>
          <w:rFonts w:asciiTheme="minorHAnsi" w:hAnsiTheme="minorHAnsi" w:cstheme="minorHAnsi"/>
          <w:lang w:val="fr-FR"/>
        </w:rPr>
      </w:pPr>
    </w:p>
    <w:tbl>
      <w:tblPr>
        <w:tblW w:w="7267" w:type="dxa"/>
        <w:tblInd w:w="1205" w:type="dxa"/>
        <w:tblLook w:val="04A0" w:firstRow="1" w:lastRow="0" w:firstColumn="1" w:lastColumn="0" w:noHBand="0" w:noVBand="1"/>
      </w:tblPr>
      <w:tblGrid>
        <w:gridCol w:w="3427"/>
        <w:gridCol w:w="1280"/>
        <w:gridCol w:w="1280"/>
        <w:gridCol w:w="1280"/>
      </w:tblGrid>
      <w:tr w:rsidR="00776BB9" w:rsidRPr="00C73365" w14:paraId="4E1E71CA" w14:textId="77777777" w:rsidTr="00E10E3F">
        <w:trPr>
          <w:trHeight w:val="290"/>
        </w:trPr>
        <w:tc>
          <w:tcPr>
            <w:tcW w:w="3427" w:type="dxa"/>
            <w:tcBorders>
              <w:top w:val="single" w:sz="12" w:space="0" w:color="7030A0"/>
              <w:left w:val="nil"/>
              <w:bottom w:val="nil"/>
              <w:right w:val="nil"/>
            </w:tcBorders>
            <w:shd w:val="clear" w:color="auto" w:fill="auto"/>
            <w:vAlign w:val="center"/>
            <w:hideMark/>
          </w:tcPr>
          <w:p w14:paraId="2C08077C" w14:textId="77777777"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80" w:type="dxa"/>
            <w:vMerge w:val="restart"/>
            <w:tcBorders>
              <w:top w:val="single" w:sz="12" w:space="0" w:color="7030A0"/>
              <w:left w:val="nil"/>
              <w:bottom w:val="single" w:sz="8" w:space="0" w:color="7030A0"/>
              <w:right w:val="nil"/>
            </w:tcBorders>
            <w:shd w:val="clear" w:color="auto" w:fill="auto"/>
            <w:vAlign w:val="center"/>
            <w:hideMark/>
          </w:tcPr>
          <w:p w14:paraId="4B13F8B0" w14:textId="77777777"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80" w:type="dxa"/>
            <w:vMerge w:val="restart"/>
            <w:tcBorders>
              <w:top w:val="single" w:sz="12" w:space="0" w:color="7030A0"/>
              <w:left w:val="nil"/>
              <w:bottom w:val="single" w:sz="8" w:space="0" w:color="7030A0"/>
              <w:right w:val="nil"/>
            </w:tcBorders>
            <w:shd w:val="clear" w:color="auto" w:fill="auto"/>
            <w:vAlign w:val="center"/>
            <w:hideMark/>
          </w:tcPr>
          <w:p w14:paraId="58384D34" w14:textId="77777777" w:rsidR="00776BB9" w:rsidRPr="00C73365" w:rsidRDefault="00776BB9" w:rsidP="00E10E3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80" w:type="dxa"/>
            <w:vMerge w:val="restart"/>
            <w:tcBorders>
              <w:top w:val="single" w:sz="12" w:space="0" w:color="7030A0"/>
              <w:left w:val="nil"/>
              <w:bottom w:val="single" w:sz="8" w:space="0" w:color="7030A0"/>
              <w:right w:val="nil"/>
            </w:tcBorders>
            <w:shd w:val="clear" w:color="auto" w:fill="auto"/>
            <w:vAlign w:val="center"/>
            <w:hideMark/>
          </w:tcPr>
          <w:p w14:paraId="02F6B8DC" w14:textId="77777777" w:rsidR="00776BB9" w:rsidRPr="00C73365" w:rsidRDefault="00776BB9" w:rsidP="00E10E3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14:paraId="4DCDF1C1" w14:textId="77777777" w:rsidTr="00E10E3F">
        <w:trPr>
          <w:trHeight w:val="290"/>
        </w:trPr>
        <w:tc>
          <w:tcPr>
            <w:tcW w:w="3427" w:type="dxa"/>
            <w:tcBorders>
              <w:top w:val="nil"/>
              <w:left w:val="nil"/>
              <w:bottom w:val="single" w:sz="8" w:space="0" w:color="7030A0"/>
              <w:right w:val="nil"/>
            </w:tcBorders>
            <w:shd w:val="clear" w:color="auto" w:fill="auto"/>
            <w:vAlign w:val="center"/>
            <w:hideMark/>
          </w:tcPr>
          <w:p w14:paraId="01003020" w14:textId="77777777"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 milliers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euros</w:t>
            </w:r>
          </w:p>
        </w:tc>
        <w:tc>
          <w:tcPr>
            <w:tcW w:w="1280" w:type="dxa"/>
            <w:vMerge/>
            <w:tcBorders>
              <w:top w:val="single" w:sz="12" w:space="0" w:color="7030A0"/>
              <w:left w:val="nil"/>
              <w:bottom w:val="single" w:sz="8" w:space="0" w:color="7030A0"/>
              <w:right w:val="nil"/>
            </w:tcBorders>
            <w:vAlign w:val="center"/>
            <w:hideMark/>
          </w:tcPr>
          <w:p w14:paraId="7F42E8A7" w14:textId="77777777" w:rsidR="00776BB9" w:rsidRPr="00C73365" w:rsidRDefault="00776BB9" w:rsidP="00E10E3F">
            <w:pPr>
              <w:spacing w:after="0"/>
              <w:jc w:val="center"/>
              <w:rPr>
                <w:rFonts w:asciiTheme="minorHAnsi" w:hAnsiTheme="minorHAnsi" w:cstheme="minorHAnsi"/>
                <w:b/>
                <w:bCs/>
                <w:color w:val="7030A0"/>
                <w:szCs w:val="20"/>
              </w:rPr>
            </w:pPr>
          </w:p>
        </w:tc>
        <w:tc>
          <w:tcPr>
            <w:tcW w:w="1280" w:type="dxa"/>
            <w:vMerge/>
            <w:tcBorders>
              <w:top w:val="single" w:sz="12" w:space="0" w:color="7030A0"/>
              <w:left w:val="nil"/>
              <w:bottom w:val="single" w:sz="8" w:space="0" w:color="7030A0"/>
              <w:right w:val="nil"/>
            </w:tcBorders>
            <w:vAlign w:val="center"/>
            <w:hideMark/>
          </w:tcPr>
          <w:p w14:paraId="44E4553E" w14:textId="77777777" w:rsidR="00776BB9" w:rsidRPr="00C73365" w:rsidRDefault="00776BB9" w:rsidP="00E10E3F">
            <w:pPr>
              <w:spacing w:after="0"/>
              <w:jc w:val="center"/>
              <w:rPr>
                <w:rFonts w:asciiTheme="minorHAnsi" w:hAnsiTheme="minorHAnsi" w:cstheme="minorHAnsi"/>
                <w:b/>
                <w:bCs/>
                <w:color w:val="000000"/>
                <w:szCs w:val="20"/>
              </w:rPr>
            </w:pPr>
          </w:p>
        </w:tc>
        <w:tc>
          <w:tcPr>
            <w:tcW w:w="1280" w:type="dxa"/>
            <w:vMerge/>
            <w:tcBorders>
              <w:top w:val="single" w:sz="12" w:space="0" w:color="7030A0"/>
              <w:left w:val="nil"/>
              <w:bottom w:val="single" w:sz="8" w:space="0" w:color="7030A0"/>
              <w:right w:val="nil"/>
            </w:tcBorders>
            <w:vAlign w:val="center"/>
            <w:hideMark/>
          </w:tcPr>
          <w:p w14:paraId="06A6F33C" w14:textId="77777777" w:rsidR="00776BB9" w:rsidRPr="00C73365" w:rsidRDefault="00776BB9" w:rsidP="00E10E3F">
            <w:pPr>
              <w:spacing w:after="0"/>
              <w:jc w:val="center"/>
              <w:rPr>
                <w:rFonts w:asciiTheme="minorHAnsi" w:hAnsiTheme="minorHAnsi" w:cstheme="minorHAnsi"/>
                <w:b/>
                <w:bCs/>
                <w:color w:val="000000"/>
                <w:szCs w:val="20"/>
              </w:rPr>
            </w:pPr>
          </w:p>
        </w:tc>
      </w:tr>
      <w:tr w:rsidR="00776BB9" w:rsidRPr="00C73365" w14:paraId="6EBE4CBA" w14:textId="77777777" w:rsidTr="00E10E3F">
        <w:trPr>
          <w:trHeight w:val="278"/>
        </w:trPr>
        <w:tc>
          <w:tcPr>
            <w:tcW w:w="3427" w:type="dxa"/>
            <w:tcBorders>
              <w:top w:val="nil"/>
              <w:left w:val="nil"/>
              <w:bottom w:val="nil"/>
              <w:right w:val="nil"/>
            </w:tcBorders>
            <w:shd w:val="clear" w:color="auto" w:fill="auto"/>
            <w:noWrap/>
            <w:vAlign w:val="center"/>
            <w:hideMark/>
          </w:tcPr>
          <w:p w14:paraId="70C0525A" w14:textId="77777777"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Ventes de marchandises</w:t>
            </w:r>
          </w:p>
        </w:tc>
        <w:tc>
          <w:tcPr>
            <w:tcW w:w="1280" w:type="dxa"/>
            <w:tcBorders>
              <w:top w:val="nil"/>
              <w:left w:val="nil"/>
              <w:bottom w:val="nil"/>
              <w:right w:val="nil"/>
            </w:tcBorders>
            <w:shd w:val="clear" w:color="auto" w:fill="auto"/>
            <w:noWrap/>
            <w:vAlign w:val="center"/>
            <w:hideMark/>
          </w:tcPr>
          <w:p w14:paraId="1D242D59" w14:textId="77777777" w:rsidR="00776BB9" w:rsidRPr="00C73365" w:rsidRDefault="00776BB9" w:rsidP="00E10E3F">
            <w:pPr>
              <w:spacing w:after="0"/>
              <w:jc w:val="center"/>
              <w:rPr>
                <w:rFonts w:asciiTheme="minorHAnsi" w:hAnsiTheme="minorHAnsi" w:cstheme="minorHAnsi"/>
                <w:color w:val="000000"/>
                <w:szCs w:val="20"/>
              </w:rPr>
            </w:pPr>
          </w:p>
        </w:tc>
        <w:tc>
          <w:tcPr>
            <w:tcW w:w="1280" w:type="dxa"/>
            <w:tcBorders>
              <w:top w:val="nil"/>
              <w:left w:val="nil"/>
              <w:bottom w:val="nil"/>
              <w:right w:val="nil"/>
            </w:tcBorders>
            <w:shd w:val="clear" w:color="auto" w:fill="auto"/>
            <w:vAlign w:val="center"/>
            <w:hideMark/>
          </w:tcPr>
          <w:p w14:paraId="0FEC837B" w14:textId="77777777" w:rsidR="00776BB9" w:rsidRPr="00C73365" w:rsidRDefault="00776BB9" w:rsidP="00E10E3F">
            <w:pPr>
              <w:spacing w:after="0"/>
              <w:jc w:val="center"/>
              <w:rPr>
                <w:rFonts w:asciiTheme="minorHAnsi" w:hAnsiTheme="minorHAnsi" w:cstheme="minorHAnsi"/>
                <w:szCs w:val="20"/>
              </w:rPr>
            </w:pPr>
          </w:p>
        </w:tc>
        <w:tc>
          <w:tcPr>
            <w:tcW w:w="1280" w:type="dxa"/>
            <w:tcBorders>
              <w:top w:val="nil"/>
              <w:left w:val="nil"/>
              <w:bottom w:val="nil"/>
              <w:right w:val="nil"/>
            </w:tcBorders>
            <w:shd w:val="clear" w:color="auto" w:fill="auto"/>
            <w:vAlign w:val="center"/>
          </w:tcPr>
          <w:p w14:paraId="7F7CB87B" w14:textId="77777777" w:rsidR="00776BB9" w:rsidRPr="00C73365" w:rsidRDefault="00776BB9" w:rsidP="00E10E3F">
            <w:pPr>
              <w:spacing w:after="0"/>
              <w:jc w:val="center"/>
              <w:rPr>
                <w:rFonts w:asciiTheme="minorHAnsi" w:hAnsiTheme="minorHAnsi" w:cstheme="minorHAnsi"/>
                <w:color w:val="000000"/>
                <w:sz w:val="22"/>
                <w:szCs w:val="22"/>
              </w:rPr>
            </w:pPr>
          </w:p>
        </w:tc>
      </w:tr>
      <w:tr w:rsidR="00776BB9" w:rsidRPr="00C73365" w14:paraId="09F1D36F" w14:textId="77777777" w:rsidTr="00E10E3F">
        <w:trPr>
          <w:trHeight w:val="290"/>
        </w:trPr>
        <w:tc>
          <w:tcPr>
            <w:tcW w:w="3427" w:type="dxa"/>
            <w:tcBorders>
              <w:top w:val="nil"/>
              <w:left w:val="nil"/>
              <w:bottom w:val="nil"/>
              <w:right w:val="nil"/>
            </w:tcBorders>
            <w:shd w:val="clear" w:color="auto" w:fill="auto"/>
            <w:noWrap/>
            <w:vAlign w:val="center"/>
            <w:hideMark/>
          </w:tcPr>
          <w:p w14:paraId="15927A21" w14:textId="77777777"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Production vendue</w:t>
            </w:r>
          </w:p>
        </w:tc>
        <w:tc>
          <w:tcPr>
            <w:tcW w:w="1280" w:type="dxa"/>
            <w:tcBorders>
              <w:top w:val="nil"/>
              <w:left w:val="nil"/>
              <w:bottom w:val="nil"/>
              <w:right w:val="nil"/>
            </w:tcBorders>
            <w:shd w:val="clear" w:color="auto" w:fill="auto"/>
            <w:noWrap/>
            <w:vAlign w:val="center"/>
            <w:hideMark/>
          </w:tcPr>
          <w:p w14:paraId="2F63EF86" w14:textId="77777777" w:rsidR="00776BB9" w:rsidRPr="00C73365" w:rsidRDefault="00776BB9" w:rsidP="00E10E3F">
            <w:pPr>
              <w:spacing w:after="0"/>
              <w:jc w:val="center"/>
              <w:rPr>
                <w:rFonts w:asciiTheme="minorHAnsi" w:hAnsiTheme="minorHAnsi" w:cstheme="minorHAnsi"/>
                <w:color w:val="000000"/>
                <w:szCs w:val="20"/>
              </w:rPr>
            </w:pPr>
          </w:p>
        </w:tc>
        <w:tc>
          <w:tcPr>
            <w:tcW w:w="1280" w:type="dxa"/>
            <w:tcBorders>
              <w:top w:val="nil"/>
              <w:left w:val="nil"/>
              <w:bottom w:val="nil"/>
              <w:right w:val="nil"/>
            </w:tcBorders>
            <w:shd w:val="clear" w:color="auto" w:fill="auto"/>
            <w:vAlign w:val="center"/>
            <w:hideMark/>
          </w:tcPr>
          <w:p w14:paraId="27E8AF9D" w14:textId="77777777" w:rsidR="00776BB9" w:rsidRPr="00C73365" w:rsidRDefault="00776BB9" w:rsidP="00E10E3F">
            <w:pPr>
              <w:spacing w:after="0"/>
              <w:jc w:val="center"/>
              <w:rPr>
                <w:rFonts w:asciiTheme="minorHAnsi" w:hAnsiTheme="minorHAnsi" w:cstheme="minorHAnsi"/>
                <w:szCs w:val="20"/>
              </w:rPr>
            </w:pPr>
          </w:p>
        </w:tc>
        <w:tc>
          <w:tcPr>
            <w:tcW w:w="1280" w:type="dxa"/>
            <w:tcBorders>
              <w:top w:val="nil"/>
              <w:left w:val="nil"/>
              <w:bottom w:val="nil"/>
              <w:right w:val="nil"/>
            </w:tcBorders>
            <w:shd w:val="clear" w:color="auto" w:fill="auto"/>
            <w:vAlign w:val="center"/>
          </w:tcPr>
          <w:p w14:paraId="24A5DBE6" w14:textId="77777777" w:rsidR="00776BB9" w:rsidRPr="00C73365" w:rsidRDefault="00776BB9" w:rsidP="00E10E3F">
            <w:pPr>
              <w:spacing w:after="0"/>
              <w:jc w:val="center"/>
              <w:rPr>
                <w:rFonts w:asciiTheme="minorHAnsi" w:hAnsiTheme="minorHAnsi" w:cstheme="minorHAnsi"/>
                <w:color w:val="000000"/>
                <w:sz w:val="22"/>
                <w:szCs w:val="22"/>
              </w:rPr>
            </w:pPr>
          </w:p>
        </w:tc>
      </w:tr>
      <w:tr w:rsidR="00776BB9" w:rsidRPr="00C73365" w14:paraId="6F9DA7D7" w14:textId="77777777" w:rsidTr="00E10E3F">
        <w:trPr>
          <w:trHeight w:val="290"/>
        </w:trPr>
        <w:tc>
          <w:tcPr>
            <w:tcW w:w="3427" w:type="dxa"/>
            <w:tcBorders>
              <w:top w:val="nil"/>
              <w:left w:val="nil"/>
              <w:bottom w:val="nil"/>
              <w:right w:val="nil"/>
            </w:tcBorders>
            <w:shd w:val="clear" w:color="auto" w:fill="auto"/>
            <w:noWrap/>
            <w:vAlign w:val="center"/>
            <w:hideMark/>
          </w:tcPr>
          <w:p w14:paraId="1D490ABD" w14:textId="77777777"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Subventions d’exploitation</w:t>
            </w:r>
          </w:p>
        </w:tc>
        <w:tc>
          <w:tcPr>
            <w:tcW w:w="1280" w:type="dxa"/>
            <w:tcBorders>
              <w:top w:val="nil"/>
              <w:left w:val="nil"/>
              <w:bottom w:val="nil"/>
              <w:right w:val="nil"/>
            </w:tcBorders>
            <w:shd w:val="clear" w:color="auto" w:fill="auto"/>
            <w:noWrap/>
            <w:vAlign w:val="center"/>
            <w:hideMark/>
          </w:tcPr>
          <w:p w14:paraId="162DBE18" w14:textId="77777777"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1280" w:type="dxa"/>
            <w:tcBorders>
              <w:top w:val="nil"/>
              <w:left w:val="nil"/>
              <w:bottom w:val="nil"/>
              <w:right w:val="nil"/>
            </w:tcBorders>
            <w:shd w:val="clear" w:color="auto" w:fill="auto"/>
            <w:noWrap/>
            <w:vAlign w:val="center"/>
            <w:hideMark/>
          </w:tcPr>
          <w:p w14:paraId="73E2527E" w14:textId="77777777"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24</w:t>
            </w:r>
          </w:p>
        </w:tc>
        <w:tc>
          <w:tcPr>
            <w:tcW w:w="1280" w:type="dxa"/>
            <w:tcBorders>
              <w:top w:val="nil"/>
              <w:left w:val="nil"/>
              <w:bottom w:val="nil"/>
              <w:right w:val="nil"/>
            </w:tcBorders>
            <w:shd w:val="clear" w:color="auto" w:fill="auto"/>
            <w:vAlign w:val="center"/>
            <w:hideMark/>
          </w:tcPr>
          <w:p w14:paraId="4C839951" w14:textId="77777777"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323</w:t>
            </w:r>
          </w:p>
        </w:tc>
      </w:tr>
      <w:tr w:rsidR="00776BB9" w:rsidRPr="00C73365" w14:paraId="1182336C" w14:textId="77777777" w:rsidTr="00E10E3F">
        <w:trPr>
          <w:trHeight w:val="290"/>
        </w:trPr>
        <w:tc>
          <w:tcPr>
            <w:tcW w:w="3427" w:type="dxa"/>
            <w:tcBorders>
              <w:top w:val="nil"/>
              <w:left w:val="nil"/>
              <w:bottom w:val="single" w:sz="8" w:space="0" w:color="7030A0"/>
              <w:right w:val="nil"/>
            </w:tcBorders>
            <w:shd w:val="clear" w:color="auto" w:fill="auto"/>
            <w:noWrap/>
            <w:vAlign w:val="center"/>
            <w:hideMark/>
          </w:tcPr>
          <w:p w14:paraId="0E3CE722" w14:textId="77777777"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Autres produits</w:t>
            </w:r>
          </w:p>
        </w:tc>
        <w:tc>
          <w:tcPr>
            <w:tcW w:w="1280" w:type="dxa"/>
            <w:tcBorders>
              <w:top w:val="nil"/>
              <w:left w:val="nil"/>
              <w:bottom w:val="single" w:sz="8" w:space="0" w:color="7030A0"/>
              <w:right w:val="nil"/>
            </w:tcBorders>
            <w:shd w:val="clear" w:color="auto" w:fill="auto"/>
            <w:vAlign w:val="center"/>
            <w:hideMark/>
          </w:tcPr>
          <w:p w14:paraId="517BB8ED" w14:textId="77777777" w:rsidR="00776BB9" w:rsidRPr="00C73365" w:rsidRDefault="00870838"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80" w:type="dxa"/>
            <w:tcBorders>
              <w:top w:val="nil"/>
              <w:left w:val="nil"/>
              <w:bottom w:val="single" w:sz="8" w:space="0" w:color="7030A0"/>
              <w:right w:val="nil"/>
            </w:tcBorders>
            <w:shd w:val="clear" w:color="auto" w:fill="auto"/>
            <w:vAlign w:val="center"/>
            <w:hideMark/>
          </w:tcPr>
          <w:p w14:paraId="12723112" w14:textId="77777777"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127</w:t>
            </w:r>
          </w:p>
        </w:tc>
        <w:tc>
          <w:tcPr>
            <w:tcW w:w="1280" w:type="dxa"/>
            <w:tcBorders>
              <w:top w:val="nil"/>
              <w:left w:val="nil"/>
              <w:bottom w:val="single" w:sz="8" w:space="0" w:color="7030A0"/>
              <w:right w:val="nil"/>
            </w:tcBorders>
            <w:shd w:val="clear" w:color="auto" w:fill="auto"/>
            <w:vAlign w:val="center"/>
            <w:hideMark/>
          </w:tcPr>
          <w:p w14:paraId="41D13244" w14:textId="77777777"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-117</w:t>
            </w:r>
          </w:p>
        </w:tc>
      </w:tr>
      <w:tr w:rsidR="00776BB9" w:rsidRPr="00C73365" w14:paraId="74F8C217" w14:textId="77777777" w:rsidTr="00E10E3F">
        <w:trPr>
          <w:trHeight w:val="290"/>
        </w:trPr>
        <w:tc>
          <w:tcPr>
            <w:tcW w:w="3427" w:type="dxa"/>
            <w:tcBorders>
              <w:top w:val="nil"/>
              <w:left w:val="nil"/>
              <w:bottom w:val="single" w:sz="8" w:space="0" w:color="7030A0"/>
              <w:right w:val="nil"/>
            </w:tcBorders>
            <w:shd w:val="clear" w:color="auto" w:fill="auto"/>
            <w:noWrap/>
            <w:vAlign w:val="center"/>
            <w:hideMark/>
          </w:tcPr>
          <w:p w14:paraId="4AFB6C1C" w14:textId="77777777" w:rsidR="00776BB9" w:rsidRPr="00C73365" w:rsidRDefault="00776BB9" w:rsidP="00A96CCA">
            <w:pPr>
              <w:spacing w:after="0"/>
              <w:rPr>
                <w:rFonts w:asciiTheme="minorHAnsi" w:hAnsiTheme="minorHAnsi" w:cstheme="minorHAnsi"/>
                <w:b/>
                <w:bCs/>
                <w:color w:val="7030A0"/>
                <w:szCs w:val="20"/>
                <w:lang w:val="fr-FR"/>
              </w:rPr>
            </w:pPr>
            <w:r w:rsidRPr="00C73365">
              <w:rPr>
                <w:rFonts w:asciiTheme="minorHAnsi" w:hAnsiTheme="minorHAnsi" w:cstheme="minorHAnsi"/>
                <w:b/>
                <w:bCs/>
                <w:color w:val="7030A0"/>
                <w:szCs w:val="20"/>
                <w:lang w:val="fr-FR"/>
              </w:rPr>
              <w:t>Total produits d</w:t>
            </w:r>
            <w:r w:rsidR="004572A0" w:rsidRPr="00C73365">
              <w:rPr>
                <w:rFonts w:asciiTheme="minorHAnsi" w:hAnsiTheme="minorHAnsi" w:cstheme="minorHAnsi"/>
                <w:b/>
                <w:bCs/>
                <w:color w:val="7030A0"/>
                <w:szCs w:val="20"/>
                <w:lang w:val="fr-FR"/>
              </w:rPr>
              <w:t>’</w:t>
            </w:r>
            <w:r w:rsidRPr="00C73365">
              <w:rPr>
                <w:rFonts w:asciiTheme="minorHAnsi" w:hAnsiTheme="minorHAnsi" w:cstheme="minorHAnsi"/>
                <w:b/>
                <w:bCs/>
                <w:color w:val="7030A0"/>
                <w:szCs w:val="20"/>
                <w:lang w:val="fr-FR"/>
              </w:rPr>
              <w:t>exploitation</w:t>
            </w:r>
          </w:p>
        </w:tc>
        <w:tc>
          <w:tcPr>
            <w:tcW w:w="1280" w:type="dxa"/>
            <w:tcBorders>
              <w:top w:val="nil"/>
              <w:left w:val="nil"/>
              <w:bottom w:val="single" w:sz="8" w:space="0" w:color="7030A0"/>
              <w:right w:val="nil"/>
            </w:tcBorders>
            <w:shd w:val="clear" w:color="auto" w:fill="auto"/>
            <w:vAlign w:val="center"/>
            <w:hideMark/>
          </w:tcPr>
          <w:p w14:paraId="2A6F38A7" w14:textId="77777777"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357</w:t>
            </w:r>
          </w:p>
        </w:tc>
        <w:tc>
          <w:tcPr>
            <w:tcW w:w="1280" w:type="dxa"/>
            <w:tcBorders>
              <w:top w:val="nil"/>
              <w:left w:val="nil"/>
              <w:bottom w:val="single" w:sz="8" w:space="0" w:color="7030A0"/>
              <w:right w:val="nil"/>
            </w:tcBorders>
            <w:shd w:val="clear" w:color="auto" w:fill="auto"/>
            <w:vAlign w:val="center"/>
            <w:hideMark/>
          </w:tcPr>
          <w:p w14:paraId="07DD2747" w14:textId="77777777"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151</w:t>
            </w:r>
          </w:p>
        </w:tc>
        <w:tc>
          <w:tcPr>
            <w:tcW w:w="1280" w:type="dxa"/>
            <w:tcBorders>
              <w:top w:val="nil"/>
              <w:left w:val="nil"/>
              <w:bottom w:val="single" w:sz="8" w:space="0" w:color="7030A0"/>
              <w:right w:val="nil"/>
            </w:tcBorders>
            <w:shd w:val="clear" w:color="auto" w:fill="auto"/>
            <w:vAlign w:val="center"/>
            <w:hideMark/>
          </w:tcPr>
          <w:p w14:paraId="4A3882A5" w14:textId="77777777"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206</w:t>
            </w:r>
          </w:p>
        </w:tc>
      </w:tr>
    </w:tbl>
    <w:p w14:paraId="063AD782" w14:textId="77777777" w:rsidR="00776BB9" w:rsidRPr="00C73365" w:rsidRDefault="00776BB9">
      <w:pPr>
        <w:rPr>
          <w:rFonts w:asciiTheme="minorHAnsi" w:hAnsiTheme="minorHAnsi" w:cstheme="minorHAnsi"/>
          <w:szCs w:val="22"/>
          <w:lang w:val="fr-FR"/>
        </w:rPr>
      </w:pPr>
    </w:p>
    <w:p w14:paraId="1A6A401D" w14:textId="77777777" w:rsidR="00776BB9" w:rsidRPr="00C73365" w:rsidRDefault="00776BB9" w:rsidP="004572A0">
      <w:pPr>
        <w:rPr>
          <w:rFonts w:asciiTheme="minorHAnsi" w:hAnsiTheme="minorHAnsi" w:cstheme="minorHAnsi"/>
          <w:lang w:val="fr-FR"/>
        </w:rPr>
      </w:pPr>
      <w:r w:rsidRPr="00C73365">
        <w:rPr>
          <w:rFonts w:asciiTheme="minorHAnsi" w:hAnsiTheme="minorHAnsi" w:cstheme="minorHAnsi"/>
          <w:lang w:val="fr-FR"/>
        </w:rPr>
        <w:t xml:space="preserve">Compte tenu du stade amont de ses projets, la Société n’a pas généré de chiffre d’affaires sur l’exercice. </w:t>
      </w:r>
    </w:p>
    <w:p w14:paraId="792A609D" w14:textId="77777777" w:rsidR="00776BB9" w:rsidRPr="00C73365" w:rsidRDefault="00776BB9" w:rsidP="004572A0">
      <w:pPr>
        <w:rPr>
          <w:rFonts w:asciiTheme="minorHAnsi" w:hAnsiTheme="minorHAnsi" w:cstheme="minorHAnsi"/>
          <w:b/>
          <w:lang w:val="fr-FR"/>
        </w:rPr>
      </w:pPr>
      <w:r w:rsidRPr="00C73365">
        <w:rPr>
          <w:rFonts w:asciiTheme="minorHAnsi" w:hAnsiTheme="minorHAnsi" w:cstheme="minorHAnsi"/>
          <w:b/>
          <w:lang w:val="fr-FR"/>
        </w:rPr>
        <w:t>Subventions d’exploitation</w:t>
      </w:r>
    </w:p>
    <w:p w14:paraId="69C95D32" w14:textId="77777777" w:rsidR="00776BB9" w:rsidRPr="00C73365" w:rsidRDefault="00776BB9" w:rsidP="004572A0">
      <w:pPr>
        <w:rPr>
          <w:rFonts w:asciiTheme="minorHAnsi" w:hAnsiTheme="minorHAnsi" w:cstheme="minorHAnsi"/>
          <w:lang w:val="fr-FR"/>
        </w:rPr>
      </w:pPr>
      <w:r w:rsidRPr="00C73365">
        <w:rPr>
          <w:rFonts w:asciiTheme="minorHAnsi" w:hAnsiTheme="minorHAnsi" w:cstheme="minorHAnsi"/>
          <w:lang w:val="fr-FR"/>
        </w:rPr>
        <w:t>Les subventions qui figurent au compte de résultat dépendent de l’avancement d</w:t>
      </w:r>
      <w:r w:rsidR="007C6805" w:rsidRPr="00C73365">
        <w:rPr>
          <w:rFonts w:asciiTheme="minorHAnsi" w:hAnsiTheme="minorHAnsi" w:cstheme="minorHAnsi"/>
          <w:lang w:val="fr-FR"/>
        </w:rPr>
        <w:t>es</w:t>
      </w:r>
      <w:r w:rsidRPr="00C73365">
        <w:rPr>
          <w:rFonts w:asciiTheme="minorHAnsi" w:hAnsiTheme="minorHAnsi" w:cstheme="minorHAnsi"/>
          <w:lang w:val="fr-FR"/>
        </w:rPr>
        <w:t xml:space="preserve"> projet</w:t>
      </w:r>
      <w:r w:rsidR="007C6805" w:rsidRPr="00C73365">
        <w:rPr>
          <w:rFonts w:asciiTheme="minorHAnsi" w:hAnsiTheme="minorHAnsi" w:cstheme="minorHAnsi"/>
          <w:lang w:val="fr-FR"/>
        </w:rPr>
        <w:t>s</w:t>
      </w:r>
      <w:r w:rsidRPr="00C73365">
        <w:rPr>
          <w:rFonts w:asciiTheme="minorHAnsi" w:hAnsiTheme="minorHAnsi" w:cstheme="minorHAnsi"/>
          <w:lang w:val="fr-FR"/>
        </w:rPr>
        <w:t>.</w:t>
      </w:r>
    </w:p>
    <w:p w14:paraId="6D09323C" w14:textId="77777777" w:rsidR="007C6805"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 fin 2017, la Société a reçu de la part de la </w:t>
      </w:r>
      <w:r w:rsidR="001479F8">
        <w:rPr>
          <w:rFonts w:asciiTheme="minorHAnsi" w:hAnsiTheme="minorHAnsi" w:cstheme="minorHAnsi"/>
          <w:lang w:val="fr-FR"/>
        </w:rPr>
        <w:t>Bpifrance</w:t>
      </w:r>
      <w:r w:rsidRPr="00C73365">
        <w:rPr>
          <w:rFonts w:asciiTheme="minorHAnsi" w:hAnsiTheme="minorHAnsi" w:cstheme="minorHAnsi"/>
          <w:lang w:val="fr-FR"/>
        </w:rPr>
        <w:t xml:space="preserve"> une subvention de 347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du premier versement dans le cadre d’un « Projet R&amp;D Structurant Pour la Compétitivité </w:t>
      </w:r>
      <w:r w:rsidR="00075FE4" w:rsidRPr="00C73365">
        <w:rPr>
          <w:rFonts w:asciiTheme="minorHAnsi" w:hAnsiTheme="minorHAnsi" w:cstheme="minorHAnsi"/>
          <w:lang w:val="fr-FR"/>
        </w:rPr>
        <w:t>RNP-VIR</w:t>
      </w:r>
      <w:r w:rsidRPr="00C73365">
        <w:rPr>
          <w:rFonts w:asciiTheme="minorHAnsi" w:hAnsiTheme="minorHAnsi" w:cstheme="minorHAnsi"/>
          <w:lang w:val="fr-FR"/>
        </w:rPr>
        <w:t>» (PSPC) du programme d’investissement d’avenir (PIA).</w:t>
      </w:r>
      <w:r w:rsidR="007C6805" w:rsidRPr="00C73365">
        <w:rPr>
          <w:rFonts w:asciiTheme="minorHAnsi" w:hAnsiTheme="minorHAnsi" w:cstheme="minorHAnsi"/>
          <w:lang w:val="fr-FR"/>
        </w:rPr>
        <w:t xml:space="preserve"> Le projet RN-VIR-vise à approfondir les méthodes de découverte de nouvelles molécules traitant de multiples maladies infectieuses comme le Virus Respiratoire Syncitial (RSV) par le développement de la plateforme technologique antivirale</w:t>
      </w:r>
      <w:r w:rsidR="007C6805" w:rsidRPr="00C73365">
        <w:rPr>
          <w:rFonts w:asciiTheme="minorHAnsi" w:hAnsiTheme="minorHAnsi" w:cstheme="minorHAnsi"/>
          <w:highlight w:val="lightGray"/>
          <w:lang w:val="fr-FR"/>
        </w:rPr>
        <w:t>.</w:t>
      </w:r>
      <w:r w:rsidR="007C6805" w:rsidRPr="00C73365">
        <w:rPr>
          <w:rFonts w:asciiTheme="minorHAnsi" w:hAnsiTheme="minorHAnsi" w:cstheme="minorHAnsi"/>
          <w:lang w:val="fr-FR"/>
        </w:rPr>
        <w:t xml:space="preserve"> </w:t>
      </w:r>
    </w:p>
    <w:p w14:paraId="14D9174B" w14:textId="77777777" w:rsidR="00776BB9" w:rsidRPr="00C73365" w:rsidRDefault="00776BB9"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Autres produits </w:t>
      </w:r>
    </w:p>
    <w:p w14:paraId="675F5682" w14:textId="77777777" w:rsidR="00DC05E5" w:rsidRPr="00C73365" w:rsidRDefault="00DC05E5" w:rsidP="004572A0">
      <w:pPr>
        <w:pStyle w:val="Corpsdetexte"/>
        <w:rPr>
          <w:rFonts w:asciiTheme="minorHAnsi" w:hAnsiTheme="minorHAnsi" w:cstheme="minorHAnsi"/>
          <w:lang w:val="fr-FR"/>
        </w:rPr>
      </w:pPr>
      <w:r w:rsidRPr="00C73365">
        <w:rPr>
          <w:rFonts w:asciiTheme="minorHAnsi" w:hAnsiTheme="minorHAnsi" w:cstheme="minorHAnsi"/>
          <w:lang w:val="fr-FR"/>
        </w:rPr>
        <w:t>En 2017, l</w:t>
      </w:r>
      <w:r w:rsidR="008934DC" w:rsidRPr="00C73365">
        <w:rPr>
          <w:rFonts w:asciiTheme="minorHAnsi" w:hAnsiTheme="minorHAnsi" w:cstheme="minorHAnsi"/>
          <w:lang w:val="fr-FR"/>
        </w:rPr>
        <w:t xml:space="preserve">es autres produits correspondent </w:t>
      </w:r>
      <w:r w:rsidR="00870838" w:rsidRPr="00C73365">
        <w:rPr>
          <w:rFonts w:asciiTheme="minorHAnsi" w:hAnsiTheme="minorHAnsi" w:cstheme="minorHAnsi"/>
          <w:lang w:val="fr-FR"/>
        </w:rPr>
        <w:t>principalement au</w:t>
      </w:r>
      <w:r w:rsidR="005E5CCF" w:rsidRPr="00C73365">
        <w:rPr>
          <w:rFonts w:asciiTheme="minorHAnsi" w:hAnsiTheme="minorHAnsi" w:cstheme="minorHAnsi"/>
          <w:lang w:val="fr-FR"/>
        </w:rPr>
        <w:t>x</w:t>
      </w:r>
      <w:r w:rsidR="00870838" w:rsidRPr="00C73365">
        <w:rPr>
          <w:rFonts w:asciiTheme="minorHAnsi" w:hAnsiTheme="minorHAnsi" w:cstheme="minorHAnsi"/>
          <w:lang w:val="fr-FR"/>
        </w:rPr>
        <w:t xml:space="preserve"> transferts de charges d’exploitation</w:t>
      </w:r>
      <w:r w:rsidR="005E5CCF" w:rsidRPr="00C73365">
        <w:rPr>
          <w:rFonts w:asciiTheme="minorHAnsi" w:hAnsiTheme="minorHAnsi" w:cstheme="minorHAnsi"/>
          <w:lang w:val="fr-FR"/>
        </w:rPr>
        <w:t xml:space="preserve"> (9</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en 2017, 12 </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en 2016)</w:t>
      </w:r>
      <w:r w:rsidR="007C6805" w:rsidRPr="00C73365">
        <w:rPr>
          <w:rFonts w:asciiTheme="minorHAnsi" w:hAnsiTheme="minorHAnsi" w:cstheme="minorHAnsi"/>
          <w:lang w:val="fr-FR"/>
        </w:rPr>
        <w:t>.</w:t>
      </w:r>
    </w:p>
    <w:p w14:paraId="4F86B741" w14:textId="77777777" w:rsidR="00DC05E5" w:rsidRPr="00C73365" w:rsidRDefault="00DC05E5" w:rsidP="004572A0">
      <w:pPr>
        <w:pStyle w:val="Corpsdetexte"/>
        <w:rPr>
          <w:rFonts w:asciiTheme="minorHAnsi" w:hAnsiTheme="minorHAnsi" w:cstheme="minorHAnsi"/>
          <w:lang w:val="fr-FR"/>
        </w:rPr>
      </w:pPr>
      <w:r w:rsidRPr="00C73365">
        <w:rPr>
          <w:rFonts w:asciiTheme="minorHAnsi" w:hAnsiTheme="minorHAnsi" w:cstheme="minorHAnsi"/>
          <w:lang w:val="fr-FR"/>
        </w:rPr>
        <w:t>En 2016,</w:t>
      </w:r>
      <w:r w:rsidR="005E5CCF" w:rsidRPr="00C73365">
        <w:rPr>
          <w:rFonts w:asciiTheme="minorHAnsi" w:hAnsiTheme="minorHAnsi" w:cstheme="minorHAnsi"/>
          <w:lang w:val="fr-FR"/>
        </w:rPr>
        <w:t xml:space="preserve"> le montant principal des autres produits d’exploitations correspond à une reprise sur provision lié à un </w:t>
      </w:r>
      <w:r w:rsidRPr="00C73365">
        <w:rPr>
          <w:rFonts w:asciiTheme="minorHAnsi" w:hAnsiTheme="minorHAnsi" w:cstheme="minorHAnsi"/>
          <w:lang w:val="fr-FR"/>
        </w:rPr>
        <w:t xml:space="preserve">contrat avec l’INRA pour un montant de collaboration </w:t>
      </w:r>
      <w:r w:rsidR="005E5CCF" w:rsidRPr="00C73365">
        <w:rPr>
          <w:rFonts w:asciiTheme="minorHAnsi" w:hAnsiTheme="minorHAnsi" w:cstheme="minorHAnsi"/>
          <w:lang w:val="fr-FR"/>
        </w:rPr>
        <w:t xml:space="preserve">de </w:t>
      </w:r>
      <w:r w:rsidRPr="00C73365">
        <w:rPr>
          <w:rFonts w:asciiTheme="minorHAnsi" w:hAnsiTheme="minorHAnsi" w:cstheme="minorHAnsi"/>
          <w:lang w:val="fr-FR"/>
        </w:rPr>
        <w:t xml:space="preserve">110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La provision </w:t>
      </w:r>
      <w:r w:rsidR="005E5CCF" w:rsidRPr="00C73365">
        <w:rPr>
          <w:rFonts w:asciiTheme="minorHAnsi" w:hAnsiTheme="minorHAnsi" w:cstheme="minorHAnsi"/>
          <w:lang w:val="fr-FR"/>
        </w:rPr>
        <w:t xml:space="preserve">de 110 </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w:t>
      </w:r>
      <w:r w:rsidRPr="00C73365">
        <w:rPr>
          <w:rFonts w:asciiTheme="minorHAnsi" w:hAnsiTheme="minorHAnsi" w:cstheme="minorHAnsi"/>
          <w:lang w:val="fr-FR"/>
        </w:rPr>
        <w:t>qui avait été créée à fin 2015 pour couvrir cette charge a donc été entièrement reprise. Cette reprise apparait en autres produits.</w:t>
      </w:r>
      <w:r w:rsidR="005E5CCF" w:rsidRPr="00C73365">
        <w:rPr>
          <w:rFonts w:asciiTheme="minorHAnsi" w:hAnsiTheme="minorHAnsi" w:cstheme="minorHAnsi"/>
          <w:lang w:val="fr-FR"/>
        </w:rPr>
        <w:t xml:space="preserve"> Les autres montants sont des produits de gestion courantes</w:t>
      </w:r>
      <w:r w:rsidR="007C6805" w:rsidRPr="00C73365">
        <w:rPr>
          <w:rFonts w:asciiTheme="minorHAnsi" w:hAnsiTheme="minorHAnsi" w:cstheme="minorHAnsi"/>
          <w:lang w:val="fr-FR"/>
        </w:rPr>
        <w:t xml:space="preserve"> (1</w:t>
      </w:r>
      <w:r w:rsidR="00EF089C" w:rsidRPr="00C73365">
        <w:rPr>
          <w:rFonts w:asciiTheme="minorHAnsi" w:hAnsiTheme="minorHAnsi" w:cstheme="minorHAnsi"/>
          <w:lang w:val="fr-FR"/>
        </w:rPr>
        <w:t>K€</w:t>
      </w:r>
      <w:r w:rsidR="007C6805" w:rsidRPr="00C73365">
        <w:rPr>
          <w:rFonts w:asciiTheme="minorHAnsi" w:hAnsiTheme="minorHAnsi" w:cstheme="minorHAnsi"/>
          <w:lang w:val="fr-FR"/>
        </w:rPr>
        <w:t xml:space="preserve"> en 2017 et 5 </w:t>
      </w:r>
      <w:r w:rsidR="00EF089C" w:rsidRPr="00C73365">
        <w:rPr>
          <w:rFonts w:asciiTheme="minorHAnsi" w:hAnsiTheme="minorHAnsi" w:cstheme="minorHAnsi"/>
          <w:lang w:val="fr-FR"/>
        </w:rPr>
        <w:t>K€</w:t>
      </w:r>
      <w:r w:rsidR="007C6805" w:rsidRPr="00C73365">
        <w:rPr>
          <w:rFonts w:asciiTheme="minorHAnsi" w:hAnsiTheme="minorHAnsi" w:cstheme="minorHAnsi"/>
          <w:lang w:val="fr-FR"/>
        </w:rPr>
        <w:t xml:space="preserve"> en 2016)</w:t>
      </w:r>
      <w:r w:rsidR="005E5CCF" w:rsidRPr="00C73365">
        <w:rPr>
          <w:rFonts w:asciiTheme="minorHAnsi" w:hAnsiTheme="minorHAnsi" w:cstheme="minorHAnsi"/>
          <w:lang w:val="fr-FR"/>
        </w:rPr>
        <w:t>.</w:t>
      </w:r>
    </w:p>
    <w:p w14:paraId="7E312661" w14:textId="77777777" w:rsidR="00776BB9" w:rsidRPr="00C73365" w:rsidRDefault="00776BB9">
      <w:pPr>
        <w:rPr>
          <w:rFonts w:asciiTheme="minorHAnsi" w:hAnsiTheme="minorHAnsi" w:cstheme="minorHAnsi"/>
          <w:szCs w:val="20"/>
          <w:lang w:val="fr-FR"/>
        </w:rPr>
      </w:pPr>
      <w:r w:rsidRPr="00C73365">
        <w:rPr>
          <w:rFonts w:asciiTheme="minorHAnsi" w:hAnsiTheme="minorHAnsi" w:cstheme="minorHAnsi"/>
          <w:szCs w:val="20"/>
          <w:lang w:val="fr-FR"/>
        </w:rPr>
        <w:br w:type="page"/>
      </w:r>
    </w:p>
    <w:p w14:paraId="3E9A5B6A" w14:textId="77777777" w:rsidR="00776BB9" w:rsidRPr="00C73365" w:rsidRDefault="00776BB9" w:rsidP="00616826">
      <w:pPr>
        <w:pStyle w:val="Paragraphedeliste"/>
        <w:numPr>
          <w:ilvl w:val="2"/>
          <w:numId w:val="9"/>
        </w:numPr>
        <w:spacing w:after="0"/>
        <w:outlineLvl w:val="2"/>
        <w:rPr>
          <w:rFonts w:asciiTheme="minorHAnsi" w:hAnsiTheme="minorHAnsi" w:cstheme="minorHAnsi"/>
          <w:b/>
          <w:color w:val="7030A0"/>
          <w:szCs w:val="22"/>
          <w:lang w:val="fr-FR"/>
        </w:rPr>
      </w:pPr>
      <w:bookmarkStart w:id="360" w:name="_Toc400469546"/>
      <w:r w:rsidRPr="00C73365">
        <w:rPr>
          <w:rFonts w:asciiTheme="minorHAnsi" w:hAnsiTheme="minorHAnsi" w:cstheme="minorHAnsi"/>
          <w:b/>
          <w:color w:val="7030A0"/>
          <w:szCs w:val="22"/>
          <w:lang w:val="fr-FR"/>
        </w:rPr>
        <w:lastRenderedPageBreak/>
        <w:t xml:space="preserve">Charges </w:t>
      </w:r>
      <w:bookmarkEnd w:id="360"/>
      <w:r w:rsidRPr="00C73365">
        <w:rPr>
          <w:rFonts w:asciiTheme="minorHAnsi" w:hAnsiTheme="minorHAnsi" w:cstheme="minorHAnsi"/>
          <w:b/>
          <w:color w:val="7030A0"/>
          <w:szCs w:val="22"/>
          <w:lang w:val="fr-FR"/>
        </w:rPr>
        <w:t>opérationnelles nettes par nature :</w:t>
      </w:r>
    </w:p>
    <w:p w14:paraId="42B1B4DE" w14:textId="77777777" w:rsidR="00776BB9" w:rsidRPr="00C73365" w:rsidRDefault="00776BB9" w:rsidP="00A96CCA">
      <w:pPr>
        <w:pStyle w:val="ConmainL3"/>
        <w:keepLines/>
        <w:tabs>
          <w:tab w:val="clear" w:pos="360"/>
        </w:tabs>
        <w:spacing w:after="120"/>
        <w:outlineLvl w:val="9"/>
        <w:rPr>
          <w:rFonts w:asciiTheme="minorHAnsi" w:hAnsiTheme="minorHAnsi" w:cstheme="minorHAnsi"/>
          <w:b/>
          <w:color w:val="7030A0"/>
          <w:lang w:val="fr-FR"/>
        </w:rPr>
      </w:pPr>
    </w:p>
    <w:tbl>
      <w:tblPr>
        <w:tblW w:w="8322" w:type="dxa"/>
        <w:tblInd w:w="662" w:type="dxa"/>
        <w:tblLayout w:type="fixed"/>
        <w:tblCellMar>
          <w:left w:w="70" w:type="dxa"/>
          <w:right w:w="70" w:type="dxa"/>
        </w:tblCellMar>
        <w:tblLook w:val="04A0" w:firstRow="1" w:lastRow="0" w:firstColumn="1" w:lastColumn="0" w:noHBand="0" w:noVBand="1"/>
      </w:tblPr>
      <w:tblGrid>
        <w:gridCol w:w="4303"/>
        <w:gridCol w:w="1549"/>
        <w:gridCol w:w="1328"/>
        <w:gridCol w:w="1142"/>
      </w:tblGrid>
      <w:tr w:rsidR="00776BB9" w:rsidRPr="00C73365" w14:paraId="24F22A8B" w14:textId="77777777" w:rsidTr="00321ED7">
        <w:trPr>
          <w:trHeight w:val="253"/>
        </w:trPr>
        <w:tc>
          <w:tcPr>
            <w:tcW w:w="4303" w:type="dxa"/>
            <w:tcBorders>
              <w:top w:val="single" w:sz="12" w:space="0" w:color="7030A0"/>
              <w:left w:val="nil"/>
              <w:bottom w:val="nil"/>
              <w:right w:val="nil"/>
            </w:tcBorders>
            <w:shd w:val="clear" w:color="auto" w:fill="auto"/>
            <w:vAlign w:val="center"/>
            <w:hideMark/>
          </w:tcPr>
          <w:p w14:paraId="36748DCD" w14:textId="77777777"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549" w:type="dxa"/>
            <w:vMerge w:val="restart"/>
            <w:tcBorders>
              <w:top w:val="single" w:sz="12" w:space="0" w:color="7030A0"/>
              <w:left w:val="nil"/>
              <w:bottom w:val="single" w:sz="8" w:space="0" w:color="7030A0"/>
              <w:right w:val="nil"/>
            </w:tcBorders>
            <w:shd w:val="clear" w:color="auto" w:fill="auto"/>
            <w:noWrap/>
            <w:vAlign w:val="center"/>
            <w:hideMark/>
          </w:tcPr>
          <w:p w14:paraId="3070D38E" w14:textId="77777777"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28" w:type="dxa"/>
            <w:vMerge w:val="restart"/>
            <w:tcBorders>
              <w:top w:val="single" w:sz="12" w:space="0" w:color="7030A0"/>
              <w:left w:val="nil"/>
              <w:bottom w:val="single" w:sz="8" w:space="0" w:color="7030A0"/>
              <w:right w:val="nil"/>
            </w:tcBorders>
            <w:shd w:val="clear" w:color="auto" w:fill="auto"/>
            <w:vAlign w:val="center"/>
            <w:hideMark/>
          </w:tcPr>
          <w:p w14:paraId="7370BF81"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42" w:type="dxa"/>
            <w:vMerge w:val="restart"/>
            <w:tcBorders>
              <w:top w:val="single" w:sz="12" w:space="0" w:color="7030A0"/>
              <w:left w:val="nil"/>
              <w:bottom w:val="single" w:sz="8" w:space="0" w:color="7030A0"/>
              <w:right w:val="nil"/>
            </w:tcBorders>
            <w:shd w:val="clear" w:color="auto" w:fill="auto"/>
            <w:vAlign w:val="center"/>
            <w:hideMark/>
          </w:tcPr>
          <w:p w14:paraId="476FBEA9"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776BB9" w:rsidRPr="00C73365" w14:paraId="1DED8C4C" w14:textId="77777777" w:rsidTr="00321ED7">
        <w:trPr>
          <w:trHeight w:val="253"/>
        </w:trPr>
        <w:tc>
          <w:tcPr>
            <w:tcW w:w="4303" w:type="dxa"/>
            <w:tcBorders>
              <w:top w:val="nil"/>
              <w:left w:val="nil"/>
              <w:bottom w:val="single" w:sz="8" w:space="0" w:color="7030A0"/>
              <w:right w:val="nil"/>
            </w:tcBorders>
            <w:shd w:val="clear" w:color="auto" w:fill="auto"/>
            <w:vAlign w:val="center"/>
            <w:hideMark/>
          </w:tcPr>
          <w:p w14:paraId="7956E578"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49" w:type="dxa"/>
            <w:vMerge/>
            <w:tcBorders>
              <w:top w:val="single" w:sz="12" w:space="0" w:color="7030A0"/>
              <w:left w:val="nil"/>
              <w:bottom w:val="single" w:sz="8" w:space="0" w:color="7030A0"/>
              <w:right w:val="nil"/>
            </w:tcBorders>
            <w:shd w:val="clear" w:color="auto" w:fill="auto"/>
            <w:vAlign w:val="center"/>
            <w:hideMark/>
          </w:tcPr>
          <w:p w14:paraId="15AE17AB" w14:textId="77777777" w:rsidR="00776BB9" w:rsidRPr="00C73365" w:rsidRDefault="00776BB9" w:rsidP="00A96CCA">
            <w:pPr>
              <w:spacing w:after="0"/>
              <w:rPr>
                <w:rFonts w:asciiTheme="minorHAnsi" w:hAnsiTheme="minorHAnsi" w:cstheme="minorHAnsi"/>
                <w:b/>
                <w:bCs/>
                <w:color w:val="7030A0"/>
                <w:szCs w:val="20"/>
                <w:lang w:val="fr-FR" w:eastAsia="fr-FR"/>
              </w:rPr>
            </w:pPr>
          </w:p>
        </w:tc>
        <w:tc>
          <w:tcPr>
            <w:tcW w:w="1328" w:type="dxa"/>
            <w:vMerge/>
            <w:tcBorders>
              <w:top w:val="single" w:sz="12" w:space="0" w:color="7030A0"/>
              <w:left w:val="nil"/>
              <w:bottom w:val="single" w:sz="8" w:space="0" w:color="7030A0"/>
              <w:right w:val="nil"/>
            </w:tcBorders>
            <w:shd w:val="clear" w:color="auto" w:fill="auto"/>
            <w:vAlign w:val="center"/>
            <w:hideMark/>
          </w:tcPr>
          <w:p w14:paraId="52CEC453" w14:textId="77777777" w:rsidR="00776BB9" w:rsidRPr="00C73365" w:rsidRDefault="00776BB9" w:rsidP="00A96CCA">
            <w:pPr>
              <w:spacing w:after="0"/>
              <w:rPr>
                <w:rFonts w:asciiTheme="minorHAnsi" w:hAnsiTheme="minorHAnsi" w:cstheme="minorHAnsi"/>
                <w:b/>
                <w:bCs/>
                <w:color w:val="000000"/>
                <w:szCs w:val="20"/>
                <w:lang w:val="fr-FR" w:eastAsia="fr-FR"/>
              </w:rPr>
            </w:pPr>
          </w:p>
        </w:tc>
        <w:tc>
          <w:tcPr>
            <w:tcW w:w="1142" w:type="dxa"/>
            <w:vMerge/>
            <w:tcBorders>
              <w:top w:val="single" w:sz="12" w:space="0" w:color="7030A0"/>
              <w:left w:val="nil"/>
              <w:bottom w:val="single" w:sz="8" w:space="0" w:color="7030A0"/>
              <w:right w:val="nil"/>
            </w:tcBorders>
            <w:shd w:val="clear" w:color="auto" w:fill="auto"/>
            <w:vAlign w:val="center"/>
            <w:hideMark/>
          </w:tcPr>
          <w:p w14:paraId="614E8FBF" w14:textId="77777777" w:rsidR="00776BB9" w:rsidRPr="00C73365" w:rsidRDefault="00776BB9" w:rsidP="00A96CCA">
            <w:pPr>
              <w:spacing w:after="0"/>
              <w:rPr>
                <w:rFonts w:asciiTheme="minorHAnsi" w:hAnsiTheme="minorHAnsi" w:cstheme="minorHAnsi"/>
                <w:b/>
                <w:bCs/>
                <w:color w:val="000000"/>
                <w:szCs w:val="20"/>
                <w:lang w:val="fr-FR" w:eastAsia="fr-FR"/>
              </w:rPr>
            </w:pPr>
          </w:p>
        </w:tc>
      </w:tr>
      <w:tr w:rsidR="00776BB9" w:rsidRPr="00C73365" w14:paraId="42079AA8" w14:textId="77777777" w:rsidTr="00321ED7">
        <w:trPr>
          <w:trHeight w:val="253"/>
        </w:trPr>
        <w:tc>
          <w:tcPr>
            <w:tcW w:w="4303" w:type="dxa"/>
            <w:tcBorders>
              <w:top w:val="nil"/>
              <w:left w:val="nil"/>
              <w:bottom w:val="single" w:sz="8" w:space="0" w:color="7030A0"/>
              <w:right w:val="nil"/>
            </w:tcBorders>
            <w:shd w:val="clear" w:color="auto" w:fill="auto"/>
            <w:noWrap/>
            <w:vAlign w:val="center"/>
            <w:hideMark/>
          </w:tcPr>
          <w:p w14:paraId="3D2C0764"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Achats de matières premières</w:t>
            </w:r>
          </w:p>
        </w:tc>
        <w:tc>
          <w:tcPr>
            <w:tcW w:w="1549" w:type="dxa"/>
            <w:tcBorders>
              <w:top w:val="nil"/>
              <w:left w:val="nil"/>
              <w:bottom w:val="single" w:sz="8" w:space="0" w:color="7030A0"/>
              <w:right w:val="nil"/>
            </w:tcBorders>
            <w:shd w:val="clear" w:color="auto" w:fill="auto"/>
            <w:noWrap/>
            <w:vAlign w:val="center"/>
          </w:tcPr>
          <w:p w14:paraId="5D24619E" w14:textId="77777777"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w:t>
            </w:r>
            <w:r w:rsidR="00776BB9" w:rsidRPr="00C73365">
              <w:rPr>
                <w:rFonts w:asciiTheme="minorHAnsi" w:hAnsiTheme="minorHAnsi" w:cstheme="minorHAnsi"/>
                <w:color w:val="7030A0"/>
                <w:szCs w:val="20"/>
              </w:rPr>
              <w:t>16</w:t>
            </w:r>
          </w:p>
        </w:tc>
        <w:tc>
          <w:tcPr>
            <w:tcW w:w="1328" w:type="dxa"/>
            <w:tcBorders>
              <w:top w:val="nil"/>
              <w:left w:val="nil"/>
              <w:bottom w:val="single" w:sz="8" w:space="0" w:color="7030A0"/>
              <w:right w:val="nil"/>
            </w:tcBorders>
            <w:shd w:val="clear" w:color="auto" w:fill="auto"/>
            <w:vAlign w:val="center"/>
            <w:hideMark/>
          </w:tcPr>
          <w:p w14:paraId="57C1BF84" w14:textId="77777777"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w:t>
            </w:r>
            <w:r w:rsidR="00776BB9" w:rsidRPr="00C73365">
              <w:rPr>
                <w:rFonts w:asciiTheme="minorHAnsi" w:hAnsiTheme="minorHAnsi" w:cstheme="minorHAnsi"/>
                <w:color w:val="7030A0"/>
                <w:szCs w:val="20"/>
                <w:lang w:val="fr-FR" w:eastAsia="fr-FR"/>
              </w:rPr>
              <w:t>46</w:t>
            </w:r>
          </w:p>
        </w:tc>
        <w:tc>
          <w:tcPr>
            <w:tcW w:w="1142" w:type="dxa"/>
            <w:tcBorders>
              <w:top w:val="nil"/>
              <w:left w:val="nil"/>
              <w:bottom w:val="single" w:sz="8" w:space="0" w:color="7030A0"/>
              <w:right w:val="nil"/>
            </w:tcBorders>
            <w:shd w:val="clear" w:color="auto" w:fill="auto"/>
            <w:vAlign w:val="center"/>
          </w:tcPr>
          <w:p w14:paraId="3EDD11FB"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w:t>
            </w:r>
          </w:p>
        </w:tc>
      </w:tr>
      <w:tr w:rsidR="00776BB9" w:rsidRPr="00C73365" w14:paraId="430B6B33" w14:textId="77777777" w:rsidTr="00321ED7">
        <w:trPr>
          <w:trHeight w:val="242"/>
        </w:trPr>
        <w:tc>
          <w:tcPr>
            <w:tcW w:w="4303" w:type="dxa"/>
            <w:tcBorders>
              <w:top w:val="nil"/>
              <w:left w:val="nil"/>
              <w:bottom w:val="nil"/>
              <w:right w:val="nil"/>
            </w:tcBorders>
            <w:shd w:val="clear" w:color="auto" w:fill="auto"/>
            <w:noWrap/>
            <w:vAlign w:val="center"/>
            <w:hideMark/>
          </w:tcPr>
          <w:p w14:paraId="38C4FC05"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Etudes externes</w:t>
            </w:r>
          </w:p>
        </w:tc>
        <w:tc>
          <w:tcPr>
            <w:tcW w:w="1549" w:type="dxa"/>
            <w:tcBorders>
              <w:top w:val="nil"/>
              <w:left w:val="nil"/>
              <w:bottom w:val="nil"/>
              <w:right w:val="nil"/>
            </w:tcBorders>
            <w:shd w:val="clear" w:color="auto" w:fill="auto"/>
            <w:noWrap/>
            <w:vAlign w:val="center"/>
          </w:tcPr>
          <w:p w14:paraId="78050F40"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6 318</w:t>
            </w:r>
          </w:p>
        </w:tc>
        <w:tc>
          <w:tcPr>
            <w:tcW w:w="1328" w:type="dxa"/>
            <w:tcBorders>
              <w:top w:val="nil"/>
              <w:left w:val="nil"/>
              <w:bottom w:val="nil"/>
              <w:right w:val="nil"/>
            </w:tcBorders>
            <w:shd w:val="clear" w:color="auto" w:fill="auto"/>
            <w:vAlign w:val="center"/>
            <w:hideMark/>
          </w:tcPr>
          <w:p w14:paraId="7526F65E"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10 556</w:t>
            </w:r>
          </w:p>
        </w:tc>
        <w:tc>
          <w:tcPr>
            <w:tcW w:w="1142" w:type="dxa"/>
            <w:tcBorders>
              <w:top w:val="nil"/>
              <w:left w:val="nil"/>
              <w:bottom w:val="nil"/>
              <w:right w:val="nil"/>
            </w:tcBorders>
            <w:shd w:val="clear" w:color="auto" w:fill="auto"/>
            <w:vAlign w:val="center"/>
          </w:tcPr>
          <w:p w14:paraId="72C6788B"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4 238</w:t>
            </w:r>
          </w:p>
        </w:tc>
      </w:tr>
      <w:tr w:rsidR="00776BB9" w:rsidRPr="00C73365" w14:paraId="0610A7F7" w14:textId="77777777" w:rsidTr="00321ED7">
        <w:trPr>
          <w:trHeight w:val="242"/>
        </w:trPr>
        <w:tc>
          <w:tcPr>
            <w:tcW w:w="4303" w:type="dxa"/>
            <w:tcBorders>
              <w:top w:val="nil"/>
              <w:left w:val="nil"/>
              <w:bottom w:val="nil"/>
              <w:right w:val="nil"/>
            </w:tcBorders>
            <w:shd w:val="clear" w:color="auto" w:fill="auto"/>
            <w:noWrap/>
            <w:vAlign w:val="center"/>
            <w:hideMark/>
          </w:tcPr>
          <w:p w14:paraId="281C635D"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Sous-Traitance générale</w:t>
            </w:r>
          </w:p>
        </w:tc>
        <w:tc>
          <w:tcPr>
            <w:tcW w:w="1549" w:type="dxa"/>
            <w:tcBorders>
              <w:top w:val="nil"/>
              <w:left w:val="nil"/>
              <w:bottom w:val="nil"/>
              <w:right w:val="nil"/>
            </w:tcBorders>
            <w:shd w:val="clear" w:color="auto" w:fill="auto"/>
            <w:noWrap/>
            <w:vAlign w:val="center"/>
          </w:tcPr>
          <w:p w14:paraId="641CA679"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84</w:t>
            </w:r>
          </w:p>
        </w:tc>
        <w:tc>
          <w:tcPr>
            <w:tcW w:w="1328" w:type="dxa"/>
            <w:tcBorders>
              <w:top w:val="nil"/>
              <w:left w:val="nil"/>
              <w:bottom w:val="nil"/>
              <w:right w:val="nil"/>
            </w:tcBorders>
            <w:shd w:val="clear" w:color="auto" w:fill="auto"/>
            <w:vAlign w:val="center"/>
            <w:hideMark/>
          </w:tcPr>
          <w:p w14:paraId="3A2B58EF"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176</w:t>
            </w:r>
          </w:p>
        </w:tc>
        <w:tc>
          <w:tcPr>
            <w:tcW w:w="1142" w:type="dxa"/>
            <w:tcBorders>
              <w:top w:val="nil"/>
              <w:left w:val="nil"/>
              <w:bottom w:val="nil"/>
              <w:right w:val="nil"/>
            </w:tcBorders>
            <w:shd w:val="clear" w:color="auto" w:fill="auto"/>
            <w:vAlign w:val="center"/>
          </w:tcPr>
          <w:p w14:paraId="2BFF8EA9"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r>
      <w:tr w:rsidR="00776BB9" w:rsidRPr="00C73365" w14:paraId="47A1B89C" w14:textId="77777777" w:rsidTr="00321ED7">
        <w:trPr>
          <w:trHeight w:val="242"/>
        </w:trPr>
        <w:tc>
          <w:tcPr>
            <w:tcW w:w="4303" w:type="dxa"/>
            <w:tcBorders>
              <w:top w:val="nil"/>
              <w:left w:val="nil"/>
              <w:bottom w:val="nil"/>
              <w:right w:val="nil"/>
            </w:tcBorders>
            <w:shd w:val="clear" w:color="auto" w:fill="auto"/>
            <w:noWrap/>
            <w:vAlign w:val="center"/>
            <w:hideMark/>
          </w:tcPr>
          <w:p w14:paraId="4808558B"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Fournitures</w:t>
            </w:r>
          </w:p>
        </w:tc>
        <w:tc>
          <w:tcPr>
            <w:tcW w:w="1549" w:type="dxa"/>
            <w:tcBorders>
              <w:top w:val="nil"/>
              <w:left w:val="nil"/>
              <w:bottom w:val="nil"/>
              <w:right w:val="nil"/>
            </w:tcBorders>
            <w:shd w:val="clear" w:color="auto" w:fill="auto"/>
            <w:vAlign w:val="center"/>
          </w:tcPr>
          <w:p w14:paraId="02C692C9"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35</w:t>
            </w:r>
          </w:p>
        </w:tc>
        <w:tc>
          <w:tcPr>
            <w:tcW w:w="1328" w:type="dxa"/>
            <w:tcBorders>
              <w:top w:val="nil"/>
              <w:left w:val="nil"/>
              <w:bottom w:val="nil"/>
              <w:right w:val="nil"/>
            </w:tcBorders>
            <w:shd w:val="clear" w:color="auto" w:fill="auto"/>
            <w:vAlign w:val="center"/>
            <w:hideMark/>
          </w:tcPr>
          <w:p w14:paraId="16F9E1F8"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24</w:t>
            </w:r>
          </w:p>
        </w:tc>
        <w:tc>
          <w:tcPr>
            <w:tcW w:w="1142" w:type="dxa"/>
            <w:tcBorders>
              <w:top w:val="nil"/>
              <w:left w:val="nil"/>
              <w:bottom w:val="nil"/>
              <w:right w:val="nil"/>
            </w:tcBorders>
            <w:shd w:val="clear" w:color="auto" w:fill="auto"/>
            <w:vAlign w:val="center"/>
          </w:tcPr>
          <w:p w14:paraId="0B5E9C60"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10</w:t>
            </w:r>
          </w:p>
        </w:tc>
      </w:tr>
      <w:tr w:rsidR="00776BB9" w:rsidRPr="00C73365" w14:paraId="2815007D" w14:textId="77777777" w:rsidTr="00321ED7">
        <w:trPr>
          <w:trHeight w:val="242"/>
        </w:trPr>
        <w:tc>
          <w:tcPr>
            <w:tcW w:w="4303" w:type="dxa"/>
            <w:tcBorders>
              <w:top w:val="nil"/>
              <w:left w:val="nil"/>
              <w:bottom w:val="nil"/>
              <w:right w:val="nil"/>
            </w:tcBorders>
            <w:shd w:val="clear" w:color="auto" w:fill="auto"/>
            <w:noWrap/>
            <w:vAlign w:val="center"/>
            <w:hideMark/>
          </w:tcPr>
          <w:p w14:paraId="2234192F"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Loyers, maintenance et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entretien</w:t>
            </w:r>
          </w:p>
        </w:tc>
        <w:tc>
          <w:tcPr>
            <w:tcW w:w="1549" w:type="dxa"/>
            <w:tcBorders>
              <w:top w:val="nil"/>
              <w:left w:val="nil"/>
              <w:bottom w:val="nil"/>
              <w:right w:val="nil"/>
            </w:tcBorders>
            <w:shd w:val="clear" w:color="auto" w:fill="auto"/>
            <w:vAlign w:val="center"/>
          </w:tcPr>
          <w:p w14:paraId="43B6D1C0"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419</w:t>
            </w:r>
          </w:p>
        </w:tc>
        <w:tc>
          <w:tcPr>
            <w:tcW w:w="1328" w:type="dxa"/>
            <w:tcBorders>
              <w:top w:val="nil"/>
              <w:left w:val="nil"/>
              <w:bottom w:val="nil"/>
              <w:right w:val="nil"/>
            </w:tcBorders>
            <w:shd w:val="clear" w:color="auto" w:fill="auto"/>
            <w:vAlign w:val="center"/>
            <w:hideMark/>
          </w:tcPr>
          <w:p w14:paraId="57999CFF"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366</w:t>
            </w:r>
          </w:p>
        </w:tc>
        <w:tc>
          <w:tcPr>
            <w:tcW w:w="1142" w:type="dxa"/>
            <w:tcBorders>
              <w:top w:val="nil"/>
              <w:left w:val="nil"/>
              <w:bottom w:val="nil"/>
              <w:right w:val="nil"/>
            </w:tcBorders>
            <w:shd w:val="clear" w:color="auto" w:fill="auto"/>
            <w:vAlign w:val="center"/>
          </w:tcPr>
          <w:p w14:paraId="3B28D235"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53</w:t>
            </w:r>
          </w:p>
        </w:tc>
      </w:tr>
      <w:tr w:rsidR="00776BB9" w:rsidRPr="00C73365" w14:paraId="1CD43CF4" w14:textId="77777777" w:rsidTr="00321ED7">
        <w:trPr>
          <w:trHeight w:val="242"/>
        </w:trPr>
        <w:tc>
          <w:tcPr>
            <w:tcW w:w="4303" w:type="dxa"/>
            <w:tcBorders>
              <w:top w:val="nil"/>
              <w:left w:val="nil"/>
              <w:bottom w:val="nil"/>
              <w:right w:val="nil"/>
            </w:tcBorders>
            <w:shd w:val="clear" w:color="auto" w:fill="auto"/>
            <w:noWrap/>
            <w:vAlign w:val="center"/>
            <w:hideMark/>
          </w:tcPr>
          <w:p w14:paraId="48C08EF4"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divers</w:t>
            </w:r>
          </w:p>
        </w:tc>
        <w:tc>
          <w:tcPr>
            <w:tcW w:w="1549" w:type="dxa"/>
            <w:tcBorders>
              <w:top w:val="nil"/>
              <w:left w:val="nil"/>
              <w:bottom w:val="nil"/>
              <w:right w:val="nil"/>
            </w:tcBorders>
            <w:shd w:val="clear" w:color="auto" w:fill="auto"/>
            <w:vAlign w:val="center"/>
          </w:tcPr>
          <w:p w14:paraId="1E3914CA"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302</w:t>
            </w:r>
          </w:p>
        </w:tc>
        <w:tc>
          <w:tcPr>
            <w:tcW w:w="1328" w:type="dxa"/>
            <w:tcBorders>
              <w:top w:val="nil"/>
              <w:left w:val="nil"/>
              <w:bottom w:val="nil"/>
              <w:right w:val="nil"/>
            </w:tcBorders>
            <w:shd w:val="clear" w:color="auto" w:fill="auto"/>
            <w:vAlign w:val="center"/>
            <w:hideMark/>
          </w:tcPr>
          <w:p w14:paraId="0EDF3D50"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361</w:t>
            </w:r>
          </w:p>
        </w:tc>
        <w:tc>
          <w:tcPr>
            <w:tcW w:w="1142" w:type="dxa"/>
            <w:tcBorders>
              <w:top w:val="nil"/>
              <w:left w:val="nil"/>
              <w:bottom w:val="nil"/>
              <w:right w:val="nil"/>
            </w:tcBorders>
            <w:shd w:val="clear" w:color="auto" w:fill="auto"/>
            <w:vAlign w:val="center"/>
          </w:tcPr>
          <w:p w14:paraId="253FD4D2"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60</w:t>
            </w:r>
          </w:p>
        </w:tc>
      </w:tr>
      <w:tr w:rsidR="00776BB9" w:rsidRPr="00C73365" w14:paraId="62661D11" w14:textId="77777777" w:rsidTr="00321ED7">
        <w:trPr>
          <w:trHeight w:val="242"/>
        </w:trPr>
        <w:tc>
          <w:tcPr>
            <w:tcW w:w="4303" w:type="dxa"/>
            <w:tcBorders>
              <w:top w:val="nil"/>
              <w:left w:val="nil"/>
              <w:bottom w:val="nil"/>
              <w:right w:val="nil"/>
            </w:tcBorders>
            <w:shd w:val="clear" w:color="auto" w:fill="auto"/>
            <w:noWrap/>
            <w:vAlign w:val="center"/>
            <w:hideMark/>
          </w:tcPr>
          <w:p w14:paraId="15332D1E"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Documentation, Veille technologique et séminaires</w:t>
            </w:r>
          </w:p>
        </w:tc>
        <w:tc>
          <w:tcPr>
            <w:tcW w:w="1549" w:type="dxa"/>
            <w:tcBorders>
              <w:top w:val="nil"/>
              <w:left w:val="nil"/>
              <w:bottom w:val="nil"/>
              <w:right w:val="nil"/>
            </w:tcBorders>
            <w:shd w:val="clear" w:color="auto" w:fill="auto"/>
            <w:vAlign w:val="center"/>
          </w:tcPr>
          <w:p w14:paraId="67568E85"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88</w:t>
            </w:r>
          </w:p>
        </w:tc>
        <w:tc>
          <w:tcPr>
            <w:tcW w:w="1328" w:type="dxa"/>
            <w:tcBorders>
              <w:top w:val="nil"/>
              <w:left w:val="nil"/>
              <w:bottom w:val="nil"/>
              <w:right w:val="nil"/>
            </w:tcBorders>
            <w:shd w:val="clear" w:color="auto" w:fill="auto"/>
            <w:hideMark/>
          </w:tcPr>
          <w:p w14:paraId="7EA66E1D"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79</w:t>
            </w:r>
          </w:p>
        </w:tc>
        <w:tc>
          <w:tcPr>
            <w:tcW w:w="1142" w:type="dxa"/>
            <w:tcBorders>
              <w:top w:val="nil"/>
              <w:left w:val="nil"/>
              <w:bottom w:val="nil"/>
              <w:right w:val="nil"/>
            </w:tcBorders>
            <w:shd w:val="clear" w:color="auto" w:fill="auto"/>
            <w:vAlign w:val="center"/>
          </w:tcPr>
          <w:p w14:paraId="51DB3AA8"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9</w:t>
            </w:r>
          </w:p>
        </w:tc>
      </w:tr>
      <w:tr w:rsidR="00776BB9" w:rsidRPr="00C73365" w14:paraId="5087A101" w14:textId="77777777" w:rsidTr="00321ED7">
        <w:trPr>
          <w:trHeight w:val="242"/>
        </w:trPr>
        <w:tc>
          <w:tcPr>
            <w:tcW w:w="4303" w:type="dxa"/>
            <w:tcBorders>
              <w:top w:val="nil"/>
              <w:left w:val="nil"/>
              <w:bottom w:val="nil"/>
              <w:right w:val="nil"/>
            </w:tcBorders>
            <w:shd w:val="clear" w:color="auto" w:fill="auto"/>
            <w:noWrap/>
            <w:vAlign w:val="center"/>
            <w:hideMark/>
          </w:tcPr>
          <w:p w14:paraId="0275ED72"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Brevets</w:t>
            </w:r>
          </w:p>
        </w:tc>
        <w:tc>
          <w:tcPr>
            <w:tcW w:w="1549" w:type="dxa"/>
            <w:tcBorders>
              <w:top w:val="nil"/>
              <w:left w:val="nil"/>
              <w:bottom w:val="nil"/>
              <w:right w:val="nil"/>
            </w:tcBorders>
            <w:shd w:val="clear" w:color="auto" w:fill="auto"/>
            <w:vAlign w:val="center"/>
          </w:tcPr>
          <w:p w14:paraId="0122E0D8"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871</w:t>
            </w:r>
          </w:p>
        </w:tc>
        <w:tc>
          <w:tcPr>
            <w:tcW w:w="1328" w:type="dxa"/>
            <w:tcBorders>
              <w:top w:val="nil"/>
              <w:left w:val="nil"/>
              <w:bottom w:val="nil"/>
              <w:right w:val="nil"/>
            </w:tcBorders>
            <w:shd w:val="clear" w:color="auto" w:fill="auto"/>
            <w:vAlign w:val="center"/>
            <w:hideMark/>
          </w:tcPr>
          <w:p w14:paraId="32187B50"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753</w:t>
            </w:r>
          </w:p>
        </w:tc>
        <w:tc>
          <w:tcPr>
            <w:tcW w:w="1142" w:type="dxa"/>
            <w:tcBorders>
              <w:top w:val="nil"/>
              <w:left w:val="nil"/>
              <w:bottom w:val="nil"/>
              <w:right w:val="nil"/>
            </w:tcBorders>
            <w:shd w:val="clear" w:color="auto" w:fill="auto"/>
            <w:vAlign w:val="center"/>
          </w:tcPr>
          <w:p w14:paraId="703F896A"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118</w:t>
            </w:r>
          </w:p>
        </w:tc>
      </w:tr>
      <w:tr w:rsidR="00776BB9" w:rsidRPr="00C73365" w14:paraId="4DECBBFC" w14:textId="77777777" w:rsidTr="00321ED7">
        <w:trPr>
          <w:trHeight w:val="242"/>
        </w:trPr>
        <w:tc>
          <w:tcPr>
            <w:tcW w:w="4303" w:type="dxa"/>
            <w:tcBorders>
              <w:top w:val="nil"/>
              <w:left w:val="nil"/>
              <w:bottom w:val="nil"/>
              <w:right w:val="nil"/>
            </w:tcBorders>
            <w:shd w:val="clear" w:color="auto" w:fill="auto"/>
            <w:noWrap/>
            <w:vAlign w:val="center"/>
            <w:hideMark/>
          </w:tcPr>
          <w:p w14:paraId="7E387E66"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Honoraires</w:t>
            </w:r>
          </w:p>
        </w:tc>
        <w:tc>
          <w:tcPr>
            <w:tcW w:w="1549" w:type="dxa"/>
            <w:tcBorders>
              <w:top w:val="nil"/>
              <w:left w:val="nil"/>
              <w:bottom w:val="nil"/>
              <w:right w:val="nil"/>
            </w:tcBorders>
            <w:shd w:val="clear" w:color="auto" w:fill="auto"/>
            <w:vAlign w:val="center"/>
          </w:tcPr>
          <w:p w14:paraId="5856037E"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1 954</w:t>
            </w:r>
          </w:p>
        </w:tc>
        <w:tc>
          <w:tcPr>
            <w:tcW w:w="1328" w:type="dxa"/>
            <w:tcBorders>
              <w:top w:val="nil"/>
              <w:left w:val="nil"/>
              <w:bottom w:val="nil"/>
              <w:right w:val="nil"/>
            </w:tcBorders>
            <w:shd w:val="clear" w:color="auto" w:fill="auto"/>
            <w:vAlign w:val="center"/>
            <w:hideMark/>
          </w:tcPr>
          <w:p w14:paraId="76D0DD19"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1 885</w:t>
            </w:r>
          </w:p>
        </w:tc>
        <w:tc>
          <w:tcPr>
            <w:tcW w:w="1142" w:type="dxa"/>
            <w:tcBorders>
              <w:top w:val="nil"/>
              <w:left w:val="nil"/>
              <w:bottom w:val="nil"/>
              <w:right w:val="nil"/>
            </w:tcBorders>
            <w:shd w:val="clear" w:color="auto" w:fill="auto"/>
            <w:vAlign w:val="center"/>
          </w:tcPr>
          <w:p w14:paraId="45BF109A"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69</w:t>
            </w:r>
          </w:p>
        </w:tc>
      </w:tr>
      <w:tr w:rsidR="00776BB9" w:rsidRPr="00C73365" w14:paraId="1AEEFE56" w14:textId="77777777" w:rsidTr="00321ED7">
        <w:trPr>
          <w:trHeight w:val="253"/>
        </w:trPr>
        <w:tc>
          <w:tcPr>
            <w:tcW w:w="4303" w:type="dxa"/>
            <w:tcBorders>
              <w:top w:val="nil"/>
              <w:left w:val="nil"/>
              <w:bottom w:val="single" w:sz="8" w:space="0" w:color="7030A0"/>
              <w:right w:val="nil"/>
            </w:tcBorders>
            <w:shd w:val="clear" w:color="auto" w:fill="auto"/>
            <w:noWrap/>
            <w:vAlign w:val="center"/>
            <w:hideMark/>
          </w:tcPr>
          <w:p w14:paraId="0DF49CCC"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Missions et déplacements</w:t>
            </w:r>
          </w:p>
        </w:tc>
        <w:tc>
          <w:tcPr>
            <w:tcW w:w="1549" w:type="dxa"/>
            <w:tcBorders>
              <w:top w:val="nil"/>
              <w:left w:val="nil"/>
              <w:bottom w:val="single" w:sz="8" w:space="0" w:color="7030A0"/>
              <w:right w:val="nil"/>
            </w:tcBorders>
            <w:shd w:val="clear" w:color="auto" w:fill="auto"/>
            <w:vAlign w:val="center"/>
          </w:tcPr>
          <w:p w14:paraId="7C300750"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386</w:t>
            </w:r>
          </w:p>
        </w:tc>
        <w:tc>
          <w:tcPr>
            <w:tcW w:w="1328" w:type="dxa"/>
            <w:tcBorders>
              <w:top w:val="nil"/>
              <w:left w:val="nil"/>
              <w:bottom w:val="single" w:sz="8" w:space="0" w:color="7030A0"/>
              <w:right w:val="nil"/>
            </w:tcBorders>
            <w:shd w:val="clear" w:color="auto" w:fill="auto"/>
            <w:vAlign w:val="center"/>
            <w:hideMark/>
          </w:tcPr>
          <w:p w14:paraId="599573A9"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399</w:t>
            </w:r>
          </w:p>
        </w:tc>
        <w:tc>
          <w:tcPr>
            <w:tcW w:w="1142" w:type="dxa"/>
            <w:tcBorders>
              <w:top w:val="nil"/>
              <w:left w:val="nil"/>
              <w:bottom w:val="single" w:sz="8" w:space="0" w:color="7030A0"/>
              <w:right w:val="nil"/>
            </w:tcBorders>
            <w:shd w:val="clear" w:color="auto" w:fill="auto"/>
            <w:vAlign w:val="center"/>
          </w:tcPr>
          <w:p w14:paraId="5582EDF0"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w:t>
            </w:r>
          </w:p>
        </w:tc>
      </w:tr>
      <w:tr w:rsidR="00776BB9" w:rsidRPr="00C73365" w14:paraId="3C6A9522" w14:textId="77777777" w:rsidTr="00321ED7">
        <w:trPr>
          <w:trHeight w:val="253"/>
        </w:trPr>
        <w:tc>
          <w:tcPr>
            <w:tcW w:w="4303" w:type="dxa"/>
            <w:tcBorders>
              <w:top w:val="nil"/>
              <w:left w:val="nil"/>
              <w:bottom w:val="single" w:sz="8" w:space="0" w:color="7030A0"/>
              <w:right w:val="nil"/>
            </w:tcBorders>
            <w:shd w:val="clear" w:color="auto" w:fill="auto"/>
            <w:noWrap/>
            <w:vAlign w:val="center"/>
            <w:hideMark/>
          </w:tcPr>
          <w:p w14:paraId="5D9FDD2B"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Autres achats et charges externes</w:t>
            </w:r>
          </w:p>
        </w:tc>
        <w:tc>
          <w:tcPr>
            <w:tcW w:w="1549" w:type="dxa"/>
            <w:tcBorders>
              <w:top w:val="nil"/>
              <w:left w:val="nil"/>
              <w:bottom w:val="single" w:sz="8" w:space="0" w:color="7030A0"/>
              <w:right w:val="nil"/>
            </w:tcBorders>
            <w:shd w:val="clear" w:color="auto" w:fill="auto"/>
            <w:noWrap/>
            <w:vAlign w:val="center"/>
          </w:tcPr>
          <w:p w14:paraId="58F48FBD" w14:textId="77777777"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w:t>
            </w:r>
            <w:r w:rsidR="00776BB9" w:rsidRPr="00C73365">
              <w:rPr>
                <w:rFonts w:asciiTheme="minorHAnsi" w:hAnsiTheme="minorHAnsi" w:cstheme="minorHAnsi"/>
                <w:color w:val="7030A0"/>
                <w:szCs w:val="20"/>
              </w:rPr>
              <w:t>10 456</w:t>
            </w:r>
          </w:p>
        </w:tc>
        <w:tc>
          <w:tcPr>
            <w:tcW w:w="1328" w:type="dxa"/>
            <w:tcBorders>
              <w:top w:val="nil"/>
              <w:left w:val="nil"/>
              <w:bottom w:val="single" w:sz="8" w:space="0" w:color="7030A0"/>
              <w:right w:val="nil"/>
            </w:tcBorders>
            <w:shd w:val="clear" w:color="auto" w:fill="auto"/>
            <w:noWrap/>
            <w:vAlign w:val="center"/>
            <w:hideMark/>
          </w:tcPr>
          <w:p w14:paraId="393B2CB0" w14:textId="77777777"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w:t>
            </w:r>
            <w:r w:rsidR="00776BB9" w:rsidRPr="00C73365">
              <w:rPr>
                <w:rFonts w:asciiTheme="minorHAnsi" w:hAnsiTheme="minorHAnsi" w:cstheme="minorHAnsi"/>
                <w:color w:val="7030A0"/>
                <w:szCs w:val="20"/>
                <w:lang w:val="fr-FR" w:eastAsia="fr-FR"/>
              </w:rPr>
              <w:t>14 599</w:t>
            </w:r>
          </w:p>
        </w:tc>
        <w:tc>
          <w:tcPr>
            <w:tcW w:w="1142" w:type="dxa"/>
            <w:tcBorders>
              <w:top w:val="nil"/>
              <w:left w:val="nil"/>
              <w:bottom w:val="single" w:sz="8" w:space="0" w:color="7030A0"/>
              <w:right w:val="nil"/>
            </w:tcBorders>
            <w:shd w:val="clear" w:color="auto" w:fill="auto"/>
            <w:vAlign w:val="center"/>
          </w:tcPr>
          <w:p w14:paraId="2E2E2C69"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4 143</w:t>
            </w:r>
          </w:p>
        </w:tc>
      </w:tr>
      <w:tr w:rsidR="00776BB9" w:rsidRPr="00C73365" w14:paraId="25492573" w14:textId="77777777" w:rsidTr="00321ED7">
        <w:trPr>
          <w:trHeight w:val="242"/>
        </w:trPr>
        <w:tc>
          <w:tcPr>
            <w:tcW w:w="4303" w:type="dxa"/>
            <w:tcBorders>
              <w:top w:val="nil"/>
              <w:left w:val="nil"/>
              <w:bottom w:val="nil"/>
              <w:right w:val="nil"/>
            </w:tcBorders>
            <w:shd w:val="clear" w:color="auto" w:fill="auto"/>
            <w:noWrap/>
            <w:vAlign w:val="center"/>
            <w:hideMark/>
          </w:tcPr>
          <w:p w14:paraId="5FE7FCC9"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Impôts, taxes et versements assimilés</w:t>
            </w:r>
          </w:p>
        </w:tc>
        <w:tc>
          <w:tcPr>
            <w:tcW w:w="1549" w:type="dxa"/>
            <w:tcBorders>
              <w:top w:val="nil"/>
              <w:left w:val="nil"/>
              <w:bottom w:val="nil"/>
              <w:right w:val="nil"/>
            </w:tcBorders>
            <w:shd w:val="clear" w:color="auto" w:fill="auto"/>
            <w:noWrap/>
            <w:vAlign w:val="center"/>
          </w:tcPr>
          <w:p w14:paraId="61D99724"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104</w:t>
            </w:r>
          </w:p>
        </w:tc>
        <w:tc>
          <w:tcPr>
            <w:tcW w:w="1328" w:type="dxa"/>
            <w:tcBorders>
              <w:top w:val="nil"/>
              <w:left w:val="nil"/>
              <w:bottom w:val="nil"/>
              <w:right w:val="nil"/>
            </w:tcBorders>
            <w:shd w:val="clear" w:color="auto" w:fill="auto"/>
            <w:vAlign w:val="center"/>
            <w:hideMark/>
          </w:tcPr>
          <w:p w14:paraId="73881E09"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71</w:t>
            </w:r>
          </w:p>
        </w:tc>
        <w:tc>
          <w:tcPr>
            <w:tcW w:w="1142" w:type="dxa"/>
            <w:tcBorders>
              <w:top w:val="nil"/>
              <w:left w:val="nil"/>
              <w:bottom w:val="nil"/>
              <w:right w:val="nil"/>
            </w:tcBorders>
            <w:shd w:val="clear" w:color="auto" w:fill="auto"/>
            <w:vAlign w:val="center"/>
          </w:tcPr>
          <w:p w14:paraId="47F536EE"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33</w:t>
            </w:r>
          </w:p>
        </w:tc>
      </w:tr>
      <w:tr w:rsidR="00776BB9" w:rsidRPr="00C73365" w14:paraId="58D0B4A8" w14:textId="77777777" w:rsidTr="00321ED7">
        <w:trPr>
          <w:trHeight w:val="242"/>
        </w:trPr>
        <w:tc>
          <w:tcPr>
            <w:tcW w:w="4303" w:type="dxa"/>
            <w:tcBorders>
              <w:top w:val="nil"/>
              <w:left w:val="nil"/>
              <w:bottom w:val="nil"/>
              <w:right w:val="nil"/>
            </w:tcBorders>
            <w:shd w:val="clear" w:color="auto" w:fill="auto"/>
            <w:noWrap/>
            <w:vAlign w:val="center"/>
            <w:hideMark/>
          </w:tcPr>
          <w:p w14:paraId="022E7038"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Salaires et traitements</w:t>
            </w:r>
          </w:p>
        </w:tc>
        <w:tc>
          <w:tcPr>
            <w:tcW w:w="1549" w:type="dxa"/>
            <w:tcBorders>
              <w:top w:val="nil"/>
              <w:left w:val="nil"/>
              <w:bottom w:val="nil"/>
              <w:right w:val="nil"/>
            </w:tcBorders>
            <w:shd w:val="clear" w:color="auto" w:fill="auto"/>
            <w:noWrap/>
            <w:vAlign w:val="center"/>
          </w:tcPr>
          <w:p w14:paraId="4A93B3BD"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2 670</w:t>
            </w:r>
          </w:p>
        </w:tc>
        <w:tc>
          <w:tcPr>
            <w:tcW w:w="1328" w:type="dxa"/>
            <w:tcBorders>
              <w:top w:val="nil"/>
              <w:left w:val="nil"/>
              <w:bottom w:val="nil"/>
              <w:right w:val="nil"/>
            </w:tcBorders>
            <w:shd w:val="clear" w:color="auto" w:fill="auto"/>
            <w:vAlign w:val="center"/>
            <w:hideMark/>
          </w:tcPr>
          <w:p w14:paraId="1F6337A0"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2 586</w:t>
            </w:r>
          </w:p>
        </w:tc>
        <w:tc>
          <w:tcPr>
            <w:tcW w:w="1142" w:type="dxa"/>
            <w:tcBorders>
              <w:top w:val="nil"/>
              <w:left w:val="nil"/>
              <w:bottom w:val="nil"/>
              <w:right w:val="nil"/>
            </w:tcBorders>
            <w:shd w:val="clear" w:color="auto" w:fill="auto"/>
            <w:vAlign w:val="center"/>
          </w:tcPr>
          <w:p w14:paraId="3C59B710"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84</w:t>
            </w:r>
          </w:p>
        </w:tc>
      </w:tr>
      <w:tr w:rsidR="00776BB9" w:rsidRPr="00C73365" w14:paraId="04387D19" w14:textId="77777777" w:rsidTr="00321ED7">
        <w:trPr>
          <w:trHeight w:val="242"/>
        </w:trPr>
        <w:tc>
          <w:tcPr>
            <w:tcW w:w="4303" w:type="dxa"/>
            <w:tcBorders>
              <w:top w:val="nil"/>
              <w:left w:val="nil"/>
              <w:bottom w:val="nil"/>
              <w:right w:val="nil"/>
            </w:tcBorders>
            <w:shd w:val="clear" w:color="auto" w:fill="auto"/>
            <w:noWrap/>
            <w:vAlign w:val="center"/>
            <w:hideMark/>
          </w:tcPr>
          <w:p w14:paraId="59AF74AF"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sociales</w:t>
            </w:r>
          </w:p>
        </w:tc>
        <w:tc>
          <w:tcPr>
            <w:tcW w:w="1549" w:type="dxa"/>
            <w:tcBorders>
              <w:top w:val="nil"/>
              <w:left w:val="nil"/>
              <w:bottom w:val="nil"/>
              <w:right w:val="nil"/>
            </w:tcBorders>
            <w:shd w:val="clear" w:color="auto" w:fill="auto"/>
            <w:noWrap/>
            <w:vAlign w:val="center"/>
          </w:tcPr>
          <w:p w14:paraId="3B1C4DBE"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1 112</w:t>
            </w:r>
          </w:p>
        </w:tc>
        <w:tc>
          <w:tcPr>
            <w:tcW w:w="1328" w:type="dxa"/>
            <w:tcBorders>
              <w:top w:val="nil"/>
              <w:left w:val="nil"/>
              <w:bottom w:val="nil"/>
              <w:right w:val="nil"/>
            </w:tcBorders>
            <w:shd w:val="clear" w:color="auto" w:fill="auto"/>
            <w:noWrap/>
            <w:vAlign w:val="center"/>
            <w:hideMark/>
          </w:tcPr>
          <w:p w14:paraId="47DF48A4"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971</w:t>
            </w:r>
          </w:p>
        </w:tc>
        <w:tc>
          <w:tcPr>
            <w:tcW w:w="1142" w:type="dxa"/>
            <w:tcBorders>
              <w:top w:val="nil"/>
              <w:left w:val="nil"/>
              <w:bottom w:val="nil"/>
              <w:right w:val="nil"/>
            </w:tcBorders>
            <w:shd w:val="clear" w:color="auto" w:fill="auto"/>
            <w:vAlign w:val="center"/>
          </w:tcPr>
          <w:p w14:paraId="5BF29484"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141</w:t>
            </w:r>
          </w:p>
        </w:tc>
      </w:tr>
      <w:tr w:rsidR="00776BB9" w:rsidRPr="00C73365" w14:paraId="5F888DD7" w14:textId="77777777" w:rsidTr="00321ED7">
        <w:trPr>
          <w:trHeight w:val="242"/>
        </w:trPr>
        <w:tc>
          <w:tcPr>
            <w:tcW w:w="4303" w:type="dxa"/>
            <w:tcBorders>
              <w:top w:val="nil"/>
              <w:left w:val="nil"/>
              <w:bottom w:val="nil"/>
              <w:right w:val="nil"/>
            </w:tcBorders>
            <w:shd w:val="clear" w:color="auto" w:fill="auto"/>
            <w:noWrap/>
            <w:vAlign w:val="center"/>
            <w:hideMark/>
          </w:tcPr>
          <w:p w14:paraId="0623E634"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Dotations aux amortissements</w:t>
            </w:r>
          </w:p>
        </w:tc>
        <w:tc>
          <w:tcPr>
            <w:tcW w:w="1549" w:type="dxa"/>
            <w:tcBorders>
              <w:top w:val="nil"/>
              <w:left w:val="nil"/>
              <w:bottom w:val="nil"/>
              <w:right w:val="nil"/>
            </w:tcBorders>
            <w:shd w:val="clear" w:color="auto" w:fill="auto"/>
            <w:noWrap/>
            <w:vAlign w:val="center"/>
          </w:tcPr>
          <w:p w14:paraId="2A42FC42"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93</w:t>
            </w:r>
          </w:p>
        </w:tc>
        <w:tc>
          <w:tcPr>
            <w:tcW w:w="1328" w:type="dxa"/>
            <w:tcBorders>
              <w:top w:val="nil"/>
              <w:left w:val="nil"/>
              <w:bottom w:val="nil"/>
              <w:right w:val="nil"/>
            </w:tcBorders>
            <w:shd w:val="clear" w:color="auto" w:fill="auto"/>
            <w:vAlign w:val="center"/>
            <w:hideMark/>
          </w:tcPr>
          <w:p w14:paraId="66D43FA0"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75</w:t>
            </w:r>
          </w:p>
        </w:tc>
        <w:tc>
          <w:tcPr>
            <w:tcW w:w="1142" w:type="dxa"/>
            <w:tcBorders>
              <w:top w:val="nil"/>
              <w:left w:val="nil"/>
              <w:bottom w:val="nil"/>
              <w:right w:val="nil"/>
            </w:tcBorders>
            <w:shd w:val="clear" w:color="auto" w:fill="auto"/>
            <w:vAlign w:val="center"/>
          </w:tcPr>
          <w:p w14:paraId="7799BA2F"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19</w:t>
            </w:r>
          </w:p>
        </w:tc>
      </w:tr>
      <w:tr w:rsidR="00776BB9" w:rsidRPr="00C73365" w14:paraId="53EEB460" w14:textId="77777777" w:rsidTr="00321ED7">
        <w:trPr>
          <w:trHeight w:val="253"/>
        </w:trPr>
        <w:tc>
          <w:tcPr>
            <w:tcW w:w="4303" w:type="dxa"/>
            <w:tcBorders>
              <w:top w:val="nil"/>
              <w:left w:val="nil"/>
              <w:bottom w:val="single" w:sz="8" w:space="0" w:color="7030A0"/>
              <w:right w:val="nil"/>
            </w:tcBorders>
            <w:shd w:val="clear" w:color="auto" w:fill="auto"/>
            <w:noWrap/>
            <w:vAlign w:val="center"/>
            <w:hideMark/>
          </w:tcPr>
          <w:p w14:paraId="14B6592F"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charges</w:t>
            </w:r>
          </w:p>
        </w:tc>
        <w:tc>
          <w:tcPr>
            <w:tcW w:w="1549" w:type="dxa"/>
            <w:tcBorders>
              <w:top w:val="nil"/>
              <w:left w:val="nil"/>
              <w:bottom w:val="single" w:sz="8" w:space="0" w:color="7030A0"/>
              <w:right w:val="nil"/>
            </w:tcBorders>
            <w:shd w:val="clear" w:color="auto" w:fill="auto"/>
            <w:noWrap/>
            <w:vAlign w:val="center"/>
          </w:tcPr>
          <w:p w14:paraId="32881F04"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55</w:t>
            </w:r>
          </w:p>
        </w:tc>
        <w:tc>
          <w:tcPr>
            <w:tcW w:w="1328" w:type="dxa"/>
            <w:tcBorders>
              <w:top w:val="nil"/>
              <w:left w:val="nil"/>
              <w:bottom w:val="single" w:sz="8" w:space="0" w:color="7030A0"/>
              <w:right w:val="nil"/>
            </w:tcBorders>
            <w:shd w:val="clear" w:color="auto" w:fill="auto"/>
            <w:vAlign w:val="center"/>
            <w:hideMark/>
          </w:tcPr>
          <w:p w14:paraId="2B1AA61C"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38</w:t>
            </w:r>
          </w:p>
        </w:tc>
        <w:tc>
          <w:tcPr>
            <w:tcW w:w="1142" w:type="dxa"/>
            <w:tcBorders>
              <w:top w:val="nil"/>
              <w:left w:val="nil"/>
              <w:bottom w:val="single" w:sz="8" w:space="0" w:color="7030A0"/>
              <w:right w:val="nil"/>
            </w:tcBorders>
            <w:shd w:val="clear" w:color="auto" w:fill="auto"/>
            <w:vAlign w:val="center"/>
          </w:tcPr>
          <w:p w14:paraId="386348DA" w14:textId="77777777"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17</w:t>
            </w:r>
          </w:p>
        </w:tc>
      </w:tr>
      <w:tr w:rsidR="00776BB9" w:rsidRPr="00C73365" w14:paraId="74AE1EE8" w14:textId="77777777" w:rsidTr="00321ED7">
        <w:trPr>
          <w:trHeight w:val="253"/>
        </w:trPr>
        <w:tc>
          <w:tcPr>
            <w:tcW w:w="4303" w:type="dxa"/>
            <w:tcBorders>
              <w:top w:val="nil"/>
              <w:left w:val="nil"/>
              <w:bottom w:val="single" w:sz="8" w:space="0" w:color="7030A0"/>
              <w:right w:val="nil"/>
            </w:tcBorders>
            <w:shd w:val="clear" w:color="auto" w:fill="auto"/>
            <w:noWrap/>
            <w:vAlign w:val="center"/>
            <w:hideMark/>
          </w:tcPr>
          <w:p w14:paraId="078AB745" w14:textId="77777777"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charges d</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exploitation</w:t>
            </w:r>
          </w:p>
        </w:tc>
        <w:tc>
          <w:tcPr>
            <w:tcW w:w="1549" w:type="dxa"/>
            <w:tcBorders>
              <w:top w:val="nil"/>
              <w:left w:val="nil"/>
              <w:bottom w:val="single" w:sz="8" w:space="0" w:color="7030A0"/>
              <w:right w:val="nil"/>
            </w:tcBorders>
            <w:shd w:val="clear" w:color="auto" w:fill="auto"/>
            <w:noWrap/>
            <w:vAlign w:val="center"/>
          </w:tcPr>
          <w:p w14:paraId="6FA59739" w14:textId="77777777" w:rsidR="00776BB9" w:rsidRPr="00C73365" w:rsidRDefault="009544BC"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w:t>
            </w:r>
            <w:r w:rsidR="00776BB9" w:rsidRPr="00C73365">
              <w:rPr>
                <w:rFonts w:asciiTheme="minorHAnsi" w:hAnsiTheme="minorHAnsi" w:cstheme="minorHAnsi"/>
                <w:b/>
                <w:bCs/>
                <w:color w:val="7030A0"/>
                <w:szCs w:val="20"/>
              </w:rPr>
              <w:t>14 507</w:t>
            </w:r>
          </w:p>
        </w:tc>
        <w:tc>
          <w:tcPr>
            <w:tcW w:w="1328" w:type="dxa"/>
            <w:tcBorders>
              <w:top w:val="nil"/>
              <w:left w:val="nil"/>
              <w:bottom w:val="single" w:sz="8" w:space="0" w:color="7030A0"/>
              <w:right w:val="nil"/>
            </w:tcBorders>
            <w:shd w:val="clear" w:color="auto" w:fill="auto"/>
            <w:vAlign w:val="center"/>
            <w:hideMark/>
          </w:tcPr>
          <w:p w14:paraId="3EA758A6" w14:textId="77777777" w:rsidR="00776BB9" w:rsidRPr="00C73365" w:rsidRDefault="009544BC"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w:t>
            </w:r>
            <w:r w:rsidR="00776BB9" w:rsidRPr="00C73365">
              <w:rPr>
                <w:rFonts w:asciiTheme="minorHAnsi" w:hAnsiTheme="minorHAnsi" w:cstheme="minorHAnsi"/>
                <w:b/>
                <w:bCs/>
                <w:color w:val="7030A0"/>
                <w:szCs w:val="20"/>
                <w:lang w:val="fr-FR" w:eastAsia="fr-FR"/>
              </w:rPr>
              <w:t>18 387</w:t>
            </w:r>
          </w:p>
        </w:tc>
        <w:tc>
          <w:tcPr>
            <w:tcW w:w="1142" w:type="dxa"/>
            <w:tcBorders>
              <w:top w:val="nil"/>
              <w:left w:val="nil"/>
              <w:bottom w:val="single" w:sz="8" w:space="0" w:color="7030A0"/>
              <w:right w:val="nil"/>
            </w:tcBorders>
            <w:shd w:val="clear" w:color="auto" w:fill="auto"/>
            <w:vAlign w:val="center"/>
          </w:tcPr>
          <w:p w14:paraId="3500A45C" w14:textId="77777777"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3 880</w:t>
            </w:r>
          </w:p>
        </w:tc>
      </w:tr>
    </w:tbl>
    <w:p w14:paraId="56E4A10B" w14:textId="77777777" w:rsidR="00776BB9" w:rsidRPr="00C73365" w:rsidRDefault="00776BB9">
      <w:pPr>
        <w:rPr>
          <w:rFonts w:asciiTheme="minorHAnsi" w:hAnsiTheme="minorHAnsi" w:cstheme="minorHAnsi"/>
          <w:szCs w:val="22"/>
          <w:lang w:val="fr-FR"/>
        </w:rPr>
      </w:pPr>
    </w:p>
    <w:p w14:paraId="1C02F917" w14:textId="77777777" w:rsidR="006B5037"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Au 31 Décembre 2017, les charges d’exploitation se sont établies à </w:t>
      </w:r>
      <w:r w:rsidR="009544BC" w:rsidRPr="00C73365">
        <w:rPr>
          <w:rFonts w:asciiTheme="minorHAnsi" w:hAnsiTheme="minorHAnsi" w:cstheme="minorHAnsi"/>
          <w:lang w:val="fr-FR"/>
        </w:rPr>
        <w:t>-</w:t>
      </w:r>
      <w:r w:rsidRPr="00C73365">
        <w:rPr>
          <w:rFonts w:asciiTheme="minorHAnsi" w:hAnsiTheme="minorHAnsi" w:cstheme="minorHAnsi"/>
          <w:lang w:val="fr-FR"/>
        </w:rPr>
        <w:t xml:space="preserve">14 507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par rapport à </w:t>
      </w:r>
      <w:r w:rsidR="009544BC" w:rsidRPr="00C73365">
        <w:rPr>
          <w:rFonts w:asciiTheme="minorHAnsi" w:hAnsiTheme="minorHAnsi" w:cstheme="minorHAnsi"/>
          <w:lang w:val="fr-FR"/>
        </w:rPr>
        <w:t>-</w:t>
      </w:r>
      <w:r w:rsidRPr="00C73365">
        <w:rPr>
          <w:rFonts w:asciiTheme="minorHAnsi" w:hAnsiTheme="minorHAnsi" w:cstheme="minorHAnsi"/>
          <w:lang w:val="fr-FR"/>
        </w:rPr>
        <w:t xml:space="preserve">18 387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2016.</w:t>
      </w:r>
      <w:r w:rsidR="00910EDB" w:rsidRPr="00C73365">
        <w:rPr>
          <w:rFonts w:asciiTheme="minorHAnsi" w:hAnsiTheme="minorHAnsi" w:cstheme="minorHAnsi"/>
          <w:lang w:val="fr-FR"/>
        </w:rPr>
        <w:t xml:space="preserve"> </w:t>
      </w:r>
      <w:r w:rsidR="006B5037" w:rsidRPr="00C73365">
        <w:rPr>
          <w:rFonts w:asciiTheme="minorHAnsi" w:hAnsiTheme="minorHAnsi" w:cstheme="minorHAnsi"/>
          <w:lang w:val="fr-FR"/>
        </w:rPr>
        <w:t xml:space="preserve">Les charges d’exploitation sont à 72% composées des « autres achats et charges externes ». </w:t>
      </w:r>
      <w:r w:rsidR="00B5372B" w:rsidRPr="00C73365">
        <w:rPr>
          <w:rFonts w:asciiTheme="minorHAnsi" w:hAnsiTheme="minorHAnsi" w:cstheme="minorHAnsi"/>
          <w:lang w:val="fr-FR"/>
        </w:rPr>
        <w:t xml:space="preserve">61% de ce dernier montant concerne les études externes et sous-traitance (études cliniques, de toxicologie, développement de procédé industriel) retraçant </w:t>
      </w:r>
      <w:r w:rsidR="001F5078" w:rsidRPr="00C73365">
        <w:rPr>
          <w:rFonts w:asciiTheme="minorHAnsi" w:hAnsiTheme="minorHAnsi" w:cstheme="minorHAnsi"/>
          <w:lang w:val="fr-FR"/>
        </w:rPr>
        <w:t>les principales études en cours sur le produit le plus avancé ABX464 (soit l’étude 464-004 et 464-005 sur le HIV et l’étude UC-101 et UC-102 sur la maladie inflammatoire chronique de l’intestin) et sur les produits en développement ABX196 (Cancer) et ABX544 (Ebola) ainsi que les études de recherche</w:t>
      </w:r>
      <w:r w:rsidR="00E16C9A" w:rsidRPr="00C73365">
        <w:rPr>
          <w:rFonts w:asciiTheme="minorHAnsi" w:hAnsiTheme="minorHAnsi" w:cstheme="minorHAnsi"/>
          <w:lang w:val="fr-FR"/>
        </w:rPr>
        <w:t>.</w:t>
      </w:r>
      <w:r w:rsidR="001F5078" w:rsidRPr="00C73365">
        <w:rPr>
          <w:rFonts w:asciiTheme="minorHAnsi" w:hAnsiTheme="minorHAnsi" w:cstheme="minorHAnsi"/>
          <w:lang w:val="fr-FR"/>
        </w:rPr>
        <w:t xml:space="preserve"> </w:t>
      </w:r>
    </w:p>
    <w:p w14:paraId="391AB5E2" w14:textId="77777777" w:rsidR="006B5037" w:rsidRPr="00C73365" w:rsidRDefault="006B5037"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réduction des charges d’exploitation est due principalement à l’arrêt du développement de l’ABX203 fin 2016. L’étude clinique de phase III portant sur l’ABX203 </w:t>
      </w:r>
      <w:r w:rsidR="00A35783" w:rsidRPr="00C73365">
        <w:rPr>
          <w:rFonts w:asciiTheme="minorHAnsi" w:hAnsiTheme="minorHAnsi" w:cstheme="minorHAnsi"/>
          <w:lang w:val="fr-FR"/>
        </w:rPr>
        <w:t xml:space="preserve">(Hépatite B) </w:t>
      </w:r>
      <w:r w:rsidRPr="00C73365">
        <w:rPr>
          <w:rFonts w:asciiTheme="minorHAnsi" w:hAnsiTheme="minorHAnsi" w:cstheme="minorHAnsi"/>
          <w:lang w:val="fr-FR"/>
        </w:rPr>
        <w:t xml:space="preserve">a engendré près de </w:t>
      </w:r>
      <w:r w:rsidR="00C12F8B" w:rsidRPr="00C73365">
        <w:rPr>
          <w:rFonts w:asciiTheme="minorHAnsi" w:hAnsiTheme="minorHAnsi" w:cstheme="minorHAnsi"/>
          <w:lang w:val="fr-FR"/>
        </w:rPr>
        <w:t>-</w:t>
      </w:r>
      <w:r w:rsidRPr="00C73365">
        <w:rPr>
          <w:rFonts w:asciiTheme="minorHAnsi" w:hAnsiTheme="minorHAnsi" w:cstheme="minorHAnsi"/>
          <w:lang w:val="fr-FR"/>
        </w:rPr>
        <w:t>5 millions d’euros ce coûts en 2016 qui n’ont pas été reproduits en 2017</w:t>
      </w:r>
    </w:p>
    <w:p w14:paraId="50C0605D" w14:textId="77777777" w:rsidR="003D4024"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Les charges sociales comprennent une provision de 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lié au titre du CICE 2017.</w:t>
      </w:r>
      <w:r w:rsidR="006B5037" w:rsidRPr="00C73365">
        <w:rPr>
          <w:rFonts w:asciiTheme="minorHAnsi" w:hAnsiTheme="minorHAnsi" w:cstheme="minorHAnsi"/>
          <w:lang w:val="fr-FR"/>
        </w:rPr>
        <w:t xml:space="preserve"> </w:t>
      </w:r>
    </w:p>
    <w:p w14:paraId="7F3DB1A3"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perte opérationnelle s’élève au 31 Décembre 2017 à </w:t>
      </w:r>
      <w:r w:rsidR="00C12F8B" w:rsidRPr="00C73365">
        <w:rPr>
          <w:rFonts w:asciiTheme="minorHAnsi" w:hAnsiTheme="minorHAnsi" w:cstheme="minorHAnsi"/>
          <w:lang w:val="fr-FR"/>
        </w:rPr>
        <w:t>-</w:t>
      </w:r>
      <w:r w:rsidRPr="00C73365">
        <w:rPr>
          <w:rFonts w:asciiTheme="minorHAnsi" w:hAnsiTheme="minorHAnsi" w:cstheme="minorHAnsi"/>
          <w:lang w:val="fr-FR"/>
        </w:rPr>
        <w:t xml:space="preserve">14 150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C12F8B" w:rsidRPr="00C73365">
        <w:rPr>
          <w:rFonts w:asciiTheme="minorHAnsi" w:hAnsiTheme="minorHAnsi" w:cstheme="minorHAnsi"/>
          <w:lang w:val="fr-FR"/>
        </w:rPr>
        <w:t>-</w:t>
      </w:r>
      <w:r w:rsidRPr="00C73365">
        <w:rPr>
          <w:rFonts w:asciiTheme="minorHAnsi" w:hAnsiTheme="minorHAnsi" w:cstheme="minorHAnsi"/>
          <w:lang w:val="fr-FR"/>
        </w:rPr>
        <w:t xml:space="preserve">18 </w:t>
      </w:r>
      <w:r w:rsidR="007C6805" w:rsidRPr="00C73365">
        <w:rPr>
          <w:rFonts w:asciiTheme="minorHAnsi" w:hAnsiTheme="minorHAnsi" w:cstheme="minorHAnsi"/>
          <w:lang w:val="fr-FR"/>
        </w:rPr>
        <w:t xml:space="preserve">236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2016</w:t>
      </w:r>
      <w:r w:rsidR="003D4024" w:rsidRPr="00C73365">
        <w:rPr>
          <w:rFonts w:asciiTheme="minorHAnsi" w:hAnsiTheme="minorHAnsi" w:cstheme="minorHAnsi"/>
          <w:lang w:val="fr-FR"/>
        </w:rPr>
        <w:t xml:space="preserve">, </w:t>
      </w:r>
      <w:r w:rsidR="00D5000C" w:rsidRPr="00C73365">
        <w:rPr>
          <w:rFonts w:asciiTheme="minorHAnsi" w:hAnsiTheme="minorHAnsi" w:cstheme="minorHAnsi"/>
          <w:lang w:val="fr-FR"/>
        </w:rPr>
        <w:t>en</w:t>
      </w:r>
      <w:r w:rsidR="003D4024" w:rsidRPr="00C73365">
        <w:rPr>
          <w:rFonts w:asciiTheme="minorHAnsi" w:hAnsiTheme="minorHAnsi" w:cstheme="minorHAnsi"/>
          <w:lang w:val="fr-FR"/>
        </w:rPr>
        <w:t xml:space="preserve"> baisse </w:t>
      </w:r>
      <w:r w:rsidR="00D5000C" w:rsidRPr="00C73365">
        <w:rPr>
          <w:rFonts w:asciiTheme="minorHAnsi" w:hAnsiTheme="minorHAnsi" w:cstheme="minorHAnsi"/>
          <w:lang w:val="fr-FR"/>
        </w:rPr>
        <w:t>due</w:t>
      </w:r>
      <w:r w:rsidR="003D4024" w:rsidRPr="00C73365">
        <w:rPr>
          <w:rFonts w:asciiTheme="minorHAnsi" w:hAnsiTheme="minorHAnsi" w:cstheme="minorHAnsi"/>
          <w:lang w:val="fr-FR"/>
        </w:rPr>
        <w:t xml:space="preserve"> à la réduction des charges liées au produit ABX203</w:t>
      </w:r>
      <w:r w:rsidRPr="00C73365">
        <w:rPr>
          <w:rFonts w:asciiTheme="minorHAnsi" w:hAnsiTheme="minorHAnsi" w:cstheme="minorHAnsi"/>
          <w:lang w:val="fr-FR"/>
        </w:rPr>
        <w:t xml:space="preserve">. </w:t>
      </w:r>
    </w:p>
    <w:p w14:paraId="7CD4C2F5" w14:textId="77777777" w:rsidR="00776BB9" w:rsidRPr="00C73365" w:rsidRDefault="00776BB9" w:rsidP="004572A0">
      <w:pPr>
        <w:pStyle w:val="Corpsdetexte"/>
        <w:rPr>
          <w:rFonts w:asciiTheme="minorHAnsi" w:hAnsiTheme="minorHAnsi" w:cstheme="minorHAnsi"/>
          <w:lang w:val="fr-FR"/>
        </w:rPr>
        <w:sectPr w:rsidR="00776BB9" w:rsidRPr="00C73365" w:rsidSect="007C607C">
          <w:type w:val="continuous"/>
          <w:pgSz w:w="11907" w:h="16840" w:code="9"/>
          <w:pgMar w:top="1134" w:right="1134" w:bottom="1134" w:left="1134" w:header="709" w:footer="709" w:gutter="0"/>
          <w:cols w:space="708"/>
          <w:docGrid w:linePitch="360"/>
        </w:sectPr>
      </w:pPr>
    </w:p>
    <w:p w14:paraId="09481DE1" w14:textId="77777777" w:rsidR="00776BB9" w:rsidRPr="00C73365" w:rsidRDefault="00776BB9" w:rsidP="00616826">
      <w:pPr>
        <w:pStyle w:val="Paragraphedeliste"/>
        <w:numPr>
          <w:ilvl w:val="2"/>
          <w:numId w:val="9"/>
        </w:numPr>
        <w:spacing w:after="0"/>
        <w:outlineLvl w:val="2"/>
        <w:rPr>
          <w:rFonts w:asciiTheme="minorHAnsi" w:hAnsiTheme="minorHAnsi" w:cstheme="minorHAnsi"/>
          <w:b/>
          <w:color w:val="7030A0"/>
          <w:szCs w:val="22"/>
          <w:lang w:val="fr-FR"/>
        </w:rPr>
      </w:pPr>
      <w:bookmarkStart w:id="361" w:name="_Toc400469547"/>
      <w:r w:rsidRPr="00C73365">
        <w:rPr>
          <w:rFonts w:asciiTheme="minorHAnsi" w:hAnsiTheme="minorHAnsi" w:cstheme="minorHAnsi"/>
          <w:b/>
          <w:color w:val="7030A0"/>
          <w:szCs w:val="22"/>
          <w:lang w:val="fr-FR"/>
        </w:rPr>
        <w:lastRenderedPageBreak/>
        <w:t>Résultat financier</w:t>
      </w:r>
      <w:bookmarkEnd w:id="361"/>
    </w:p>
    <w:p w14:paraId="2EAEF15E" w14:textId="77777777" w:rsidR="001A2235" w:rsidRPr="00C73365" w:rsidRDefault="001A2235" w:rsidP="001A2235">
      <w:pPr>
        <w:rPr>
          <w:rFonts w:asciiTheme="minorHAnsi" w:hAnsiTheme="minorHAnsi" w:cstheme="minorHAnsi"/>
          <w:lang w:val="fr-FR"/>
        </w:rPr>
      </w:pPr>
    </w:p>
    <w:tbl>
      <w:tblPr>
        <w:tblW w:w="7000" w:type="dxa"/>
        <w:tblLook w:val="04A0" w:firstRow="1" w:lastRow="0" w:firstColumn="1" w:lastColumn="0" w:noHBand="0" w:noVBand="1"/>
      </w:tblPr>
      <w:tblGrid>
        <w:gridCol w:w="3280"/>
        <w:gridCol w:w="1240"/>
        <w:gridCol w:w="1240"/>
        <w:gridCol w:w="1240"/>
      </w:tblGrid>
      <w:tr w:rsidR="00776BB9" w:rsidRPr="00C73365" w14:paraId="45E0817A" w14:textId="77777777" w:rsidTr="00793DCB">
        <w:trPr>
          <w:trHeight w:val="300"/>
        </w:trPr>
        <w:tc>
          <w:tcPr>
            <w:tcW w:w="3280" w:type="dxa"/>
            <w:tcBorders>
              <w:top w:val="single" w:sz="12" w:space="0" w:color="7030A0"/>
              <w:left w:val="nil"/>
              <w:bottom w:val="nil"/>
              <w:right w:val="nil"/>
            </w:tcBorders>
            <w:shd w:val="clear" w:color="auto" w:fill="auto"/>
            <w:vAlign w:val="center"/>
            <w:hideMark/>
          </w:tcPr>
          <w:p w14:paraId="086E7892" w14:textId="77777777"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40" w:type="dxa"/>
            <w:vMerge w:val="restart"/>
            <w:tcBorders>
              <w:top w:val="single" w:sz="12" w:space="0" w:color="7030A0"/>
              <w:left w:val="nil"/>
              <w:bottom w:val="single" w:sz="8" w:space="0" w:color="7030A0"/>
              <w:right w:val="nil"/>
            </w:tcBorders>
            <w:shd w:val="clear" w:color="auto" w:fill="auto"/>
            <w:vAlign w:val="center"/>
            <w:hideMark/>
          </w:tcPr>
          <w:p w14:paraId="11142F37" w14:textId="77777777"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40" w:type="dxa"/>
            <w:vMerge w:val="restart"/>
            <w:tcBorders>
              <w:top w:val="single" w:sz="12" w:space="0" w:color="7030A0"/>
              <w:left w:val="nil"/>
              <w:bottom w:val="single" w:sz="8" w:space="0" w:color="7030A0"/>
              <w:right w:val="nil"/>
            </w:tcBorders>
            <w:shd w:val="clear" w:color="auto" w:fill="auto"/>
            <w:vAlign w:val="center"/>
            <w:hideMark/>
          </w:tcPr>
          <w:p w14:paraId="4E6410F8" w14:textId="77777777"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40" w:type="dxa"/>
            <w:vMerge w:val="restart"/>
            <w:tcBorders>
              <w:top w:val="single" w:sz="12" w:space="0" w:color="7030A0"/>
              <w:left w:val="nil"/>
              <w:bottom w:val="single" w:sz="8" w:space="0" w:color="7030A0"/>
              <w:right w:val="nil"/>
            </w:tcBorders>
            <w:shd w:val="clear" w:color="auto" w:fill="auto"/>
            <w:vAlign w:val="center"/>
            <w:hideMark/>
          </w:tcPr>
          <w:p w14:paraId="6FEBD893" w14:textId="77777777"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14:paraId="14415409" w14:textId="77777777" w:rsidTr="00793DCB">
        <w:trPr>
          <w:trHeight w:val="300"/>
        </w:trPr>
        <w:tc>
          <w:tcPr>
            <w:tcW w:w="3280" w:type="dxa"/>
            <w:tcBorders>
              <w:top w:val="nil"/>
              <w:left w:val="nil"/>
              <w:bottom w:val="single" w:sz="8" w:space="0" w:color="7030A0"/>
              <w:right w:val="nil"/>
            </w:tcBorders>
            <w:shd w:val="clear" w:color="auto" w:fill="auto"/>
            <w:vAlign w:val="center"/>
            <w:hideMark/>
          </w:tcPr>
          <w:p w14:paraId="50D40BBF" w14:textId="77777777"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vMerge/>
            <w:tcBorders>
              <w:top w:val="single" w:sz="12" w:space="0" w:color="7030A0"/>
              <w:left w:val="nil"/>
              <w:bottom w:val="single" w:sz="8" w:space="0" w:color="7030A0"/>
              <w:right w:val="nil"/>
            </w:tcBorders>
            <w:vAlign w:val="center"/>
            <w:hideMark/>
          </w:tcPr>
          <w:p w14:paraId="71D383D6" w14:textId="77777777" w:rsidR="00776BB9" w:rsidRPr="00C73365" w:rsidRDefault="00776BB9" w:rsidP="00A96CCA">
            <w:pPr>
              <w:spacing w:after="0"/>
              <w:rPr>
                <w:rFonts w:asciiTheme="minorHAnsi" w:hAnsiTheme="minorHAnsi" w:cstheme="minorHAnsi"/>
                <w:b/>
                <w:bCs/>
                <w:color w:val="7030A0"/>
                <w:szCs w:val="20"/>
              </w:rPr>
            </w:pPr>
          </w:p>
        </w:tc>
        <w:tc>
          <w:tcPr>
            <w:tcW w:w="1240" w:type="dxa"/>
            <w:vMerge/>
            <w:tcBorders>
              <w:top w:val="single" w:sz="12" w:space="0" w:color="7030A0"/>
              <w:left w:val="nil"/>
              <w:bottom w:val="single" w:sz="8" w:space="0" w:color="7030A0"/>
              <w:right w:val="nil"/>
            </w:tcBorders>
            <w:vAlign w:val="center"/>
            <w:hideMark/>
          </w:tcPr>
          <w:p w14:paraId="5A75A6B2" w14:textId="77777777" w:rsidR="00776BB9" w:rsidRPr="00C73365" w:rsidRDefault="00776BB9"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14:paraId="6E88E18A" w14:textId="77777777" w:rsidR="00776BB9" w:rsidRPr="00C73365" w:rsidRDefault="00776BB9" w:rsidP="00A96CCA">
            <w:pPr>
              <w:spacing w:after="0"/>
              <w:rPr>
                <w:rFonts w:asciiTheme="minorHAnsi" w:hAnsiTheme="minorHAnsi" w:cstheme="minorHAnsi"/>
                <w:b/>
                <w:bCs/>
                <w:color w:val="000000"/>
                <w:szCs w:val="20"/>
              </w:rPr>
            </w:pPr>
          </w:p>
        </w:tc>
      </w:tr>
      <w:tr w:rsidR="00776BB9" w:rsidRPr="00C73365" w14:paraId="7EF833B7" w14:textId="77777777" w:rsidTr="00793DCB">
        <w:trPr>
          <w:trHeight w:val="288"/>
        </w:trPr>
        <w:tc>
          <w:tcPr>
            <w:tcW w:w="3280" w:type="dxa"/>
            <w:tcBorders>
              <w:top w:val="nil"/>
              <w:left w:val="nil"/>
              <w:bottom w:val="nil"/>
              <w:right w:val="nil"/>
            </w:tcBorders>
            <w:shd w:val="clear" w:color="auto" w:fill="auto"/>
            <w:noWrap/>
            <w:vAlign w:val="center"/>
            <w:hideMark/>
          </w:tcPr>
          <w:p w14:paraId="29419C23" w14:textId="77777777"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financiers</w:t>
            </w:r>
          </w:p>
        </w:tc>
        <w:tc>
          <w:tcPr>
            <w:tcW w:w="1240" w:type="dxa"/>
            <w:tcBorders>
              <w:top w:val="nil"/>
              <w:left w:val="nil"/>
              <w:bottom w:val="nil"/>
              <w:right w:val="nil"/>
            </w:tcBorders>
            <w:shd w:val="clear" w:color="auto" w:fill="auto"/>
            <w:noWrap/>
            <w:vAlign w:val="center"/>
            <w:hideMark/>
          </w:tcPr>
          <w:p w14:paraId="550FAD66"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116</w:t>
            </w:r>
          </w:p>
        </w:tc>
        <w:tc>
          <w:tcPr>
            <w:tcW w:w="1240" w:type="dxa"/>
            <w:tcBorders>
              <w:top w:val="nil"/>
              <w:left w:val="nil"/>
              <w:bottom w:val="nil"/>
              <w:right w:val="nil"/>
            </w:tcBorders>
            <w:shd w:val="clear" w:color="auto" w:fill="auto"/>
            <w:noWrap/>
            <w:vAlign w:val="center"/>
            <w:hideMark/>
          </w:tcPr>
          <w:p w14:paraId="557C1538"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301</w:t>
            </w:r>
          </w:p>
        </w:tc>
        <w:tc>
          <w:tcPr>
            <w:tcW w:w="1240" w:type="dxa"/>
            <w:tcBorders>
              <w:top w:val="nil"/>
              <w:left w:val="nil"/>
              <w:bottom w:val="nil"/>
              <w:right w:val="nil"/>
            </w:tcBorders>
            <w:shd w:val="clear" w:color="auto" w:fill="auto"/>
            <w:vAlign w:val="center"/>
            <w:hideMark/>
          </w:tcPr>
          <w:p w14:paraId="1446E627"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-185</w:t>
            </w:r>
          </w:p>
        </w:tc>
      </w:tr>
      <w:tr w:rsidR="00776BB9" w:rsidRPr="00C73365" w14:paraId="60A8326C" w14:textId="77777777" w:rsidTr="00793DCB">
        <w:trPr>
          <w:trHeight w:val="300"/>
        </w:trPr>
        <w:tc>
          <w:tcPr>
            <w:tcW w:w="3280" w:type="dxa"/>
            <w:tcBorders>
              <w:top w:val="nil"/>
              <w:left w:val="nil"/>
              <w:bottom w:val="single" w:sz="8" w:space="0" w:color="7030A0"/>
              <w:right w:val="nil"/>
            </w:tcBorders>
            <w:shd w:val="clear" w:color="auto" w:fill="auto"/>
            <w:noWrap/>
            <w:vAlign w:val="center"/>
            <w:hideMark/>
          </w:tcPr>
          <w:p w14:paraId="12E4F39C" w14:textId="77777777"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financières</w:t>
            </w:r>
          </w:p>
        </w:tc>
        <w:tc>
          <w:tcPr>
            <w:tcW w:w="1240" w:type="dxa"/>
            <w:tcBorders>
              <w:top w:val="nil"/>
              <w:left w:val="nil"/>
              <w:bottom w:val="single" w:sz="8" w:space="0" w:color="7030A0"/>
              <w:right w:val="nil"/>
            </w:tcBorders>
            <w:shd w:val="clear" w:color="auto" w:fill="auto"/>
            <w:vAlign w:val="center"/>
            <w:hideMark/>
          </w:tcPr>
          <w:p w14:paraId="74627286" w14:textId="77777777" w:rsidR="00776BB9" w:rsidRPr="00C73365" w:rsidRDefault="00F77970"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39</w:t>
            </w:r>
          </w:p>
        </w:tc>
        <w:tc>
          <w:tcPr>
            <w:tcW w:w="1240" w:type="dxa"/>
            <w:tcBorders>
              <w:top w:val="nil"/>
              <w:left w:val="nil"/>
              <w:bottom w:val="single" w:sz="8" w:space="0" w:color="7030A0"/>
              <w:right w:val="nil"/>
            </w:tcBorders>
            <w:shd w:val="clear" w:color="auto" w:fill="auto"/>
            <w:vAlign w:val="center"/>
            <w:hideMark/>
          </w:tcPr>
          <w:p w14:paraId="7FD06A20" w14:textId="77777777" w:rsidR="00776BB9" w:rsidRPr="00C73365" w:rsidRDefault="00F77970"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42</w:t>
            </w:r>
          </w:p>
        </w:tc>
        <w:tc>
          <w:tcPr>
            <w:tcW w:w="1240" w:type="dxa"/>
            <w:tcBorders>
              <w:top w:val="nil"/>
              <w:left w:val="nil"/>
              <w:bottom w:val="single" w:sz="8" w:space="0" w:color="7030A0"/>
              <w:right w:val="nil"/>
            </w:tcBorders>
            <w:shd w:val="clear" w:color="auto" w:fill="auto"/>
            <w:vAlign w:val="center"/>
            <w:hideMark/>
          </w:tcPr>
          <w:p w14:paraId="798439BE"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w:t>
            </w:r>
          </w:p>
        </w:tc>
      </w:tr>
      <w:tr w:rsidR="00776BB9" w:rsidRPr="00C73365" w14:paraId="5D6CD2D4" w14:textId="77777777" w:rsidTr="00793DCB">
        <w:trPr>
          <w:trHeight w:val="300"/>
        </w:trPr>
        <w:tc>
          <w:tcPr>
            <w:tcW w:w="3280" w:type="dxa"/>
            <w:tcBorders>
              <w:top w:val="nil"/>
              <w:left w:val="nil"/>
              <w:bottom w:val="single" w:sz="8" w:space="0" w:color="7030A0"/>
              <w:right w:val="nil"/>
            </w:tcBorders>
            <w:shd w:val="clear" w:color="auto" w:fill="auto"/>
            <w:noWrap/>
            <w:vAlign w:val="center"/>
            <w:hideMark/>
          </w:tcPr>
          <w:p w14:paraId="2FA33193" w14:textId="77777777" w:rsidR="00776BB9" w:rsidRPr="00C73365" w:rsidRDefault="00776BB9"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Résultat Financier</w:t>
            </w:r>
          </w:p>
        </w:tc>
        <w:tc>
          <w:tcPr>
            <w:tcW w:w="1240" w:type="dxa"/>
            <w:tcBorders>
              <w:top w:val="nil"/>
              <w:left w:val="nil"/>
              <w:bottom w:val="single" w:sz="8" w:space="0" w:color="7030A0"/>
              <w:right w:val="nil"/>
            </w:tcBorders>
            <w:shd w:val="clear" w:color="auto" w:fill="auto"/>
            <w:vAlign w:val="center"/>
            <w:hideMark/>
          </w:tcPr>
          <w:p w14:paraId="22B1B42A" w14:textId="77777777"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77</w:t>
            </w:r>
          </w:p>
        </w:tc>
        <w:tc>
          <w:tcPr>
            <w:tcW w:w="1240" w:type="dxa"/>
            <w:tcBorders>
              <w:top w:val="nil"/>
              <w:left w:val="nil"/>
              <w:bottom w:val="single" w:sz="8" w:space="0" w:color="7030A0"/>
              <w:right w:val="nil"/>
            </w:tcBorders>
            <w:shd w:val="clear" w:color="auto" w:fill="auto"/>
            <w:vAlign w:val="center"/>
            <w:hideMark/>
          </w:tcPr>
          <w:p w14:paraId="165967FB" w14:textId="77777777"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258</w:t>
            </w:r>
          </w:p>
        </w:tc>
        <w:tc>
          <w:tcPr>
            <w:tcW w:w="1240" w:type="dxa"/>
            <w:tcBorders>
              <w:top w:val="nil"/>
              <w:left w:val="nil"/>
              <w:bottom w:val="single" w:sz="8" w:space="0" w:color="7030A0"/>
              <w:right w:val="nil"/>
            </w:tcBorders>
            <w:shd w:val="clear" w:color="auto" w:fill="auto"/>
            <w:vAlign w:val="center"/>
            <w:hideMark/>
          </w:tcPr>
          <w:p w14:paraId="7EF6CEEA" w14:textId="77777777"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-182</w:t>
            </w:r>
          </w:p>
        </w:tc>
      </w:tr>
    </w:tbl>
    <w:p w14:paraId="32E0F78B" w14:textId="77777777" w:rsidR="00D852BD" w:rsidRPr="00C73365" w:rsidRDefault="00D852BD" w:rsidP="00D852BD">
      <w:pPr>
        <w:spacing w:after="0"/>
        <w:rPr>
          <w:rFonts w:asciiTheme="minorHAnsi" w:hAnsiTheme="minorHAnsi" w:cstheme="minorHAnsi"/>
          <w:lang w:val="fr-FR"/>
        </w:rPr>
      </w:pPr>
    </w:p>
    <w:p w14:paraId="7B8551E1" w14:textId="77777777" w:rsidR="00776BB9" w:rsidRPr="00C73365" w:rsidRDefault="00776BB9" w:rsidP="004572A0">
      <w:pPr>
        <w:pStyle w:val="Corpsdetexte"/>
        <w:rPr>
          <w:rFonts w:asciiTheme="minorHAnsi" w:hAnsiTheme="minorHAnsi" w:cstheme="minorHAnsi"/>
          <w:lang w:val="fr-FR"/>
        </w:rPr>
      </w:pPr>
      <w:bookmarkStart w:id="362" w:name="_Hlk509825497"/>
      <w:r w:rsidRPr="00C73365">
        <w:rPr>
          <w:rFonts w:asciiTheme="minorHAnsi" w:hAnsiTheme="minorHAnsi" w:cstheme="minorHAnsi"/>
          <w:lang w:val="fr-FR"/>
        </w:rPr>
        <w:t xml:space="preserve">Au 31/12/2017, les charges financières comprennent 31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d’intérêts courus sur le contrat BPI CaReNA (31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 et 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perte de change (12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w:t>
      </w:r>
    </w:p>
    <w:bookmarkEnd w:id="362"/>
    <w:p w14:paraId="44A32265"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Au 31/12/2017, les produits financiers se décomposent ainsi :</w:t>
      </w:r>
    </w:p>
    <w:tbl>
      <w:tblPr>
        <w:tblW w:w="6660" w:type="dxa"/>
        <w:tblCellMar>
          <w:left w:w="70" w:type="dxa"/>
          <w:right w:w="70" w:type="dxa"/>
        </w:tblCellMar>
        <w:tblLook w:val="04A0" w:firstRow="1" w:lastRow="0" w:firstColumn="1" w:lastColumn="0" w:noHBand="0" w:noVBand="1"/>
      </w:tblPr>
      <w:tblGrid>
        <w:gridCol w:w="5420"/>
        <w:gridCol w:w="1240"/>
      </w:tblGrid>
      <w:tr w:rsidR="00776BB9" w:rsidRPr="00C73365" w14:paraId="5EFFFF4D" w14:textId="77777777" w:rsidTr="00793DCB">
        <w:trPr>
          <w:trHeight w:val="312"/>
        </w:trPr>
        <w:tc>
          <w:tcPr>
            <w:tcW w:w="5420" w:type="dxa"/>
            <w:tcBorders>
              <w:top w:val="single" w:sz="12" w:space="0" w:color="7030A0"/>
              <w:left w:val="nil"/>
              <w:bottom w:val="single" w:sz="8" w:space="0" w:color="7030A0"/>
              <w:right w:val="nil"/>
            </w:tcBorders>
            <w:shd w:val="clear" w:color="auto" w:fill="auto"/>
            <w:vAlign w:val="center"/>
            <w:hideMark/>
          </w:tcPr>
          <w:p w14:paraId="416B47B2" w14:textId="77777777" w:rsidR="00776BB9" w:rsidRPr="00C73365" w:rsidRDefault="00776BB9" w:rsidP="00A96CCA">
            <w:pPr>
              <w:spacing w:after="0"/>
              <w:rPr>
                <w:rFonts w:asciiTheme="minorHAnsi" w:hAnsiTheme="minorHAnsi" w:cstheme="minorHAnsi"/>
                <w:color w:val="000000"/>
                <w:szCs w:val="20"/>
                <w:lang w:val="fr-FR" w:eastAsia="fr-FR"/>
              </w:rPr>
            </w:pPr>
          </w:p>
        </w:tc>
        <w:tc>
          <w:tcPr>
            <w:tcW w:w="1240" w:type="dxa"/>
            <w:tcBorders>
              <w:top w:val="single" w:sz="12" w:space="0" w:color="7030A0"/>
              <w:left w:val="nil"/>
              <w:bottom w:val="single" w:sz="8" w:space="0" w:color="7030A0"/>
              <w:right w:val="nil"/>
            </w:tcBorders>
            <w:shd w:val="clear" w:color="auto" w:fill="auto"/>
            <w:vAlign w:val="center"/>
            <w:hideMark/>
          </w:tcPr>
          <w:p w14:paraId="4BAA4AAF"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776BB9" w:rsidRPr="00C73365" w14:paraId="1A9F3170" w14:textId="77777777" w:rsidTr="00793DCB">
        <w:trPr>
          <w:trHeight w:val="288"/>
        </w:trPr>
        <w:tc>
          <w:tcPr>
            <w:tcW w:w="5420" w:type="dxa"/>
            <w:tcBorders>
              <w:top w:val="nil"/>
              <w:left w:val="nil"/>
              <w:bottom w:val="nil"/>
              <w:right w:val="nil"/>
            </w:tcBorders>
            <w:shd w:val="clear" w:color="auto" w:fill="auto"/>
            <w:vAlign w:val="center"/>
            <w:hideMark/>
          </w:tcPr>
          <w:p w14:paraId="1DF2241C"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Intérêts créditeurs CAT </w:t>
            </w:r>
          </w:p>
        </w:tc>
        <w:tc>
          <w:tcPr>
            <w:tcW w:w="1240" w:type="dxa"/>
            <w:tcBorders>
              <w:top w:val="nil"/>
              <w:left w:val="nil"/>
              <w:bottom w:val="nil"/>
              <w:right w:val="nil"/>
            </w:tcBorders>
            <w:shd w:val="clear" w:color="auto" w:fill="auto"/>
            <w:noWrap/>
            <w:vAlign w:val="center"/>
            <w:hideMark/>
          </w:tcPr>
          <w:p w14:paraId="6D6018AA"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110 </w:t>
            </w:r>
            <w:r w:rsidR="00EF089C" w:rsidRPr="00C73365">
              <w:rPr>
                <w:rFonts w:asciiTheme="minorHAnsi" w:hAnsiTheme="minorHAnsi" w:cstheme="minorHAnsi"/>
                <w:color w:val="000000"/>
                <w:szCs w:val="20"/>
                <w:lang w:val="fr-FR" w:eastAsia="fr-FR"/>
              </w:rPr>
              <w:t>K€</w:t>
            </w:r>
          </w:p>
        </w:tc>
      </w:tr>
      <w:tr w:rsidR="00776BB9" w:rsidRPr="00C73365" w14:paraId="58FD33FC" w14:textId="77777777" w:rsidTr="00793DCB">
        <w:trPr>
          <w:trHeight w:val="300"/>
        </w:trPr>
        <w:tc>
          <w:tcPr>
            <w:tcW w:w="5420" w:type="dxa"/>
            <w:tcBorders>
              <w:top w:val="nil"/>
              <w:left w:val="nil"/>
              <w:bottom w:val="single" w:sz="8" w:space="0" w:color="7030A0"/>
              <w:right w:val="nil"/>
            </w:tcBorders>
            <w:shd w:val="clear" w:color="auto" w:fill="auto"/>
            <w:vAlign w:val="center"/>
            <w:hideMark/>
          </w:tcPr>
          <w:p w14:paraId="68385CF1"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Gain de change</w:t>
            </w:r>
          </w:p>
        </w:tc>
        <w:tc>
          <w:tcPr>
            <w:tcW w:w="1240" w:type="dxa"/>
            <w:tcBorders>
              <w:top w:val="nil"/>
              <w:left w:val="nil"/>
              <w:bottom w:val="single" w:sz="8" w:space="0" w:color="7030A0"/>
              <w:right w:val="nil"/>
            </w:tcBorders>
            <w:shd w:val="clear" w:color="auto" w:fill="auto"/>
            <w:vAlign w:val="center"/>
            <w:hideMark/>
          </w:tcPr>
          <w:p w14:paraId="55527FC9"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6 </w:t>
            </w:r>
            <w:r w:rsidR="00EF089C" w:rsidRPr="00C73365">
              <w:rPr>
                <w:rFonts w:asciiTheme="minorHAnsi" w:hAnsiTheme="minorHAnsi" w:cstheme="minorHAnsi"/>
                <w:color w:val="000000"/>
                <w:szCs w:val="20"/>
                <w:lang w:val="fr-FR" w:eastAsia="fr-FR"/>
              </w:rPr>
              <w:t>K€</w:t>
            </w:r>
          </w:p>
        </w:tc>
      </w:tr>
    </w:tbl>
    <w:p w14:paraId="04C02EF4" w14:textId="77777777" w:rsidR="00776BB9" w:rsidRPr="00C73365" w:rsidRDefault="00776BB9">
      <w:pPr>
        <w:rPr>
          <w:rFonts w:asciiTheme="minorHAnsi" w:hAnsiTheme="minorHAnsi" w:cstheme="minorHAnsi"/>
          <w:lang w:val="fr-FR"/>
        </w:rPr>
      </w:pPr>
    </w:p>
    <w:p w14:paraId="5BD60966" w14:textId="77777777" w:rsidR="00776BB9" w:rsidRPr="00C73365" w:rsidRDefault="00776BB9" w:rsidP="00616826">
      <w:pPr>
        <w:pStyle w:val="Paragraphedeliste"/>
        <w:numPr>
          <w:ilvl w:val="2"/>
          <w:numId w:val="9"/>
        </w:numPr>
        <w:spacing w:after="0"/>
        <w:outlineLvl w:val="2"/>
        <w:rPr>
          <w:rFonts w:asciiTheme="minorHAnsi" w:hAnsiTheme="minorHAnsi" w:cstheme="minorHAnsi"/>
          <w:b/>
          <w:color w:val="7030A0"/>
          <w:szCs w:val="22"/>
          <w:lang w:val="fr-FR"/>
        </w:rPr>
      </w:pPr>
      <w:bookmarkStart w:id="363" w:name="_Toc400469549"/>
      <w:r w:rsidRPr="00C73365">
        <w:rPr>
          <w:rFonts w:asciiTheme="minorHAnsi" w:hAnsiTheme="minorHAnsi" w:cstheme="minorHAnsi"/>
          <w:b/>
          <w:color w:val="7030A0"/>
          <w:szCs w:val="22"/>
          <w:lang w:val="fr-FR"/>
        </w:rPr>
        <w:t>Résultat net</w:t>
      </w:r>
      <w:bookmarkEnd w:id="363"/>
    </w:p>
    <w:p w14:paraId="3D338830" w14:textId="77777777" w:rsidR="00776BB9" w:rsidRPr="00C73365" w:rsidRDefault="00776BB9" w:rsidP="00A96CCA">
      <w:pPr>
        <w:pStyle w:val="ConmainL3"/>
        <w:keepLines/>
        <w:tabs>
          <w:tab w:val="clear" w:pos="360"/>
        </w:tabs>
        <w:spacing w:after="120"/>
        <w:outlineLvl w:val="9"/>
        <w:rPr>
          <w:rFonts w:asciiTheme="minorHAnsi" w:hAnsiTheme="minorHAnsi" w:cstheme="minorHAnsi"/>
          <w:b/>
          <w:color w:val="7030A0"/>
          <w:lang w:val="fr-FR"/>
        </w:rPr>
      </w:pPr>
    </w:p>
    <w:tbl>
      <w:tblPr>
        <w:tblW w:w="7000" w:type="dxa"/>
        <w:tblLook w:val="04A0" w:firstRow="1" w:lastRow="0" w:firstColumn="1" w:lastColumn="0" w:noHBand="0" w:noVBand="1"/>
      </w:tblPr>
      <w:tblGrid>
        <w:gridCol w:w="3280"/>
        <w:gridCol w:w="1240"/>
        <w:gridCol w:w="1240"/>
        <w:gridCol w:w="1240"/>
      </w:tblGrid>
      <w:tr w:rsidR="00776BB9" w:rsidRPr="00C73365" w14:paraId="6D12D48E" w14:textId="77777777" w:rsidTr="00793DCB">
        <w:trPr>
          <w:trHeight w:val="300"/>
        </w:trPr>
        <w:tc>
          <w:tcPr>
            <w:tcW w:w="3280" w:type="dxa"/>
            <w:tcBorders>
              <w:top w:val="single" w:sz="12" w:space="0" w:color="7030A0"/>
              <w:left w:val="nil"/>
              <w:bottom w:val="nil"/>
              <w:right w:val="nil"/>
            </w:tcBorders>
            <w:shd w:val="clear" w:color="auto" w:fill="auto"/>
            <w:vAlign w:val="center"/>
            <w:hideMark/>
          </w:tcPr>
          <w:p w14:paraId="7CFC761F" w14:textId="77777777"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40" w:type="dxa"/>
            <w:vMerge w:val="restart"/>
            <w:tcBorders>
              <w:top w:val="single" w:sz="12" w:space="0" w:color="7030A0"/>
              <w:left w:val="nil"/>
              <w:bottom w:val="single" w:sz="8" w:space="0" w:color="7030A0"/>
              <w:right w:val="nil"/>
            </w:tcBorders>
            <w:shd w:val="clear" w:color="auto" w:fill="auto"/>
            <w:vAlign w:val="center"/>
            <w:hideMark/>
          </w:tcPr>
          <w:p w14:paraId="7C4C778C" w14:textId="77777777"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40" w:type="dxa"/>
            <w:vMerge w:val="restart"/>
            <w:tcBorders>
              <w:top w:val="single" w:sz="12" w:space="0" w:color="7030A0"/>
              <w:left w:val="nil"/>
              <w:bottom w:val="single" w:sz="8" w:space="0" w:color="7030A0"/>
              <w:right w:val="nil"/>
            </w:tcBorders>
            <w:shd w:val="clear" w:color="auto" w:fill="auto"/>
            <w:vAlign w:val="center"/>
            <w:hideMark/>
          </w:tcPr>
          <w:p w14:paraId="1C933278" w14:textId="77777777"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40" w:type="dxa"/>
            <w:vMerge w:val="restart"/>
            <w:tcBorders>
              <w:top w:val="single" w:sz="12" w:space="0" w:color="7030A0"/>
              <w:left w:val="nil"/>
              <w:bottom w:val="single" w:sz="8" w:space="0" w:color="7030A0"/>
              <w:right w:val="nil"/>
            </w:tcBorders>
            <w:shd w:val="clear" w:color="auto" w:fill="auto"/>
            <w:vAlign w:val="center"/>
            <w:hideMark/>
          </w:tcPr>
          <w:p w14:paraId="5603DBC4" w14:textId="77777777"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14:paraId="232330C5" w14:textId="77777777" w:rsidTr="00793DCB">
        <w:trPr>
          <w:trHeight w:val="300"/>
        </w:trPr>
        <w:tc>
          <w:tcPr>
            <w:tcW w:w="3280" w:type="dxa"/>
            <w:tcBorders>
              <w:top w:val="nil"/>
              <w:left w:val="nil"/>
              <w:bottom w:val="single" w:sz="8" w:space="0" w:color="7030A0"/>
              <w:right w:val="nil"/>
            </w:tcBorders>
            <w:shd w:val="clear" w:color="auto" w:fill="auto"/>
            <w:vAlign w:val="center"/>
            <w:hideMark/>
          </w:tcPr>
          <w:p w14:paraId="06712A13" w14:textId="77777777"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vMerge/>
            <w:tcBorders>
              <w:top w:val="single" w:sz="12" w:space="0" w:color="7030A0"/>
              <w:left w:val="nil"/>
              <w:bottom w:val="single" w:sz="8" w:space="0" w:color="7030A0"/>
              <w:right w:val="nil"/>
            </w:tcBorders>
            <w:vAlign w:val="center"/>
            <w:hideMark/>
          </w:tcPr>
          <w:p w14:paraId="3E67D054" w14:textId="77777777" w:rsidR="00776BB9" w:rsidRPr="00C73365" w:rsidRDefault="00776BB9" w:rsidP="00A96CCA">
            <w:pPr>
              <w:spacing w:after="0"/>
              <w:rPr>
                <w:rFonts w:asciiTheme="minorHAnsi" w:hAnsiTheme="minorHAnsi" w:cstheme="minorHAnsi"/>
                <w:b/>
                <w:bCs/>
                <w:color w:val="7030A0"/>
                <w:szCs w:val="20"/>
              </w:rPr>
            </w:pPr>
          </w:p>
        </w:tc>
        <w:tc>
          <w:tcPr>
            <w:tcW w:w="1240" w:type="dxa"/>
            <w:vMerge/>
            <w:tcBorders>
              <w:top w:val="single" w:sz="12" w:space="0" w:color="7030A0"/>
              <w:left w:val="nil"/>
              <w:bottom w:val="single" w:sz="8" w:space="0" w:color="7030A0"/>
              <w:right w:val="nil"/>
            </w:tcBorders>
            <w:vAlign w:val="center"/>
            <w:hideMark/>
          </w:tcPr>
          <w:p w14:paraId="2FAFED8D" w14:textId="77777777" w:rsidR="00776BB9" w:rsidRPr="00C73365" w:rsidRDefault="00776BB9"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14:paraId="0B38F532" w14:textId="77777777" w:rsidR="00776BB9" w:rsidRPr="00C73365" w:rsidRDefault="00776BB9" w:rsidP="00A96CCA">
            <w:pPr>
              <w:spacing w:after="0"/>
              <w:rPr>
                <w:rFonts w:asciiTheme="minorHAnsi" w:hAnsiTheme="minorHAnsi" w:cstheme="minorHAnsi"/>
                <w:b/>
                <w:bCs/>
                <w:color w:val="000000"/>
                <w:szCs w:val="20"/>
              </w:rPr>
            </w:pPr>
          </w:p>
        </w:tc>
      </w:tr>
      <w:tr w:rsidR="00776BB9" w:rsidRPr="00C73365" w14:paraId="3B9DBE2C" w14:textId="77777777" w:rsidTr="00793DCB">
        <w:trPr>
          <w:trHeight w:val="300"/>
        </w:trPr>
        <w:tc>
          <w:tcPr>
            <w:tcW w:w="3280" w:type="dxa"/>
            <w:tcBorders>
              <w:top w:val="nil"/>
              <w:left w:val="nil"/>
              <w:bottom w:val="nil"/>
              <w:right w:val="nil"/>
            </w:tcBorders>
            <w:shd w:val="clear" w:color="auto" w:fill="auto"/>
            <w:noWrap/>
            <w:vAlign w:val="center"/>
            <w:hideMark/>
          </w:tcPr>
          <w:p w14:paraId="1812B27C" w14:textId="77777777"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courant avant impôts</w:t>
            </w:r>
          </w:p>
        </w:tc>
        <w:tc>
          <w:tcPr>
            <w:tcW w:w="1240" w:type="dxa"/>
            <w:tcBorders>
              <w:top w:val="nil"/>
              <w:left w:val="nil"/>
              <w:bottom w:val="nil"/>
              <w:right w:val="nil"/>
            </w:tcBorders>
            <w:shd w:val="clear" w:color="auto" w:fill="auto"/>
            <w:noWrap/>
            <w:vAlign w:val="center"/>
            <w:hideMark/>
          </w:tcPr>
          <w:p w14:paraId="20560C60"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-14 073</w:t>
            </w:r>
          </w:p>
        </w:tc>
        <w:tc>
          <w:tcPr>
            <w:tcW w:w="1240" w:type="dxa"/>
            <w:tcBorders>
              <w:top w:val="nil"/>
              <w:left w:val="nil"/>
              <w:bottom w:val="nil"/>
              <w:right w:val="nil"/>
            </w:tcBorders>
            <w:shd w:val="clear" w:color="auto" w:fill="auto"/>
            <w:noWrap/>
            <w:vAlign w:val="center"/>
            <w:hideMark/>
          </w:tcPr>
          <w:p w14:paraId="202583BD"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-17 978</w:t>
            </w:r>
          </w:p>
        </w:tc>
        <w:tc>
          <w:tcPr>
            <w:tcW w:w="1240" w:type="dxa"/>
            <w:tcBorders>
              <w:top w:val="nil"/>
              <w:left w:val="nil"/>
              <w:bottom w:val="nil"/>
              <w:right w:val="nil"/>
            </w:tcBorders>
            <w:shd w:val="clear" w:color="auto" w:fill="auto"/>
            <w:vAlign w:val="center"/>
            <w:hideMark/>
          </w:tcPr>
          <w:p w14:paraId="5A3B9A5D"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3 905</w:t>
            </w:r>
          </w:p>
        </w:tc>
      </w:tr>
      <w:tr w:rsidR="00776BB9" w:rsidRPr="00C73365" w14:paraId="28810AF3" w14:textId="77777777" w:rsidTr="00793DCB">
        <w:trPr>
          <w:trHeight w:val="288"/>
        </w:trPr>
        <w:tc>
          <w:tcPr>
            <w:tcW w:w="3280" w:type="dxa"/>
            <w:tcBorders>
              <w:top w:val="nil"/>
              <w:left w:val="nil"/>
              <w:bottom w:val="nil"/>
              <w:right w:val="nil"/>
            </w:tcBorders>
            <w:shd w:val="clear" w:color="auto" w:fill="auto"/>
            <w:noWrap/>
            <w:vAlign w:val="center"/>
            <w:hideMark/>
          </w:tcPr>
          <w:p w14:paraId="2D957667" w14:textId="77777777"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exceptionnel</w:t>
            </w:r>
          </w:p>
        </w:tc>
        <w:tc>
          <w:tcPr>
            <w:tcW w:w="1240" w:type="dxa"/>
            <w:tcBorders>
              <w:top w:val="nil"/>
              <w:left w:val="nil"/>
              <w:bottom w:val="nil"/>
              <w:right w:val="nil"/>
            </w:tcBorders>
            <w:shd w:val="clear" w:color="auto" w:fill="auto"/>
            <w:noWrap/>
            <w:vAlign w:val="center"/>
            <w:hideMark/>
          </w:tcPr>
          <w:p w14:paraId="59EC0DC8"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159</w:t>
            </w:r>
          </w:p>
        </w:tc>
        <w:tc>
          <w:tcPr>
            <w:tcW w:w="1240" w:type="dxa"/>
            <w:tcBorders>
              <w:top w:val="nil"/>
              <w:left w:val="nil"/>
              <w:bottom w:val="nil"/>
              <w:right w:val="nil"/>
            </w:tcBorders>
            <w:shd w:val="clear" w:color="auto" w:fill="auto"/>
            <w:noWrap/>
            <w:vAlign w:val="center"/>
            <w:hideMark/>
          </w:tcPr>
          <w:p w14:paraId="4FD98C9E"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152</w:t>
            </w:r>
          </w:p>
        </w:tc>
        <w:tc>
          <w:tcPr>
            <w:tcW w:w="1240" w:type="dxa"/>
            <w:tcBorders>
              <w:top w:val="nil"/>
              <w:left w:val="nil"/>
              <w:bottom w:val="nil"/>
              <w:right w:val="nil"/>
            </w:tcBorders>
            <w:shd w:val="clear" w:color="auto" w:fill="auto"/>
            <w:vAlign w:val="center"/>
            <w:hideMark/>
          </w:tcPr>
          <w:p w14:paraId="67F476DE"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w:t>
            </w:r>
          </w:p>
        </w:tc>
      </w:tr>
      <w:tr w:rsidR="00776BB9" w:rsidRPr="00C73365" w14:paraId="61CCC573" w14:textId="77777777" w:rsidTr="00793DCB">
        <w:trPr>
          <w:trHeight w:val="300"/>
        </w:trPr>
        <w:tc>
          <w:tcPr>
            <w:tcW w:w="3280" w:type="dxa"/>
            <w:tcBorders>
              <w:top w:val="nil"/>
              <w:left w:val="nil"/>
              <w:bottom w:val="single" w:sz="8" w:space="0" w:color="7030A0"/>
              <w:right w:val="nil"/>
            </w:tcBorders>
            <w:shd w:val="clear" w:color="auto" w:fill="auto"/>
            <w:noWrap/>
            <w:vAlign w:val="center"/>
            <w:hideMark/>
          </w:tcPr>
          <w:p w14:paraId="798DE01E" w14:textId="77777777"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Impôts sur les bénéfices (CIR)</w:t>
            </w:r>
          </w:p>
        </w:tc>
        <w:tc>
          <w:tcPr>
            <w:tcW w:w="1240" w:type="dxa"/>
            <w:tcBorders>
              <w:top w:val="nil"/>
              <w:left w:val="nil"/>
              <w:bottom w:val="nil"/>
              <w:right w:val="nil"/>
            </w:tcBorders>
            <w:shd w:val="clear" w:color="auto" w:fill="auto"/>
            <w:noWrap/>
            <w:vAlign w:val="center"/>
            <w:hideMark/>
          </w:tcPr>
          <w:p w14:paraId="52DBE8EA"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2 692</w:t>
            </w:r>
          </w:p>
        </w:tc>
        <w:tc>
          <w:tcPr>
            <w:tcW w:w="1240" w:type="dxa"/>
            <w:tcBorders>
              <w:top w:val="nil"/>
              <w:left w:val="nil"/>
              <w:bottom w:val="nil"/>
              <w:right w:val="nil"/>
            </w:tcBorders>
            <w:shd w:val="clear" w:color="auto" w:fill="auto"/>
            <w:noWrap/>
            <w:vAlign w:val="center"/>
            <w:hideMark/>
          </w:tcPr>
          <w:p w14:paraId="59834953" w14:textId="77777777"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3 519</w:t>
            </w:r>
          </w:p>
        </w:tc>
        <w:tc>
          <w:tcPr>
            <w:tcW w:w="1240" w:type="dxa"/>
            <w:tcBorders>
              <w:top w:val="nil"/>
              <w:left w:val="nil"/>
              <w:bottom w:val="single" w:sz="8" w:space="0" w:color="7030A0"/>
              <w:right w:val="nil"/>
            </w:tcBorders>
            <w:shd w:val="clear" w:color="auto" w:fill="auto"/>
            <w:vAlign w:val="center"/>
            <w:hideMark/>
          </w:tcPr>
          <w:p w14:paraId="1CA0D9B5" w14:textId="77777777" w:rsidR="00776BB9" w:rsidRPr="00C73365" w:rsidRDefault="00C12F8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827</w:t>
            </w:r>
          </w:p>
        </w:tc>
      </w:tr>
      <w:tr w:rsidR="00776BB9" w:rsidRPr="00C73365" w14:paraId="5242F523" w14:textId="77777777" w:rsidTr="00793DCB">
        <w:trPr>
          <w:trHeight w:val="300"/>
        </w:trPr>
        <w:tc>
          <w:tcPr>
            <w:tcW w:w="3280" w:type="dxa"/>
            <w:tcBorders>
              <w:top w:val="nil"/>
              <w:left w:val="nil"/>
              <w:bottom w:val="single" w:sz="8" w:space="0" w:color="7030A0"/>
              <w:right w:val="nil"/>
            </w:tcBorders>
            <w:shd w:val="clear" w:color="auto" w:fill="auto"/>
            <w:noWrap/>
            <w:vAlign w:val="center"/>
            <w:hideMark/>
          </w:tcPr>
          <w:p w14:paraId="07BFBEAC" w14:textId="77777777" w:rsidR="00776BB9" w:rsidRPr="00C73365" w:rsidRDefault="00776BB9"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Perte</w:t>
            </w:r>
          </w:p>
        </w:tc>
        <w:tc>
          <w:tcPr>
            <w:tcW w:w="1240" w:type="dxa"/>
            <w:tcBorders>
              <w:top w:val="single" w:sz="8" w:space="0" w:color="7030A0"/>
              <w:left w:val="nil"/>
              <w:bottom w:val="single" w:sz="8" w:space="0" w:color="7030A0"/>
              <w:right w:val="nil"/>
            </w:tcBorders>
            <w:shd w:val="clear" w:color="auto" w:fill="auto"/>
            <w:noWrap/>
            <w:vAlign w:val="center"/>
            <w:hideMark/>
          </w:tcPr>
          <w:p w14:paraId="6202838E" w14:textId="77777777"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-11 223</w:t>
            </w:r>
          </w:p>
        </w:tc>
        <w:tc>
          <w:tcPr>
            <w:tcW w:w="1240" w:type="dxa"/>
            <w:tcBorders>
              <w:top w:val="single" w:sz="8" w:space="0" w:color="7030A0"/>
              <w:left w:val="nil"/>
              <w:bottom w:val="single" w:sz="8" w:space="0" w:color="7030A0"/>
              <w:right w:val="nil"/>
            </w:tcBorders>
            <w:shd w:val="clear" w:color="auto" w:fill="auto"/>
            <w:noWrap/>
            <w:vAlign w:val="center"/>
            <w:hideMark/>
          </w:tcPr>
          <w:p w14:paraId="157DCBD6" w14:textId="77777777"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-14 308</w:t>
            </w:r>
          </w:p>
        </w:tc>
        <w:tc>
          <w:tcPr>
            <w:tcW w:w="1240" w:type="dxa"/>
            <w:tcBorders>
              <w:top w:val="nil"/>
              <w:left w:val="nil"/>
              <w:bottom w:val="single" w:sz="8" w:space="0" w:color="7030A0"/>
              <w:right w:val="nil"/>
            </w:tcBorders>
            <w:shd w:val="clear" w:color="auto" w:fill="auto"/>
            <w:vAlign w:val="center"/>
            <w:hideMark/>
          </w:tcPr>
          <w:p w14:paraId="16017DC7" w14:textId="77777777"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3 085</w:t>
            </w:r>
          </w:p>
        </w:tc>
      </w:tr>
    </w:tbl>
    <w:p w14:paraId="6DC3223E" w14:textId="77777777" w:rsidR="00776BB9" w:rsidRPr="00C73365" w:rsidRDefault="00776BB9" w:rsidP="00A96CCA">
      <w:pPr>
        <w:ind w:right="-2"/>
        <w:rPr>
          <w:rFonts w:asciiTheme="minorHAnsi" w:eastAsia="MS Mincho" w:hAnsiTheme="minorHAnsi" w:cstheme="minorHAnsi"/>
          <w:b/>
          <w:color w:val="7030A0"/>
          <w:szCs w:val="20"/>
          <w:lang w:val="fr-FR" w:eastAsia="fr-FR"/>
        </w:rPr>
      </w:pPr>
    </w:p>
    <w:p w14:paraId="72059F41" w14:textId="77777777" w:rsidR="00776BB9" w:rsidRPr="00C73365" w:rsidRDefault="00776BB9" w:rsidP="004572A0">
      <w:pPr>
        <w:pStyle w:val="Corpsdetexte"/>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Résultat exceptionnel</w:t>
      </w:r>
    </w:p>
    <w:p w14:paraId="5CBB6ED5" w14:textId="77777777" w:rsidR="00D852BD" w:rsidRPr="00C73365" w:rsidRDefault="00776BB9" w:rsidP="004572A0">
      <w:pPr>
        <w:pStyle w:val="Corpsdetexte"/>
        <w:rPr>
          <w:rFonts w:asciiTheme="minorHAnsi" w:eastAsia="MS Mincho" w:hAnsiTheme="minorHAnsi" w:cstheme="minorHAnsi"/>
          <w:lang w:val="fr-FR" w:eastAsia="fr-FR"/>
        </w:rPr>
      </w:pPr>
      <w:r w:rsidRPr="00C73365">
        <w:rPr>
          <w:rFonts w:asciiTheme="minorHAnsi" w:hAnsiTheme="minorHAnsi" w:cstheme="minorHAnsi"/>
          <w:lang w:val="fr-FR"/>
        </w:rPr>
        <w:t xml:space="preserve">Au 31/12/2017, compte-tenu du cours de bourse, la Société a comptabilisé des plus-values réalisées sur les cessions d’actions propres à hauteur de 338 </w:t>
      </w:r>
      <w:r w:rsidR="00EF089C" w:rsidRPr="00C73365">
        <w:rPr>
          <w:rFonts w:asciiTheme="minorHAnsi" w:hAnsiTheme="minorHAnsi" w:cstheme="minorHAnsi"/>
          <w:lang w:val="fr-FR"/>
        </w:rPr>
        <w:t>K€</w:t>
      </w:r>
      <w:r w:rsidR="00D852BD" w:rsidRPr="00C73365">
        <w:rPr>
          <w:rFonts w:asciiTheme="minorHAnsi" w:hAnsiTheme="minorHAnsi" w:cstheme="minorHAnsi"/>
          <w:lang w:val="fr-FR"/>
        </w:rPr>
        <w:t xml:space="preserve"> (425 </w:t>
      </w:r>
      <w:r w:rsidR="00EF089C" w:rsidRPr="00C73365">
        <w:rPr>
          <w:rFonts w:asciiTheme="minorHAnsi" w:hAnsiTheme="minorHAnsi" w:cstheme="minorHAnsi"/>
          <w:lang w:val="fr-FR"/>
        </w:rPr>
        <w:t>K€</w:t>
      </w:r>
      <w:r w:rsidR="00D852BD" w:rsidRPr="00C73365">
        <w:rPr>
          <w:rFonts w:asciiTheme="minorHAnsi" w:hAnsiTheme="minorHAnsi" w:cstheme="minorHAnsi"/>
          <w:lang w:val="fr-FR"/>
        </w:rPr>
        <w:t xml:space="preserve"> en 2016) et </w:t>
      </w:r>
      <w:r w:rsidR="00D852BD" w:rsidRPr="00C73365">
        <w:rPr>
          <w:rFonts w:asciiTheme="minorHAnsi" w:eastAsia="MS Mincho" w:hAnsiTheme="minorHAnsi" w:cstheme="minorHAnsi"/>
          <w:lang w:val="fr-FR" w:eastAsia="fr-FR"/>
        </w:rPr>
        <w:t xml:space="preserve">des moins-values réalisées sur les cessions d’actions propres à </w:t>
      </w:r>
      <w:r w:rsidR="00CC7B0D" w:rsidRPr="00C73365">
        <w:rPr>
          <w:rFonts w:asciiTheme="minorHAnsi" w:eastAsia="MS Mincho" w:hAnsiTheme="minorHAnsi" w:cstheme="minorHAnsi"/>
          <w:lang w:val="fr-FR" w:eastAsia="fr-FR"/>
        </w:rPr>
        <w:t>-</w:t>
      </w:r>
      <w:r w:rsidR="00D852BD" w:rsidRPr="00C73365">
        <w:rPr>
          <w:rFonts w:asciiTheme="minorHAnsi" w:eastAsia="MS Mincho" w:hAnsiTheme="minorHAnsi" w:cstheme="minorHAnsi"/>
          <w:lang w:val="fr-FR" w:eastAsia="fr-FR"/>
        </w:rPr>
        <w:t xml:space="preserve">86 </w:t>
      </w:r>
      <w:r w:rsidR="00EF089C" w:rsidRPr="00C73365">
        <w:rPr>
          <w:rFonts w:asciiTheme="minorHAnsi" w:eastAsia="MS Mincho" w:hAnsiTheme="minorHAnsi" w:cstheme="minorHAnsi"/>
          <w:lang w:val="fr-FR" w:eastAsia="fr-FR"/>
        </w:rPr>
        <w:t>K€</w:t>
      </w:r>
      <w:r w:rsidR="00D852BD"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00D852BD" w:rsidRPr="00C73365">
        <w:rPr>
          <w:rFonts w:asciiTheme="minorHAnsi" w:eastAsia="MS Mincho" w:hAnsiTheme="minorHAnsi" w:cstheme="minorHAnsi"/>
          <w:lang w:val="fr-FR" w:eastAsia="fr-FR"/>
        </w:rPr>
        <w:t>514</w:t>
      </w:r>
      <w:r w:rsidR="00EF089C" w:rsidRPr="00C73365">
        <w:rPr>
          <w:rFonts w:asciiTheme="minorHAnsi" w:eastAsia="MS Mincho" w:hAnsiTheme="minorHAnsi" w:cstheme="minorHAnsi"/>
          <w:lang w:val="fr-FR" w:eastAsia="fr-FR"/>
        </w:rPr>
        <w:t>K€</w:t>
      </w:r>
      <w:r w:rsidR="00D852BD" w:rsidRPr="00C73365">
        <w:rPr>
          <w:rFonts w:asciiTheme="minorHAnsi" w:eastAsia="MS Mincho" w:hAnsiTheme="minorHAnsi" w:cstheme="minorHAnsi"/>
          <w:lang w:val="fr-FR" w:eastAsia="fr-FR"/>
        </w:rPr>
        <w:t xml:space="preserve"> en 2016).</w:t>
      </w:r>
    </w:p>
    <w:p w14:paraId="1D97C2B7" w14:textId="77777777" w:rsidR="00D852BD" w:rsidRPr="00C73365" w:rsidRDefault="00D852BD"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31/12/2017, une provision pour dépréciation de 91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 été constatée au 31 décembre 2017 concernant les titres auto-détenus. </w:t>
      </w:r>
    </w:p>
    <w:p w14:paraId="62159815" w14:textId="77777777" w:rsidR="00D852BD" w:rsidRPr="00C73365" w:rsidRDefault="00D852BD"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résultat exceptionnel au 31/12/2017 est de 159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717840E8" w14:textId="77777777" w:rsidR="00776BB9" w:rsidRPr="00C73365" w:rsidRDefault="00776BB9" w:rsidP="004572A0">
      <w:pPr>
        <w:pStyle w:val="Corpsdetexte"/>
        <w:rPr>
          <w:rFonts w:asciiTheme="minorHAnsi" w:eastAsia="MS Mincho" w:hAnsiTheme="minorHAnsi" w:cstheme="minorHAnsi"/>
          <w:b/>
          <w:lang w:val="fr-FR" w:eastAsia="fr-FR"/>
        </w:rPr>
      </w:pPr>
      <w:r w:rsidRPr="00C73365">
        <w:rPr>
          <w:rFonts w:asciiTheme="minorHAnsi" w:hAnsiTheme="minorHAnsi" w:cstheme="minorHAnsi"/>
          <w:b/>
          <w:lang w:val="fr-FR" w:eastAsia="fr-FR"/>
        </w:rPr>
        <w:t>Impôts sur les bénéfices (CIR)</w:t>
      </w:r>
    </w:p>
    <w:p w14:paraId="2D5EF7F9" w14:textId="77777777" w:rsidR="00776BB9" w:rsidRPr="00C73365" w:rsidRDefault="00776BB9"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CIR est estimé pour l’année 2017 est de 2 632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2F5BD051" w14:textId="77777777" w:rsidR="00776BB9" w:rsidRPr="00C73365" w:rsidRDefault="00776BB9" w:rsidP="004572A0">
      <w:pPr>
        <w:pStyle w:val="Corpsdetexte"/>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Résultat Net</w:t>
      </w:r>
    </w:p>
    <w:p w14:paraId="70538A7D" w14:textId="77777777" w:rsidR="00776BB9" w:rsidRPr="00C73365" w:rsidRDefault="00776BB9" w:rsidP="004572A0">
      <w:pPr>
        <w:pStyle w:val="Corpsdetexte"/>
        <w:rPr>
          <w:rFonts w:asciiTheme="minorHAnsi" w:hAnsiTheme="minorHAnsi" w:cstheme="minorHAnsi"/>
          <w:lang w:val="fr-FR"/>
        </w:rPr>
      </w:pPr>
      <w:r w:rsidRPr="00C73365">
        <w:rPr>
          <w:rFonts w:asciiTheme="minorHAnsi" w:eastAsia="MS Mincho" w:hAnsiTheme="minorHAnsi" w:cstheme="minorHAnsi"/>
          <w:lang w:val="fr-FR" w:eastAsia="fr-FR"/>
        </w:rPr>
        <w:t>La perte nette s’établit à</w:t>
      </w:r>
      <w:r w:rsidR="00D852BD"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11 223 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14 308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sur la même période en 2016) </w:t>
      </w:r>
      <w:r w:rsidRPr="00C73365">
        <w:rPr>
          <w:rFonts w:asciiTheme="minorHAnsi" w:hAnsiTheme="minorHAnsi" w:cstheme="minorHAnsi"/>
          <w:lang w:val="fr-FR"/>
        </w:rPr>
        <w:t xml:space="preserve">reflète le contrôle rigoureux des dépenses ainsi que l’arrêt du développement d’ABX203 depuis le </w:t>
      </w:r>
      <w:r w:rsidR="00CC7B0D" w:rsidRPr="00C73365">
        <w:rPr>
          <w:rFonts w:asciiTheme="minorHAnsi" w:hAnsiTheme="minorHAnsi" w:cstheme="minorHAnsi"/>
          <w:lang w:val="fr-FR"/>
        </w:rPr>
        <w:t>second</w:t>
      </w:r>
      <w:r w:rsidRPr="00C73365">
        <w:rPr>
          <w:rFonts w:asciiTheme="minorHAnsi" w:hAnsiTheme="minorHAnsi" w:cstheme="minorHAnsi"/>
          <w:lang w:val="fr-FR"/>
        </w:rPr>
        <w:t xml:space="preserve"> semestre 2016.</w:t>
      </w:r>
    </w:p>
    <w:p w14:paraId="4FF4E029" w14:textId="77777777" w:rsidR="00D852BD" w:rsidRPr="00C73365" w:rsidRDefault="00D852BD" w:rsidP="00A96CCA">
      <w:pPr>
        <w:ind w:right="-2"/>
        <w:rPr>
          <w:rFonts w:asciiTheme="minorHAnsi" w:hAnsiTheme="minorHAnsi" w:cstheme="minorHAnsi"/>
          <w:color w:val="000000"/>
          <w:lang w:val="fr-FR"/>
        </w:rPr>
      </w:pPr>
    </w:p>
    <w:p w14:paraId="00485D64" w14:textId="77777777" w:rsidR="00D852BD" w:rsidRPr="00C73365" w:rsidRDefault="00D852BD" w:rsidP="00A96CCA">
      <w:pPr>
        <w:ind w:right="-2"/>
        <w:rPr>
          <w:rFonts w:asciiTheme="minorHAnsi" w:hAnsiTheme="minorHAnsi" w:cstheme="minorHAnsi"/>
          <w:color w:val="000000"/>
          <w:lang w:val="fr-FR"/>
        </w:rPr>
      </w:pPr>
    </w:p>
    <w:p w14:paraId="7333664B" w14:textId="77777777" w:rsidR="00D852BD" w:rsidRPr="00C73365" w:rsidRDefault="00D852BD" w:rsidP="00A96CCA">
      <w:pPr>
        <w:ind w:right="-2"/>
        <w:rPr>
          <w:rFonts w:asciiTheme="minorHAnsi" w:hAnsiTheme="minorHAnsi" w:cstheme="minorHAnsi"/>
          <w:color w:val="000000"/>
          <w:lang w:val="fr-FR"/>
        </w:rPr>
      </w:pPr>
    </w:p>
    <w:p w14:paraId="15E84875" w14:textId="77777777" w:rsidR="00D852BD" w:rsidRPr="00C73365" w:rsidRDefault="00D852BD" w:rsidP="00A96CCA">
      <w:pPr>
        <w:ind w:right="-2"/>
        <w:rPr>
          <w:rFonts w:asciiTheme="minorHAnsi" w:hAnsiTheme="minorHAnsi" w:cstheme="minorHAnsi"/>
          <w:color w:val="000000"/>
          <w:lang w:val="fr-FR"/>
        </w:rPr>
      </w:pPr>
    </w:p>
    <w:p w14:paraId="0B306016" w14:textId="77777777" w:rsidR="00D852BD" w:rsidRPr="00C73365" w:rsidRDefault="00D852BD" w:rsidP="00A96CCA">
      <w:pPr>
        <w:ind w:right="-2"/>
        <w:rPr>
          <w:rFonts w:asciiTheme="minorHAnsi" w:hAnsiTheme="minorHAnsi" w:cstheme="minorHAnsi"/>
          <w:color w:val="000000"/>
          <w:lang w:val="fr-FR"/>
        </w:rPr>
      </w:pPr>
    </w:p>
    <w:p w14:paraId="59E2EC94" w14:textId="77777777" w:rsidR="00D852BD" w:rsidRPr="00C73365" w:rsidRDefault="00D852BD" w:rsidP="00A96CCA">
      <w:pPr>
        <w:ind w:right="-2"/>
        <w:rPr>
          <w:rFonts w:asciiTheme="minorHAnsi" w:hAnsiTheme="minorHAnsi" w:cstheme="minorHAnsi"/>
          <w:color w:val="000000"/>
          <w:lang w:val="fr-FR"/>
        </w:rPr>
      </w:pPr>
    </w:p>
    <w:p w14:paraId="719AD9A2" w14:textId="77777777" w:rsidR="00D852BD" w:rsidRPr="00C73365" w:rsidRDefault="00D852BD" w:rsidP="00A96CCA">
      <w:pPr>
        <w:ind w:right="-2"/>
        <w:rPr>
          <w:rFonts w:asciiTheme="minorHAnsi" w:hAnsiTheme="minorHAnsi" w:cstheme="minorHAnsi"/>
          <w:color w:val="000000"/>
          <w:lang w:val="fr-FR"/>
        </w:rPr>
      </w:pPr>
    </w:p>
    <w:p w14:paraId="5C9BFCF5" w14:textId="77777777" w:rsidR="00776BB9" w:rsidRPr="00C73365" w:rsidRDefault="00776BB9" w:rsidP="00616826">
      <w:pPr>
        <w:pStyle w:val="Paragraphedeliste"/>
        <w:numPr>
          <w:ilvl w:val="2"/>
          <w:numId w:val="9"/>
        </w:numPr>
        <w:spacing w:after="0"/>
        <w:outlineLvl w:val="2"/>
        <w:rPr>
          <w:rFonts w:asciiTheme="minorHAnsi" w:hAnsiTheme="minorHAnsi" w:cstheme="minorHAnsi"/>
          <w:b/>
          <w:color w:val="7030A0"/>
          <w:szCs w:val="22"/>
          <w:lang w:val="fr-FR"/>
        </w:rPr>
      </w:pPr>
      <w:bookmarkStart w:id="364" w:name="_Toc291615192"/>
      <w:bookmarkStart w:id="365" w:name="_Toc400469550"/>
      <w:r w:rsidRPr="00C73365">
        <w:rPr>
          <w:rFonts w:asciiTheme="minorHAnsi" w:hAnsiTheme="minorHAnsi" w:cstheme="minorHAnsi"/>
          <w:b/>
          <w:color w:val="7030A0"/>
          <w:szCs w:val="22"/>
          <w:lang w:val="fr-FR"/>
        </w:rPr>
        <w:t xml:space="preserve">Principaux éléments bilanciels sociaux de la Société </w:t>
      </w:r>
      <w:bookmarkEnd w:id="364"/>
      <w:bookmarkEnd w:id="365"/>
      <w:r w:rsidR="00EF089C" w:rsidRPr="00C73365">
        <w:rPr>
          <w:rFonts w:asciiTheme="minorHAnsi" w:hAnsiTheme="minorHAnsi" w:cstheme="minorHAnsi"/>
          <w:b/>
          <w:color w:val="7030A0"/>
          <w:szCs w:val="22"/>
          <w:lang w:val="fr-FR"/>
        </w:rPr>
        <w:t>ABIVAX</w:t>
      </w:r>
      <w:r w:rsidRPr="00C73365">
        <w:rPr>
          <w:rFonts w:asciiTheme="minorHAnsi" w:hAnsiTheme="minorHAnsi" w:cstheme="minorHAnsi"/>
          <w:b/>
          <w:color w:val="7030A0"/>
          <w:szCs w:val="22"/>
          <w:lang w:val="fr-FR"/>
        </w:rPr>
        <w:t xml:space="preserve"> </w:t>
      </w:r>
    </w:p>
    <w:tbl>
      <w:tblPr>
        <w:tblW w:w="8222" w:type="dxa"/>
        <w:tblCellMar>
          <w:left w:w="70" w:type="dxa"/>
          <w:right w:w="70" w:type="dxa"/>
        </w:tblCellMar>
        <w:tblLook w:val="04A0" w:firstRow="1" w:lastRow="0" w:firstColumn="1" w:lastColumn="0" w:noHBand="0" w:noVBand="1"/>
      </w:tblPr>
      <w:tblGrid>
        <w:gridCol w:w="3760"/>
        <w:gridCol w:w="1529"/>
        <w:gridCol w:w="1529"/>
        <w:gridCol w:w="1404"/>
      </w:tblGrid>
      <w:tr w:rsidR="00776BB9" w:rsidRPr="00C73365" w14:paraId="0039BFCC" w14:textId="77777777" w:rsidTr="00793DCB">
        <w:trPr>
          <w:trHeight w:val="288"/>
        </w:trPr>
        <w:tc>
          <w:tcPr>
            <w:tcW w:w="3760" w:type="dxa"/>
            <w:tcBorders>
              <w:top w:val="single" w:sz="12" w:space="0" w:color="7030A0"/>
              <w:left w:val="nil"/>
              <w:bottom w:val="nil"/>
              <w:right w:val="nil"/>
            </w:tcBorders>
            <w:shd w:val="clear" w:color="auto" w:fill="auto"/>
            <w:noWrap/>
            <w:vAlign w:val="center"/>
            <w:hideMark/>
          </w:tcPr>
          <w:p w14:paraId="67442C6D" w14:textId="77777777" w:rsidR="00776BB9" w:rsidRPr="00C73365" w:rsidRDefault="00776BB9" w:rsidP="00A96CCA">
            <w:pPr>
              <w:spacing w:after="0"/>
              <w:rPr>
                <w:rFonts w:asciiTheme="minorHAnsi" w:hAnsiTheme="minorHAnsi" w:cstheme="minorHAnsi"/>
                <w:b/>
                <w:bCs/>
                <w:color w:val="7030A0"/>
                <w:szCs w:val="20"/>
                <w:lang w:val="fr-FR" w:eastAsia="fr-FR"/>
              </w:rPr>
            </w:pPr>
            <w:bookmarkStart w:id="366" w:name="_Toc400469551"/>
            <w:r w:rsidRPr="00C73365">
              <w:rPr>
                <w:rFonts w:asciiTheme="minorHAnsi" w:hAnsiTheme="minorHAnsi" w:cstheme="minorHAnsi"/>
                <w:b/>
                <w:bCs/>
                <w:color w:val="7030A0"/>
                <w:szCs w:val="20"/>
                <w:lang w:val="fr-FR" w:eastAsia="fr-FR"/>
              </w:rPr>
              <w:t>ACTIF</w:t>
            </w:r>
          </w:p>
        </w:tc>
        <w:tc>
          <w:tcPr>
            <w:tcW w:w="1529" w:type="dxa"/>
            <w:tcBorders>
              <w:top w:val="single" w:sz="12" w:space="0" w:color="7030A0"/>
              <w:left w:val="nil"/>
              <w:bottom w:val="nil"/>
              <w:right w:val="nil"/>
            </w:tcBorders>
            <w:shd w:val="clear" w:color="auto" w:fill="auto"/>
            <w:vAlign w:val="center"/>
            <w:hideMark/>
          </w:tcPr>
          <w:p w14:paraId="3D69413E" w14:textId="77777777"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529" w:type="dxa"/>
            <w:tcBorders>
              <w:top w:val="single" w:sz="12" w:space="0" w:color="7030A0"/>
              <w:left w:val="nil"/>
              <w:bottom w:val="nil"/>
              <w:right w:val="nil"/>
            </w:tcBorders>
            <w:shd w:val="clear" w:color="auto" w:fill="auto"/>
            <w:vAlign w:val="center"/>
            <w:hideMark/>
          </w:tcPr>
          <w:p w14:paraId="09F8B3BB"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404" w:type="dxa"/>
            <w:tcBorders>
              <w:top w:val="single" w:sz="12" w:space="0" w:color="7030A0"/>
              <w:left w:val="nil"/>
              <w:right w:val="nil"/>
            </w:tcBorders>
            <w:vAlign w:val="center"/>
          </w:tcPr>
          <w:p w14:paraId="2513B5FF"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31/12/2015</w:t>
            </w:r>
          </w:p>
        </w:tc>
      </w:tr>
      <w:tr w:rsidR="00776BB9" w:rsidRPr="00C73365" w14:paraId="5A2E3809" w14:textId="77777777" w:rsidTr="00793DCB">
        <w:trPr>
          <w:trHeight w:val="288"/>
        </w:trPr>
        <w:tc>
          <w:tcPr>
            <w:tcW w:w="3760" w:type="dxa"/>
            <w:tcBorders>
              <w:top w:val="nil"/>
              <w:left w:val="nil"/>
              <w:bottom w:val="single" w:sz="8" w:space="0" w:color="7030A0"/>
              <w:right w:val="nil"/>
            </w:tcBorders>
            <w:shd w:val="clear" w:color="auto" w:fill="auto"/>
            <w:noWrap/>
            <w:vAlign w:val="center"/>
            <w:hideMark/>
          </w:tcPr>
          <w:p w14:paraId="427FA583"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nil"/>
              <w:left w:val="nil"/>
              <w:bottom w:val="single" w:sz="8" w:space="0" w:color="7030A0"/>
              <w:right w:val="nil"/>
            </w:tcBorders>
            <w:shd w:val="clear" w:color="auto" w:fill="auto"/>
            <w:vAlign w:val="center"/>
            <w:hideMark/>
          </w:tcPr>
          <w:p w14:paraId="35FD7978" w14:textId="77777777"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tcBorders>
              <w:top w:val="nil"/>
              <w:left w:val="nil"/>
              <w:bottom w:val="single" w:sz="8" w:space="0" w:color="7030A0"/>
              <w:right w:val="nil"/>
            </w:tcBorders>
            <w:shd w:val="clear" w:color="auto" w:fill="auto"/>
            <w:vAlign w:val="center"/>
            <w:hideMark/>
          </w:tcPr>
          <w:p w14:paraId="5829C184"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c>
          <w:tcPr>
            <w:tcW w:w="1404" w:type="dxa"/>
            <w:tcBorders>
              <w:left w:val="nil"/>
              <w:bottom w:val="single" w:sz="8" w:space="0" w:color="7030A0"/>
              <w:right w:val="nil"/>
            </w:tcBorders>
            <w:vAlign w:val="center"/>
          </w:tcPr>
          <w:p w14:paraId="54F1C563"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r>
      <w:tr w:rsidR="00776BB9" w:rsidRPr="00C73365" w14:paraId="150CA7AA" w14:textId="77777777" w:rsidTr="00793DCB">
        <w:trPr>
          <w:trHeight w:val="276"/>
        </w:trPr>
        <w:tc>
          <w:tcPr>
            <w:tcW w:w="3760" w:type="dxa"/>
            <w:tcBorders>
              <w:top w:val="nil"/>
              <w:left w:val="nil"/>
              <w:bottom w:val="nil"/>
              <w:right w:val="nil"/>
            </w:tcBorders>
            <w:shd w:val="clear" w:color="auto" w:fill="auto"/>
            <w:noWrap/>
            <w:vAlign w:val="center"/>
            <w:hideMark/>
          </w:tcPr>
          <w:p w14:paraId="3A289FA4" w14:textId="77777777"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immobilisé</w:t>
            </w:r>
          </w:p>
        </w:tc>
        <w:tc>
          <w:tcPr>
            <w:tcW w:w="1529" w:type="dxa"/>
            <w:tcBorders>
              <w:top w:val="nil"/>
              <w:left w:val="nil"/>
              <w:bottom w:val="nil"/>
              <w:right w:val="nil"/>
            </w:tcBorders>
            <w:shd w:val="clear" w:color="auto" w:fill="auto"/>
            <w:noWrap/>
            <w:vAlign w:val="center"/>
            <w:hideMark/>
          </w:tcPr>
          <w:p w14:paraId="43811F69" w14:textId="77777777"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14:paraId="4B9EC7E6" w14:textId="77777777"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14:paraId="2567AAB5" w14:textId="77777777"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14:paraId="12F7BB9E" w14:textId="77777777" w:rsidTr="00793DCB">
        <w:trPr>
          <w:trHeight w:val="276"/>
        </w:trPr>
        <w:tc>
          <w:tcPr>
            <w:tcW w:w="3760" w:type="dxa"/>
            <w:tcBorders>
              <w:top w:val="nil"/>
              <w:left w:val="nil"/>
              <w:bottom w:val="nil"/>
              <w:right w:val="nil"/>
            </w:tcBorders>
            <w:shd w:val="clear" w:color="auto" w:fill="auto"/>
            <w:noWrap/>
            <w:vAlign w:val="center"/>
            <w:hideMark/>
          </w:tcPr>
          <w:p w14:paraId="2188EA4B"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incorporelles</w:t>
            </w:r>
          </w:p>
        </w:tc>
        <w:tc>
          <w:tcPr>
            <w:tcW w:w="1529" w:type="dxa"/>
            <w:tcBorders>
              <w:top w:val="nil"/>
              <w:left w:val="nil"/>
              <w:bottom w:val="nil"/>
              <w:right w:val="nil"/>
            </w:tcBorders>
            <w:shd w:val="clear" w:color="auto" w:fill="auto"/>
            <w:noWrap/>
            <w:vAlign w:val="center"/>
            <w:hideMark/>
          </w:tcPr>
          <w:p w14:paraId="1C91084E"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32 005</w:t>
            </w:r>
          </w:p>
        </w:tc>
        <w:tc>
          <w:tcPr>
            <w:tcW w:w="1529" w:type="dxa"/>
            <w:tcBorders>
              <w:top w:val="nil"/>
              <w:left w:val="nil"/>
              <w:bottom w:val="nil"/>
              <w:right w:val="nil"/>
            </w:tcBorders>
            <w:shd w:val="clear" w:color="auto" w:fill="auto"/>
            <w:vAlign w:val="center"/>
            <w:hideMark/>
          </w:tcPr>
          <w:p w14:paraId="02F84FA3"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32 005</w:t>
            </w:r>
          </w:p>
        </w:tc>
        <w:tc>
          <w:tcPr>
            <w:tcW w:w="1404" w:type="dxa"/>
            <w:tcBorders>
              <w:top w:val="nil"/>
              <w:left w:val="nil"/>
              <w:bottom w:val="nil"/>
              <w:right w:val="nil"/>
            </w:tcBorders>
            <w:vAlign w:val="center"/>
          </w:tcPr>
          <w:p w14:paraId="0B13D5A4"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32 008</w:t>
            </w:r>
          </w:p>
        </w:tc>
      </w:tr>
      <w:tr w:rsidR="00776BB9" w:rsidRPr="00C73365" w14:paraId="0F2788FE" w14:textId="77777777" w:rsidTr="00793DCB">
        <w:trPr>
          <w:trHeight w:val="276"/>
        </w:trPr>
        <w:tc>
          <w:tcPr>
            <w:tcW w:w="3760" w:type="dxa"/>
            <w:tcBorders>
              <w:top w:val="nil"/>
              <w:left w:val="nil"/>
              <w:bottom w:val="nil"/>
              <w:right w:val="nil"/>
            </w:tcBorders>
            <w:shd w:val="clear" w:color="auto" w:fill="auto"/>
            <w:noWrap/>
            <w:vAlign w:val="center"/>
            <w:hideMark/>
          </w:tcPr>
          <w:p w14:paraId="44E547FF"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corporelles</w:t>
            </w:r>
          </w:p>
        </w:tc>
        <w:tc>
          <w:tcPr>
            <w:tcW w:w="1529" w:type="dxa"/>
            <w:tcBorders>
              <w:top w:val="nil"/>
              <w:left w:val="nil"/>
              <w:bottom w:val="nil"/>
              <w:right w:val="nil"/>
            </w:tcBorders>
            <w:shd w:val="clear" w:color="auto" w:fill="auto"/>
            <w:noWrap/>
            <w:vAlign w:val="center"/>
            <w:hideMark/>
          </w:tcPr>
          <w:p w14:paraId="2B07E7A7"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w:t>
            </w:r>
          </w:p>
        </w:tc>
        <w:tc>
          <w:tcPr>
            <w:tcW w:w="1529" w:type="dxa"/>
            <w:tcBorders>
              <w:top w:val="nil"/>
              <w:left w:val="nil"/>
              <w:bottom w:val="nil"/>
              <w:right w:val="nil"/>
            </w:tcBorders>
            <w:shd w:val="clear" w:color="auto" w:fill="auto"/>
            <w:noWrap/>
            <w:vAlign w:val="center"/>
            <w:hideMark/>
          </w:tcPr>
          <w:p w14:paraId="694EC3F0"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w:t>
            </w:r>
          </w:p>
        </w:tc>
        <w:tc>
          <w:tcPr>
            <w:tcW w:w="1404" w:type="dxa"/>
            <w:tcBorders>
              <w:top w:val="nil"/>
              <w:left w:val="nil"/>
              <w:bottom w:val="nil"/>
              <w:right w:val="nil"/>
            </w:tcBorders>
            <w:vAlign w:val="center"/>
          </w:tcPr>
          <w:p w14:paraId="0DBFB8F7"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171</w:t>
            </w:r>
          </w:p>
        </w:tc>
      </w:tr>
      <w:tr w:rsidR="00776BB9" w:rsidRPr="00C73365" w14:paraId="209197C5" w14:textId="77777777" w:rsidTr="00793DCB">
        <w:trPr>
          <w:trHeight w:val="288"/>
        </w:trPr>
        <w:tc>
          <w:tcPr>
            <w:tcW w:w="3760" w:type="dxa"/>
            <w:tcBorders>
              <w:top w:val="nil"/>
              <w:left w:val="nil"/>
              <w:bottom w:val="nil"/>
              <w:right w:val="nil"/>
            </w:tcBorders>
            <w:shd w:val="clear" w:color="auto" w:fill="auto"/>
            <w:noWrap/>
            <w:vAlign w:val="center"/>
            <w:hideMark/>
          </w:tcPr>
          <w:p w14:paraId="7ABF20A8"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noWrap/>
            <w:vAlign w:val="center"/>
            <w:hideMark/>
          </w:tcPr>
          <w:p w14:paraId="1154C991"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731</w:t>
            </w:r>
          </w:p>
        </w:tc>
        <w:tc>
          <w:tcPr>
            <w:tcW w:w="1529" w:type="dxa"/>
            <w:tcBorders>
              <w:top w:val="nil"/>
              <w:left w:val="nil"/>
              <w:bottom w:val="nil"/>
              <w:right w:val="nil"/>
            </w:tcBorders>
            <w:shd w:val="clear" w:color="auto" w:fill="auto"/>
            <w:noWrap/>
            <w:vAlign w:val="center"/>
            <w:hideMark/>
          </w:tcPr>
          <w:p w14:paraId="7CC56EF4"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w:t>
            </w:r>
          </w:p>
        </w:tc>
        <w:tc>
          <w:tcPr>
            <w:tcW w:w="1404" w:type="dxa"/>
            <w:tcBorders>
              <w:top w:val="nil"/>
              <w:left w:val="nil"/>
              <w:bottom w:val="nil"/>
              <w:right w:val="nil"/>
            </w:tcBorders>
            <w:vAlign w:val="center"/>
          </w:tcPr>
          <w:p w14:paraId="3D3E7815"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933</w:t>
            </w:r>
          </w:p>
        </w:tc>
      </w:tr>
      <w:tr w:rsidR="00776BB9" w:rsidRPr="00C73365" w14:paraId="7C8A5AB9" w14:textId="77777777" w:rsidTr="00793DCB">
        <w:trPr>
          <w:trHeight w:val="288"/>
        </w:trPr>
        <w:tc>
          <w:tcPr>
            <w:tcW w:w="3760" w:type="dxa"/>
            <w:tcBorders>
              <w:top w:val="single" w:sz="8" w:space="0" w:color="7030A0"/>
              <w:left w:val="nil"/>
              <w:bottom w:val="single" w:sz="8" w:space="0" w:color="7030A0"/>
              <w:right w:val="nil"/>
            </w:tcBorders>
            <w:shd w:val="clear" w:color="auto" w:fill="auto"/>
            <w:noWrap/>
            <w:vAlign w:val="center"/>
            <w:hideMark/>
          </w:tcPr>
          <w:p w14:paraId="0C7827C0"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single" w:sz="8" w:space="0" w:color="7030A0"/>
              <w:left w:val="nil"/>
              <w:bottom w:val="single" w:sz="8" w:space="0" w:color="7030A0"/>
              <w:right w:val="nil"/>
            </w:tcBorders>
            <w:shd w:val="clear" w:color="auto" w:fill="auto"/>
            <w:noWrap/>
            <w:vAlign w:val="center"/>
            <w:hideMark/>
          </w:tcPr>
          <w:p w14:paraId="7899B9A7"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32 939</w:t>
            </w:r>
          </w:p>
        </w:tc>
        <w:tc>
          <w:tcPr>
            <w:tcW w:w="1529" w:type="dxa"/>
            <w:tcBorders>
              <w:top w:val="single" w:sz="8" w:space="0" w:color="7030A0"/>
              <w:left w:val="nil"/>
              <w:bottom w:val="single" w:sz="8" w:space="0" w:color="7030A0"/>
              <w:right w:val="nil"/>
            </w:tcBorders>
            <w:shd w:val="clear" w:color="auto" w:fill="auto"/>
            <w:vAlign w:val="center"/>
            <w:hideMark/>
          </w:tcPr>
          <w:p w14:paraId="3C7431C1"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32 757</w:t>
            </w:r>
          </w:p>
        </w:tc>
        <w:tc>
          <w:tcPr>
            <w:tcW w:w="1404" w:type="dxa"/>
            <w:tcBorders>
              <w:top w:val="single" w:sz="8" w:space="0" w:color="7030A0"/>
              <w:left w:val="nil"/>
              <w:bottom w:val="single" w:sz="8" w:space="0" w:color="7030A0"/>
              <w:right w:val="nil"/>
            </w:tcBorders>
            <w:vAlign w:val="center"/>
          </w:tcPr>
          <w:p w14:paraId="50A59D24"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33 113</w:t>
            </w:r>
          </w:p>
        </w:tc>
      </w:tr>
      <w:tr w:rsidR="00776BB9" w:rsidRPr="00C73365" w14:paraId="427B0748" w14:textId="77777777" w:rsidTr="00793DCB">
        <w:trPr>
          <w:trHeight w:val="276"/>
        </w:trPr>
        <w:tc>
          <w:tcPr>
            <w:tcW w:w="3760" w:type="dxa"/>
            <w:tcBorders>
              <w:top w:val="nil"/>
              <w:left w:val="nil"/>
              <w:bottom w:val="nil"/>
              <w:right w:val="nil"/>
            </w:tcBorders>
            <w:shd w:val="clear" w:color="auto" w:fill="auto"/>
            <w:noWrap/>
            <w:vAlign w:val="center"/>
            <w:hideMark/>
          </w:tcPr>
          <w:p w14:paraId="62C75395" w14:textId="77777777"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circulant</w:t>
            </w:r>
          </w:p>
        </w:tc>
        <w:tc>
          <w:tcPr>
            <w:tcW w:w="1529" w:type="dxa"/>
            <w:tcBorders>
              <w:top w:val="nil"/>
              <w:left w:val="nil"/>
              <w:bottom w:val="nil"/>
              <w:right w:val="nil"/>
            </w:tcBorders>
            <w:shd w:val="clear" w:color="auto" w:fill="auto"/>
            <w:noWrap/>
            <w:vAlign w:val="center"/>
            <w:hideMark/>
          </w:tcPr>
          <w:p w14:paraId="13DE5605" w14:textId="77777777"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14:paraId="5396BDF4" w14:textId="77777777"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14:paraId="59022610" w14:textId="77777777"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14:paraId="6BDC058F" w14:textId="77777777" w:rsidTr="00793DCB">
        <w:trPr>
          <w:trHeight w:val="276"/>
        </w:trPr>
        <w:tc>
          <w:tcPr>
            <w:tcW w:w="3760" w:type="dxa"/>
            <w:tcBorders>
              <w:top w:val="nil"/>
              <w:left w:val="nil"/>
              <w:bottom w:val="nil"/>
              <w:right w:val="nil"/>
            </w:tcBorders>
            <w:shd w:val="clear" w:color="auto" w:fill="auto"/>
            <w:noWrap/>
            <w:vAlign w:val="center"/>
            <w:hideMark/>
          </w:tcPr>
          <w:p w14:paraId="04D33C56"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Créances</w:t>
            </w:r>
          </w:p>
        </w:tc>
        <w:tc>
          <w:tcPr>
            <w:tcW w:w="1529" w:type="dxa"/>
            <w:tcBorders>
              <w:top w:val="nil"/>
              <w:left w:val="nil"/>
              <w:bottom w:val="nil"/>
              <w:right w:val="nil"/>
            </w:tcBorders>
            <w:shd w:val="clear" w:color="auto" w:fill="auto"/>
            <w:noWrap/>
            <w:vAlign w:val="center"/>
            <w:hideMark/>
          </w:tcPr>
          <w:p w14:paraId="36BE674A"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3 647</w:t>
            </w:r>
          </w:p>
        </w:tc>
        <w:tc>
          <w:tcPr>
            <w:tcW w:w="1529" w:type="dxa"/>
            <w:tcBorders>
              <w:top w:val="nil"/>
              <w:left w:val="nil"/>
              <w:bottom w:val="nil"/>
              <w:right w:val="nil"/>
            </w:tcBorders>
            <w:shd w:val="clear" w:color="auto" w:fill="auto"/>
            <w:vAlign w:val="center"/>
            <w:hideMark/>
          </w:tcPr>
          <w:p w14:paraId="418D56A0"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4 803</w:t>
            </w:r>
          </w:p>
        </w:tc>
        <w:tc>
          <w:tcPr>
            <w:tcW w:w="1404" w:type="dxa"/>
            <w:tcBorders>
              <w:top w:val="nil"/>
              <w:left w:val="nil"/>
              <w:bottom w:val="nil"/>
              <w:right w:val="nil"/>
            </w:tcBorders>
            <w:vAlign w:val="center"/>
          </w:tcPr>
          <w:p w14:paraId="664122AC"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3 909</w:t>
            </w:r>
          </w:p>
        </w:tc>
      </w:tr>
      <w:tr w:rsidR="00776BB9" w:rsidRPr="00C73365" w14:paraId="557625A5" w14:textId="77777777" w:rsidTr="00793DCB">
        <w:trPr>
          <w:trHeight w:val="276"/>
        </w:trPr>
        <w:tc>
          <w:tcPr>
            <w:tcW w:w="3760" w:type="dxa"/>
            <w:tcBorders>
              <w:top w:val="nil"/>
              <w:left w:val="nil"/>
              <w:bottom w:val="nil"/>
              <w:right w:val="nil"/>
            </w:tcBorders>
            <w:shd w:val="clear" w:color="auto" w:fill="auto"/>
            <w:noWrap/>
            <w:vAlign w:val="center"/>
            <w:hideMark/>
          </w:tcPr>
          <w:p w14:paraId="72CE406C"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Instruments de trésorerie </w:t>
            </w:r>
          </w:p>
        </w:tc>
        <w:tc>
          <w:tcPr>
            <w:tcW w:w="1529" w:type="dxa"/>
            <w:tcBorders>
              <w:top w:val="nil"/>
              <w:left w:val="nil"/>
              <w:bottom w:val="nil"/>
              <w:right w:val="nil"/>
            </w:tcBorders>
            <w:shd w:val="clear" w:color="auto" w:fill="auto"/>
            <w:noWrap/>
            <w:vAlign w:val="center"/>
            <w:hideMark/>
          </w:tcPr>
          <w:p w14:paraId="6D8A6AA4" w14:textId="77777777" w:rsidR="00776BB9" w:rsidRPr="00C73365" w:rsidRDefault="00776BB9" w:rsidP="00A96CCA">
            <w:pPr>
              <w:spacing w:after="0"/>
              <w:rPr>
                <w:rFonts w:asciiTheme="minorHAnsi" w:hAnsiTheme="minorHAnsi" w:cstheme="minorHAnsi"/>
                <w:color w:val="000000"/>
                <w:szCs w:val="20"/>
                <w:lang w:val="fr-FR" w:eastAsia="fr-FR"/>
              </w:rPr>
            </w:pPr>
          </w:p>
        </w:tc>
        <w:tc>
          <w:tcPr>
            <w:tcW w:w="1529" w:type="dxa"/>
            <w:tcBorders>
              <w:top w:val="nil"/>
              <w:left w:val="nil"/>
              <w:bottom w:val="nil"/>
              <w:right w:val="nil"/>
            </w:tcBorders>
            <w:shd w:val="clear" w:color="auto" w:fill="auto"/>
            <w:vAlign w:val="center"/>
            <w:hideMark/>
          </w:tcPr>
          <w:p w14:paraId="7229F5B5" w14:textId="77777777"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14:paraId="4EC422C1" w14:textId="77777777"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14:paraId="656296C8" w14:textId="77777777" w:rsidTr="00793DCB">
        <w:trPr>
          <w:trHeight w:val="276"/>
        </w:trPr>
        <w:tc>
          <w:tcPr>
            <w:tcW w:w="3760" w:type="dxa"/>
            <w:tcBorders>
              <w:top w:val="nil"/>
              <w:left w:val="nil"/>
              <w:bottom w:val="nil"/>
              <w:right w:val="nil"/>
            </w:tcBorders>
            <w:shd w:val="clear" w:color="auto" w:fill="auto"/>
            <w:noWrap/>
            <w:vAlign w:val="center"/>
            <w:hideMark/>
          </w:tcPr>
          <w:p w14:paraId="308F1B7C"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Valeurs mobilières de placement</w:t>
            </w:r>
          </w:p>
        </w:tc>
        <w:tc>
          <w:tcPr>
            <w:tcW w:w="1529" w:type="dxa"/>
            <w:tcBorders>
              <w:top w:val="nil"/>
              <w:left w:val="nil"/>
              <w:bottom w:val="nil"/>
              <w:right w:val="nil"/>
            </w:tcBorders>
            <w:shd w:val="clear" w:color="auto" w:fill="auto"/>
            <w:noWrap/>
            <w:vAlign w:val="center"/>
            <w:hideMark/>
          </w:tcPr>
          <w:p w14:paraId="7D1E3724"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15 151</w:t>
            </w:r>
          </w:p>
        </w:tc>
        <w:tc>
          <w:tcPr>
            <w:tcW w:w="1529" w:type="dxa"/>
            <w:tcBorders>
              <w:top w:val="nil"/>
              <w:left w:val="nil"/>
              <w:bottom w:val="nil"/>
              <w:right w:val="nil"/>
            </w:tcBorders>
            <w:shd w:val="clear" w:color="auto" w:fill="auto"/>
            <w:vAlign w:val="center"/>
            <w:hideMark/>
          </w:tcPr>
          <w:p w14:paraId="0B364AC8"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15 050</w:t>
            </w:r>
          </w:p>
        </w:tc>
        <w:tc>
          <w:tcPr>
            <w:tcW w:w="1404" w:type="dxa"/>
            <w:tcBorders>
              <w:top w:val="nil"/>
              <w:left w:val="nil"/>
              <w:bottom w:val="nil"/>
              <w:right w:val="nil"/>
            </w:tcBorders>
            <w:vAlign w:val="center"/>
          </w:tcPr>
          <w:p w14:paraId="3CDF80F2"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39 008</w:t>
            </w:r>
          </w:p>
        </w:tc>
      </w:tr>
      <w:tr w:rsidR="00776BB9" w:rsidRPr="00C73365" w14:paraId="12896E62" w14:textId="77777777" w:rsidTr="00793DCB">
        <w:trPr>
          <w:trHeight w:val="276"/>
        </w:trPr>
        <w:tc>
          <w:tcPr>
            <w:tcW w:w="3760" w:type="dxa"/>
            <w:tcBorders>
              <w:top w:val="nil"/>
              <w:left w:val="nil"/>
              <w:bottom w:val="nil"/>
              <w:right w:val="nil"/>
            </w:tcBorders>
            <w:shd w:val="clear" w:color="auto" w:fill="auto"/>
            <w:noWrap/>
            <w:vAlign w:val="center"/>
            <w:hideMark/>
          </w:tcPr>
          <w:p w14:paraId="123F72D1"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Disponibilités</w:t>
            </w:r>
          </w:p>
        </w:tc>
        <w:tc>
          <w:tcPr>
            <w:tcW w:w="1529" w:type="dxa"/>
            <w:tcBorders>
              <w:top w:val="nil"/>
              <w:left w:val="nil"/>
              <w:bottom w:val="nil"/>
              <w:right w:val="nil"/>
            </w:tcBorders>
            <w:shd w:val="clear" w:color="auto" w:fill="auto"/>
            <w:noWrap/>
            <w:vAlign w:val="center"/>
            <w:hideMark/>
          </w:tcPr>
          <w:p w14:paraId="27246E94"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1 881</w:t>
            </w:r>
          </w:p>
        </w:tc>
        <w:tc>
          <w:tcPr>
            <w:tcW w:w="1529" w:type="dxa"/>
            <w:tcBorders>
              <w:top w:val="nil"/>
              <w:left w:val="nil"/>
              <w:bottom w:val="nil"/>
              <w:right w:val="nil"/>
            </w:tcBorders>
            <w:shd w:val="clear" w:color="auto" w:fill="auto"/>
            <w:vAlign w:val="center"/>
            <w:hideMark/>
          </w:tcPr>
          <w:p w14:paraId="3BB2F583"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7 937</w:t>
            </w:r>
          </w:p>
        </w:tc>
        <w:tc>
          <w:tcPr>
            <w:tcW w:w="1404" w:type="dxa"/>
            <w:tcBorders>
              <w:top w:val="nil"/>
              <w:left w:val="nil"/>
              <w:bottom w:val="nil"/>
              <w:right w:val="nil"/>
            </w:tcBorders>
            <w:vAlign w:val="center"/>
          </w:tcPr>
          <w:p w14:paraId="5B8182F2"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119</w:t>
            </w:r>
          </w:p>
        </w:tc>
      </w:tr>
      <w:tr w:rsidR="00776BB9" w:rsidRPr="00C73365" w14:paraId="71C4DC6C" w14:textId="77777777" w:rsidTr="00793DCB">
        <w:trPr>
          <w:trHeight w:val="288"/>
        </w:trPr>
        <w:tc>
          <w:tcPr>
            <w:tcW w:w="3760" w:type="dxa"/>
            <w:tcBorders>
              <w:top w:val="nil"/>
              <w:left w:val="nil"/>
              <w:right w:val="nil"/>
            </w:tcBorders>
            <w:shd w:val="clear" w:color="auto" w:fill="auto"/>
            <w:noWrap/>
            <w:vAlign w:val="center"/>
            <w:hideMark/>
          </w:tcPr>
          <w:p w14:paraId="3D5C71BB"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w:t>
            </w:r>
          </w:p>
        </w:tc>
        <w:tc>
          <w:tcPr>
            <w:tcW w:w="1529" w:type="dxa"/>
            <w:tcBorders>
              <w:top w:val="nil"/>
              <w:left w:val="nil"/>
              <w:right w:val="nil"/>
            </w:tcBorders>
            <w:shd w:val="clear" w:color="auto" w:fill="auto"/>
            <w:vAlign w:val="center"/>
            <w:hideMark/>
          </w:tcPr>
          <w:p w14:paraId="1E83DB64"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186</w:t>
            </w:r>
          </w:p>
        </w:tc>
        <w:tc>
          <w:tcPr>
            <w:tcW w:w="1529" w:type="dxa"/>
            <w:tcBorders>
              <w:top w:val="nil"/>
              <w:left w:val="nil"/>
              <w:right w:val="nil"/>
            </w:tcBorders>
            <w:shd w:val="clear" w:color="auto" w:fill="auto"/>
            <w:vAlign w:val="center"/>
            <w:hideMark/>
          </w:tcPr>
          <w:p w14:paraId="4384579B"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w:t>
            </w:r>
          </w:p>
        </w:tc>
        <w:tc>
          <w:tcPr>
            <w:tcW w:w="1404" w:type="dxa"/>
            <w:tcBorders>
              <w:top w:val="nil"/>
              <w:left w:val="nil"/>
              <w:right w:val="nil"/>
            </w:tcBorders>
            <w:vAlign w:val="center"/>
          </w:tcPr>
          <w:p w14:paraId="4721ABB3"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118</w:t>
            </w:r>
          </w:p>
        </w:tc>
      </w:tr>
      <w:tr w:rsidR="00776BB9" w:rsidRPr="00C73365" w14:paraId="28BBCC0E" w14:textId="77777777" w:rsidTr="00793DCB">
        <w:trPr>
          <w:trHeight w:val="288"/>
        </w:trPr>
        <w:tc>
          <w:tcPr>
            <w:tcW w:w="3760" w:type="dxa"/>
            <w:tcBorders>
              <w:top w:val="nil"/>
              <w:left w:val="nil"/>
              <w:bottom w:val="single" w:sz="8" w:space="0" w:color="7030A0"/>
              <w:right w:val="nil"/>
            </w:tcBorders>
            <w:shd w:val="clear" w:color="auto" w:fill="auto"/>
            <w:noWrap/>
            <w:vAlign w:val="center"/>
          </w:tcPr>
          <w:p w14:paraId="284918BE"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Avances et acomptes versés sur commande</w:t>
            </w:r>
          </w:p>
        </w:tc>
        <w:tc>
          <w:tcPr>
            <w:tcW w:w="1529" w:type="dxa"/>
            <w:tcBorders>
              <w:top w:val="nil"/>
              <w:left w:val="nil"/>
              <w:bottom w:val="single" w:sz="8" w:space="0" w:color="7030A0"/>
              <w:right w:val="nil"/>
            </w:tcBorders>
            <w:shd w:val="clear" w:color="auto" w:fill="auto"/>
            <w:vAlign w:val="center"/>
          </w:tcPr>
          <w:p w14:paraId="1746EE18"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w:t>
            </w:r>
          </w:p>
        </w:tc>
        <w:tc>
          <w:tcPr>
            <w:tcW w:w="1529" w:type="dxa"/>
            <w:tcBorders>
              <w:top w:val="nil"/>
              <w:left w:val="nil"/>
              <w:bottom w:val="single" w:sz="8" w:space="0" w:color="7030A0"/>
              <w:right w:val="nil"/>
            </w:tcBorders>
            <w:shd w:val="clear" w:color="auto" w:fill="auto"/>
            <w:vAlign w:val="center"/>
          </w:tcPr>
          <w:p w14:paraId="1728C39F" w14:textId="77777777" w:rsidR="00776BB9" w:rsidRPr="00C73365" w:rsidRDefault="00776BB9" w:rsidP="00A96CCA">
            <w:pPr>
              <w:spacing w:after="0"/>
              <w:jc w:val="right"/>
              <w:rPr>
                <w:rFonts w:asciiTheme="minorHAnsi" w:hAnsiTheme="minorHAnsi" w:cstheme="minorHAnsi"/>
                <w:color w:val="000000"/>
                <w:szCs w:val="20"/>
                <w:lang w:val="fr-FR" w:eastAsia="fr-FR"/>
              </w:rPr>
            </w:pPr>
          </w:p>
        </w:tc>
        <w:tc>
          <w:tcPr>
            <w:tcW w:w="1404" w:type="dxa"/>
            <w:tcBorders>
              <w:top w:val="nil"/>
              <w:left w:val="nil"/>
              <w:bottom w:val="single" w:sz="8" w:space="0" w:color="7030A0"/>
              <w:right w:val="nil"/>
            </w:tcBorders>
            <w:vAlign w:val="center"/>
          </w:tcPr>
          <w:p w14:paraId="11E56762" w14:textId="77777777" w:rsidR="00776BB9" w:rsidRPr="00C73365" w:rsidRDefault="00776BB9" w:rsidP="00A96CCA">
            <w:pPr>
              <w:spacing w:after="0"/>
              <w:jc w:val="right"/>
              <w:rPr>
                <w:rFonts w:asciiTheme="minorHAnsi" w:hAnsiTheme="minorHAnsi" w:cstheme="minorHAnsi"/>
                <w:color w:val="000000"/>
                <w:szCs w:val="20"/>
                <w:lang w:val="fr-FR" w:eastAsia="fr-FR"/>
              </w:rPr>
            </w:pPr>
          </w:p>
        </w:tc>
      </w:tr>
      <w:tr w:rsidR="00776BB9" w:rsidRPr="00C73365" w14:paraId="01623EEC" w14:textId="77777777" w:rsidTr="00793DCB">
        <w:trPr>
          <w:trHeight w:val="288"/>
        </w:trPr>
        <w:tc>
          <w:tcPr>
            <w:tcW w:w="3760" w:type="dxa"/>
            <w:tcBorders>
              <w:top w:val="nil"/>
              <w:left w:val="nil"/>
              <w:bottom w:val="single" w:sz="8" w:space="0" w:color="7030A0"/>
              <w:right w:val="nil"/>
            </w:tcBorders>
            <w:shd w:val="clear" w:color="auto" w:fill="auto"/>
            <w:noWrap/>
            <w:vAlign w:val="center"/>
            <w:hideMark/>
          </w:tcPr>
          <w:p w14:paraId="47900A6E"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14:paraId="7BECF387"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20 876</w:t>
            </w:r>
          </w:p>
        </w:tc>
        <w:tc>
          <w:tcPr>
            <w:tcW w:w="1529" w:type="dxa"/>
            <w:tcBorders>
              <w:top w:val="nil"/>
              <w:left w:val="nil"/>
              <w:bottom w:val="single" w:sz="8" w:space="0" w:color="7030A0"/>
              <w:right w:val="nil"/>
            </w:tcBorders>
            <w:shd w:val="clear" w:color="auto" w:fill="auto"/>
            <w:vAlign w:val="center"/>
            <w:hideMark/>
          </w:tcPr>
          <w:p w14:paraId="4C476C84"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27 841</w:t>
            </w:r>
          </w:p>
        </w:tc>
        <w:tc>
          <w:tcPr>
            <w:tcW w:w="1404" w:type="dxa"/>
            <w:tcBorders>
              <w:top w:val="nil"/>
              <w:left w:val="nil"/>
              <w:bottom w:val="single" w:sz="8" w:space="0" w:color="7030A0"/>
              <w:right w:val="nil"/>
            </w:tcBorders>
            <w:vAlign w:val="center"/>
          </w:tcPr>
          <w:p w14:paraId="6B1AE223"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5 640</w:t>
            </w:r>
          </w:p>
        </w:tc>
      </w:tr>
      <w:tr w:rsidR="00776BB9" w:rsidRPr="00C73365" w14:paraId="760EF80C" w14:textId="77777777" w:rsidTr="00793DCB">
        <w:trPr>
          <w:trHeight w:val="288"/>
        </w:trPr>
        <w:tc>
          <w:tcPr>
            <w:tcW w:w="3760" w:type="dxa"/>
            <w:tcBorders>
              <w:top w:val="nil"/>
              <w:left w:val="nil"/>
              <w:bottom w:val="single" w:sz="8" w:space="0" w:color="7030A0"/>
              <w:right w:val="nil"/>
            </w:tcBorders>
            <w:shd w:val="clear" w:color="auto" w:fill="auto"/>
            <w:noWrap/>
            <w:vAlign w:val="center"/>
          </w:tcPr>
          <w:p w14:paraId="31148DEC"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actif</w:t>
            </w:r>
          </w:p>
        </w:tc>
        <w:tc>
          <w:tcPr>
            <w:tcW w:w="1529" w:type="dxa"/>
            <w:tcBorders>
              <w:top w:val="nil"/>
              <w:left w:val="nil"/>
              <w:bottom w:val="single" w:sz="8" w:space="0" w:color="7030A0"/>
              <w:right w:val="nil"/>
            </w:tcBorders>
            <w:shd w:val="clear" w:color="auto" w:fill="auto"/>
            <w:noWrap/>
            <w:vAlign w:val="center"/>
          </w:tcPr>
          <w:p w14:paraId="7C955453" w14:textId="77777777" w:rsidR="00776BB9" w:rsidRPr="00C73365" w:rsidRDefault="00776BB9" w:rsidP="00A96CCA">
            <w:pPr>
              <w:spacing w:after="0"/>
              <w:jc w:val="right"/>
              <w:rPr>
                <w:rFonts w:asciiTheme="minorHAnsi" w:hAnsiTheme="minorHAnsi" w:cstheme="minorHAnsi"/>
                <w:color w:val="000000"/>
                <w:szCs w:val="20"/>
                <w:lang w:val="fr-FR" w:eastAsia="fr-FR"/>
              </w:rPr>
            </w:pPr>
          </w:p>
        </w:tc>
        <w:tc>
          <w:tcPr>
            <w:tcW w:w="1529" w:type="dxa"/>
            <w:tcBorders>
              <w:top w:val="nil"/>
              <w:left w:val="nil"/>
              <w:bottom w:val="single" w:sz="8" w:space="0" w:color="7030A0"/>
              <w:right w:val="nil"/>
            </w:tcBorders>
            <w:shd w:val="clear" w:color="auto" w:fill="auto"/>
            <w:vAlign w:val="center"/>
          </w:tcPr>
          <w:p w14:paraId="07D0E556" w14:textId="77777777" w:rsidR="00776BB9" w:rsidRPr="00C73365" w:rsidRDefault="00776BB9" w:rsidP="00A96CCA">
            <w:pPr>
              <w:spacing w:after="0"/>
              <w:jc w:val="right"/>
              <w:rPr>
                <w:rFonts w:asciiTheme="minorHAnsi" w:hAnsiTheme="minorHAnsi" w:cstheme="minorHAnsi"/>
                <w:color w:val="000000"/>
                <w:szCs w:val="20"/>
                <w:lang w:val="fr-FR" w:eastAsia="fr-FR"/>
              </w:rPr>
            </w:pPr>
          </w:p>
        </w:tc>
        <w:tc>
          <w:tcPr>
            <w:tcW w:w="1404" w:type="dxa"/>
            <w:tcBorders>
              <w:top w:val="nil"/>
              <w:left w:val="nil"/>
              <w:bottom w:val="single" w:sz="8" w:space="0" w:color="7030A0"/>
              <w:right w:val="nil"/>
            </w:tcBorders>
            <w:vAlign w:val="center"/>
          </w:tcPr>
          <w:p w14:paraId="73FAC2C5"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776BB9" w:rsidRPr="00C73365" w14:paraId="6C20CF38" w14:textId="77777777" w:rsidTr="00793DCB">
        <w:trPr>
          <w:trHeight w:val="288"/>
        </w:trPr>
        <w:tc>
          <w:tcPr>
            <w:tcW w:w="3760" w:type="dxa"/>
            <w:tcBorders>
              <w:top w:val="nil"/>
              <w:left w:val="nil"/>
              <w:bottom w:val="single" w:sz="8" w:space="0" w:color="7030A0"/>
              <w:right w:val="nil"/>
            </w:tcBorders>
            <w:shd w:val="clear" w:color="auto" w:fill="auto"/>
            <w:noWrap/>
            <w:vAlign w:val="center"/>
            <w:hideMark/>
          </w:tcPr>
          <w:p w14:paraId="374EE78F" w14:textId="77777777"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14:paraId="691634E2" w14:textId="77777777"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53 815 </w:t>
            </w:r>
          </w:p>
        </w:tc>
        <w:tc>
          <w:tcPr>
            <w:tcW w:w="1529" w:type="dxa"/>
            <w:tcBorders>
              <w:top w:val="nil"/>
              <w:left w:val="nil"/>
              <w:bottom w:val="single" w:sz="8" w:space="0" w:color="7030A0"/>
              <w:right w:val="nil"/>
            </w:tcBorders>
            <w:shd w:val="clear" w:color="auto" w:fill="auto"/>
            <w:vAlign w:val="center"/>
            <w:hideMark/>
          </w:tcPr>
          <w:p w14:paraId="13F7BD70" w14:textId="77777777" w:rsidR="00776BB9" w:rsidRPr="00C73365" w:rsidRDefault="00654FB8"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c>
          <w:tcPr>
            <w:tcW w:w="1404" w:type="dxa"/>
            <w:tcBorders>
              <w:top w:val="nil"/>
              <w:left w:val="nil"/>
              <w:bottom w:val="single" w:sz="8" w:space="0" w:color="7030A0"/>
              <w:right w:val="nil"/>
            </w:tcBorders>
            <w:vAlign w:val="center"/>
          </w:tcPr>
          <w:p w14:paraId="222B246B" w14:textId="77777777"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76 268</w:t>
            </w:r>
          </w:p>
        </w:tc>
      </w:tr>
      <w:tr w:rsidR="00776BB9" w:rsidRPr="00C73365" w14:paraId="28E7DCC5" w14:textId="77777777" w:rsidTr="00793DCB">
        <w:trPr>
          <w:trHeight w:val="276"/>
        </w:trPr>
        <w:tc>
          <w:tcPr>
            <w:tcW w:w="3760" w:type="dxa"/>
            <w:tcBorders>
              <w:top w:val="nil"/>
              <w:left w:val="nil"/>
              <w:bottom w:val="nil"/>
              <w:right w:val="nil"/>
            </w:tcBorders>
            <w:shd w:val="clear" w:color="auto" w:fill="auto"/>
            <w:noWrap/>
            <w:vAlign w:val="center"/>
            <w:hideMark/>
          </w:tcPr>
          <w:p w14:paraId="41BA99F2" w14:textId="77777777"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PASSIF</w:t>
            </w:r>
          </w:p>
        </w:tc>
        <w:tc>
          <w:tcPr>
            <w:tcW w:w="1529" w:type="dxa"/>
            <w:vMerge w:val="restart"/>
            <w:tcBorders>
              <w:top w:val="nil"/>
              <w:left w:val="nil"/>
              <w:bottom w:val="single" w:sz="8" w:space="0" w:color="7030A0"/>
              <w:right w:val="nil"/>
            </w:tcBorders>
            <w:shd w:val="clear" w:color="auto" w:fill="auto"/>
            <w:vAlign w:val="center"/>
            <w:hideMark/>
          </w:tcPr>
          <w:p w14:paraId="2EB0A378" w14:textId="77777777"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p w14:paraId="497C022B" w14:textId="77777777"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vMerge w:val="restart"/>
            <w:tcBorders>
              <w:top w:val="nil"/>
              <w:left w:val="nil"/>
              <w:bottom w:val="single" w:sz="8" w:space="0" w:color="7030A0"/>
              <w:right w:val="nil"/>
            </w:tcBorders>
            <w:shd w:val="clear" w:color="auto" w:fill="auto"/>
            <w:vAlign w:val="center"/>
            <w:hideMark/>
          </w:tcPr>
          <w:p w14:paraId="356C01B7"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p w14:paraId="0B8A9802"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c>
          <w:tcPr>
            <w:tcW w:w="1404" w:type="dxa"/>
            <w:tcBorders>
              <w:top w:val="single" w:sz="8" w:space="0" w:color="7030A0"/>
              <w:left w:val="nil"/>
              <w:right w:val="nil"/>
            </w:tcBorders>
          </w:tcPr>
          <w:p w14:paraId="5EF645FD"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31/12/2015</w:t>
            </w:r>
          </w:p>
        </w:tc>
      </w:tr>
      <w:tr w:rsidR="00776BB9" w:rsidRPr="00C73365" w14:paraId="1976E1E5" w14:textId="77777777" w:rsidTr="00793DCB">
        <w:trPr>
          <w:trHeight w:val="288"/>
        </w:trPr>
        <w:tc>
          <w:tcPr>
            <w:tcW w:w="3760" w:type="dxa"/>
            <w:tcBorders>
              <w:top w:val="nil"/>
              <w:left w:val="nil"/>
              <w:bottom w:val="single" w:sz="8" w:space="0" w:color="7030A0"/>
              <w:right w:val="nil"/>
            </w:tcBorders>
            <w:shd w:val="clear" w:color="auto" w:fill="auto"/>
            <w:noWrap/>
            <w:vAlign w:val="center"/>
            <w:hideMark/>
          </w:tcPr>
          <w:p w14:paraId="620D2D95"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vMerge/>
            <w:tcBorders>
              <w:top w:val="nil"/>
              <w:left w:val="nil"/>
              <w:bottom w:val="single" w:sz="8" w:space="0" w:color="7030A0"/>
              <w:right w:val="nil"/>
            </w:tcBorders>
            <w:vAlign w:val="center"/>
            <w:hideMark/>
          </w:tcPr>
          <w:p w14:paraId="2E9A99ED" w14:textId="77777777" w:rsidR="00776BB9" w:rsidRPr="00C73365" w:rsidRDefault="00776BB9" w:rsidP="00A96CCA">
            <w:pPr>
              <w:spacing w:after="0"/>
              <w:rPr>
                <w:rFonts w:asciiTheme="minorHAnsi" w:hAnsiTheme="minorHAnsi" w:cstheme="minorHAnsi"/>
                <w:b/>
                <w:bCs/>
                <w:color w:val="7030A0"/>
                <w:szCs w:val="20"/>
                <w:lang w:val="fr-FR" w:eastAsia="fr-FR"/>
              </w:rPr>
            </w:pPr>
          </w:p>
        </w:tc>
        <w:tc>
          <w:tcPr>
            <w:tcW w:w="1529" w:type="dxa"/>
            <w:vMerge/>
            <w:tcBorders>
              <w:top w:val="nil"/>
              <w:left w:val="nil"/>
              <w:bottom w:val="single" w:sz="8" w:space="0" w:color="7030A0"/>
              <w:right w:val="nil"/>
            </w:tcBorders>
            <w:vAlign w:val="center"/>
            <w:hideMark/>
          </w:tcPr>
          <w:p w14:paraId="7C0FE90B" w14:textId="77777777" w:rsidR="00776BB9" w:rsidRPr="00C73365" w:rsidRDefault="00776BB9" w:rsidP="00A96CCA">
            <w:pPr>
              <w:spacing w:after="0"/>
              <w:rPr>
                <w:rFonts w:asciiTheme="minorHAnsi" w:hAnsiTheme="minorHAnsi" w:cstheme="minorHAnsi"/>
                <w:b/>
                <w:bCs/>
                <w:color w:val="000000"/>
                <w:szCs w:val="20"/>
                <w:lang w:val="fr-FR" w:eastAsia="fr-FR"/>
              </w:rPr>
            </w:pPr>
          </w:p>
        </w:tc>
        <w:tc>
          <w:tcPr>
            <w:tcW w:w="1404" w:type="dxa"/>
            <w:tcBorders>
              <w:top w:val="nil"/>
              <w:left w:val="nil"/>
              <w:bottom w:val="single" w:sz="8" w:space="0" w:color="7030A0"/>
              <w:right w:val="nil"/>
            </w:tcBorders>
          </w:tcPr>
          <w:p w14:paraId="096C43EF"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r>
      <w:tr w:rsidR="00776BB9" w:rsidRPr="00C73365" w14:paraId="39A7C335" w14:textId="77777777" w:rsidTr="00793DCB">
        <w:trPr>
          <w:trHeight w:val="276"/>
        </w:trPr>
        <w:tc>
          <w:tcPr>
            <w:tcW w:w="3760" w:type="dxa"/>
            <w:tcBorders>
              <w:top w:val="nil"/>
              <w:left w:val="nil"/>
              <w:bottom w:val="nil"/>
              <w:right w:val="nil"/>
            </w:tcBorders>
            <w:shd w:val="clear" w:color="auto" w:fill="auto"/>
            <w:noWrap/>
            <w:vAlign w:val="center"/>
            <w:hideMark/>
          </w:tcPr>
          <w:p w14:paraId="00C4DF45" w14:textId="77777777"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Capitaux propres</w:t>
            </w:r>
          </w:p>
        </w:tc>
        <w:tc>
          <w:tcPr>
            <w:tcW w:w="1529" w:type="dxa"/>
            <w:tcBorders>
              <w:top w:val="nil"/>
              <w:left w:val="nil"/>
              <w:bottom w:val="nil"/>
              <w:right w:val="nil"/>
            </w:tcBorders>
            <w:shd w:val="clear" w:color="auto" w:fill="auto"/>
            <w:vAlign w:val="center"/>
            <w:hideMark/>
          </w:tcPr>
          <w:p w14:paraId="1BB5FBB6"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43 916</w:t>
            </w:r>
          </w:p>
        </w:tc>
        <w:tc>
          <w:tcPr>
            <w:tcW w:w="1529" w:type="dxa"/>
            <w:tcBorders>
              <w:top w:val="nil"/>
              <w:left w:val="nil"/>
              <w:bottom w:val="nil"/>
              <w:right w:val="nil"/>
            </w:tcBorders>
            <w:shd w:val="clear" w:color="auto" w:fill="auto"/>
            <w:vAlign w:val="center"/>
            <w:hideMark/>
          </w:tcPr>
          <w:p w14:paraId="2F863DF3"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54 510</w:t>
            </w:r>
          </w:p>
        </w:tc>
        <w:tc>
          <w:tcPr>
            <w:tcW w:w="1404" w:type="dxa"/>
            <w:tcBorders>
              <w:top w:val="nil"/>
              <w:left w:val="nil"/>
              <w:bottom w:val="nil"/>
              <w:right w:val="nil"/>
            </w:tcBorders>
            <w:vAlign w:val="center"/>
          </w:tcPr>
          <w:p w14:paraId="4C036789"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68 759</w:t>
            </w:r>
          </w:p>
        </w:tc>
      </w:tr>
      <w:tr w:rsidR="00776BB9" w:rsidRPr="00C73365" w14:paraId="12D322E1" w14:textId="77777777" w:rsidTr="00793DCB">
        <w:trPr>
          <w:trHeight w:val="276"/>
        </w:trPr>
        <w:tc>
          <w:tcPr>
            <w:tcW w:w="3760" w:type="dxa"/>
            <w:tcBorders>
              <w:top w:val="nil"/>
              <w:left w:val="nil"/>
              <w:bottom w:val="nil"/>
              <w:right w:val="nil"/>
            </w:tcBorders>
            <w:shd w:val="clear" w:color="auto" w:fill="auto"/>
            <w:noWrap/>
            <w:vAlign w:val="center"/>
            <w:hideMark/>
          </w:tcPr>
          <w:p w14:paraId="73F88E89" w14:textId="77777777"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Avances conditionnées</w:t>
            </w:r>
          </w:p>
        </w:tc>
        <w:tc>
          <w:tcPr>
            <w:tcW w:w="1529" w:type="dxa"/>
            <w:tcBorders>
              <w:top w:val="nil"/>
              <w:left w:val="nil"/>
              <w:bottom w:val="nil"/>
              <w:right w:val="nil"/>
            </w:tcBorders>
            <w:shd w:val="clear" w:color="auto" w:fill="auto"/>
            <w:noWrap/>
            <w:vAlign w:val="center"/>
            <w:hideMark/>
          </w:tcPr>
          <w:p w14:paraId="21810626"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4 264</w:t>
            </w:r>
          </w:p>
        </w:tc>
        <w:tc>
          <w:tcPr>
            <w:tcW w:w="1529" w:type="dxa"/>
            <w:tcBorders>
              <w:top w:val="nil"/>
              <w:left w:val="nil"/>
              <w:bottom w:val="nil"/>
              <w:right w:val="nil"/>
            </w:tcBorders>
            <w:shd w:val="clear" w:color="auto" w:fill="auto"/>
            <w:vAlign w:val="center"/>
            <w:hideMark/>
          </w:tcPr>
          <w:p w14:paraId="6DD59454"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2 208</w:t>
            </w:r>
          </w:p>
        </w:tc>
        <w:tc>
          <w:tcPr>
            <w:tcW w:w="1404" w:type="dxa"/>
            <w:tcBorders>
              <w:top w:val="nil"/>
              <w:left w:val="nil"/>
              <w:bottom w:val="nil"/>
              <w:right w:val="nil"/>
            </w:tcBorders>
            <w:vAlign w:val="center"/>
          </w:tcPr>
          <w:p w14:paraId="35A84105"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2 979</w:t>
            </w:r>
          </w:p>
        </w:tc>
      </w:tr>
      <w:tr w:rsidR="00776BB9" w:rsidRPr="00C73365" w14:paraId="0BC3EF3D" w14:textId="77777777" w:rsidTr="00793DCB">
        <w:trPr>
          <w:trHeight w:val="288"/>
        </w:trPr>
        <w:tc>
          <w:tcPr>
            <w:tcW w:w="3760" w:type="dxa"/>
            <w:tcBorders>
              <w:top w:val="nil"/>
              <w:left w:val="nil"/>
              <w:bottom w:val="single" w:sz="8" w:space="0" w:color="7030A0"/>
              <w:right w:val="nil"/>
            </w:tcBorders>
            <w:shd w:val="clear" w:color="auto" w:fill="auto"/>
            <w:noWrap/>
            <w:vAlign w:val="center"/>
            <w:hideMark/>
          </w:tcPr>
          <w:p w14:paraId="48EDBED8" w14:textId="77777777"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Provisions pour risques et charges</w:t>
            </w:r>
          </w:p>
        </w:tc>
        <w:tc>
          <w:tcPr>
            <w:tcW w:w="1529" w:type="dxa"/>
            <w:tcBorders>
              <w:top w:val="nil"/>
              <w:left w:val="nil"/>
              <w:bottom w:val="single" w:sz="8" w:space="0" w:color="7030A0"/>
              <w:right w:val="nil"/>
            </w:tcBorders>
            <w:shd w:val="clear" w:color="auto" w:fill="auto"/>
            <w:vAlign w:val="center"/>
            <w:hideMark/>
          </w:tcPr>
          <w:p w14:paraId="63BF4BA5"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27</w:t>
            </w:r>
          </w:p>
        </w:tc>
        <w:tc>
          <w:tcPr>
            <w:tcW w:w="1529" w:type="dxa"/>
            <w:tcBorders>
              <w:top w:val="nil"/>
              <w:left w:val="nil"/>
              <w:bottom w:val="single" w:sz="8" w:space="0" w:color="7030A0"/>
              <w:right w:val="nil"/>
            </w:tcBorders>
            <w:shd w:val="clear" w:color="auto" w:fill="auto"/>
            <w:vAlign w:val="center"/>
            <w:hideMark/>
          </w:tcPr>
          <w:p w14:paraId="3CC5D75A"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16</w:t>
            </w:r>
          </w:p>
        </w:tc>
        <w:tc>
          <w:tcPr>
            <w:tcW w:w="1404" w:type="dxa"/>
            <w:tcBorders>
              <w:top w:val="nil"/>
              <w:left w:val="nil"/>
              <w:bottom w:val="single" w:sz="8" w:space="0" w:color="7030A0"/>
              <w:right w:val="nil"/>
            </w:tcBorders>
            <w:vAlign w:val="center"/>
          </w:tcPr>
          <w:p w14:paraId="0CE36C71" w14:textId="77777777"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370</w:t>
            </w:r>
          </w:p>
        </w:tc>
      </w:tr>
      <w:tr w:rsidR="00776BB9" w:rsidRPr="00C73365" w14:paraId="30F2641F" w14:textId="77777777" w:rsidTr="00793DCB">
        <w:trPr>
          <w:trHeight w:val="288"/>
        </w:trPr>
        <w:tc>
          <w:tcPr>
            <w:tcW w:w="3760" w:type="dxa"/>
            <w:tcBorders>
              <w:top w:val="nil"/>
              <w:left w:val="nil"/>
              <w:bottom w:val="single" w:sz="8" w:space="0" w:color="7030A0"/>
              <w:right w:val="nil"/>
            </w:tcBorders>
            <w:shd w:val="clear" w:color="auto" w:fill="auto"/>
            <w:noWrap/>
            <w:vAlign w:val="center"/>
            <w:hideMark/>
          </w:tcPr>
          <w:p w14:paraId="76BDB5DF"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14:paraId="66F72D7C"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48 207</w:t>
            </w:r>
          </w:p>
        </w:tc>
        <w:tc>
          <w:tcPr>
            <w:tcW w:w="1529" w:type="dxa"/>
            <w:tcBorders>
              <w:top w:val="nil"/>
              <w:left w:val="nil"/>
              <w:bottom w:val="single" w:sz="8" w:space="0" w:color="7030A0"/>
              <w:right w:val="nil"/>
            </w:tcBorders>
            <w:shd w:val="clear" w:color="auto" w:fill="auto"/>
            <w:noWrap/>
            <w:vAlign w:val="center"/>
            <w:hideMark/>
          </w:tcPr>
          <w:p w14:paraId="3398E974"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56 734</w:t>
            </w:r>
          </w:p>
        </w:tc>
        <w:tc>
          <w:tcPr>
            <w:tcW w:w="1404" w:type="dxa"/>
            <w:tcBorders>
              <w:top w:val="nil"/>
              <w:left w:val="nil"/>
              <w:bottom w:val="single" w:sz="8" w:space="0" w:color="7030A0"/>
              <w:right w:val="nil"/>
            </w:tcBorders>
            <w:vAlign w:val="center"/>
          </w:tcPr>
          <w:p w14:paraId="0C40E734"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72 108</w:t>
            </w:r>
          </w:p>
        </w:tc>
      </w:tr>
      <w:tr w:rsidR="00776BB9" w:rsidRPr="00C73365" w14:paraId="63163D93" w14:textId="77777777" w:rsidTr="00793DCB">
        <w:trPr>
          <w:trHeight w:val="276"/>
        </w:trPr>
        <w:tc>
          <w:tcPr>
            <w:tcW w:w="3760" w:type="dxa"/>
            <w:tcBorders>
              <w:top w:val="nil"/>
              <w:left w:val="nil"/>
              <w:bottom w:val="nil"/>
              <w:right w:val="nil"/>
            </w:tcBorders>
            <w:shd w:val="clear" w:color="auto" w:fill="auto"/>
            <w:noWrap/>
            <w:vAlign w:val="center"/>
            <w:hideMark/>
          </w:tcPr>
          <w:p w14:paraId="5DF7D5DF" w14:textId="77777777"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Dettes</w:t>
            </w:r>
          </w:p>
        </w:tc>
        <w:tc>
          <w:tcPr>
            <w:tcW w:w="1529" w:type="dxa"/>
            <w:tcBorders>
              <w:top w:val="nil"/>
              <w:left w:val="nil"/>
              <w:bottom w:val="nil"/>
              <w:right w:val="nil"/>
            </w:tcBorders>
            <w:shd w:val="clear" w:color="auto" w:fill="auto"/>
            <w:noWrap/>
            <w:vAlign w:val="center"/>
            <w:hideMark/>
          </w:tcPr>
          <w:p w14:paraId="07D4B956" w14:textId="77777777"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14:paraId="06D6CC3F" w14:textId="77777777"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14:paraId="7966429B" w14:textId="77777777"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14:paraId="13DA65F7" w14:textId="77777777" w:rsidTr="00793DCB">
        <w:trPr>
          <w:trHeight w:val="276"/>
        </w:trPr>
        <w:tc>
          <w:tcPr>
            <w:tcW w:w="3760" w:type="dxa"/>
            <w:tcBorders>
              <w:top w:val="nil"/>
              <w:left w:val="nil"/>
              <w:bottom w:val="nil"/>
              <w:right w:val="nil"/>
            </w:tcBorders>
            <w:shd w:val="clear" w:color="auto" w:fill="auto"/>
            <w:noWrap/>
            <w:vAlign w:val="center"/>
            <w:hideMark/>
          </w:tcPr>
          <w:p w14:paraId="6745279C"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Emprunts obligataires convertibles </w:t>
            </w:r>
          </w:p>
        </w:tc>
        <w:tc>
          <w:tcPr>
            <w:tcW w:w="1529" w:type="dxa"/>
            <w:tcBorders>
              <w:top w:val="nil"/>
              <w:left w:val="nil"/>
              <w:bottom w:val="nil"/>
              <w:right w:val="nil"/>
            </w:tcBorders>
            <w:shd w:val="clear" w:color="auto" w:fill="auto"/>
            <w:noWrap/>
            <w:vAlign w:val="center"/>
            <w:hideMark/>
          </w:tcPr>
          <w:p w14:paraId="630D8B7F"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c>
          <w:tcPr>
            <w:tcW w:w="1529" w:type="dxa"/>
            <w:tcBorders>
              <w:top w:val="nil"/>
              <w:left w:val="nil"/>
              <w:bottom w:val="nil"/>
              <w:right w:val="nil"/>
            </w:tcBorders>
            <w:shd w:val="clear" w:color="auto" w:fill="auto"/>
            <w:noWrap/>
            <w:vAlign w:val="center"/>
            <w:hideMark/>
          </w:tcPr>
          <w:p w14:paraId="19AD82B2"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61</w:t>
            </w:r>
          </w:p>
        </w:tc>
        <w:tc>
          <w:tcPr>
            <w:tcW w:w="1404" w:type="dxa"/>
            <w:tcBorders>
              <w:top w:val="nil"/>
              <w:left w:val="nil"/>
              <w:bottom w:val="nil"/>
              <w:right w:val="nil"/>
            </w:tcBorders>
            <w:vAlign w:val="center"/>
          </w:tcPr>
          <w:p w14:paraId="307BAE4C"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w:t>
            </w:r>
          </w:p>
        </w:tc>
      </w:tr>
      <w:tr w:rsidR="00776BB9" w:rsidRPr="00C73365" w14:paraId="6EA43F4F" w14:textId="77777777" w:rsidTr="00793DCB">
        <w:trPr>
          <w:trHeight w:val="276"/>
        </w:trPr>
        <w:tc>
          <w:tcPr>
            <w:tcW w:w="3760" w:type="dxa"/>
            <w:tcBorders>
              <w:top w:val="nil"/>
              <w:left w:val="nil"/>
              <w:bottom w:val="nil"/>
              <w:right w:val="nil"/>
            </w:tcBorders>
            <w:shd w:val="clear" w:color="auto" w:fill="auto"/>
            <w:noWrap/>
            <w:vAlign w:val="center"/>
            <w:hideMark/>
          </w:tcPr>
          <w:p w14:paraId="3C866BBA"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Emprunts et dettes financières – Autres</w:t>
            </w:r>
          </w:p>
        </w:tc>
        <w:tc>
          <w:tcPr>
            <w:tcW w:w="1529" w:type="dxa"/>
            <w:tcBorders>
              <w:top w:val="nil"/>
              <w:left w:val="nil"/>
              <w:bottom w:val="nil"/>
              <w:right w:val="nil"/>
            </w:tcBorders>
            <w:shd w:val="clear" w:color="auto" w:fill="auto"/>
            <w:noWrap/>
            <w:vAlign w:val="center"/>
            <w:hideMark/>
          </w:tcPr>
          <w:p w14:paraId="0BDFA4DA"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170</w:t>
            </w:r>
          </w:p>
        </w:tc>
        <w:tc>
          <w:tcPr>
            <w:tcW w:w="1529" w:type="dxa"/>
            <w:tcBorders>
              <w:top w:val="nil"/>
              <w:left w:val="nil"/>
              <w:bottom w:val="nil"/>
              <w:right w:val="nil"/>
            </w:tcBorders>
            <w:shd w:val="clear" w:color="auto" w:fill="auto"/>
            <w:noWrap/>
            <w:vAlign w:val="center"/>
            <w:hideMark/>
          </w:tcPr>
          <w:p w14:paraId="1DC3F05A"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255</w:t>
            </w:r>
          </w:p>
        </w:tc>
        <w:tc>
          <w:tcPr>
            <w:tcW w:w="1404" w:type="dxa"/>
            <w:tcBorders>
              <w:top w:val="nil"/>
              <w:left w:val="nil"/>
              <w:bottom w:val="nil"/>
              <w:right w:val="nil"/>
            </w:tcBorders>
            <w:vAlign w:val="center"/>
          </w:tcPr>
          <w:p w14:paraId="00E8662B"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405</w:t>
            </w:r>
          </w:p>
        </w:tc>
      </w:tr>
      <w:tr w:rsidR="00776BB9" w:rsidRPr="00C73365" w14:paraId="0D34C855" w14:textId="77777777" w:rsidTr="00793DCB">
        <w:trPr>
          <w:trHeight w:val="276"/>
        </w:trPr>
        <w:tc>
          <w:tcPr>
            <w:tcW w:w="3760" w:type="dxa"/>
            <w:tcBorders>
              <w:top w:val="nil"/>
              <w:left w:val="nil"/>
              <w:bottom w:val="nil"/>
              <w:right w:val="nil"/>
            </w:tcBorders>
            <w:shd w:val="clear" w:color="auto" w:fill="auto"/>
            <w:noWrap/>
            <w:vAlign w:val="center"/>
            <w:hideMark/>
          </w:tcPr>
          <w:p w14:paraId="2E1DA2AD"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Fournisseurs et comptes rattachés</w:t>
            </w:r>
          </w:p>
        </w:tc>
        <w:tc>
          <w:tcPr>
            <w:tcW w:w="1529" w:type="dxa"/>
            <w:tcBorders>
              <w:top w:val="nil"/>
              <w:left w:val="nil"/>
              <w:bottom w:val="nil"/>
              <w:right w:val="nil"/>
            </w:tcBorders>
            <w:shd w:val="clear" w:color="auto" w:fill="auto"/>
            <w:noWrap/>
            <w:vAlign w:val="center"/>
            <w:hideMark/>
          </w:tcPr>
          <w:p w14:paraId="41F6984B"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4 219</w:t>
            </w:r>
          </w:p>
        </w:tc>
        <w:tc>
          <w:tcPr>
            <w:tcW w:w="1529" w:type="dxa"/>
            <w:tcBorders>
              <w:top w:val="nil"/>
              <w:left w:val="nil"/>
              <w:bottom w:val="nil"/>
              <w:right w:val="nil"/>
            </w:tcBorders>
            <w:shd w:val="clear" w:color="auto" w:fill="auto"/>
            <w:noWrap/>
            <w:vAlign w:val="center"/>
            <w:hideMark/>
          </w:tcPr>
          <w:p w14:paraId="2C3D6018"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2 571</w:t>
            </w:r>
          </w:p>
        </w:tc>
        <w:tc>
          <w:tcPr>
            <w:tcW w:w="1404" w:type="dxa"/>
            <w:tcBorders>
              <w:top w:val="nil"/>
              <w:left w:val="nil"/>
              <w:bottom w:val="nil"/>
              <w:right w:val="nil"/>
            </w:tcBorders>
            <w:vAlign w:val="center"/>
          </w:tcPr>
          <w:p w14:paraId="499C534F"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2 808</w:t>
            </w:r>
          </w:p>
        </w:tc>
      </w:tr>
      <w:tr w:rsidR="00776BB9" w:rsidRPr="00C73365" w14:paraId="0645C9C2" w14:textId="77777777" w:rsidTr="00793DCB">
        <w:trPr>
          <w:trHeight w:val="276"/>
        </w:trPr>
        <w:tc>
          <w:tcPr>
            <w:tcW w:w="3760" w:type="dxa"/>
            <w:tcBorders>
              <w:top w:val="nil"/>
              <w:left w:val="nil"/>
              <w:bottom w:val="nil"/>
              <w:right w:val="nil"/>
            </w:tcBorders>
            <w:shd w:val="clear" w:color="auto" w:fill="auto"/>
            <w:noWrap/>
            <w:vAlign w:val="center"/>
            <w:hideMark/>
          </w:tcPr>
          <w:p w14:paraId="3CF6150F"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Dettes fiscales et sociales</w:t>
            </w:r>
          </w:p>
        </w:tc>
        <w:tc>
          <w:tcPr>
            <w:tcW w:w="1529" w:type="dxa"/>
            <w:tcBorders>
              <w:top w:val="nil"/>
              <w:left w:val="nil"/>
              <w:bottom w:val="nil"/>
              <w:right w:val="nil"/>
            </w:tcBorders>
            <w:shd w:val="clear" w:color="auto" w:fill="auto"/>
            <w:noWrap/>
            <w:vAlign w:val="center"/>
            <w:hideMark/>
          </w:tcPr>
          <w:p w14:paraId="4792B26C"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1 102</w:t>
            </w:r>
          </w:p>
        </w:tc>
        <w:tc>
          <w:tcPr>
            <w:tcW w:w="1529" w:type="dxa"/>
            <w:tcBorders>
              <w:top w:val="nil"/>
              <w:left w:val="nil"/>
              <w:bottom w:val="nil"/>
              <w:right w:val="nil"/>
            </w:tcBorders>
            <w:shd w:val="clear" w:color="auto" w:fill="auto"/>
            <w:noWrap/>
            <w:vAlign w:val="center"/>
            <w:hideMark/>
          </w:tcPr>
          <w:p w14:paraId="61D3A822"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974</w:t>
            </w:r>
          </w:p>
        </w:tc>
        <w:tc>
          <w:tcPr>
            <w:tcW w:w="1404" w:type="dxa"/>
            <w:tcBorders>
              <w:top w:val="nil"/>
              <w:left w:val="nil"/>
              <w:bottom w:val="nil"/>
              <w:right w:val="nil"/>
            </w:tcBorders>
            <w:vAlign w:val="center"/>
          </w:tcPr>
          <w:p w14:paraId="0FE60476"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915</w:t>
            </w:r>
          </w:p>
        </w:tc>
      </w:tr>
      <w:tr w:rsidR="00776BB9" w:rsidRPr="00C73365" w14:paraId="7A201C30" w14:textId="77777777" w:rsidTr="00793DCB">
        <w:trPr>
          <w:trHeight w:val="276"/>
        </w:trPr>
        <w:tc>
          <w:tcPr>
            <w:tcW w:w="3760" w:type="dxa"/>
            <w:tcBorders>
              <w:top w:val="nil"/>
              <w:left w:val="nil"/>
              <w:bottom w:val="nil"/>
              <w:right w:val="nil"/>
            </w:tcBorders>
            <w:shd w:val="clear" w:color="auto" w:fill="auto"/>
            <w:noWrap/>
            <w:vAlign w:val="center"/>
            <w:hideMark/>
          </w:tcPr>
          <w:p w14:paraId="3E59D55E"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dettes</w:t>
            </w:r>
          </w:p>
        </w:tc>
        <w:tc>
          <w:tcPr>
            <w:tcW w:w="1529" w:type="dxa"/>
            <w:tcBorders>
              <w:top w:val="nil"/>
              <w:left w:val="nil"/>
              <w:bottom w:val="nil"/>
              <w:right w:val="nil"/>
            </w:tcBorders>
            <w:shd w:val="clear" w:color="auto" w:fill="auto"/>
            <w:noWrap/>
            <w:vAlign w:val="center"/>
            <w:hideMark/>
          </w:tcPr>
          <w:p w14:paraId="175B5257"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w:t>
            </w:r>
          </w:p>
        </w:tc>
        <w:tc>
          <w:tcPr>
            <w:tcW w:w="1529" w:type="dxa"/>
            <w:tcBorders>
              <w:top w:val="nil"/>
              <w:left w:val="nil"/>
              <w:bottom w:val="nil"/>
              <w:right w:val="nil"/>
            </w:tcBorders>
            <w:shd w:val="clear" w:color="auto" w:fill="auto"/>
            <w:noWrap/>
            <w:vAlign w:val="center"/>
            <w:hideMark/>
          </w:tcPr>
          <w:p w14:paraId="25728942"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c>
          <w:tcPr>
            <w:tcW w:w="1404" w:type="dxa"/>
            <w:tcBorders>
              <w:top w:val="nil"/>
              <w:left w:val="nil"/>
              <w:bottom w:val="nil"/>
              <w:right w:val="nil"/>
            </w:tcBorders>
            <w:vAlign w:val="center"/>
          </w:tcPr>
          <w:p w14:paraId="36085E8D"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776BB9" w:rsidRPr="00C73365" w14:paraId="2F97A42D" w14:textId="77777777" w:rsidTr="00793DCB">
        <w:trPr>
          <w:trHeight w:val="288"/>
        </w:trPr>
        <w:tc>
          <w:tcPr>
            <w:tcW w:w="3760" w:type="dxa"/>
            <w:tcBorders>
              <w:top w:val="nil"/>
              <w:left w:val="nil"/>
              <w:bottom w:val="single" w:sz="8" w:space="0" w:color="7030A0"/>
              <w:right w:val="nil"/>
            </w:tcBorders>
            <w:shd w:val="clear" w:color="auto" w:fill="auto"/>
            <w:noWrap/>
            <w:vAlign w:val="center"/>
            <w:hideMark/>
          </w:tcPr>
          <w:p w14:paraId="3CE65CE4"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Produits constatés d’avance</w:t>
            </w:r>
          </w:p>
        </w:tc>
        <w:tc>
          <w:tcPr>
            <w:tcW w:w="1529" w:type="dxa"/>
            <w:tcBorders>
              <w:top w:val="nil"/>
              <w:left w:val="nil"/>
              <w:bottom w:val="single" w:sz="8" w:space="0" w:color="7030A0"/>
              <w:right w:val="nil"/>
            </w:tcBorders>
            <w:shd w:val="clear" w:color="auto" w:fill="auto"/>
            <w:vAlign w:val="center"/>
            <w:hideMark/>
          </w:tcPr>
          <w:p w14:paraId="6C866F9E"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529" w:type="dxa"/>
            <w:tcBorders>
              <w:top w:val="nil"/>
              <w:left w:val="nil"/>
              <w:bottom w:val="single" w:sz="8" w:space="0" w:color="7030A0"/>
              <w:right w:val="nil"/>
            </w:tcBorders>
            <w:shd w:val="clear" w:color="auto" w:fill="auto"/>
            <w:vAlign w:val="center"/>
            <w:hideMark/>
          </w:tcPr>
          <w:p w14:paraId="7C74E39A"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w:t>
            </w:r>
          </w:p>
        </w:tc>
        <w:tc>
          <w:tcPr>
            <w:tcW w:w="1404" w:type="dxa"/>
            <w:tcBorders>
              <w:top w:val="nil"/>
              <w:left w:val="nil"/>
              <w:bottom w:val="single" w:sz="8" w:space="0" w:color="7030A0"/>
              <w:right w:val="nil"/>
            </w:tcBorders>
            <w:vAlign w:val="center"/>
          </w:tcPr>
          <w:p w14:paraId="2B4C77AB" w14:textId="77777777"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776BB9" w:rsidRPr="00C73365" w14:paraId="716C99B4" w14:textId="77777777" w:rsidTr="00793DCB">
        <w:trPr>
          <w:trHeight w:val="288"/>
        </w:trPr>
        <w:tc>
          <w:tcPr>
            <w:tcW w:w="3760" w:type="dxa"/>
            <w:tcBorders>
              <w:top w:val="nil"/>
              <w:left w:val="nil"/>
              <w:bottom w:val="single" w:sz="8" w:space="0" w:color="7030A0"/>
              <w:right w:val="nil"/>
            </w:tcBorders>
            <w:shd w:val="clear" w:color="auto" w:fill="auto"/>
            <w:noWrap/>
            <w:vAlign w:val="center"/>
            <w:hideMark/>
          </w:tcPr>
          <w:p w14:paraId="67823002"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14:paraId="08789884"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5 604</w:t>
            </w:r>
          </w:p>
        </w:tc>
        <w:tc>
          <w:tcPr>
            <w:tcW w:w="1529" w:type="dxa"/>
            <w:tcBorders>
              <w:top w:val="nil"/>
              <w:left w:val="nil"/>
              <w:bottom w:val="single" w:sz="8" w:space="0" w:color="7030A0"/>
              <w:right w:val="nil"/>
            </w:tcBorders>
            <w:shd w:val="clear" w:color="auto" w:fill="auto"/>
            <w:noWrap/>
            <w:vAlign w:val="center"/>
            <w:hideMark/>
          </w:tcPr>
          <w:p w14:paraId="157FC6FD"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3 863</w:t>
            </w:r>
          </w:p>
        </w:tc>
        <w:tc>
          <w:tcPr>
            <w:tcW w:w="1404" w:type="dxa"/>
            <w:tcBorders>
              <w:top w:val="nil"/>
              <w:left w:val="nil"/>
              <w:bottom w:val="single" w:sz="8" w:space="0" w:color="7030A0"/>
              <w:right w:val="nil"/>
            </w:tcBorders>
            <w:vAlign w:val="center"/>
          </w:tcPr>
          <w:p w14:paraId="620192E1"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4 160</w:t>
            </w:r>
          </w:p>
        </w:tc>
      </w:tr>
      <w:tr w:rsidR="00776BB9" w:rsidRPr="00C73365" w14:paraId="5356DE74" w14:textId="77777777" w:rsidTr="00793DCB">
        <w:trPr>
          <w:trHeight w:val="288"/>
        </w:trPr>
        <w:tc>
          <w:tcPr>
            <w:tcW w:w="3760" w:type="dxa"/>
            <w:tcBorders>
              <w:top w:val="nil"/>
              <w:left w:val="nil"/>
              <w:bottom w:val="single" w:sz="8" w:space="0" w:color="7030A0"/>
              <w:right w:val="nil"/>
            </w:tcBorders>
            <w:shd w:val="clear" w:color="auto" w:fill="auto"/>
            <w:noWrap/>
            <w:vAlign w:val="center"/>
            <w:hideMark/>
          </w:tcPr>
          <w:p w14:paraId="6E5171AB"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passif</w:t>
            </w:r>
          </w:p>
        </w:tc>
        <w:tc>
          <w:tcPr>
            <w:tcW w:w="1529" w:type="dxa"/>
            <w:tcBorders>
              <w:top w:val="nil"/>
              <w:left w:val="nil"/>
              <w:bottom w:val="single" w:sz="8" w:space="0" w:color="7030A0"/>
              <w:right w:val="nil"/>
            </w:tcBorders>
            <w:shd w:val="clear" w:color="auto" w:fill="auto"/>
            <w:noWrap/>
            <w:vAlign w:val="center"/>
            <w:hideMark/>
          </w:tcPr>
          <w:p w14:paraId="4582A0E3"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szCs w:val="20"/>
              </w:rPr>
              <w:t>4</w:t>
            </w:r>
          </w:p>
        </w:tc>
        <w:tc>
          <w:tcPr>
            <w:tcW w:w="1529" w:type="dxa"/>
            <w:tcBorders>
              <w:top w:val="nil"/>
              <w:left w:val="nil"/>
              <w:bottom w:val="single" w:sz="8" w:space="0" w:color="7030A0"/>
              <w:right w:val="nil"/>
            </w:tcBorders>
            <w:shd w:val="clear" w:color="auto" w:fill="auto"/>
            <w:vAlign w:val="center"/>
            <w:hideMark/>
          </w:tcPr>
          <w:p w14:paraId="3F62F05E"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1404" w:type="dxa"/>
            <w:tcBorders>
              <w:top w:val="nil"/>
              <w:left w:val="nil"/>
              <w:bottom w:val="single" w:sz="8" w:space="0" w:color="7030A0"/>
              <w:right w:val="nil"/>
            </w:tcBorders>
            <w:vAlign w:val="center"/>
          </w:tcPr>
          <w:p w14:paraId="51AC2010" w14:textId="77777777"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776BB9" w:rsidRPr="00C73365" w14:paraId="3525781C" w14:textId="77777777" w:rsidTr="00793DCB">
        <w:trPr>
          <w:trHeight w:val="288"/>
        </w:trPr>
        <w:tc>
          <w:tcPr>
            <w:tcW w:w="3760" w:type="dxa"/>
            <w:tcBorders>
              <w:top w:val="nil"/>
              <w:left w:val="nil"/>
              <w:bottom w:val="single" w:sz="8" w:space="0" w:color="7030A0"/>
              <w:right w:val="nil"/>
            </w:tcBorders>
            <w:shd w:val="clear" w:color="auto" w:fill="auto"/>
            <w:noWrap/>
            <w:vAlign w:val="center"/>
            <w:hideMark/>
          </w:tcPr>
          <w:p w14:paraId="46A0DD69" w14:textId="77777777"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14:paraId="245AD3BF" w14:textId="77777777"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53 815</w:t>
            </w:r>
          </w:p>
        </w:tc>
        <w:tc>
          <w:tcPr>
            <w:tcW w:w="1529" w:type="dxa"/>
            <w:tcBorders>
              <w:top w:val="nil"/>
              <w:left w:val="nil"/>
              <w:bottom w:val="single" w:sz="8" w:space="0" w:color="7030A0"/>
              <w:right w:val="nil"/>
            </w:tcBorders>
            <w:shd w:val="clear" w:color="auto" w:fill="auto"/>
            <w:noWrap/>
            <w:vAlign w:val="center"/>
            <w:hideMark/>
          </w:tcPr>
          <w:p w14:paraId="4B7A0E9E" w14:textId="77777777"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c>
          <w:tcPr>
            <w:tcW w:w="1404" w:type="dxa"/>
            <w:tcBorders>
              <w:top w:val="nil"/>
              <w:left w:val="nil"/>
              <w:bottom w:val="single" w:sz="8" w:space="0" w:color="7030A0"/>
              <w:right w:val="nil"/>
            </w:tcBorders>
            <w:vAlign w:val="center"/>
          </w:tcPr>
          <w:p w14:paraId="248FA123" w14:textId="77777777"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76 268</w:t>
            </w:r>
          </w:p>
        </w:tc>
      </w:tr>
    </w:tbl>
    <w:p w14:paraId="797D8D14" w14:textId="77777777" w:rsidR="00776BB9" w:rsidRPr="00C73365" w:rsidRDefault="00776BB9" w:rsidP="00A96CCA">
      <w:pPr>
        <w:rPr>
          <w:rFonts w:asciiTheme="minorHAnsi" w:hAnsiTheme="minorHAnsi" w:cstheme="minorHAnsi"/>
          <w:b/>
          <w:color w:val="7030A0"/>
          <w:sz w:val="24"/>
          <w:szCs w:val="20"/>
          <w:lang w:val="fr-FR"/>
        </w:rPr>
      </w:pPr>
    </w:p>
    <w:p w14:paraId="609A4055" w14:textId="77777777" w:rsidR="00776BB9" w:rsidRPr="00C73365" w:rsidRDefault="00776BB9" w:rsidP="004572A0">
      <w:pPr>
        <w:pStyle w:val="Corpsdetexte"/>
        <w:rPr>
          <w:rFonts w:asciiTheme="minorHAnsi" w:hAnsiTheme="minorHAnsi" w:cstheme="minorHAnsi"/>
          <w:b/>
          <w:lang w:val="fr-FR"/>
        </w:rPr>
      </w:pPr>
      <w:r w:rsidRPr="00C73365">
        <w:rPr>
          <w:rFonts w:asciiTheme="minorHAnsi" w:hAnsiTheme="minorHAnsi" w:cstheme="minorHAnsi"/>
          <w:b/>
          <w:lang w:val="fr-FR"/>
        </w:rPr>
        <w:t>EXPOSE SUR LE BILAN AU 31/12/2017</w:t>
      </w:r>
    </w:p>
    <w:p w14:paraId="18A2F7B0" w14:textId="77777777" w:rsidR="00776BB9" w:rsidRPr="00C73365" w:rsidRDefault="00776BB9" w:rsidP="004572A0">
      <w:pPr>
        <w:pStyle w:val="Corpsdetexte"/>
        <w:rPr>
          <w:rFonts w:asciiTheme="minorHAnsi" w:hAnsiTheme="minorHAnsi" w:cstheme="minorHAnsi"/>
          <w:b/>
          <w:lang w:val="fr-FR"/>
        </w:rPr>
      </w:pPr>
      <w:r w:rsidRPr="00C73365">
        <w:rPr>
          <w:rFonts w:asciiTheme="minorHAnsi" w:hAnsiTheme="minorHAnsi" w:cstheme="minorHAnsi"/>
          <w:b/>
          <w:lang w:val="fr-FR"/>
        </w:rPr>
        <w:t>Immobilisations incorporelles</w:t>
      </w:r>
    </w:p>
    <w:p w14:paraId="3F04E99D" w14:textId="77777777" w:rsidR="00B1789A"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Les actifs de la société à la fin 201</w:t>
      </w:r>
      <w:r w:rsidR="00973469" w:rsidRPr="00C73365">
        <w:rPr>
          <w:rFonts w:asciiTheme="minorHAnsi" w:hAnsiTheme="minorHAnsi" w:cstheme="minorHAnsi"/>
          <w:lang w:val="fr-FR"/>
        </w:rPr>
        <w:t>7</w:t>
      </w:r>
      <w:r w:rsidRPr="00C73365">
        <w:rPr>
          <w:rFonts w:asciiTheme="minorHAnsi" w:hAnsiTheme="minorHAnsi" w:cstheme="minorHAnsi"/>
          <w:lang w:val="fr-FR"/>
        </w:rPr>
        <w:t xml:space="preserve"> comportaient des survaleurs, classées en Immobilisations Incorporelles, résultant </w:t>
      </w:r>
      <w:r w:rsidR="00973469" w:rsidRPr="00C73365">
        <w:rPr>
          <w:rFonts w:asciiTheme="minorHAnsi" w:hAnsiTheme="minorHAnsi" w:cstheme="minorHAnsi"/>
          <w:lang w:val="fr-FR"/>
        </w:rPr>
        <w:t>des apports de</w:t>
      </w:r>
      <w:r w:rsidRPr="00C73365">
        <w:rPr>
          <w:rFonts w:asciiTheme="minorHAnsi" w:hAnsiTheme="minorHAnsi" w:cstheme="minorHAnsi"/>
          <w:lang w:val="fr-FR"/>
        </w:rPr>
        <w:t xml:space="preserve"> Wittycell (plateforme </w:t>
      </w:r>
      <w:r w:rsidR="00973469" w:rsidRPr="00C73365">
        <w:rPr>
          <w:rFonts w:asciiTheme="minorHAnsi" w:hAnsiTheme="minorHAnsi" w:cstheme="minorHAnsi"/>
          <w:lang w:val="fr-FR"/>
        </w:rPr>
        <w:t>« </w:t>
      </w:r>
      <w:r w:rsidRPr="00C73365">
        <w:rPr>
          <w:rFonts w:asciiTheme="minorHAnsi" w:hAnsiTheme="minorHAnsi" w:cstheme="minorHAnsi"/>
          <w:lang w:val="fr-FR"/>
        </w:rPr>
        <w:t>stimulateur immunitaire</w:t>
      </w:r>
      <w:r w:rsidR="00973469" w:rsidRPr="00C73365">
        <w:rPr>
          <w:rFonts w:asciiTheme="minorHAnsi" w:hAnsiTheme="minorHAnsi" w:cstheme="minorHAnsi"/>
          <w:lang w:val="fr-FR"/>
        </w:rPr>
        <w:t> »</w:t>
      </w:r>
      <w:r w:rsidRPr="00C73365">
        <w:rPr>
          <w:rFonts w:asciiTheme="minorHAnsi" w:hAnsiTheme="minorHAnsi" w:cstheme="minorHAnsi"/>
          <w:lang w:val="fr-FR"/>
        </w:rPr>
        <w:t xml:space="preserve"> dont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est issue) et Splicos (plateforme </w:t>
      </w:r>
      <w:r w:rsidR="00973469" w:rsidRPr="00C73365">
        <w:rPr>
          <w:rFonts w:asciiTheme="minorHAnsi" w:hAnsiTheme="minorHAnsi" w:cstheme="minorHAnsi"/>
          <w:lang w:val="fr-FR"/>
        </w:rPr>
        <w:t>« </w:t>
      </w:r>
      <w:r w:rsidRPr="00C73365">
        <w:rPr>
          <w:rFonts w:asciiTheme="minorHAnsi" w:hAnsiTheme="minorHAnsi" w:cstheme="minorHAnsi"/>
          <w:lang w:val="fr-FR"/>
        </w:rPr>
        <w:t>antivirale</w:t>
      </w:r>
      <w:r w:rsidR="00973469" w:rsidRPr="00C73365">
        <w:rPr>
          <w:rFonts w:asciiTheme="minorHAnsi" w:hAnsiTheme="minorHAnsi" w:cstheme="minorHAnsi"/>
          <w:lang w:val="fr-FR"/>
        </w:rPr>
        <w:t> »</w:t>
      </w:r>
      <w:r w:rsidRPr="00C73365">
        <w:rPr>
          <w:rFonts w:asciiTheme="minorHAnsi" w:hAnsiTheme="minorHAnsi" w:cstheme="minorHAnsi"/>
          <w:lang w:val="fr-FR"/>
        </w:rPr>
        <w:t xml:space="preserve"> dont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est issue)</w:t>
      </w:r>
      <w:r w:rsidR="00973469" w:rsidRPr="00C73365">
        <w:rPr>
          <w:rFonts w:asciiTheme="minorHAnsi" w:hAnsiTheme="minorHAnsi" w:cstheme="minorHAnsi"/>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973469" w:rsidRPr="00C73365">
        <w:rPr>
          <w:rFonts w:asciiTheme="minorHAnsi" w:hAnsiTheme="minorHAnsi" w:cstheme="minorHAnsi"/>
          <w:lang w:val="fr-FR"/>
        </w:rPr>
        <w:t xml:space="preserve">L’opérations d’apports en nature des sociétés SPLICOS, WITTYCELL et ZOPHIS à </w:t>
      </w:r>
      <w:r w:rsidR="00EF089C" w:rsidRPr="00C73365">
        <w:rPr>
          <w:rFonts w:asciiTheme="minorHAnsi" w:hAnsiTheme="minorHAnsi" w:cstheme="minorHAnsi"/>
          <w:lang w:val="fr-FR"/>
        </w:rPr>
        <w:t>ABIVAX</w:t>
      </w:r>
      <w:r w:rsidR="00973469" w:rsidRPr="00C73365">
        <w:rPr>
          <w:rFonts w:asciiTheme="minorHAnsi" w:hAnsiTheme="minorHAnsi" w:cstheme="minorHAnsi"/>
          <w:lang w:val="fr-FR"/>
        </w:rPr>
        <w:t xml:space="preserve"> ayant eu lieu en 2014 par une transmission universelle de patrimoine. </w:t>
      </w:r>
      <w:r w:rsidRPr="00C73365">
        <w:rPr>
          <w:rFonts w:asciiTheme="minorHAnsi" w:hAnsiTheme="minorHAnsi" w:cstheme="minorHAnsi"/>
          <w:lang w:val="fr-FR"/>
        </w:rPr>
        <w:t>Ces survaleurs 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élevaient à 32 </w:t>
      </w:r>
      <w:r w:rsidR="00EF089C" w:rsidRPr="00C73365">
        <w:rPr>
          <w:rFonts w:asciiTheme="minorHAnsi" w:hAnsiTheme="minorHAnsi" w:cstheme="minorHAnsi"/>
          <w:lang w:val="fr-FR"/>
        </w:rPr>
        <w:t>M€</w:t>
      </w:r>
      <w:r w:rsidRPr="00C73365">
        <w:rPr>
          <w:rFonts w:asciiTheme="minorHAnsi" w:hAnsiTheme="minorHAnsi" w:cstheme="minorHAnsi"/>
          <w:lang w:val="fr-FR"/>
        </w:rPr>
        <w:t xml:space="preserve"> à la fin 2014</w:t>
      </w:r>
      <w:r w:rsidR="00973469" w:rsidRPr="00C73365">
        <w:rPr>
          <w:rFonts w:asciiTheme="minorHAnsi" w:hAnsiTheme="minorHAnsi" w:cstheme="minorHAnsi"/>
          <w:lang w:val="fr-FR"/>
        </w:rPr>
        <w:t>.</w:t>
      </w:r>
      <w:r w:rsidR="000E1807" w:rsidRPr="00C73365">
        <w:rPr>
          <w:rFonts w:asciiTheme="minorHAnsi" w:hAnsiTheme="minorHAnsi" w:cstheme="minorHAnsi"/>
          <w:lang w:val="fr-FR"/>
        </w:rPr>
        <w:t xml:space="preserve"> </w:t>
      </w:r>
      <w:r w:rsidR="00B1789A" w:rsidRPr="00C73365">
        <w:rPr>
          <w:rFonts w:asciiTheme="minorHAnsi" w:hAnsiTheme="minorHAnsi" w:cstheme="minorHAnsi"/>
          <w:lang w:val="fr-FR"/>
        </w:rPr>
        <w:t>Du fait du potentiel de valorisation de la molécule de tête de chaque plateforme (</w:t>
      </w:r>
      <w:r w:rsidR="00E32CFE" w:rsidRPr="00C73365">
        <w:rPr>
          <w:rFonts w:asciiTheme="minorHAnsi" w:hAnsiTheme="minorHAnsi" w:cstheme="minorHAnsi"/>
          <w:lang w:val="fr-FR"/>
        </w:rPr>
        <w:t>ABX464</w:t>
      </w:r>
      <w:r w:rsidR="00B1789A" w:rsidRPr="00C73365">
        <w:rPr>
          <w:rFonts w:asciiTheme="minorHAnsi" w:hAnsiTheme="minorHAnsi" w:cstheme="minorHAnsi"/>
          <w:lang w:val="fr-FR"/>
        </w:rPr>
        <w:t xml:space="preserve"> pour la plateforme antivirale, et </w:t>
      </w:r>
      <w:r w:rsidR="00E32CFE" w:rsidRPr="00C73365">
        <w:rPr>
          <w:rFonts w:asciiTheme="minorHAnsi" w:hAnsiTheme="minorHAnsi" w:cstheme="minorHAnsi"/>
          <w:lang w:val="fr-FR"/>
        </w:rPr>
        <w:t>ABX196</w:t>
      </w:r>
      <w:r w:rsidR="00B1789A" w:rsidRPr="00C73365">
        <w:rPr>
          <w:rFonts w:asciiTheme="minorHAnsi" w:hAnsiTheme="minorHAnsi" w:cstheme="minorHAnsi"/>
          <w:lang w:val="fr-FR"/>
        </w:rPr>
        <w:t xml:space="preserve"> pour la plateforme de stimulation immunitaire), et après avoir réalisé les tests appropriés, la société a évalué qu’il n’y avait pas lieu de procéder à une dépréciation de ces actifs et la valeur de ces immobilisations incorporelles est donc restée inchangée à 32 005 </w:t>
      </w:r>
      <w:r w:rsidR="00EF089C" w:rsidRPr="00C73365">
        <w:rPr>
          <w:rFonts w:asciiTheme="minorHAnsi" w:hAnsiTheme="minorHAnsi" w:cstheme="minorHAnsi"/>
          <w:lang w:val="fr-FR"/>
        </w:rPr>
        <w:t>K€</w:t>
      </w:r>
      <w:r w:rsidR="00B1789A" w:rsidRPr="00C73365">
        <w:rPr>
          <w:rFonts w:asciiTheme="minorHAnsi" w:hAnsiTheme="minorHAnsi" w:cstheme="minorHAnsi"/>
          <w:lang w:val="fr-FR"/>
        </w:rPr>
        <w:t xml:space="preserve"> au 31/12/2017.</w:t>
      </w:r>
    </w:p>
    <w:p w14:paraId="3A82FB3C" w14:textId="77777777" w:rsidR="00B1789A" w:rsidRPr="00C73365" w:rsidRDefault="00B1789A" w:rsidP="00A96CCA">
      <w:pPr>
        <w:pStyle w:val="NormalWeb"/>
        <w:spacing w:before="0" w:beforeAutospacing="0" w:after="120" w:afterAutospacing="0"/>
        <w:rPr>
          <w:rFonts w:asciiTheme="minorHAnsi" w:hAnsiTheme="minorHAnsi" w:cstheme="minorHAnsi"/>
          <w:szCs w:val="20"/>
          <w:highlight w:val="lightGray"/>
          <w:lang w:val="fr-FR"/>
        </w:rPr>
      </w:pPr>
    </w:p>
    <w:p w14:paraId="4DED0669" w14:textId="77777777" w:rsidR="00776BB9" w:rsidRPr="00C73365" w:rsidRDefault="00776BB9" w:rsidP="00A96CCA">
      <w:pPr>
        <w:pStyle w:val="NormalWeb"/>
        <w:spacing w:before="0" w:beforeAutospacing="0" w:after="120" w:afterAutospacing="0"/>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lastRenderedPageBreak/>
        <w:t>Immobilisations financières</w:t>
      </w:r>
    </w:p>
    <w:p w14:paraId="191BCD47"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Les immobilisations financières correspondent principalement aux éléments relatifs au contrat de liquidité souscrit par la société fin Juin 2015 et aux dépôts de garantie versés pour les locaux occupés par la société.</w:t>
      </w:r>
    </w:p>
    <w:p w14:paraId="5A9EDC2E"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contrat de liquidité a été signé le 26 Juin 2015 pour une durée de 12 mois et renouvelable par tacite reconduction. Le montant versé au prestataire à l’ouverture du contrat a été de 1 000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et les premières opérations permettant de constituer un volant de titres ont été réalisées entre le 26 et le 29 Juin 2015.</w:t>
      </w:r>
    </w:p>
    <w:p w14:paraId="1B71C42E"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détient, au 31 Décembre 2017 et via ce contrat de liquidité, 34 050 actions propres soit moins de 10% de son capital, pour un coût d’acquisition de 385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Le solde du compte espèces chez le prestataire est de 337 </w:t>
      </w:r>
      <w:r w:rsidR="00EF089C" w:rsidRPr="00C73365">
        <w:rPr>
          <w:rFonts w:asciiTheme="minorHAnsi" w:hAnsiTheme="minorHAnsi" w:cstheme="minorHAnsi"/>
          <w:lang w:val="fr-FR"/>
        </w:rPr>
        <w:t>K€</w:t>
      </w:r>
      <w:r w:rsidRPr="00C73365">
        <w:rPr>
          <w:rFonts w:asciiTheme="minorHAnsi" w:hAnsiTheme="minorHAnsi" w:cstheme="minorHAnsi"/>
          <w:lang w:val="fr-FR"/>
        </w:rPr>
        <w:t>.</w:t>
      </w:r>
    </w:p>
    <w:p w14:paraId="767FC8A9"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Les opérations liées au contrat de liquidité sont reprises dans le tableau récapitulatif ci-dessous :</w:t>
      </w:r>
    </w:p>
    <w:tbl>
      <w:tblPr>
        <w:tblW w:w="7940" w:type="dxa"/>
        <w:tblInd w:w="859" w:type="dxa"/>
        <w:tblCellMar>
          <w:left w:w="70" w:type="dxa"/>
          <w:right w:w="70" w:type="dxa"/>
        </w:tblCellMar>
        <w:tblLook w:val="04A0" w:firstRow="1" w:lastRow="0" w:firstColumn="1" w:lastColumn="0" w:noHBand="0" w:noVBand="1"/>
      </w:tblPr>
      <w:tblGrid>
        <w:gridCol w:w="2980"/>
        <w:gridCol w:w="1240"/>
        <w:gridCol w:w="1240"/>
        <w:gridCol w:w="1240"/>
        <w:gridCol w:w="1240"/>
      </w:tblGrid>
      <w:tr w:rsidR="00776BB9" w:rsidRPr="00C73365" w14:paraId="56F968EA" w14:textId="77777777" w:rsidTr="00E02778">
        <w:trPr>
          <w:trHeight w:val="1128"/>
        </w:trPr>
        <w:tc>
          <w:tcPr>
            <w:tcW w:w="2980" w:type="dxa"/>
            <w:tcBorders>
              <w:top w:val="single" w:sz="12" w:space="0" w:color="7030A0"/>
              <w:left w:val="nil"/>
              <w:bottom w:val="single" w:sz="8" w:space="0" w:color="7030A0"/>
              <w:right w:val="nil"/>
            </w:tcBorders>
            <w:shd w:val="clear" w:color="auto" w:fill="auto"/>
            <w:vAlign w:val="center"/>
            <w:hideMark/>
          </w:tcPr>
          <w:p w14:paraId="1F420531" w14:textId="77777777" w:rsidR="00776BB9" w:rsidRPr="00C73365" w:rsidRDefault="00776BB9" w:rsidP="00A96CCA">
            <w:pPr>
              <w:spacing w:after="0"/>
              <w:rPr>
                <w:rFonts w:asciiTheme="minorHAnsi" w:hAnsiTheme="minorHAnsi" w:cstheme="minorHAnsi"/>
                <w:color w:val="000000"/>
                <w:szCs w:val="20"/>
                <w:lang w:val="fr-FR" w:eastAsia="fr-FR"/>
              </w:rPr>
            </w:pPr>
            <w:bookmarkStart w:id="367" w:name="_Hlk509590890"/>
            <w:bookmarkStart w:id="368" w:name="_Hlk509822159"/>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40" w:type="dxa"/>
            <w:tcBorders>
              <w:top w:val="single" w:sz="12" w:space="0" w:color="7030A0"/>
              <w:left w:val="nil"/>
              <w:bottom w:val="single" w:sz="8" w:space="0" w:color="7030A0"/>
              <w:right w:val="nil"/>
            </w:tcBorders>
            <w:shd w:val="clear" w:color="auto" w:fill="auto"/>
            <w:vAlign w:val="center"/>
            <w:hideMark/>
          </w:tcPr>
          <w:p w14:paraId="42CDDDC6" w14:textId="77777777"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Quantité</w:t>
            </w:r>
          </w:p>
        </w:tc>
        <w:tc>
          <w:tcPr>
            <w:tcW w:w="1240" w:type="dxa"/>
            <w:tcBorders>
              <w:top w:val="single" w:sz="12" w:space="0" w:color="7030A0"/>
              <w:left w:val="nil"/>
              <w:bottom w:val="single" w:sz="8" w:space="0" w:color="7030A0"/>
              <w:right w:val="nil"/>
            </w:tcBorders>
            <w:shd w:val="clear" w:color="auto" w:fill="auto"/>
            <w:vAlign w:val="center"/>
            <w:hideMark/>
          </w:tcPr>
          <w:p w14:paraId="6EC1DEE0" w14:textId="77777777"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Cours moyen en euros</w:t>
            </w:r>
            <w:r w:rsidR="00723040" w:rsidRPr="00C73365">
              <w:rPr>
                <w:rFonts w:asciiTheme="minorHAnsi" w:hAnsiTheme="minorHAnsi" w:cstheme="minorHAnsi"/>
                <w:b/>
                <w:bCs/>
                <w:color w:val="000000"/>
                <w:szCs w:val="20"/>
                <w:lang w:val="fr-FR" w:eastAsia="fr-FR"/>
              </w:rPr>
              <w:t>*</w:t>
            </w:r>
          </w:p>
        </w:tc>
        <w:tc>
          <w:tcPr>
            <w:tcW w:w="1240" w:type="dxa"/>
            <w:tcBorders>
              <w:top w:val="single" w:sz="12" w:space="0" w:color="7030A0"/>
              <w:left w:val="nil"/>
              <w:bottom w:val="single" w:sz="8" w:space="0" w:color="7030A0"/>
              <w:right w:val="nil"/>
            </w:tcBorders>
            <w:shd w:val="clear" w:color="auto" w:fill="auto"/>
            <w:vAlign w:val="center"/>
            <w:hideMark/>
          </w:tcPr>
          <w:p w14:paraId="1E903170" w14:textId="77777777"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Valeur comptable des titres détenus</w:t>
            </w:r>
          </w:p>
        </w:tc>
        <w:tc>
          <w:tcPr>
            <w:tcW w:w="1240" w:type="dxa"/>
            <w:tcBorders>
              <w:top w:val="single" w:sz="12" w:space="0" w:color="7030A0"/>
              <w:left w:val="nil"/>
              <w:bottom w:val="single" w:sz="8" w:space="0" w:color="7030A0"/>
              <w:right w:val="nil"/>
            </w:tcBorders>
            <w:shd w:val="clear" w:color="auto" w:fill="auto"/>
            <w:vAlign w:val="center"/>
            <w:hideMark/>
          </w:tcPr>
          <w:p w14:paraId="1CC5451F" w14:textId="77777777"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Autres immobilisa-tions financières</w:t>
            </w:r>
          </w:p>
        </w:tc>
      </w:tr>
      <w:tr w:rsidR="00776BB9" w:rsidRPr="00C73365" w14:paraId="1164AA02" w14:textId="77777777" w:rsidTr="00E02778">
        <w:trPr>
          <w:trHeight w:val="288"/>
        </w:trPr>
        <w:tc>
          <w:tcPr>
            <w:tcW w:w="2980" w:type="dxa"/>
            <w:tcBorders>
              <w:top w:val="nil"/>
              <w:left w:val="nil"/>
              <w:bottom w:val="nil"/>
              <w:right w:val="nil"/>
            </w:tcBorders>
            <w:shd w:val="clear" w:color="auto" w:fill="auto"/>
            <w:noWrap/>
            <w:vAlign w:val="center"/>
            <w:hideMark/>
          </w:tcPr>
          <w:p w14:paraId="393AAAC1" w14:textId="77777777"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Ouverture du contrat</w:t>
            </w:r>
          </w:p>
        </w:tc>
        <w:tc>
          <w:tcPr>
            <w:tcW w:w="1240" w:type="dxa"/>
            <w:tcBorders>
              <w:top w:val="nil"/>
              <w:left w:val="nil"/>
              <w:bottom w:val="nil"/>
              <w:right w:val="nil"/>
            </w:tcBorders>
            <w:shd w:val="clear" w:color="auto" w:fill="auto"/>
            <w:vAlign w:val="center"/>
            <w:hideMark/>
          </w:tcPr>
          <w:p w14:paraId="1AB58E79" w14:textId="77777777" w:rsidR="00776BB9" w:rsidRPr="00C73365" w:rsidRDefault="00776BB9" w:rsidP="0022501D">
            <w:pPr>
              <w:spacing w:after="0"/>
              <w:jc w:val="center"/>
              <w:rPr>
                <w:rFonts w:asciiTheme="minorHAnsi" w:hAnsiTheme="minorHAnsi" w:cstheme="minorHAnsi"/>
                <w:b/>
                <w:bCs/>
                <w:color w:val="000000"/>
                <w:szCs w:val="20"/>
                <w:lang w:val="fr-FR" w:eastAsia="fr-FR"/>
              </w:rPr>
            </w:pPr>
          </w:p>
        </w:tc>
        <w:tc>
          <w:tcPr>
            <w:tcW w:w="1240" w:type="dxa"/>
            <w:tcBorders>
              <w:top w:val="nil"/>
              <w:left w:val="nil"/>
              <w:bottom w:val="nil"/>
              <w:right w:val="nil"/>
            </w:tcBorders>
            <w:shd w:val="clear" w:color="auto" w:fill="auto"/>
            <w:vAlign w:val="center"/>
            <w:hideMark/>
          </w:tcPr>
          <w:p w14:paraId="42278210" w14:textId="77777777" w:rsidR="00776BB9" w:rsidRPr="00C73365" w:rsidRDefault="00776BB9" w:rsidP="0022501D">
            <w:pPr>
              <w:spacing w:after="0"/>
              <w:jc w:val="center"/>
              <w:rPr>
                <w:rFonts w:asciiTheme="minorHAnsi" w:hAnsiTheme="minorHAnsi" w:cstheme="minorHAnsi"/>
                <w:szCs w:val="20"/>
                <w:lang w:val="fr-FR" w:eastAsia="fr-FR"/>
              </w:rPr>
            </w:pPr>
          </w:p>
        </w:tc>
        <w:tc>
          <w:tcPr>
            <w:tcW w:w="1240" w:type="dxa"/>
            <w:tcBorders>
              <w:top w:val="nil"/>
              <w:left w:val="nil"/>
              <w:bottom w:val="nil"/>
              <w:right w:val="nil"/>
            </w:tcBorders>
            <w:shd w:val="clear" w:color="auto" w:fill="auto"/>
            <w:vAlign w:val="center"/>
            <w:hideMark/>
          </w:tcPr>
          <w:p w14:paraId="00B56BF2" w14:textId="77777777" w:rsidR="00776BB9" w:rsidRPr="00C73365" w:rsidRDefault="00776BB9" w:rsidP="0022501D">
            <w:pPr>
              <w:spacing w:after="0"/>
              <w:jc w:val="center"/>
              <w:rPr>
                <w:rFonts w:asciiTheme="minorHAnsi" w:hAnsiTheme="minorHAnsi" w:cstheme="minorHAnsi"/>
                <w:szCs w:val="20"/>
                <w:lang w:val="fr-FR" w:eastAsia="fr-FR"/>
              </w:rPr>
            </w:pPr>
          </w:p>
        </w:tc>
        <w:tc>
          <w:tcPr>
            <w:tcW w:w="1240" w:type="dxa"/>
            <w:tcBorders>
              <w:top w:val="nil"/>
              <w:left w:val="nil"/>
              <w:bottom w:val="nil"/>
              <w:right w:val="nil"/>
            </w:tcBorders>
            <w:shd w:val="clear" w:color="auto" w:fill="auto"/>
            <w:vAlign w:val="center"/>
            <w:hideMark/>
          </w:tcPr>
          <w:p w14:paraId="4AFAC502" w14:textId="77777777"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1 000</w:t>
            </w:r>
          </w:p>
        </w:tc>
      </w:tr>
      <w:tr w:rsidR="00776BB9" w:rsidRPr="00C73365" w14:paraId="5D95E648" w14:textId="77777777" w:rsidTr="00E02778">
        <w:trPr>
          <w:trHeight w:val="288"/>
        </w:trPr>
        <w:tc>
          <w:tcPr>
            <w:tcW w:w="2980" w:type="dxa"/>
            <w:tcBorders>
              <w:top w:val="nil"/>
              <w:left w:val="nil"/>
              <w:bottom w:val="nil"/>
              <w:right w:val="nil"/>
            </w:tcBorders>
            <w:shd w:val="clear" w:color="auto" w:fill="auto"/>
            <w:noWrap/>
            <w:vAlign w:val="center"/>
            <w:hideMark/>
          </w:tcPr>
          <w:p w14:paraId="5DDACA38"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Achats</w:t>
            </w:r>
          </w:p>
        </w:tc>
        <w:tc>
          <w:tcPr>
            <w:tcW w:w="1240" w:type="dxa"/>
            <w:tcBorders>
              <w:top w:val="nil"/>
              <w:left w:val="nil"/>
              <w:bottom w:val="nil"/>
              <w:right w:val="nil"/>
            </w:tcBorders>
            <w:shd w:val="clear" w:color="auto" w:fill="auto"/>
            <w:vAlign w:val="center"/>
            <w:hideMark/>
          </w:tcPr>
          <w:p w14:paraId="2D8CA8BA"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54 537</w:t>
            </w:r>
          </w:p>
        </w:tc>
        <w:tc>
          <w:tcPr>
            <w:tcW w:w="1240" w:type="dxa"/>
            <w:tcBorders>
              <w:top w:val="nil"/>
              <w:left w:val="nil"/>
              <w:bottom w:val="nil"/>
              <w:right w:val="nil"/>
            </w:tcBorders>
            <w:shd w:val="clear" w:color="auto" w:fill="auto"/>
            <w:vAlign w:val="center"/>
            <w:hideMark/>
          </w:tcPr>
          <w:p w14:paraId="0831AE02"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18,45</w:t>
            </w:r>
          </w:p>
        </w:tc>
        <w:tc>
          <w:tcPr>
            <w:tcW w:w="1240" w:type="dxa"/>
            <w:tcBorders>
              <w:top w:val="nil"/>
              <w:left w:val="nil"/>
              <w:bottom w:val="nil"/>
              <w:right w:val="nil"/>
            </w:tcBorders>
            <w:shd w:val="clear" w:color="auto" w:fill="auto"/>
            <w:vAlign w:val="center"/>
            <w:hideMark/>
          </w:tcPr>
          <w:p w14:paraId="74ED2C4F"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1 006</w:t>
            </w:r>
          </w:p>
        </w:tc>
        <w:tc>
          <w:tcPr>
            <w:tcW w:w="1240" w:type="dxa"/>
            <w:tcBorders>
              <w:top w:val="nil"/>
              <w:left w:val="nil"/>
              <w:bottom w:val="nil"/>
              <w:right w:val="nil"/>
            </w:tcBorders>
            <w:shd w:val="clear" w:color="auto" w:fill="auto"/>
            <w:vAlign w:val="center"/>
            <w:hideMark/>
          </w:tcPr>
          <w:p w14:paraId="49C9CBA2"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-1 006</w:t>
            </w:r>
          </w:p>
        </w:tc>
      </w:tr>
      <w:tr w:rsidR="00776BB9" w:rsidRPr="00C73365" w14:paraId="274CBE21" w14:textId="77777777" w:rsidTr="00E02778">
        <w:trPr>
          <w:trHeight w:val="288"/>
        </w:trPr>
        <w:tc>
          <w:tcPr>
            <w:tcW w:w="2980" w:type="dxa"/>
            <w:tcBorders>
              <w:top w:val="nil"/>
              <w:left w:val="nil"/>
              <w:bottom w:val="nil"/>
              <w:right w:val="nil"/>
            </w:tcBorders>
            <w:shd w:val="clear" w:color="auto" w:fill="auto"/>
            <w:noWrap/>
            <w:vAlign w:val="center"/>
            <w:hideMark/>
          </w:tcPr>
          <w:p w14:paraId="5AB04F97"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Ventes</w:t>
            </w:r>
          </w:p>
        </w:tc>
        <w:tc>
          <w:tcPr>
            <w:tcW w:w="1240" w:type="dxa"/>
            <w:tcBorders>
              <w:top w:val="nil"/>
              <w:left w:val="nil"/>
              <w:bottom w:val="nil"/>
              <w:right w:val="nil"/>
            </w:tcBorders>
            <w:shd w:val="clear" w:color="auto" w:fill="auto"/>
            <w:vAlign w:val="center"/>
            <w:hideMark/>
          </w:tcPr>
          <w:p w14:paraId="38EA423A"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11 091</w:t>
            </w:r>
          </w:p>
        </w:tc>
        <w:tc>
          <w:tcPr>
            <w:tcW w:w="1240" w:type="dxa"/>
            <w:tcBorders>
              <w:top w:val="nil"/>
              <w:left w:val="nil"/>
              <w:bottom w:val="nil"/>
              <w:right w:val="nil"/>
            </w:tcBorders>
            <w:shd w:val="clear" w:color="auto" w:fill="auto"/>
            <w:vAlign w:val="center"/>
            <w:hideMark/>
          </w:tcPr>
          <w:p w14:paraId="0DFB73E7"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18,18</w:t>
            </w:r>
          </w:p>
        </w:tc>
        <w:tc>
          <w:tcPr>
            <w:tcW w:w="1240" w:type="dxa"/>
            <w:tcBorders>
              <w:top w:val="nil"/>
              <w:left w:val="nil"/>
              <w:bottom w:val="nil"/>
              <w:right w:val="nil"/>
            </w:tcBorders>
            <w:shd w:val="clear" w:color="auto" w:fill="auto"/>
            <w:vAlign w:val="center"/>
            <w:hideMark/>
          </w:tcPr>
          <w:p w14:paraId="029A2DAD"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202</w:t>
            </w:r>
          </w:p>
        </w:tc>
        <w:tc>
          <w:tcPr>
            <w:tcW w:w="1240" w:type="dxa"/>
            <w:tcBorders>
              <w:top w:val="nil"/>
              <w:left w:val="nil"/>
              <w:bottom w:val="nil"/>
              <w:right w:val="nil"/>
            </w:tcBorders>
            <w:shd w:val="clear" w:color="auto" w:fill="auto"/>
            <w:vAlign w:val="center"/>
            <w:hideMark/>
          </w:tcPr>
          <w:p w14:paraId="6FD707A2"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202</w:t>
            </w:r>
          </w:p>
        </w:tc>
      </w:tr>
      <w:tr w:rsidR="00776BB9" w:rsidRPr="0030056F" w14:paraId="25577ECE" w14:textId="77777777" w:rsidTr="00E02778">
        <w:trPr>
          <w:trHeight w:val="300"/>
        </w:trPr>
        <w:tc>
          <w:tcPr>
            <w:tcW w:w="2980" w:type="dxa"/>
            <w:tcBorders>
              <w:top w:val="nil"/>
              <w:left w:val="nil"/>
              <w:bottom w:val="single" w:sz="8" w:space="0" w:color="7030A0"/>
              <w:right w:val="nil"/>
            </w:tcBorders>
            <w:shd w:val="clear" w:color="auto" w:fill="auto"/>
            <w:noWrap/>
            <w:vAlign w:val="center"/>
            <w:hideMark/>
          </w:tcPr>
          <w:p w14:paraId="4626AE29"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14:paraId="54F4413F" w14:textId="77777777"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14:paraId="3977EC5F" w14:textId="77777777"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14:paraId="48B3D439" w14:textId="77777777"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14:paraId="35E17523" w14:textId="77777777" w:rsidR="00776BB9" w:rsidRPr="00C73365" w:rsidRDefault="00776BB9" w:rsidP="0022501D">
            <w:pPr>
              <w:spacing w:after="0"/>
              <w:jc w:val="center"/>
              <w:rPr>
                <w:rFonts w:asciiTheme="minorHAnsi" w:hAnsiTheme="minorHAnsi" w:cstheme="minorHAnsi"/>
                <w:b/>
                <w:bCs/>
                <w:color w:val="000000"/>
                <w:szCs w:val="20"/>
                <w:lang w:val="fr-FR" w:eastAsia="fr-FR"/>
              </w:rPr>
            </w:pPr>
          </w:p>
        </w:tc>
      </w:tr>
      <w:tr w:rsidR="00776BB9" w:rsidRPr="00C73365" w14:paraId="48FA6FF9" w14:textId="77777777" w:rsidTr="00E02778">
        <w:trPr>
          <w:trHeight w:val="300"/>
        </w:trPr>
        <w:tc>
          <w:tcPr>
            <w:tcW w:w="2980" w:type="dxa"/>
            <w:tcBorders>
              <w:top w:val="nil"/>
              <w:left w:val="nil"/>
              <w:bottom w:val="single" w:sz="8" w:space="0" w:color="7030A0"/>
              <w:right w:val="nil"/>
            </w:tcBorders>
            <w:shd w:val="clear" w:color="auto" w:fill="auto"/>
            <w:noWrap/>
            <w:vAlign w:val="center"/>
            <w:hideMark/>
          </w:tcPr>
          <w:p w14:paraId="28A87C6E"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2015</w:t>
            </w:r>
          </w:p>
        </w:tc>
        <w:tc>
          <w:tcPr>
            <w:tcW w:w="1240" w:type="dxa"/>
            <w:tcBorders>
              <w:top w:val="nil"/>
              <w:left w:val="nil"/>
              <w:bottom w:val="single" w:sz="8" w:space="0" w:color="7030A0"/>
              <w:right w:val="nil"/>
            </w:tcBorders>
            <w:shd w:val="clear" w:color="auto" w:fill="auto"/>
            <w:vAlign w:val="center"/>
            <w:hideMark/>
          </w:tcPr>
          <w:p w14:paraId="62BA4866"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43 446</w:t>
            </w:r>
          </w:p>
        </w:tc>
        <w:tc>
          <w:tcPr>
            <w:tcW w:w="1240" w:type="dxa"/>
            <w:tcBorders>
              <w:top w:val="nil"/>
              <w:left w:val="nil"/>
              <w:bottom w:val="single" w:sz="8" w:space="0" w:color="7030A0"/>
              <w:right w:val="nil"/>
            </w:tcBorders>
            <w:shd w:val="clear" w:color="auto" w:fill="auto"/>
            <w:vAlign w:val="center"/>
            <w:hideMark/>
          </w:tcPr>
          <w:p w14:paraId="1F7852FD" w14:textId="77777777"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w:t>
            </w:r>
          </w:p>
        </w:tc>
        <w:tc>
          <w:tcPr>
            <w:tcW w:w="1240" w:type="dxa"/>
            <w:tcBorders>
              <w:top w:val="nil"/>
              <w:left w:val="nil"/>
              <w:bottom w:val="single" w:sz="8" w:space="0" w:color="7030A0"/>
              <w:right w:val="nil"/>
            </w:tcBorders>
            <w:shd w:val="clear" w:color="auto" w:fill="auto"/>
            <w:vAlign w:val="center"/>
            <w:hideMark/>
          </w:tcPr>
          <w:p w14:paraId="661476E5"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788</w:t>
            </w:r>
          </w:p>
        </w:tc>
        <w:tc>
          <w:tcPr>
            <w:tcW w:w="1240" w:type="dxa"/>
            <w:tcBorders>
              <w:top w:val="nil"/>
              <w:left w:val="nil"/>
              <w:bottom w:val="single" w:sz="8" w:space="0" w:color="7030A0"/>
              <w:right w:val="nil"/>
            </w:tcBorders>
            <w:shd w:val="clear" w:color="auto" w:fill="auto"/>
            <w:vAlign w:val="center"/>
            <w:hideMark/>
          </w:tcPr>
          <w:p w14:paraId="3A2217DE"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196</w:t>
            </w:r>
          </w:p>
        </w:tc>
      </w:tr>
      <w:tr w:rsidR="00776BB9" w:rsidRPr="00C73365" w14:paraId="67EA8BBA" w14:textId="77777777" w:rsidTr="00E02778">
        <w:trPr>
          <w:trHeight w:val="288"/>
        </w:trPr>
        <w:tc>
          <w:tcPr>
            <w:tcW w:w="2980" w:type="dxa"/>
            <w:tcBorders>
              <w:top w:val="nil"/>
              <w:left w:val="nil"/>
              <w:bottom w:val="nil"/>
              <w:right w:val="nil"/>
            </w:tcBorders>
            <w:shd w:val="clear" w:color="auto" w:fill="auto"/>
            <w:noWrap/>
            <w:vAlign w:val="center"/>
            <w:hideMark/>
          </w:tcPr>
          <w:p w14:paraId="4AA67282"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Achats</w:t>
            </w:r>
          </w:p>
        </w:tc>
        <w:tc>
          <w:tcPr>
            <w:tcW w:w="1240" w:type="dxa"/>
            <w:tcBorders>
              <w:top w:val="nil"/>
              <w:left w:val="nil"/>
              <w:bottom w:val="nil"/>
              <w:right w:val="nil"/>
            </w:tcBorders>
            <w:shd w:val="clear" w:color="auto" w:fill="auto"/>
            <w:vAlign w:val="center"/>
            <w:hideMark/>
          </w:tcPr>
          <w:p w14:paraId="6E83B0E7"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74 993</w:t>
            </w:r>
          </w:p>
        </w:tc>
        <w:tc>
          <w:tcPr>
            <w:tcW w:w="1240" w:type="dxa"/>
            <w:tcBorders>
              <w:top w:val="nil"/>
              <w:left w:val="nil"/>
              <w:bottom w:val="nil"/>
              <w:right w:val="nil"/>
            </w:tcBorders>
            <w:shd w:val="clear" w:color="auto" w:fill="auto"/>
            <w:vAlign w:val="center"/>
            <w:hideMark/>
          </w:tcPr>
          <w:p w14:paraId="4D26794A"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8,31</w:t>
            </w:r>
          </w:p>
        </w:tc>
        <w:tc>
          <w:tcPr>
            <w:tcW w:w="1240" w:type="dxa"/>
            <w:tcBorders>
              <w:top w:val="nil"/>
              <w:left w:val="nil"/>
              <w:bottom w:val="nil"/>
              <w:right w:val="nil"/>
            </w:tcBorders>
            <w:shd w:val="clear" w:color="auto" w:fill="auto"/>
            <w:vAlign w:val="center"/>
            <w:hideMark/>
          </w:tcPr>
          <w:p w14:paraId="5807F0F6"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623</w:t>
            </w:r>
          </w:p>
        </w:tc>
        <w:tc>
          <w:tcPr>
            <w:tcW w:w="1240" w:type="dxa"/>
            <w:tcBorders>
              <w:top w:val="nil"/>
              <w:left w:val="nil"/>
              <w:bottom w:val="nil"/>
              <w:right w:val="nil"/>
            </w:tcBorders>
            <w:shd w:val="clear" w:color="auto" w:fill="auto"/>
            <w:vAlign w:val="center"/>
            <w:hideMark/>
          </w:tcPr>
          <w:p w14:paraId="43B3E87B"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-623</w:t>
            </w:r>
          </w:p>
        </w:tc>
      </w:tr>
      <w:tr w:rsidR="00776BB9" w:rsidRPr="00C73365" w14:paraId="7F95FB71" w14:textId="77777777" w:rsidTr="00E02778">
        <w:trPr>
          <w:trHeight w:val="288"/>
        </w:trPr>
        <w:tc>
          <w:tcPr>
            <w:tcW w:w="2980" w:type="dxa"/>
            <w:tcBorders>
              <w:top w:val="nil"/>
              <w:left w:val="nil"/>
              <w:bottom w:val="nil"/>
              <w:right w:val="nil"/>
            </w:tcBorders>
            <w:shd w:val="clear" w:color="auto" w:fill="auto"/>
            <w:noWrap/>
            <w:vAlign w:val="center"/>
            <w:hideMark/>
          </w:tcPr>
          <w:p w14:paraId="2BFF3EA1"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Ventes</w:t>
            </w:r>
          </w:p>
        </w:tc>
        <w:tc>
          <w:tcPr>
            <w:tcW w:w="1240" w:type="dxa"/>
            <w:tcBorders>
              <w:top w:val="nil"/>
              <w:left w:val="nil"/>
              <w:bottom w:val="nil"/>
              <w:right w:val="nil"/>
            </w:tcBorders>
            <w:shd w:val="clear" w:color="auto" w:fill="auto"/>
            <w:vAlign w:val="center"/>
            <w:hideMark/>
          </w:tcPr>
          <w:p w14:paraId="7A127B14"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68 539</w:t>
            </w:r>
          </w:p>
        </w:tc>
        <w:tc>
          <w:tcPr>
            <w:tcW w:w="1240" w:type="dxa"/>
            <w:tcBorders>
              <w:top w:val="nil"/>
              <w:left w:val="nil"/>
              <w:bottom w:val="nil"/>
              <w:right w:val="nil"/>
            </w:tcBorders>
            <w:shd w:val="clear" w:color="auto" w:fill="auto"/>
            <w:vAlign w:val="center"/>
            <w:hideMark/>
          </w:tcPr>
          <w:p w14:paraId="3208B13E"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8,52</w:t>
            </w:r>
          </w:p>
        </w:tc>
        <w:tc>
          <w:tcPr>
            <w:tcW w:w="1240" w:type="dxa"/>
            <w:tcBorders>
              <w:top w:val="nil"/>
              <w:left w:val="nil"/>
              <w:bottom w:val="nil"/>
              <w:right w:val="nil"/>
            </w:tcBorders>
            <w:shd w:val="clear" w:color="auto" w:fill="auto"/>
            <w:vAlign w:val="center"/>
            <w:hideMark/>
          </w:tcPr>
          <w:p w14:paraId="12845E7C"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584</w:t>
            </w:r>
          </w:p>
        </w:tc>
        <w:tc>
          <w:tcPr>
            <w:tcW w:w="1240" w:type="dxa"/>
            <w:tcBorders>
              <w:top w:val="nil"/>
              <w:left w:val="nil"/>
              <w:bottom w:val="nil"/>
              <w:right w:val="nil"/>
            </w:tcBorders>
            <w:shd w:val="clear" w:color="auto" w:fill="auto"/>
            <w:vAlign w:val="center"/>
            <w:hideMark/>
          </w:tcPr>
          <w:p w14:paraId="7B296F0B"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584</w:t>
            </w:r>
          </w:p>
        </w:tc>
      </w:tr>
      <w:tr w:rsidR="00776BB9" w:rsidRPr="00C73365" w14:paraId="52E66D22" w14:textId="77777777" w:rsidTr="00E02778">
        <w:trPr>
          <w:trHeight w:val="300"/>
        </w:trPr>
        <w:tc>
          <w:tcPr>
            <w:tcW w:w="2980" w:type="dxa"/>
            <w:tcBorders>
              <w:top w:val="nil"/>
              <w:left w:val="nil"/>
              <w:bottom w:val="single" w:sz="8" w:space="0" w:color="7030A0"/>
              <w:right w:val="nil"/>
            </w:tcBorders>
            <w:shd w:val="clear" w:color="auto" w:fill="auto"/>
            <w:noWrap/>
            <w:vAlign w:val="center"/>
            <w:hideMark/>
          </w:tcPr>
          <w:p w14:paraId="37DC2765"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14:paraId="13E02596" w14:textId="77777777"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14:paraId="190EA171" w14:textId="77777777"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14:paraId="61543D7F" w14:textId="77777777"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-514</w:t>
            </w:r>
          </w:p>
        </w:tc>
        <w:tc>
          <w:tcPr>
            <w:tcW w:w="1240" w:type="dxa"/>
            <w:tcBorders>
              <w:top w:val="nil"/>
              <w:left w:val="nil"/>
              <w:bottom w:val="single" w:sz="8" w:space="0" w:color="7030A0"/>
              <w:right w:val="nil"/>
            </w:tcBorders>
            <w:shd w:val="clear" w:color="auto" w:fill="auto"/>
            <w:vAlign w:val="center"/>
            <w:hideMark/>
          </w:tcPr>
          <w:p w14:paraId="77C81BFB" w14:textId="77777777" w:rsidR="00776BB9" w:rsidRPr="00C73365" w:rsidRDefault="00776BB9" w:rsidP="0022501D">
            <w:pPr>
              <w:spacing w:after="0"/>
              <w:jc w:val="center"/>
              <w:rPr>
                <w:rFonts w:asciiTheme="minorHAnsi" w:hAnsiTheme="minorHAnsi" w:cstheme="minorHAnsi"/>
                <w:b/>
                <w:bCs/>
                <w:color w:val="000000"/>
                <w:szCs w:val="20"/>
                <w:lang w:val="fr-FR" w:eastAsia="fr-FR"/>
              </w:rPr>
            </w:pPr>
          </w:p>
        </w:tc>
      </w:tr>
      <w:tr w:rsidR="00776BB9" w:rsidRPr="00C73365" w14:paraId="4708E95E" w14:textId="77777777" w:rsidTr="00E02778">
        <w:trPr>
          <w:trHeight w:val="300"/>
        </w:trPr>
        <w:tc>
          <w:tcPr>
            <w:tcW w:w="2980" w:type="dxa"/>
            <w:tcBorders>
              <w:top w:val="nil"/>
              <w:left w:val="nil"/>
              <w:bottom w:val="single" w:sz="8" w:space="0" w:color="7030A0"/>
              <w:right w:val="nil"/>
            </w:tcBorders>
            <w:shd w:val="clear" w:color="auto" w:fill="auto"/>
            <w:noWrap/>
            <w:vAlign w:val="center"/>
            <w:hideMark/>
          </w:tcPr>
          <w:p w14:paraId="6CF5A26A"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2016</w:t>
            </w:r>
          </w:p>
        </w:tc>
        <w:tc>
          <w:tcPr>
            <w:tcW w:w="1240" w:type="dxa"/>
            <w:tcBorders>
              <w:top w:val="nil"/>
              <w:left w:val="nil"/>
              <w:bottom w:val="single" w:sz="8" w:space="0" w:color="7030A0"/>
              <w:right w:val="nil"/>
            </w:tcBorders>
            <w:shd w:val="clear" w:color="auto" w:fill="auto"/>
            <w:vAlign w:val="center"/>
            <w:hideMark/>
          </w:tcPr>
          <w:p w14:paraId="2664C062"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49 900</w:t>
            </w:r>
          </w:p>
        </w:tc>
        <w:tc>
          <w:tcPr>
            <w:tcW w:w="1240" w:type="dxa"/>
            <w:tcBorders>
              <w:top w:val="nil"/>
              <w:left w:val="nil"/>
              <w:bottom w:val="single" w:sz="8" w:space="0" w:color="7030A0"/>
              <w:right w:val="nil"/>
            </w:tcBorders>
            <w:shd w:val="clear" w:color="auto" w:fill="auto"/>
            <w:vAlign w:val="center"/>
            <w:hideMark/>
          </w:tcPr>
          <w:p w14:paraId="02353D75" w14:textId="77777777"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6</w:t>
            </w:r>
          </w:p>
        </w:tc>
        <w:tc>
          <w:tcPr>
            <w:tcW w:w="1240" w:type="dxa"/>
            <w:tcBorders>
              <w:top w:val="nil"/>
              <w:left w:val="nil"/>
              <w:bottom w:val="single" w:sz="8" w:space="0" w:color="7030A0"/>
              <w:right w:val="nil"/>
            </w:tcBorders>
            <w:shd w:val="clear" w:color="auto" w:fill="auto"/>
            <w:vAlign w:val="center"/>
            <w:hideMark/>
          </w:tcPr>
          <w:p w14:paraId="4F835A6A"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313</w:t>
            </w:r>
          </w:p>
        </w:tc>
        <w:tc>
          <w:tcPr>
            <w:tcW w:w="1240" w:type="dxa"/>
            <w:tcBorders>
              <w:top w:val="nil"/>
              <w:left w:val="nil"/>
              <w:bottom w:val="single" w:sz="8" w:space="0" w:color="7030A0"/>
              <w:right w:val="nil"/>
            </w:tcBorders>
            <w:shd w:val="clear" w:color="auto" w:fill="auto"/>
            <w:vAlign w:val="center"/>
            <w:hideMark/>
          </w:tcPr>
          <w:p w14:paraId="7D307517"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157</w:t>
            </w:r>
          </w:p>
        </w:tc>
      </w:tr>
      <w:tr w:rsidR="00776BB9" w:rsidRPr="00C73365" w14:paraId="44422F1C" w14:textId="77777777" w:rsidTr="00E02778">
        <w:trPr>
          <w:trHeight w:val="300"/>
        </w:trPr>
        <w:tc>
          <w:tcPr>
            <w:tcW w:w="2980" w:type="dxa"/>
            <w:tcBorders>
              <w:top w:val="nil"/>
              <w:left w:val="nil"/>
              <w:right w:val="nil"/>
            </w:tcBorders>
            <w:shd w:val="clear" w:color="auto" w:fill="auto"/>
            <w:noWrap/>
            <w:vAlign w:val="center"/>
            <w:hideMark/>
          </w:tcPr>
          <w:p w14:paraId="3BED9849"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Achats</w:t>
            </w:r>
          </w:p>
        </w:tc>
        <w:tc>
          <w:tcPr>
            <w:tcW w:w="1240" w:type="dxa"/>
            <w:tcBorders>
              <w:top w:val="nil"/>
              <w:left w:val="nil"/>
              <w:right w:val="nil"/>
            </w:tcBorders>
            <w:shd w:val="clear" w:color="auto" w:fill="auto"/>
            <w:vAlign w:val="center"/>
            <w:hideMark/>
          </w:tcPr>
          <w:p w14:paraId="24F7F9E5"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90 109</w:t>
            </w:r>
          </w:p>
        </w:tc>
        <w:tc>
          <w:tcPr>
            <w:tcW w:w="1240" w:type="dxa"/>
            <w:tcBorders>
              <w:top w:val="nil"/>
              <w:left w:val="nil"/>
              <w:right w:val="nil"/>
            </w:tcBorders>
            <w:shd w:val="clear" w:color="auto" w:fill="auto"/>
            <w:vAlign w:val="center"/>
            <w:hideMark/>
          </w:tcPr>
          <w:p w14:paraId="583A83B5"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9,26</w:t>
            </w:r>
          </w:p>
        </w:tc>
        <w:tc>
          <w:tcPr>
            <w:tcW w:w="1240" w:type="dxa"/>
            <w:tcBorders>
              <w:top w:val="nil"/>
              <w:left w:val="nil"/>
              <w:right w:val="nil"/>
            </w:tcBorders>
            <w:shd w:val="clear" w:color="auto" w:fill="auto"/>
            <w:vAlign w:val="center"/>
            <w:hideMark/>
          </w:tcPr>
          <w:p w14:paraId="57DB9576"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834</w:t>
            </w:r>
          </w:p>
        </w:tc>
        <w:tc>
          <w:tcPr>
            <w:tcW w:w="1240" w:type="dxa"/>
            <w:tcBorders>
              <w:top w:val="nil"/>
              <w:left w:val="nil"/>
              <w:right w:val="nil"/>
            </w:tcBorders>
            <w:shd w:val="clear" w:color="auto" w:fill="auto"/>
            <w:vAlign w:val="center"/>
            <w:hideMark/>
          </w:tcPr>
          <w:p w14:paraId="1E01C07D"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-834</w:t>
            </w:r>
          </w:p>
        </w:tc>
      </w:tr>
      <w:tr w:rsidR="00776BB9" w:rsidRPr="00C73365" w14:paraId="3BD5B6C5" w14:textId="77777777" w:rsidTr="00E02778">
        <w:trPr>
          <w:trHeight w:val="300"/>
        </w:trPr>
        <w:tc>
          <w:tcPr>
            <w:tcW w:w="2980" w:type="dxa"/>
            <w:tcBorders>
              <w:top w:val="nil"/>
              <w:left w:val="nil"/>
              <w:right w:val="nil"/>
            </w:tcBorders>
            <w:shd w:val="clear" w:color="auto" w:fill="auto"/>
            <w:noWrap/>
            <w:vAlign w:val="center"/>
            <w:hideMark/>
          </w:tcPr>
          <w:p w14:paraId="3A162BC0"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Ventes</w:t>
            </w:r>
          </w:p>
        </w:tc>
        <w:tc>
          <w:tcPr>
            <w:tcW w:w="1240" w:type="dxa"/>
            <w:tcBorders>
              <w:top w:val="nil"/>
              <w:left w:val="nil"/>
              <w:right w:val="nil"/>
            </w:tcBorders>
            <w:shd w:val="clear" w:color="auto" w:fill="auto"/>
            <w:vAlign w:val="center"/>
            <w:hideMark/>
          </w:tcPr>
          <w:p w14:paraId="7F9931C6"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105 959</w:t>
            </w:r>
          </w:p>
        </w:tc>
        <w:tc>
          <w:tcPr>
            <w:tcW w:w="1240" w:type="dxa"/>
            <w:tcBorders>
              <w:top w:val="nil"/>
              <w:left w:val="nil"/>
              <w:right w:val="nil"/>
            </w:tcBorders>
            <w:shd w:val="clear" w:color="auto" w:fill="auto"/>
            <w:vAlign w:val="center"/>
            <w:hideMark/>
          </w:tcPr>
          <w:p w14:paraId="33176EA5"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9,57</w:t>
            </w:r>
          </w:p>
        </w:tc>
        <w:tc>
          <w:tcPr>
            <w:tcW w:w="1240" w:type="dxa"/>
            <w:tcBorders>
              <w:top w:val="nil"/>
              <w:left w:val="nil"/>
              <w:right w:val="nil"/>
            </w:tcBorders>
            <w:shd w:val="clear" w:color="auto" w:fill="auto"/>
            <w:vAlign w:val="center"/>
            <w:hideMark/>
          </w:tcPr>
          <w:p w14:paraId="24FC7135"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1 014</w:t>
            </w:r>
          </w:p>
        </w:tc>
        <w:tc>
          <w:tcPr>
            <w:tcW w:w="1240" w:type="dxa"/>
            <w:tcBorders>
              <w:top w:val="nil"/>
              <w:left w:val="nil"/>
              <w:right w:val="nil"/>
            </w:tcBorders>
            <w:shd w:val="clear" w:color="auto" w:fill="auto"/>
            <w:vAlign w:val="center"/>
            <w:hideMark/>
          </w:tcPr>
          <w:p w14:paraId="038FB9C0"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1 014</w:t>
            </w:r>
          </w:p>
        </w:tc>
      </w:tr>
      <w:tr w:rsidR="00776BB9" w:rsidRPr="00C73365" w14:paraId="2C9FBD85" w14:textId="77777777" w:rsidTr="00E02778">
        <w:trPr>
          <w:trHeight w:val="300"/>
        </w:trPr>
        <w:tc>
          <w:tcPr>
            <w:tcW w:w="2980" w:type="dxa"/>
            <w:tcBorders>
              <w:top w:val="nil"/>
              <w:left w:val="nil"/>
              <w:bottom w:val="single" w:sz="8" w:space="0" w:color="7030A0"/>
              <w:right w:val="nil"/>
            </w:tcBorders>
            <w:shd w:val="clear" w:color="auto" w:fill="auto"/>
            <w:noWrap/>
            <w:vAlign w:val="center"/>
            <w:hideMark/>
          </w:tcPr>
          <w:p w14:paraId="10D16A01"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14:paraId="4CDC51F3" w14:textId="77777777" w:rsidR="00776BB9" w:rsidRPr="00C73365" w:rsidRDefault="00776BB9" w:rsidP="0022501D">
            <w:pPr>
              <w:spacing w:after="0"/>
              <w:jc w:val="center"/>
              <w:rPr>
                <w:rFonts w:asciiTheme="minorHAnsi" w:hAnsiTheme="minorHAnsi" w:cstheme="minorHAnsi"/>
                <w:color w:val="7030A0"/>
                <w:szCs w:val="20"/>
                <w:lang w:val="fr-FR" w:eastAsia="fr-FR"/>
              </w:rPr>
            </w:pPr>
          </w:p>
        </w:tc>
        <w:tc>
          <w:tcPr>
            <w:tcW w:w="1240" w:type="dxa"/>
            <w:tcBorders>
              <w:top w:val="nil"/>
              <w:left w:val="nil"/>
              <w:bottom w:val="single" w:sz="8" w:space="0" w:color="7030A0"/>
              <w:right w:val="nil"/>
            </w:tcBorders>
            <w:shd w:val="clear" w:color="auto" w:fill="auto"/>
            <w:vAlign w:val="center"/>
            <w:hideMark/>
          </w:tcPr>
          <w:p w14:paraId="3B40A9D9" w14:textId="77777777" w:rsidR="00776BB9" w:rsidRPr="00C73365" w:rsidRDefault="00776BB9" w:rsidP="0022501D">
            <w:pPr>
              <w:spacing w:after="0"/>
              <w:jc w:val="center"/>
              <w:rPr>
                <w:rFonts w:asciiTheme="minorHAnsi" w:hAnsiTheme="minorHAnsi" w:cstheme="minorHAnsi"/>
                <w:color w:val="7030A0"/>
                <w:szCs w:val="20"/>
                <w:lang w:val="fr-FR" w:eastAsia="fr-FR"/>
              </w:rPr>
            </w:pPr>
          </w:p>
        </w:tc>
        <w:tc>
          <w:tcPr>
            <w:tcW w:w="1240" w:type="dxa"/>
            <w:tcBorders>
              <w:top w:val="nil"/>
              <w:left w:val="nil"/>
              <w:bottom w:val="single" w:sz="8" w:space="0" w:color="7030A0"/>
              <w:right w:val="nil"/>
            </w:tcBorders>
            <w:shd w:val="clear" w:color="auto" w:fill="auto"/>
            <w:vAlign w:val="center"/>
            <w:hideMark/>
          </w:tcPr>
          <w:p w14:paraId="3AC0CA1E"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252</w:t>
            </w:r>
          </w:p>
        </w:tc>
        <w:tc>
          <w:tcPr>
            <w:tcW w:w="1240" w:type="dxa"/>
            <w:tcBorders>
              <w:top w:val="nil"/>
              <w:left w:val="nil"/>
              <w:bottom w:val="single" w:sz="8" w:space="0" w:color="7030A0"/>
              <w:right w:val="nil"/>
            </w:tcBorders>
            <w:shd w:val="clear" w:color="auto" w:fill="auto"/>
            <w:vAlign w:val="center"/>
            <w:hideMark/>
          </w:tcPr>
          <w:p w14:paraId="1116A40A" w14:textId="77777777" w:rsidR="00776BB9" w:rsidRPr="00C73365" w:rsidRDefault="00776BB9" w:rsidP="0022501D">
            <w:pPr>
              <w:spacing w:after="0"/>
              <w:jc w:val="center"/>
              <w:rPr>
                <w:rFonts w:asciiTheme="minorHAnsi" w:hAnsiTheme="minorHAnsi" w:cstheme="minorHAnsi"/>
                <w:color w:val="7030A0"/>
                <w:szCs w:val="20"/>
                <w:lang w:val="fr-FR" w:eastAsia="fr-FR"/>
              </w:rPr>
            </w:pPr>
          </w:p>
        </w:tc>
      </w:tr>
      <w:tr w:rsidR="00776BB9" w:rsidRPr="00C73365" w14:paraId="10602636" w14:textId="77777777" w:rsidTr="00E02778">
        <w:trPr>
          <w:trHeight w:val="300"/>
        </w:trPr>
        <w:tc>
          <w:tcPr>
            <w:tcW w:w="2980" w:type="dxa"/>
            <w:tcBorders>
              <w:top w:val="single" w:sz="8" w:space="0" w:color="7030A0"/>
              <w:left w:val="nil"/>
              <w:bottom w:val="single" w:sz="8" w:space="0" w:color="7030A0"/>
              <w:right w:val="nil"/>
            </w:tcBorders>
            <w:shd w:val="clear" w:color="auto" w:fill="auto"/>
            <w:noWrap/>
            <w:vAlign w:val="center"/>
            <w:hideMark/>
          </w:tcPr>
          <w:p w14:paraId="07365F67" w14:textId="77777777"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2017</w:t>
            </w:r>
          </w:p>
        </w:tc>
        <w:tc>
          <w:tcPr>
            <w:tcW w:w="1240" w:type="dxa"/>
            <w:tcBorders>
              <w:top w:val="single" w:sz="8" w:space="0" w:color="7030A0"/>
              <w:left w:val="nil"/>
              <w:bottom w:val="single" w:sz="8" w:space="0" w:color="7030A0"/>
              <w:right w:val="nil"/>
            </w:tcBorders>
            <w:shd w:val="clear" w:color="auto" w:fill="auto"/>
            <w:vAlign w:val="center"/>
            <w:hideMark/>
          </w:tcPr>
          <w:p w14:paraId="4BF69BDA"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34 050</w:t>
            </w:r>
          </w:p>
        </w:tc>
        <w:tc>
          <w:tcPr>
            <w:tcW w:w="1240" w:type="dxa"/>
            <w:tcBorders>
              <w:top w:val="single" w:sz="8" w:space="0" w:color="7030A0"/>
              <w:left w:val="nil"/>
              <w:bottom w:val="single" w:sz="8" w:space="0" w:color="7030A0"/>
              <w:right w:val="nil"/>
            </w:tcBorders>
            <w:shd w:val="clear" w:color="auto" w:fill="auto"/>
            <w:vAlign w:val="center"/>
            <w:hideMark/>
          </w:tcPr>
          <w:p w14:paraId="4EC5E531" w14:textId="77777777"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11</w:t>
            </w:r>
          </w:p>
        </w:tc>
        <w:tc>
          <w:tcPr>
            <w:tcW w:w="1240" w:type="dxa"/>
            <w:tcBorders>
              <w:top w:val="single" w:sz="8" w:space="0" w:color="7030A0"/>
              <w:left w:val="nil"/>
              <w:bottom w:val="single" w:sz="8" w:space="0" w:color="7030A0"/>
              <w:right w:val="nil"/>
            </w:tcBorders>
            <w:shd w:val="clear" w:color="auto" w:fill="auto"/>
            <w:vAlign w:val="center"/>
            <w:hideMark/>
          </w:tcPr>
          <w:p w14:paraId="18F67154"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385</w:t>
            </w:r>
          </w:p>
        </w:tc>
        <w:tc>
          <w:tcPr>
            <w:tcW w:w="1240" w:type="dxa"/>
            <w:tcBorders>
              <w:top w:val="single" w:sz="8" w:space="0" w:color="7030A0"/>
              <w:left w:val="nil"/>
              <w:bottom w:val="single" w:sz="8" w:space="0" w:color="7030A0"/>
              <w:right w:val="nil"/>
            </w:tcBorders>
            <w:shd w:val="clear" w:color="auto" w:fill="auto"/>
            <w:vAlign w:val="center"/>
            <w:hideMark/>
          </w:tcPr>
          <w:p w14:paraId="416665E7" w14:textId="77777777"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337</w:t>
            </w:r>
          </w:p>
        </w:tc>
      </w:tr>
    </w:tbl>
    <w:bookmarkEnd w:id="367"/>
    <w:p w14:paraId="53A6B08B" w14:textId="77777777" w:rsidR="00CC627A" w:rsidRPr="00C73365" w:rsidRDefault="0022501D" w:rsidP="0022501D">
      <w:pPr>
        <w:pStyle w:val="Paragraphedeliste"/>
        <w:widowControl w:val="0"/>
        <w:ind w:left="720"/>
        <w:rPr>
          <w:rFonts w:asciiTheme="minorHAnsi" w:hAnsiTheme="minorHAnsi" w:cstheme="minorHAnsi"/>
          <w:color w:val="7030A0"/>
          <w:sz w:val="16"/>
          <w:szCs w:val="16"/>
          <w:lang w:val="fr-FR" w:eastAsia="fr-FR"/>
        </w:rPr>
      </w:pPr>
      <w:r w:rsidRPr="00C73365">
        <w:rPr>
          <w:rFonts w:asciiTheme="minorHAnsi" w:hAnsiTheme="minorHAnsi" w:cstheme="minorHAnsi"/>
          <w:color w:val="7030A0"/>
          <w:sz w:val="16"/>
          <w:szCs w:val="16"/>
          <w:lang w:val="fr-FR" w:eastAsia="fr-FR"/>
        </w:rPr>
        <w:t xml:space="preserve">        *Valeurs moyennes</w:t>
      </w:r>
      <w:r w:rsidR="00CA41B2" w:rsidRPr="00C73365">
        <w:rPr>
          <w:rFonts w:asciiTheme="minorHAnsi" w:hAnsiTheme="minorHAnsi" w:cstheme="minorHAnsi"/>
          <w:color w:val="7030A0"/>
          <w:sz w:val="16"/>
          <w:szCs w:val="16"/>
          <w:lang w:val="fr-FR" w:eastAsia="fr-FR"/>
        </w:rPr>
        <w:t xml:space="preserve">, pour 2017 par exemple : </w:t>
      </w:r>
      <w:r w:rsidRPr="00C73365">
        <w:rPr>
          <w:rFonts w:asciiTheme="minorHAnsi" w:hAnsiTheme="minorHAnsi" w:cstheme="minorHAnsi"/>
          <w:color w:val="7030A0"/>
          <w:sz w:val="16"/>
          <w:szCs w:val="16"/>
          <w:lang w:val="fr-FR" w:eastAsia="fr-FR"/>
        </w:rPr>
        <w:t>11</w:t>
      </w:r>
      <w:r w:rsidR="00CA41B2" w:rsidRPr="00C73365">
        <w:rPr>
          <w:rFonts w:asciiTheme="minorHAnsi" w:hAnsiTheme="minorHAnsi" w:cstheme="minorHAnsi"/>
          <w:color w:val="7030A0"/>
          <w:sz w:val="16"/>
          <w:szCs w:val="16"/>
          <w:lang w:val="fr-FR" w:eastAsia="fr-FR"/>
        </w:rPr>
        <w:t xml:space="preserve"> €</w:t>
      </w:r>
      <w:r w:rsidRPr="00C73365">
        <w:rPr>
          <w:rFonts w:asciiTheme="minorHAnsi" w:hAnsiTheme="minorHAnsi" w:cstheme="minorHAnsi"/>
          <w:color w:val="7030A0"/>
          <w:sz w:val="16"/>
          <w:szCs w:val="16"/>
          <w:lang w:val="fr-FR" w:eastAsia="fr-FR"/>
        </w:rPr>
        <w:t xml:space="preserve"> = 385</w:t>
      </w:r>
      <w:r w:rsidR="00EF089C" w:rsidRPr="00C73365">
        <w:rPr>
          <w:rFonts w:asciiTheme="minorHAnsi" w:hAnsiTheme="minorHAnsi" w:cstheme="minorHAnsi"/>
          <w:color w:val="7030A0"/>
          <w:sz w:val="16"/>
          <w:szCs w:val="16"/>
          <w:lang w:val="fr-FR" w:eastAsia="fr-FR"/>
        </w:rPr>
        <w:t>K€</w:t>
      </w:r>
      <w:r w:rsidRPr="00C73365">
        <w:rPr>
          <w:rFonts w:asciiTheme="minorHAnsi" w:hAnsiTheme="minorHAnsi" w:cstheme="minorHAnsi"/>
          <w:color w:val="7030A0"/>
          <w:sz w:val="16"/>
          <w:szCs w:val="16"/>
          <w:lang w:val="fr-FR" w:eastAsia="fr-FR"/>
        </w:rPr>
        <w:t>/34050 titres</w:t>
      </w:r>
    </w:p>
    <w:bookmarkEnd w:id="368"/>
    <w:p w14:paraId="3CCFB6EA" w14:textId="77777777" w:rsidR="001B34DD" w:rsidRDefault="00776BB9" w:rsidP="004572A0">
      <w:pPr>
        <w:pStyle w:val="Corpsdetexte"/>
        <w:rPr>
          <w:rFonts w:asciiTheme="minorHAnsi" w:hAnsiTheme="minorHAnsi" w:cstheme="minorHAnsi"/>
          <w:b/>
          <w:color w:val="7030A0"/>
          <w:lang w:val="fr-FR"/>
        </w:rPr>
      </w:pPr>
      <w:r w:rsidRPr="00C73365">
        <w:rPr>
          <w:rFonts w:asciiTheme="minorHAnsi" w:hAnsiTheme="minorHAnsi" w:cstheme="minorHAnsi"/>
          <w:lang w:val="fr-FR" w:eastAsia="fr-FR"/>
        </w:rPr>
        <w:t xml:space="preserve">Le cours de l’action au 31 décembre 2017 est de 8,63 euros. La valeur boursière au 31 décembre 2017 des titres auto-détenus s’établit donc à 294 </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w:t>
      </w:r>
      <w:r w:rsidR="00CC627A" w:rsidRPr="00C73365">
        <w:rPr>
          <w:rFonts w:asciiTheme="minorHAnsi" w:hAnsiTheme="minorHAnsi" w:cstheme="minorHAnsi"/>
          <w:lang w:val="fr-FR" w:eastAsia="fr-FR"/>
        </w:rPr>
        <w:t xml:space="preserve"> </w:t>
      </w:r>
      <w:r w:rsidRPr="00C73365">
        <w:rPr>
          <w:rFonts w:asciiTheme="minorHAnsi" w:hAnsiTheme="minorHAnsi" w:cstheme="minorHAnsi"/>
          <w:lang w:val="fr-FR" w:eastAsia="fr-FR"/>
        </w:rPr>
        <w:t xml:space="preserve">Une provision pour dépréciation de 91 </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 xml:space="preserve"> a donc été constatée au 31 décembre 2017 concernant les titres auto-détenus. Celle-ci a été comptabilisée en charges exceptionnelles.</w:t>
      </w:r>
    </w:p>
    <w:p w14:paraId="07A8F080" w14:textId="77777777" w:rsidR="00776BB9" w:rsidRPr="001B34DD" w:rsidRDefault="00776BB9" w:rsidP="004572A0">
      <w:pPr>
        <w:pStyle w:val="Corpsdetexte"/>
        <w:rPr>
          <w:rFonts w:asciiTheme="minorHAnsi" w:hAnsiTheme="minorHAnsi" w:cstheme="minorHAnsi"/>
          <w:lang w:val="fr-FR" w:eastAsia="fr-FR"/>
        </w:rPr>
      </w:pPr>
      <w:r w:rsidRPr="00C73365">
        <w:rPr>
          <w:rFonts w:asciiTheme="minorHAnsi" w:hAnsiTheme="minorHAnsi" w:cstheme="minorHAnsi"/>
          <w:b/>
          <w:lang w:val="fr-FR"/>
        </w:rPr>
        <w:t>Créances :</w:t>
      </w:r>
    </w:p>
    <w:p w14:paraId="771F0888"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Les créances sont principalement composées </w:t>
      </w:r>
      <w:r w:rsidR="00635502" w:rsidRPr="00C73365">
        <w:rPr>
          <w:rFonts w:asciiTheme="minorHAnsi" w:hAnsiTheme="minorHAnsi" w:cstheme="minorHAnsi"/>
          <w:lang w:val="fr-FR"/>
        </w:rPr>
        <w:t>de :</w:t>
      </w:r>
    </w:p>
    <w:tbl>
      <w:tblPr>
        <w:tblW w:w="6500" w:type="dxa"/>
        <w:tblCellMar>
          <w:left w:w="70" w:type="dxa"/>
          <w:right w:w="70" w:type="dxa"/>
        </w:tblCellMar>
        <w:tblLook w:val="04A0" w:firstRow="1" w:lastRow="0" w:firstColumn="1" w:lastColumn="0" w:noHBand="0" w:noVBand="1"/>
      </w:tblPr>
      <w:tblGrid>
        <w:gridCol w:w="5260"/>
        <w:gridCol w:w="1240"/>
      </w:tblGrid>
      <w:tr w:rsidR="00776BB9" w:rsidRPr="00C73365" w14:paraId="59526C02" w14:textId="77777777" w:rsidTr="00793DCB">
        <w:trPr>
          <w:trHeight w:val="300"/>
        </w:trPr>
        <w:tc>
          <w:tcPr>
            <w:tcW w:w="5260" w:type="dxa"/>
            <w:tcBorders>
              <w:top w:val="nil"/>
              <w:left w:val="nil"/>
              <w:bottom w:val="single" w:sz="8" w:space="0" w:color="7030A0"/>
              <w:right w:val="nil"/>
            </w:tcBorders>
            <w:shd w:val="clear" w:color="auto" w:fill="auto"/>
            <w:vAlign w:val="center"/>
            <w:hideMark/>
          </w:tcPr>
          <w:p w14:paraId="7C9745C9"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240" w:type="dxa"/>
            <w:tcBorders>
              <w:top w:val="nil"/>
              <w:left w:val="nil"/>
              <w:bottom w:val="single" w:sz="8" w:space="0" w:color="7030A0"/>
              <w:right w:val="nil"/>
            </w:tcBorders>
            <w:shd w:val="clear" w:color="auto" w:fill="auto"/>
            <w:vAlign w:val="center"/>
            <w:hideMark/>
          </w:tcPr>
          <w:p w14:paraId="525D1DF0"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Montant</w:t>
            </w:r>
          </w:p>
        </w:tc>
      </w:tr>
      <w:tr w:rsidR="00776BB9" w:rsidRPr="00C73365" w14:paraId="0A6EA668" w14:textId="77777777" w:rsidTr="00793DCB">
        <w:trPr>
          <w:trHeight w:val="300"/>
        </w:trPr>
        <w:tc>
          <w:tcPr>
            <w:tcW w:w="5260" w:type="dxa"/>
            <w:tcBorders>
              <w:top w:val="single" w:sz="8" w:space="0" w:color="7030A0"/>
              <w:left w:val="nil"/>
              <w:right w:val="nil"/>
            </w:tcBorders>
            <w:shd w:val="clear" w:color="auto" w:fill="auto"/>
            <w:vAlign w:val="center"/>
            <w:hideMark/>
          </w:tcPr>
          <w:p w14:paraId="4A06712D"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Solde sur CIR 2014 à recevoir (intérêts moratoires inclus)</w:t>
            </w:r>
          </w:p>
        </w:tc>
        <w:tc>
          <w:tcPr>
            <w:tcW w:w="1240" w:type="dxa"/>
            <w:tcBorders>
              <w:top w:val="single" w:sz="8" w:space="0" w:color="7030A0"/>
              <w:left w:val="nil"/>
              <w:right w:val="nil"/>
            </w:tcBorders>
            <w:shd w:val="clear" w:color="auto" w:fill="auto"/>
            <w:vAlign w:val="center"/>
            <w:hideMark/>
          </w:tcPr>
          <w:p w14:paraId="7430AD20"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122 </w:t>
            </w:r>
            <w:r w:rsidR="00EF089C" w:rsidRPr="00C73365">
              <w:rPr>
                <w:rFonts w:asciiTheme="minorHAnsi" w:hAnsiTheme="minorHAnsi" w:cstheme="minorHAnsi"/>
                <w:color w:val="000000"/>
                <w:szCs w:val="20"/>
                <w:lang w:val="fr-FR" w:eastAsia="fr-FR"/>
              </w:rPr>
              <w:t>K€</w:t>
            </w:r>
          </w:p>
        </w:tc>
      </w:tr>
      <w:tr w:rsidR="00776BB9" w:rsidRPr="00C73365" w14:paraId="0B1AA801" w14:textId="77777777" w:rsidTr="00793DCB">
        <w:trPr>
          <w:trHeight w:val="300"/>
        </w:trPr>
        <w:tc>
          <w:tcPr>
            <w:tcW w:w="5260" w:type="dxa"/>
            <w:tcBorders>
              <w:top w:val="nil"/>
              <w:left w:val="nil"/>
              <w:right w:val="nil"/>
            </w:tcBorders>
            <w:shd w:val="clear" w:color="auto" w:fill="auto"/>
            <w:vAlign w:val="center"/>
            <w:hideMark/>
          </w:tcPr>
          <w:p w14:paraId="51F287F9"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CIR au 31/12/2017</w:t>
            </w:r>
          </w:p>
        </w:tc>
        <w:tc>
          <w:tcPr>
            <w:tcW w:w="1240" w:type="dxa"/>
            <w:tcBorders>
              <w:top w:val="nil"/>
              <w:left w:val="nil"/>
              <w:right w:val="nil"/>
            </w:tcBorders>
            <w:shd w:val="clear" w:color="auto" w:fill="auto"/>
            <w:vAlign w:val="center"/>
            <w:hideMark/>
          </w:tcPr>
          <w:p w14:paraId="60572B07"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2 632 </w:t>
            </w:r>
            <w:r w:rsidR="00EF089C" w:rsidRPr="00C73365">
              <w:rPr>
                <w:rFonts w:asciiTheme="minorHAnsi" w:hAnsiTheme="minorHAnsi" w:cstheme="minorHAnsi"/>
                <w:color w:val="000000"/>
                <w:szCs w:val="20"/>
                <w:lang w:val="fr-FR" w:eastAsia="fr-FR"/>
              </w:rPr>
              <w:t>K€</w:t>
            </w:r>
          </w:p>
        </w:tc>
      </w:tr>
      <w:tr w:rsidR="00776BB9" w:rsidRPr="00C73365" w14:paraId="41652431" w14:textId="77777777" w:rsidTr="00793DCB">
        <w:trPr>
          <w:trHeight w:val="300"/>
        </w:trPr>
        <w:tc>
          <w:tcPr>
            <w:tcW w:w="5260" w:type="dxa"/>
            <w:tcBorders>
              <w:top w:val="nil"/>
              <w:left w:val="nil"/>
              <w:right w:val="nil"/>
            </w:tcBorders>
            <w:shd w:val="clear" w:color="auto" w:fill="auto"/>
            <w:vAlign w:val="center"/>
            <w:hideMark/>
          </w:tcPr>
          <w:p w14:paraId="18ABD687"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CICE au 31 décembre 2017</w:t>
            </w:r>
          </w:p>
        </w:tc>
        <w:tc>
          <w:tcPr>
            <w:tcW w:w="1240" w:type="dxa"/>
            <w:tcBorders>
              <w:top w:val="nil"/>
              <w:left w:val="nil"/>
              <w:right w:val="nil"/>
            </w:tcBorders>
            <w:shd w:val="clear" w:color="auto" w:fill="auto"/>
            <w:vAlign w:val="center"/>
            <w:hideMark/>
          </w:tcPr>
          <w:p w14:paraId="1351BA4F"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 </w:t>
            </w:r>
            <w:r w:rsidR="00EF089C" w:rsidRPr="00C73365">
              <w:rPr>
                <w:rFonts w:asciiTheme="minorHAnsi" w:hAnsiTheme="minorHAnsi" w:cstheme="minorHAnsi"/>
                <w:color w:val="000000"/>
                <w:szCs w:val="20"/>
                <w:lang w:val="fr-FR" w:eastAsia="fr-FR"/>
              </w:rPr>
              <w:t>K€</w:t>
            </w:r>
          </w:p>
        </w:tc>
      </w:tr>
      <w:tr w:rsidR="00776BB9" w:rsidRPr="00C73365" w14:paraId="5126762D" w14:textId="77777777" w:rsidTr="00793DCB">
        <w:trPr>
          <w:trHeight w:val="300"/>
        </w:trPr>
        <w:tc>
          <w:tcPr>
            <w:tcW w:w="5260" w:type="dxa"/>
            <w:tcBorders>
              <w:left w:val="nil"/>
              <w:bottom w:val="single" w:sz="8" w:space="0" w:color="7030A0"/>
              <w:right w:val="nil"/>
            </w:tcBorders>
            <w:shd w:val="clear" w:color="auto" w:fill="auto"/>
            <w:vAlign w:val="center"/>
            <w:hideMark/>
          </w:tcPr>
          <w:p w14:paraId="602A4E2E"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TVA déductible et crédits de TVA</w:t>
            </w:r>
          </w:p>
        </w:tc>
        <w:tc>
          <w:tcPr>
            <w:tcW w:w="1240" w:type="dxa"/>
            <w:tcBorders>
              <w:left w:val="nil"/>
              <w:bottom w:val="single" w:sz="8" w:space="0" w:color="7030A0"/>
              <w:right w:val="nil"/>
            </w:tcBorders>
            <w:shd w:val="clear" w:color="auto" w:fill="auto"/>
            <w:vAlign w:val="center"/>
            <w:hideMark/>
          </w:tcPr>
          <w:p w14:paraId="52062782" w14:textId="77777777"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878 </w:t>
            </w:r>
            <w:r w:rsidR="00EF089C" w:rsidRPr="00C73365">
              <w:rPr>
                <w:rFonts w:asciiTheme="minorHAnsi" w:hAnsiTheme="minorHAnsi" w:cstheme="minorHAnsi"/>
                <w:color w:val="000000"/>
                <w:szCs w:val="20"/>
                <w:lang w:val="fr-FR" w:eastAsia="fr-FR"/>
              </w:rPr>
              <w:t>K€</w:t>
            </w:r>
          </w:p>
        </w:tc>
      </w:tr>
    </w:tbl>
    <w:p w14:paraId="4B906EEB" w14:textId="77777777" w:rsidR="00776BB9" w:rsidRPr="00C73365" w:rsidRDefault="00776BB9">
      <w:pPr>
        <w:tabs>
          <w:tab w:val="left" w:pos="956"/>
        </w:tabs>
        <w:autoSpaceDE w:val="0"/>
        <w:autoSpaceDN w:val="0"/>
        <w:adjustRightInd w:val="0"/>
        <w:rPr>
          <w:rFonts w:asciiTheme="minorHAnsi" w:hAnsiTheme="minorHAnsi" w:cstheme="minorHAnsi"/>
          <w:b/>
          <w:color w:val="7030A0"/>
          <w:szCs w:val="20"/>
          <w:lang w:val="fr-FR"/>
        </w:rPr>
      </w:pPr>
    </w:p>
    <w:p w14:paraId="7EFC0DA7" w14:textId="77777777" w:rsidR="00776BB9" w:rsidRPr="00C73365" w:rsidRDefault="00776BB9" w:rsidP="004572A0">
      <w:pPr>
        <w:pStyle w:val="Corpsdetexte"/>
        <w:rPr>
          <w:rFonts w:asciiTheme="minorHAnsi" w:hAnsiTheme="minorHAnsi" w:cstheme="minorHAnsi"/>
          <w:b/>
          <w:lang w:val="fr-FR"/>
        </w:rPr>
      </w:pPr>
      <w:r w:rsidRPr="00C73365">
        <w:rPr>
          <w:rFonts w:asciiTheme="minorHAnsi" w:hAnsiTheme="minorHAnsi" w:cstheme="minorHAnsi"/>
          <w:b/>
          <w:lang w:val="fr-FR"/>
        </w:rPr>
        <w:t>Valeurs mobilières de placement</w:t>
      </w:r>
      <w:r w:rsidR="00470BB2" w:rsidRPr="00C73365">
        <w:rPr>
          <w:rFonts w:asciiTheme="minorHAnsi" w:hAnsiTheme="minorHAnsi" w:cstheme="minorHAnsi"/>
          <w:b/>
          <w:lang w:val="fr-FR"/>
        </w:rPr>
        <w:t xml:space="preserve"> </w:t>
      </w:r>
      <w:r w:rsidRPr="00C73365">
        <w:rPr>
          <w:rFonts w:asciiTheme="minorHAnsi" w:hAnsiTheme="minorHAnsi" w:cstheme="minorHAnsi"/>
          <w:b/>
          <w:lang w:val="fr-FR"/>
        </w:rPr>
        <w:t>:</w:t>
      </w:r>
    </w:p>
    <w:p w14:paraId="26A4A92B"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Les valeurs mobilières de placement se décomposent :</w:t>
      </w:r>
    </w:p>
    <w:tbl>
      <w:tblPr>
        <w:tblW w:w="8243" w:type="dxa"/>
        <w:tblLayout w:type="fixed"/>
        <w:tblLook w:val="04A0" w:firstRow="1" w:lastRow="0" w:firstColumn="1" w:lastColumn="0" w:noHBand="0" w:noVBand="1"/>
      </w:tblPr>
      <w:tblGrid>
        <w:gridCol w:w="2276"/>
        <w:gridCol w:w="1312"/>
        <w:gridCol w:w="1604"/>
        <w:gridCol w:w="1525"/>
        <w:gridCol w:w="1526"/>
      </w:tblGrid>
      <w:tr w:rsidR="00776BB9" w:rsidRPr="00C73365" w14:paraId="031A864D" w14:textId="77777777" w:rsidTr="00793DCB">
        <w:trPr>
          <w:trHeight w:val="680"/>
        </w:trPr>
        <w:tc>
          <w:tcPr>
            <w:tcW w:w="2276" w:type="dxa"/>
            <w:tcBorders>
              <w:top w:val="single" w:sz="12" w:space="0" w:color="7030A0"/>
              <w:left w:val="nil"/>
              <w:bottom w:val="single" w:sz="8" w:space="0" w:color="7030A0"/>
              <w:right w:val="nil"/>
            </w:tcBorders>
            <w:shd w:val="clear" w:color="auto" w:fill="auto"/>
            <w:vAlign w:val="center"/>
            <w:hideMark/>
          </w:tcPr>
          <w:p w14:paraId="15FAA6DF" w14:textId="77777777"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12" w:type="dxa"/>
            <w:tcBorders>
              <w:top w:val="single" w:sz="12" w:space="0" w:color="7030A0"/>
              <w:left w:val="nil"/>
              <w:bottom w:val="single" w:sz="8" w:space="0" w:color="7030A0"/>
              <w:right w:val="nil"/>
            </w:tcBorders>
            <w:shd w:val="clear" w:color="auto" w:fill="auto"/>
            <w:vAlign w:val="center"/>
            <w:hideMark/>
          </w:tcPr>
          <w:p w14:paraId="4BE08118" w14:textId="77777777" w:rsidR="00776BB9" w:rsidRPr="00C73365" w:rsidRDefault="00776BB9" w:rsidP="0063550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604" w:type="dxa"/>
            <w:tcBorders>
              <w:top w:val="single" w:sz="12" w:space="0" w:color="7030A0"/>
              <w:left w:val="nil"/>
              <w:bottom w:val="single" w:sz="8" w:space="0" w:color="7030A0"/>
              <w:right w:val="nil"/>
            </w:tcBorders>
            <w:shd w:val="clear" w:color="auto" w:fill="auto"/>
            <w:vAlign w:val="center"/>
            <w:hideMark/>
          </w:tcPr>
          <w:p w14:paraId="7EC54584" w14:textId="77777777"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Disponibilité immédiate</w:t>
            </w:r>
          </w:p>
        </w:tc>
        <w:tc>
          <w:tcPr>
            <w:tcW w:w="1525" w:type="dxa"/>
            <w:tcBorders>
              <w:top w:val="single" w:sz="12" w:space="0" w:color="7030A0"/>
              <w:left w:val="nil"/>
              <w:bottom w:val="single" w:sz="8" w:space="0" w:color="7030A0"/>
              <w:right w:val="nil"/>
            </w:tcBorders>
            <w:shd w:val="clear" w:color="auto" w:fill="auto"/>
            <w:vAlign w:val="center"/>
            <w:hideMark/>
          </w:tcPr>
          <w:p w14:paraId="7108C3F3" w14:textId="77777777"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06/01/2018</w:t>
            </w:r>
          </w:p>
        </w:tc>
        <w:tc>
          <w:tcPr>
            <w:tcW w:w="1526" w:type="dxa"/>
            <w:tcBorders>
              <w:top w:val="single" w:sz="12" w:space="0" w:color="7030A0"/>
              <w:left w:val="nil"/>
              <w:bottom w:val="single" w:sz="8" w:space="0" w:color="7030A0"/>
              <w:right w:val="nil"/>
            </w:tcBorders>
            <w:shd w:val="clear" w:color="auto" w:fill="auto"/>
            <w:vAlign w:val="center"/>
            <w:hideMark/>
          </w:tcPr>
          <w:p w14:paraId="785229CD" w14:textId="77777777"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25/06/2018</w:t>
            </w:r>
          </w:p>
        </w:tc>
      </w:tr>
      <w:tr w:rsidR="00776BB9" w:rsidRPr="00C73365" w14:paraId="1C0A3F1C" w14:textId="77777777" w:rsidTr="00793DCB">
        <w:trPr>
          <w:trHeight w:val="30"/>
        </w:trPr>
        <w:tc>
          <w:tcPr>
            <w:tcW w:w="2276" w:type="dxa"/>
            <w:tcBorders>
              <w:top w:val="nil"/>
              <w:left w:val="nil"/>
              <w:bottom w:val="nil"/>
              <w:right w:val="nil"/>
            </w:tcBorders>
            <w:shd w:val="clear" w:color="auto" w:fill="auto"/>
            <w:vAlign w:val="center"/>
            <w:hideMark/>
          </w:tcPr>
          <w:p w14:paraId="2B9EEFF2" w14:textId="77777777"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Comptes à terme</w:t>
            </w:r>
          </w:p>
        </w:tc>
        <w:tc>
          <w:tcPr>
            <w:tcW w:w="1312" w:type="dxa"/>
            <w:tcBorders>
              <w:top w:val="nil"/>
              <w:left w:val="nil"/>
              <w:bottom w:val="nil"/>
              <w:right w:val="nil"/>
            </w:tcBorders>
            <w:shd w:val="clear" w:color="auto" w:fill="auto"/>
            <w:vAlign w:val="center"/>
            <w:hideMark/>
          </w:tcPr>
          <w:p w14:paraId="0B67E4B2" w14:textId="77777777"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15 145</w:t>
            </w:r>
          </w:p>
        </w:tc>
        <w:tc>
          <w:tcPr>
            <w:tcW w:w="1604" w:type="dxa"/>
            <w:tcBorders>
              <w:top w:val="nil"/>
              <w:left w:val="nil"/>
              <w:bottom w:val="nil"/>
              <w:right w:val="nil"/>
            </w:tcBorders>
            <w:shd w:val="clear" w:color="auto" w:fill="auto"/>
            <w:vAlign w:val="center"/>
            <w:hideMark/>
          </w:tcPr>
          <w:p w14:paraId="2BBD399C" w14:textId="77777777"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145</w:t>
            </w:r>
          </w:p>
        </w:tc>
        <w:tc>
          <w:tcPr>
            <w:tcW w:w="1525" w:type="dxa"/>
            <w:tcBorders>
              <w:top w:val="nil"/>
              <w:left w:val="nil"/>
              <w:bottom w:val="nil"/>
              <w:right w:val="nil"/>
            </w:tcBorders>
            <w:shd w:val="clear" w:color="auto" w:fill="auto"/>
            <w:vAlign w:val="center"/>
            <w:hideMark/>
          </w:tcPr>
          <w:p w14:paraId="1557F150" w14:textId="77777777"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5 000</w:t>
            </w:r>
          </w:p>
        </w:tc>
        <w:tc>
          <w:tcPr>
            <w:tcW w:w="1526" w:type="dxa"/>
            <w:tcBorders>
              <w:top w:val="nil"/>
              <w:left w:val="nil"/>
              <w:bottom w:val="nil"/>
              <w:right w:val="nil"/>
            </w:tcBorders>
            <w:shd w:val="clear" w:color="auto" w:fill="auto"/>
            <w:vAlign w:val="center"/>
            <w:hideMark/>
          </w:tcPr>
          <w:p w14:paraId="69D14328" w14:textId="77777777"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10 000</w:t>
            </w:r>
          </w:p>
        </w:tc>
      </w:tr>
      <w:tr w:rsidR="00776BB9" w:rsidRPr="00C73365" w14:paraId="76AF78F5" w14:textId="77777777" w:rsidTr="00793DCB">
        <w:trPr>
          <w:trHeight w:val="30"/>
        </w:trPr>
        <w:tc>
          <w:tcPr>
            <w:tcW w:w="2276" w:type="dxa"/>
            <w:tcBorders>
              <w:top w:val="nil"/>
              <w:left w:val="nil"/>
              <w:bottom w:val="nil"/>
              <w:right w:val="nil"/>
            </w:tcBorders>
            <w:shd w:val="clear" w:color="auto" w:fill="auto"/>
            <w:vAlign w:val="center"/>
            <w:hideMark/>
          </w:tcPr>
          <w:p w14:paraId="5023C606" w14:textId="77777777"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lastRenderedPageBreak/>
              <w:t>SICAV/OPCVM</w:t>
            </w:r>
          </w:p>
        </w:tc>
        <w:tc>
          <w:tcPr>
            <w:tcW w:w="1312" w:type="dxa"/>
            <w:tcBorders>
              <w:top w:val="nil"/>
              <w:left w:val="nil"/>
              <w:bottom w:val="nil"/>
              <w:right w:val="nil"/>
            </w:tcBorders>
            <w:shd w:val="clear" w:color="auto" w:fill="auto"/>
            <w:vAlign w:val="center"/>
            <w:hideMark/>
          </w:tcPr>
          <w:p w14:paraId="0770BE82" w14:textId="77777777"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604" w:type="dxa"/>
            <w:tcBorders>
              <w:top w:val="nil"/>
              <w:left w:val="nil"/>
              <w:bottom w:val="nil"/>
              <w:right w:val="nil"/>
            </w:tcBorders>
            <w:shd w:val="clear" w:color="auto" w:fill="auto"/>
            <w:vAlign w:val="center"/>
            <w:hideMark/>
          </w:tcPr>
          <w:p w14:paraId="0B492B0A" w14:textId="77777777"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525" w:type="dxa"/>
            <w:tcBorders>
              <w:top w:val="nil"/>
              <w:left w:val="nil"/>
              <w:bottom w:val="nil"/>
              <w:right w:val="nil"/>
            </w:tcBorders>
            <w:shd w:val="clear" w:color="auto" w:fill="auto"/>
            <w:vAlign w:val="center"/>
            <w:hideMark/>
          </w:tcPr>
          <w:p w14:paraId="1104DFC0" w14:textId="77777777" w:rsidR="00776BB9" w:rsidRPr="00C73365" w:rsidRDefault="00776BB9" w:rsidP="00635502">
            <w:pPr>
              <w:spacing w:after="0"/>
              <w:jc w:val="center"/>
              <w:rPr>
                <w:rFonts w:asciiTheme="minorHAnsi" w:hAnsiTheme="minorHAnsi" w:cstheme="minorHAnsi"/>
                <w:color w:val="000000"/>
                <w:szCs w:val="20"/>
              </w:rPr>
            </w:pPr>
          </w:p>
        </w:tc>
        <w:tc>
          <w:tcPr>
            <w:tcW w:w="1526" w:type="dxa"/>
            <w:tcBorders>
              <w:top w:val="nil"/>
              <w:left w:val="nil"/>
              <w:bottom w:val="nil"/>
              <w:right w:val="nil"/>
            </w:tcBorders>
            <w:shd w:val="clear" w:color="auto" w:fill="auto"/>
            <w:vAlign w:val="center"/>
            <w:hideMark/>
          </w:tcPr>
          <w:p w14:paraId="0308764F" w14:textId="77777777" w:rsidR="00776BB9" w:rsidRPr="00C73365" w:rsidRDefault="00776BB9" w:rsidP="00635502">
            <w:pPr>
              <w:spacing w:after="0"/>
              <w:jc w:val="center"/>
              <w:rPr>
                <w:rFonts w:asciiTheme="minorHAnsi" w:hAnsiTheme="minorHAnsi" w:cstheme="minorHAnsi"/>
                <w:szCs w:val="20"/>
              </w:rPr>
            </w:pPr>
          </w:p>
        </w:tc>
      </w:tr>
      <w:tr w:rsidR="00776BB9" w:rsidRPr="00C73365" w14:paraId="6EA504E3" w14:textId="77777777" w:rsidTr="00793DCB">
        <w:trPr>
          <w:trHeight w:val="30"/>
        </w:trPr>
        <w:tc>
          <w:tcPr>
            <w:tcW w:w="2276" w:type="dxa"/>
            <w:tcBorders>
              <w:top w:val="nil"/>
              <w:left w:val="nil"/>
              <w:bottom w:val="single" w:sz="8" w:space="0" w:color="7030A0"/>
              <w:right w:val="nil"/>
            </w:tcBorders>
            <w:shd w:val="clear" w:color="auto" w:fill="auto"/>
            <w:vAlign w:val="center"/>
            <w:hideMark/>
          </w:tcPr>
          <w:p w14:paraId="44C03B0E" w14:textId="77777777"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Disponibilités</w:t>
            </w:r>
          </w:p>
        </w:tc>
        <w:tc>
          <w:tcPr>
            <w:tcW w:w="1312" w:type="dxa"/>
            <w:tcBorders>
              <w:top w:val="nil"/>
              <w:left w:val="nil"/>
              <w:bottom w:val="single" w:sz="8" w:space="0" w:color="7030A0"/>
              <w:right w:val="nil"/>
            </w:tcBorders>
            <w:shd w:val="clear" w:color="auto" w:fill="auto"/>
            <w:vAlign w:val="center"/>
            <w:hideMark/>
          </w:tcPr>
          <w:p w14:paraId="1DA64FCB" w14:textId="77777777"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604" w:type="dxa"/>
            <w:tcBorders>
              <w:top w:val="nil"/>
              <w:left w:val="nil"/>
              <w:bottom w:val="single" w:sz="8" w:space="0" w:color="7030A0"/>
              <w:right w:val="nil"/>
            </w:tcBorders>
            <w:shd w:val="clear" w:color="auto" w:fill="auto"/>
            <w:vAlign w:val="center"/>
            <w:hideMark/>
          </w:tcPr>
          <w:p w14:paraId="104FF212" w14:textId="77777777"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525" w:type="dxa"/>
            <w:tcBorders>
              <w:top w:val="nil"/>
              <w:left w:val="nil"/>
              <w:bottom w:val="single" w:sz="8" w:space="0" w:color="7030A0"/>
              <w:right w:val="nil"/>
            </w:tcBorders>
            <w:shd w:val="clear" w:color="auto" w:fill="auto"/>
            <w:vAlign w:val="center"/>
            <w:hideMark/>
          </w:tcPr>
          <w:p w14:paraId="66064F6A" w14:textId="77777777" w:rsidR="00776BB9" w:rsidRPr="00C73365" w:rsidRDefault="00776BB9" w:rsidP="00635502">
            <w:pPr>
              <w:spacing w:after="0"/>
              <w:jc w:val="center"/>
              <w:rPr>
                <w:rFonts w:asciiTheme="minorHAnsi" w:hAnsiTheme="minorHAnsi" w:cstheme="minorHAnsi"/>
                <w:color w:val="000000"/>
                <w:szCs w:val="20"/>
              </w:rPr>
            </w:pPr>
          </w:p>
        </w:tc>
        <w:tc>
          <w:tcPr>
            <w:tcW w:w="1526" w:type="dxa"/>
            <w:tcBorders>
              <w:top w:val="nil"/>
              <w:left w:val="nil"/>
              <w:bottom w:val="single" w:sz="8" w:space="0" w:color="7030A0"/>
              <w:right w:val="nil"/>
            </w:tcBorders>
            <w:shd w:val="clear" w:color="auto" w:fill="auto"/>
            <w:vAlign w:val="center"/>
            <w:hideMark/>
          </w:tcPr>
          <w:p w14:paraId="1B217C2A" w14:textId="77777777" w:rsidR="00776BB9" w:rsidRPr="00C73365" w:rsidRDefault="00776BB9" w:rsidP="00635502">
            <w:pPr>
              <w:spacing w:after="0"/>
              <w:jc w:val="center"/>
              <w:rPr>
                <w:rFonts w:asciiTheme="minorHAnsi" w:hAnsiTheme="minorHAnsi" w:cstheme="minorHAnsi"/>
                <w:color w:val="000000"/>
                <w:szCs w:val="20"/>
              </w:rPr>
            </w:pPr>
          </w:p>
        </w:tc>
      </w:tr>
      <w:tr w:rsidR="00776BB9" w:rsidRPr="00C73365" w14:paraId="7603488E" w14:textId="77777777" w:rsidTr="00793DCB">
        <w:trPr>
          <w:trHeight w:val="414"/>
        </w:trPr>
        <w:tc>
          <w:tcPr>
            <w:tcW w:w="2276" w:type="dxa"/>
            <w:tcBorders>
              <w:top w:val="nil"/>
              <w:left w:val="nil"/>
              <w:bottom w:val="single" w:sz="8" w:space="0" w:color="7030A0"/>
              <w:right w:val="nil"/>
            </w:tcBorders>
            <w:shd w:val="clear" w:color="auto" w:fill="auto"/>
            <w:vAlign w:val="center"/>
            <w:hideMark/>
          </w:tcPr>
          <w:p w14:paraId="4BB96A0E" w14:textId="77777777" w:rsidR="00776BB9" w:rsidRPr="00C73365" w:rsidRDefault="00776BB9"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312" w:type="dxa"/>
            <w:tcBorders>
              <w:top w:val="nil"/>
              <w:left w:val="nil"/>
              <w:bottom w:val="single" w:sz="8" w:space="0" w:color="7030A0"/>
              <w:right w:val="nil"/>
            </w:tcBorders>
            <w:shd w:val="clear" w:color="auto" w:fill="auto"/>
            <w:vAlign w:val="center"/>
            <w:hideMark/>
          </w:tcPr>
          <w:p w14:paraId="23268303" w14:textId="77777777"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17 032</w:t>
            </w:r>
          </w:p>
        </w:tc>
        <w:tc>
          <w:tcPr>
            <w:tcW w:w="1604" w:type="dxa"/>
            <w:tcBorders>
              <w:top w:val="nil"/>
              <w:left w:val="nil"/>
              <w:bottom w:val="single" w:sz="8" w:space="0" w:color="7030A0"/>
              <w:right w:val="nil"/>
            </w:tcBorders>
            <w:shd w:val="clear" w:color="auto" w:fill="auto"/>
            <w:vAlign w:val="center"/>
            <w:hideMark/>
          </w:tcPr>
          <w:p w14:paraId="177CE176" w14:textId="77777777"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2 032</w:t>
            </w:r>
          </w:p>
        </w:tc>
        <w:tc>
          <w:tcPr>
            <w:tcW w:w="1525" w:type="dxa"/>
            <w:tcBorders>
              <w:top w:val="nil"/>
              <w:left w:val="nil"/>
              <w:bottom w:val="single" w:sz="8" w:space="0" w:color="7030A0"/>
              <w:right w:val="nil"/>
            </w:tcBorders>
            <w:shd w:val="clear" w:color="auto" w:fill="auto"/>
            <w:vAlign w:val="center"/>
            <w:hideMark/>
          </w:tcPr>
          <w:p w14:paraId="2CE21767" w14:textId="77777777"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5 000</w:t>
            </w:r>
          </w:p>
        </w:tc>
        <w:tc>
          <w:tcPr>
            <w:tcW w:w="1526" w:type="dxa"/>
            <w:tcBorders>
              <w:top w:val="nil"/>
              <w:left w:val="nil"/>
              <w:bottom w:val="single" w:sz="8" w:space="0" w:color="7030A0"/>
              <w:right w:val="nil"/>
            </w:tcBorders>
            <w:shd w:val="clear" w:color="auto" w:fill="auto"/>
            <w:vAlign w:val="center"/>
            <w:hideMark/>
          </w:tcPr>
          <w:p w14:paraId="78A89259" w14:textId="77777777"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10 000</w:t>
            </w:r>
          </w:p>
        </w:tc>
      </w:tr>
    </w:tbl>
    <w:p w14:paraId="770362E6" w14:textId="77777777" w:rsidR="00635502" w:rsidRPr="00C73365" w:rsidRDefault="00635502" w:rsidP="00A96CCA">
      <w:pPr>
        <w:rPr>
          <w:rFonts w:asciiTheme="minorHAnsi" w:hAnsiTheme="minorHAnsi" w:cstheme="minorHAnsi"/>
          <w:color w:val="000000" w:themeColor="text1"/>
          <w:szCs w:val="20"/>
          <w:lang w:val="fr-FR"/>
        </w:rPr>
      </w:pPr>
    </w:p>
    <w:p w14:paraId="57F6005F"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montant des intérêts courus sur comptes à terme au 31 Décembre 2017, inclus dans les montants ci-dessus, est de 145 </w:t>
      </w:r>
      <w:r w:rsidR="00EF089C" w:rsidRPr="00C73365">
        <w:rPr>
          <w:rFonts w:asciiTheme="minorHAnsi" w:hAnsiTheme="minorHAnsi" w:cstheme="minorHAnsi"/>
          <w:lang w:val="fr-FR"/>
        </w:rPr>
        <w:t>K€</w:t>
      </w:r>
      <w:r w:rsidRPr="00C73365">
        <w:rPr>
          <w:rFonts w:asciiTheme="minorHAnsi" w:hAnsiTheme="minorHAnsi" w:cstheme="minorHAnsi"/>
          <w:lang w:val="fr-FR"/>
        </w:rPr>
        <w:t>.</w:t>
      </w:r>
    </w:p>
    <w:p w14:paraId="13792F3B" w14:textId="77777777" w:rsidR="00776BB9" w:rsidRPr="00C73365" w:rsidRDefault="00776BB9" w:rsidP="004572A0">
      <w:pPr>
        <w:pStyle w:val="Corpsdetexte"/>
        <w:rPr>
          <w:rFonts w:asciiTheme="minorHAnsi" w:hAnsiTheme="minorHAnsi" w:cstheme="minorHAnsi"/>
          <w:b/>
          <w:lang w:val="fr-FR"/>
        </w:rPr>
      </w:pPr>
      <w:r w:rsidRPr="00C73365">
        <w:rPr>
          <w:rFonts w:asciiTheme="minorHAnsi" w:hAnsiTheme="minorHAnsi" w:cstheme="minorHAnsi"/>
          <w:b/>
          <w:lang w:val="fr-FR"/>
        </w:rPr>
        <w:t>Capital Social</w:t>
      </w:r>
    </w:p>
    <w:p w14:paraId="2B15A16F" w14:textId="77777777" w:rsidR="00287925" w:rsidRPr="00C73365" w:rsidRDefault="00287925"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Au 31 décembre 2017, le capital social de l’entreprise est à 99.042,29 euros. Ceci est détaillé au paragraphe 10.1 Informations sur les capitaux de la Société.</w:t>
      </w:r>
    </w:p>
    <w:p w14:paraId="77DEDF3C" w14:textId="77777777" w:rsidR="00776BB9" w:rsidRPr="00C73365" w:rsidRDefault="00776BB9" w:rsidP="004572A0">
      <w:pPr>
        <w:pStyle w:val="Corpsdetexte"/>
        <w:rPr>
          <w:rFonts w:asciiTheme="minorHAnsi" w:hAnsiTheme="minorHAnsi" w:cstheme="minorHAnsi"/>
          <w:b/>
          <w:lang w:val="fr-FR"/>
        </w:rPr>
      </w:pPr>
      <w:r w:rsidRPr="00C73365">
        <w:rPr>
          <w:rFonts w:asciiTheme="minorHAnsi" w:hAnsiTheme="minorHAnsi" w:cstheme="minorHAnsi"/>
          <w:b/>
          <w:lang w:val="fr-FR"/>
        </w:rPr>
        <w:t>Avances conditionnées</w:t>
      </w:r>
    </w:p>
    <w:p w14:paraId="3C26FEAD" w14:textId="77777777" w:rsidR="00776BB9" w:rsidRPr="00C73365" w:rsidRDefault="00776BB9" w:rsidP="004572A0">
      <w:pPr>
        <w:pStyle w:val="Corpsdetexte"/>
        <w:rPr>
          <w:rFonts w:asciiTheme="minorHAnsi" w:hAnsiTheme="minorHAnsi" w:cstheme="minorHAnsi"/>
          <w:lang w:val="fr-FR"/>
        </w:rPr>
      </w:pPr>
      <w:bookmarkStart w:id="369" w:name="_Hlk509825496"/>
      <w:r w:rsidRPr="00C73365">
        <w:rPr>
          <w:rFonts w:asciiTheme="minorHAnsi" w:hAnsiTheme="minorHAnsi" w:cstheme="minorHAnsi"/>
          <w:lang w:val="fr-FR"/>
        </w:rPr>
        <w:t>La variation entre les premiers semestres 2017 et 2016 se résume ainsi :</w:t>
      </w:r>
    </w:p>
    <w:tbl>
      <w:tblPr>
        <w:tblW w:w="8796" w:type="dxa"/>
        <w:tblLook w:val="04A0" w:firstRow="1" w:lastRow="0" w:firstColumn="1" w:lastColumn="0" w:noHBand="0" w:noVBand="1"/>
      </w:tblPr>
      <w:tblGrid>
        <w:gridCol w:w="1670"/>
        <w:gridCol w:w="1199"/>
        <w:gridCol w:w="903"/>
        <w:gridCol w:w="1305"/>
        <w:gridCol w:w="1199"/>
        <w:gridCol w:w="1393"/>
        <w:gridCol w:w="1127"/>
      </w:tblGrid>
      <w:tr w:rsidR="00776BB9" w:rsidRPr="00C73365" w14:paraId="3B8C51CA" w14:textId="77777777" w:rsidTr="00793DCB">
        <w:trPr>
          <w:trHeight w:val="290"/>
        </w:trPr>
        <w:tc>
          <w:tcPr>
            <w:tcW w:w="1764" w:type="dxa"/>
            <w:vMerge w:val="restart"/>
            <w:tcBorders>
              <w:top w:val="single" w:sz="12" w:space="0" w:color="7030A0"/>
              <w:left w:val="nil"/>
              <w:bottom w:val="single" w:sz="8" w:space="0" w:color="7030A0"/>
              <w:right w:val="nil"/>
            </w:tcBorders>
            <w:shd w:val="clear" w:color="auto" w:fill="auto"/>
            <w:vAlign w:val="center"/>
            <w:hideMark/>
          </w:tcPr>
          <w:p w14:paraId="3F0512AE" w14:textId="77777777"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83" w:type="dxa"/>
            <w:tcBorders>
              <w:top w:val="single" w:sz="12" w:space="0" w:color="7030A0"/>
              <w:left w:val="nil"/>
              <w:bottom w:val="nil"/>
              <w:right w:val="nil"/>
            </w:tcBorders>
            <w:shd w:val="clear" w:color="auto" w:fill="auto"/>
            <w:vAlign w:val="center"/>
            <w:hideMark/>
          </w:tcPr>
          <w:p w14:paraId="40AA8343" w14:textId="77777777"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Solde </w:t>
            </w:r>
          </w:p>
        </w:tc>
        <w:tc>
          <w:tcPr>
            <w:tcW w:w="896" w:type="dxa"/>
            <w:vMerge w:val="restart"/>
            <w:tcBorders>
              <w:top w:val="single" w:sz="12" w:space="0" w:color="7030A0"/>
              <w:left w:val="nil"/>
              <w:bottom w:val="single" w:sz="8" w:space="0" w:color="7030A0"/>
              <w:right w:val="nil"/>
            </w:tcBorders>
            <w:shd w:val="clear" w:color="auto" w:fill="auto"/>
            <w:vAlign w:val="center"/>
            <w:hideMark/>
          </w:tcPr>
          <w:p w14:paraId="687A8A50" w14:textId="77777777"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reçues </w:t>
            </w:r>
          </w:p>
        </w:tc>
        <w:tc>
          <w:tcPr>
            <w:tcW w:w="1285" w:type="dxa"/>
            <w:vMerge w:val="restart"/>
            <w:tcBorders>
              <w:top w:val="single" w:sz="12" w:space="0" w:color="7030A0"/>
              <w:left w:val="nil"/>
              <w:bottom w:val="single" w:sz="8" w:space="0" w:color="7030A0"/>
              <w:right w:val="nil"/>
            </w:tcBorders>
            <w:shd w:val="clear" w:color="auto" w:fill="auto"/>
            <w:vAlign w:val="center"/>
            <w:hideMark/>
          </w:tcPr>
          <w:p w14:paraId="40190B42" w14:textId="77777777"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remboursées </w:t>
            </w:r>
          </w:p>
        </w:tc>
        <w:tc>
          <w:tcPr>
            <w:tcW w:w="1183" w:type="dxa"/>
            <w:tcBorders>
              <w:top w:val="single" w:sz="12" w:space="0" w:color="7030A0"/>
              <w:left w:val="nil"/>
              <w:bottom w:val="nil"/>
              <w:right w:val="nil"/>
            </w:tcBorders>
            <w:shd w:val="clear" w:color="auto" w:fill="auto"/>
            <w:vAlign w:val="center"/>
            <w:hideMark/>
          </w:tcPr>
          <w:p w14:paraId="1BD1C7E8" w14:textId="77777777"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Solde </w:t>
            </w:r>
          </w:p>
        </w:tc>
        <w:tc>
          <w:tcPr>
            <w:tcW w:w="2485" w:type="dxa"/>
            <w:gridSpan w:val="2"/>
            <w:tcBorders>
              <w:top w:val="single" w:sz="12" w:space="0" w:color="7030A0"/>
              <w:left w:val="nil"/>
              <w:bottom w:val="nil"/>
              <w:right w:val="nil"/>
            </w:tcBorders>
            <w:shd w:val="clear" w:color="auto" w:fill="auto"/>
            <w:vAlign w:val="center"/>
            <w:hideMark/>
          </w:tcPr>
          <w:p w14:paraId="59EEDC75" w14:textId="77777777" w:rsidR="00776BB9" w:rsidRPr="00C73365" w:rsidRDefault="00776BB9">
            <w:pPr>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Dont</w:t>
            </w:r>
          </w:p>
        </w:tc>
      </w:tr>
      <w:tr w:rsidR="00776BB9" w:rsidRPr="00C73365" w14:paraId="08AB949F" w14:textId="77777777" w:rsidTr="00793DCB">
        <w:trPr>
          <w:trHeight w:val="477"/>
        </w:trPr>
        <w:tc>
          <w:tcPr>
            <w:tcW w:w="1764" w:type="dxa"/>
            <w:vMerge/>
            <w:tcBorders>
              <w:top w:val="single" w:sz="12" w:space="0" w:color="7030A0"/>
              <w:left w:val="nil"/>
              <w:bottom w:val="single" w:sz="8" w:space="0" w:color="7030A0"/>
              <w:right w:val="nil"/>
            </w:tcBorders>
            <w:vAlign w:val="center"/>
            <w:hideMark/>
          </w:tcPr>
          <w:p w14:paraId="112A91B2" w14:textId="77777777" w:rsidR="00776BB9" w:rsidRPr="00C73365" w:rsidRDefault="00776BB9">
            <w:pPr>
              <w:rPr>
                <w:rFonts w:asciiTheme="minorHAnsi" w:hAnsiTheme="minorHAnsi" w:cstheme="minorHAnsi"/>
                <w:color w:val="000000"/>
                <w:szCs w:val="20"/>
              </w:rPr>
            </w:pPr>
          </w:p>
        </w:tc>
        <w:tc>
          <w:tcPr>
            <w:tcW w:w="1183" w:type="dxa"/>
            <w:tcBorders>
              <w:top w:val="nil"/>
              <w:left w:val="nil"/>
              <w:bottom w:val="single" w:sz="8" w:space="0" w:color="7030A0"/>
              <w:right w:val="nil"/>
            </w:tcBorders>
            <w:shd w:val="clear" w:color="auto" w:fill="auto"/>
            <w:hideMark/>
          </w:tcPr>
          <w:p w14:paraId="29240EF1" w14:textId="77777777"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31/12/2016</w:t>
            </w:r>
          </w:p>
        </w:tc>
        <w:tc>
          <w:tcPr>
            <w:tcW w:w="896" w:type="dxa"/>
            <w:vMerge/>
            <w:tcBorders>
              <w:top w:val="single" w:sz="12" w:space="0" w:color="7030A0"/>
              <w:left w:val="nil"/>
              <w:bottom w:val="single" w:sz="8" w:space="0" w:color="7030A0"/>
              <w:right w:val="nil"/>
            </w:tcBorders>
            <w:vAlign w:val="center"/>
            <w:hideMark/>
          </w:tcPr>
          <w:p w14:paraId="675DECA5" w14:textId="77777777" w:rsidR="00776BB9" w:rsidRPr="00C73365" w:rsidRDefault="00776BB9">
            <w:pPr>
              <w:rPr>
                <w:rFonts w:asciiTheme="minorHAnsi" w:hAnsiTheme="minorHAnsi" w:cstheme="minorHAnsi"/>
                <w:b/>
                <w:bCs/>
                <w:color w:val="000000"/>
                <w:szCs w:val="20"/>
              </w:rPr>
            </w:pPr>
          </w:p>
        </w:tc>
        <w:tc>
          <w:tcPr>
            <w:tcW w:w="1285" w:type="dxa"/>
            <w:vMerge/>
            <w:tcBorders>
              <w:top w:val="single" w:sz="12" w:space="0" w:color="7030A0"/>
              <w:left w:val="nil"/>
              <w:bottom w:val="single" w:sz="8" w:space="0" w:color="7030A0"/>
              <w:right w:val="nil"/>
            </w:tcBorders>
            <w:vAlign w:val="center"/>
            <w:hideMark/>
          </w:tcPr>
          <w:p w14:paraId="194C5F85" w14:textId="77777777" w:rsidR="00776BB9" w:rsidRPr="00C73365" w:rsidRDefault="00776BB9">
            <w:pPr>
              <w:rPr>
                <w:rFonts w:asciiTheme="minorHAnsi" w:hAnsiTheme="minorHAnsi" w:cstheme="minorHAnsi"/>
                <w:b/>
                <w:bCs/>
                <w:color w:val="000000"/>
                <w:szCs w:val="20"/>
              </w:rPr>
            </w:pPr>
          </w:p>
        </w:tc>
        <w:tc>
          <w:tcPr>
            <w:tcW w:w="1183" w:type="dxa"/>
            <w:tcBorders>
              <w:top w:val="nil"/>
              <w:left w:val="nil"/>
              <w:bottom w:val="single" w:sz="8" w:space="0" w:color="7030A0"/>
              <w:right w:val="nil"/>
            </w:tcBorders>
            <w:shd w:val="clear" w:color="auto" w:fill="auto"/>
            <w:hideMark/>
          </w:tcPr>
          <w:p w14:paraId="21F9222C" w14:textId="77777777"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31/12/2017</w:t>
            </w:r>
          </w:p>
        </w:tc>
        <w:tc>
          <w:tcPr>
            <w:tcW w:w="1371" w:type="dxa"/>
            <w:tcBorders>
              <w:top w:val="nil"/>
              <w:left w:val="nil"/>
              <w:bottom w:val="single" w:sz="8" w:space="0" w:color="7030A0"/>
              <w:right w:val="nil"/>
            </w:tcBorders>
            <w:shd w:val="clear" w:color="auto" w:fill="auto"/>
            <w:hideMark/>
          </w:tcPr>
          <w:p w14:paraId="6DA0B5F1" w14:textId="77777777"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Avances conditionnées</w:t>
            </w:r>
          </w:p>
        </w:tc>
        <w:tc>
          <w:tcPr>
            <w:tcW w:w="1113" w:type="dxa"/>
            <w:tcBorders>
              <w:top w:val="nil"/>
              <w:left w:val="nil"/>
              <w:bottom w:val="single" w:sz="8" w:space="0" w:color="7030A0"/>
              <w:right w:val="nil"/>
            </w:tcBorders>
            <w:shd w:val="clear" w:color="auto" w:fill="auto"/>
            <w:hideMark/>
          </w:tcPr>
          <w:p w14:paraId="4970D516" w14:textId="77777777"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Dettes financières</w:t>
            </w:r>
          </w:p>
        </w:tc>
      </w:tr>
      <w:tr w:rsidR="00776BB9" w:rsidRPr="00C73365" w14:paraId="4CCCC362" w14:textId="77777777" w:rsidTr="00793DCB">
        <w:trPr>
          <w:trHeight w:val="279"/>
        </w:trPr>
        <w:tc>
          <w:tcPr>
            <w:tcW w:w="1764" w:type="dxa"/>
            <w:tcBorders>
              <w:top w:val="nil"/>
              <w:left w:val="nil"/>
              <w:bottom w:val="nil"/>
              <w:right w:val="nil"/>
            </w:tcBorders>
            <w:shd w:val="clear" w:color="auto" w:fill="auto"/>
            <w:vAlign w:val="center"/>
            <w:hideMark/>
          </w:tcPr>
          <w:p w14:paraId="39715341" w14:textId="77777777"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CaReNA</w:t>
            </w:r>
            <w:r w:rsidRPr="00C73365">
              <w:rPr>
                <w:rFonts w:asciiTheme="minorHAnsi" w:hAnsiTheme="minorHAnsi" w:cstheme="minorHAnsi"/>
                <w:color w:val="7030A0"/>
                <w:sz w:val="18"/>
                <w:szCs w:val="18"/>
              </w:rPr>
              <w:t>*</w:t>
            </w:r>
          </w:p>
        </w:tc>
        <w:tc>
          <w:tcPr>
            <w:tcW w:w="1183" w:type="dxa"/>
            <w:tcBorders>
              <w:top w:val="nil"/>
              <w:left w:val="nil"/>
              <w:bottom w:val="nil"/>
              <w:right w:val="nil"/>
            </w:tcBorders>
            <w:shd w:val="clear" w:color="auto" w:fill="auto"/>
            <w:vAlign w:val="center"/>
            <w:hideMark/>
          </w:tcPr>
          <w:p w14:paraId="4B93C6FE" w14:textId="77777777" w:rsidR="00776BB9" w:rsidRPr="00C73365" w:rsidRDefault="00FA41A3">
            <w:pPr>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2 </w:t>
            </w:r>
            <w:r w:rsidR="009D5152" w:rsidRPr="00C73365">
              <w:rPr>
                <w:rFonts w:asciiTheme="minorHAnsi" w:hAnsiTheme="minorHAnsi" w:cstheme="minorHAnsi"/>
                <w:color w:val="000000"/>
                <w:szCs w:val="20"/>
              </w:rPr>
              <w:t>269</w:t>
            </w:r>
          </w:p>
        </w:tc>
        <w:tc>
          <w:tcPr>
            <w:tcW w:w="896" w:type="dxa"/>
            <w:tcBorders>
              <w:top w:val="nil"/>
              <w:left w:val="nil"/>
              <w:bottom w:val="nil"/>
              <w:right w:val="nil"/>
            </w:tcBorders>
            <w:shd w:val="clear" w:color="auto" w:fill="auto"/>
            <w:vAlign w:val="center"/>
            <w:hideMark/>
          </w:tcPr>
          <w:p w14:paraId="7F45EB11" w14:textId="77777777" w:rsidR="00776BB9" w:rsidRPr="00C73365" w:rsidRDefault="00776BB9">
            <w:pPr>
              <w:jc w:val="right"/>
              <w:rPr>
                <w:rFonts w:asciiTheme="minorHAnsi" w:hAnsiTheme="minorHAnsi" w:cstheme="minorHAnsi"/>
                <w:color w:val="000000"/>
                <w:szCs w:val="20"/>
              </w:rPr>
            </w:pPr>
          </w:p>
        </w:tc>
        <w:tc>
          <w:tcPr>
            <w:tcW w:w="1285" w:type="dxa"/>
            <w:tcBorders>
              <w:top w:val="nil"/>
              <w:left w:val="nil"/>
              <w:bottom w:val="nil"/>
              <w:right w:val="nil"/>
            </w:tcBorders>
            <w:shd w:val="clear" w:color="auto" w:fill="auto"/>
            <w:vAlign w:val="center"/>
            <w:hideMark/>
          </w:tcPr>
          <w:p w14:paraId="3857E17D" w14:textId="77777777" w:rsidR="00776BB9" w:rsidRPr="00C73365" w:rsidRDefault="00776BB9">
            <w:pPr>
              <w:jc w:val="right"/>
              <w:rPr>
                <w:rFonts w:asciiTheme="minorHAnsi" w:hAnsiTheme="minorHAnsi" w:cstheme="minorHAnsi"/>
                <w:color w:val="000000"/>
                <w:szCs w:val="20"/>
              </w:rPr>
            </w:pPr>
          </w:p>
        </w:tc>
        <w:tc>
          <w:tcPr>
            <w:tcW w:w="1183" w:type="dxa"/>
            <w:tcBorders>
              <w:top w:val="nil"/>
              <w:left w:val="nil"/>
              <w:bottom w:val="nil"/>
              <w:right w:val="nil"/>
            </w:tcBorders>
            <w:shd w:val="clear" w:color="auto" w:fill="auto"/>
            <w:vAlign w:val="center"/>
            <w:hideMark/>
          </w:tcPr>
          <w:p w14:paraId="1E724B0F" w14:textId="77777777"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2 300</w:t>
            </w:r>
          </w:p>
        </w:tc>
        <w:tc>
          <w:tcPr>
            <w:tcW w:w="1371" w:type="dxa"/>
            <w:tcBorders>
              <w:top w:val="nil"/>
              <w:left w:val="nil"/>
              <w:bottom w:val="nil"/>
              <w:right w:val="nil"/>
            </w:tcBorders>
            <w:shd w:val="clear" w:color="auto" w:fill="auto"/>
            <w:vAlign w:val="center"/>
            <w:hideMark/>
          </w:tcPr>
          <w:p w14:paraId="21B63F57" w14:textId="77777777"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113" w:type="dxa"/>
            <w:tcBorders>
              <w:top w:val="nil"/>
              <w:left w:val="nil"/>
              <w:bottom w:val="nil"/>
              <w:right w:val="nil"/>
            </w:tcBorders>
            <w:shd w:val="clear" w:color="auto" w:fill="auto"/>
            <w:vAlign w:val="center"/>
            <w:hideMark/>
          </w:tcPr>
          <w:p w14:paraId="67A8AB9E" w14:textId="77777777"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113</w:t>
            </w:r>
          </w:p>
        </w:tc>
      </w:tr>
      <w:tr w:rsidR="00776BB9" w:rsidRPr="00C73365" w14:paraId="0EE52665" w14:textId="77777777" w:rsidTr="00793DCB">
        <w:trPr>
          <w:trHeight w:val="279"/>
        </w:trPr>
        <w:tc>
          <w:tcPr>
            <w:tcW w:w="1764" w:type="dxa"/>
            <w:tcBorders>
              <w:top w:val="nil"/>
              <w:left w:val="nil"/>
              <w:bottom w:val="nil"/>
              <w:right w:val="nil"/>
            </w:tcBorders>
            <w:shd w:val="clear" w:color="auto" w:fill="auto"/>
            <w:vAlign w:val="center"/>
            <w:hideMark/>
          </w:tcPr>
          <w:p w14:paraId="66707186" w14:textId="77777777" w:rsidR="00776BB9" w:rsidRPr="00C73365" w:rsidRDefault="00776BB9">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BPI A1006002G - nouveaux adjuvants vaccinaux</w:t>
            </w:r>
          </w:p>
        </w:tc>
        <w:tc>
          <w:tcPr>
            <w:tcW w:w="1183" w:type="dxa"/>
            <w:tcBorders>
              <w:top w:val="nil"/>
              <w:left w:val="nil"/>
              <w:bottom w:val="nil"/>
              <w:right w:val="nil"/>
            </w:tcBorders>
            <w:shd w:val="clear" w:color="auto" w:fill="auto"/>
            <w:vAlign w:val="center"/>
            <w:hideMark/>
          </w:tcPr>
          <w:p w14:paraId="02C0033E"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896" w:type="dxa"/>
            <w:tcBorders>
              <w:top w:val="nil"/>
              <w:left w:val="nil"/>
              <w:bottom w:val="nil"/>
              <w:right w:val="nil"/>
            </w:tcBorders>
            <w:shd w:val="clear" w:color="auto" w:fill="auto"/>
            <w:vAlign w:val="center"/>
            <w:hideMark/>
          </w:tcPr>
          <w:p w14:paraId="1B4901AC" w14:textId="77777777" w:rsidR="00776BB9" w:rsidRPr="00C73365" w:rsidRDefault="00776BB9">
            <w:pPr>
              <w:jc w:val="right"/>
              <w:rPr>
                <w:rFonts w:asciiTheme="minorHAnsi" w:hAnsiTheme="minorHAnsi" w:cstheme="minorHAnsi"/>
                <w:color w:val="000000"/>
                <w:szCs w:val="20"/>
              </w:rPr>
            </w:pPr>
          </w:p>
        </w:tc>
        <w:tc>
          <w:tcPr>
            <w:tcW w:w="1285" w:type="dxa"/>
            <w:tcBorders>
              <w:top w:val="nil"/>
              <w:left w:val="nil"/>
              <w:bottom w:val="nil"/>
              <w:right w:val="nil"/>
            </w:tcBorders>
            <w:shd w:val="clear" w:color="auto" w:fill="auto"/>
            <w:vAlign w:val="center"/>
            <w:hideMark/>
          </w:tcPr>
          <w:p w14:paraId="5AD1D40A"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183" w:type="dxa"/>
            <w:tcBorders>
              <w:top w:val="nil"/>
              <w:left w:val="nil"/>
              <w:bottom w:val="nil"/>
              <w:right w:val="nil"/>
            </w:tcBorders>
            <w:shd w:val="clear" w:color="auto" w:fill="auto"/>
            <w:vAlign w:val="center"/>
            <w:hideMark/>
          </w:tcPr>
          <w:p w14:paraId="3EC06916"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371" w:type="dxa"/>
            <w:tcBorders>
              <w:top w:val="nil"/>
              <w:left w:val="nil"/>
              <w:bottom w:val="nil"/>
              <w:right w:val="nil"/>
            </w:tcBorders>
            <w:shd w:val="clear" w:color="auto" w:fill="auto"/>
            <w:vAlign w:val="center"/>
            <w:hideMark/>
          </w:tcPr>
          <w:p w14:paraId="768C4895" w14:textId="77777777" w:rsidR="00776BB9" w:rsidRPr="00C73365" w:rsidRDefault="00776BB9">
            <w:pPr>
              <w:jc w:val="right"/>
              <w:rPr>
                <w:rFonts w:asciiTheme="minorHAnsi" w:hAnsiTheme="minorHAnsi" w:cstheme="minorHAnsi"/>
                <w:color w:val="000000"/>
                <w:szCs w:val="20"/>
              </w:rPr>
            </w:pPr>
          </w:p>
        </w:tc>
        <w:tc>
          <w:tcPr>
            <w:tcW w:w="1113" w:type="dxa"/>
            <w:tcBorders>
              <w:top w:val="nil"/>
              <w:left w:val="nil"/>
              <w:bottom w:val="nil"/>
              <w:right w:val="nil"/>
            </w:tcBorders>
            <w:shd w:val="clear" w:color="auto" w:fill="auto"/>
            <w:vAlign w:val="center"/>
            <w:hideMark/>
          </w:tcPr>
          <w:p w14:paraId="7EC962ED"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r>
      <w:tr w:rsidR="00776BB9" w:rsidRPr="00C73365" w14:paraId="79FFD3D3" w14:textId="77777777" w:rsidTr="00793DCB">
        <w:trPr>
          <w:trHeight w:val="279"/>
        </w:trPr>
        <w:tc>
          <w:tcPr>
            <w:tcW w:w="1764" w:type="dxa"/>
            <w:tcBorders>
              <w:top w:val="nil"/>
              <w:left w:val="nil"/>
              <w:bottom w:val="nil"/>
              <w:right w:val="nil"/>
            </w:tcBorders>
            <w:shd w:val="clear" w:color="auto" w:fill="auto"/>
            <w:vAlign w:val="center"/>
            <w:hideMark/>
          </w:tcPr>
          <w:p w14:paraId="07FEB3C2" w14:textId="77777777"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EBOLA</w:t>
            </w:r>
          </w:p>
        </w:tc>
        <w:tc>
          <w:tcPr>
            <w:tcW w:w="1183" w:type="dxa"/>
            <w:tcBorders>
              <w:top w:val="nil"/>
              <w:left w:val="nil"/>
              <w:bottom w:val="nil"/>
              <w:right w:val="nil"/>
            </w:tcBorders>
            <w:shd w:val="clear" w:color="auto" w:fill="auto"/>
            <w:vAlign w:val="center"/>
            <w:hideMark/>
          </w:tcPr>
          <w:p w14:paraId="5142BC64" w14:textId="77777777" w:rsidR="00776BB9" w:rsidRPr="00C73365" w:rsidRDefault="00776BB9">
            <w:pPr>
              <w:jc w:val="right"/>
              <w:rPr>
                <w:rFonts w:asciiTheme="minorHAnsi" w:hAnsiTheme="minorHAnsi" w:cstheme="minorHAnsi"/>
                <w:color w:val="000000"/>
                <w:szCs w:val="20"/>
              </w:rPr>
            </w:pPr>
          </w:p>
        </w:tc>
        <w:tc>
          <w:tcPr>
            <w:tcW w:w="896" w:type="dxa"/>
            <w:tcBorders>
              <w:top w:val="nil"/>
              <w:left w:val="nil"/>
              <w:bottom w:val="nil"/>
              <w:right w:val="nil"/>
            </w:tcBorders>
            <w:shd w:val="clear" w:color="auto" w:fill="auto"/>
            <w:vAlign w:val="center"/>
            <w:hideMark/>
          </w:tcPr>
          <w:p w14:paraId="08423AE6"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285" w:type="dxa"/>
            <w:tcBorders>
              <w:top w:val="nil"/>
              <w:left w:val="nil"/>
              <w:bottom w:val="nil"/>
              <w:right w:val="nil"/>
            </w:tcBorders>
            <w:shd w:val="clear" w:color="auto" w:fill="auto"/>
            <w:vAlign w:val="center"/>
            <w:hideMark/>
          </w:tcPr>
          <w:p w14:paraId="6FDA329D" w14:textId="77777777" w:rsidR="00776BB9" w:rsidRPr="00C73365" w:rsidRDefault="00776BB9">
            <w:pPr>
              <w:jc w:val="right"/>
              <w:rPr>
                <w:rFonts w:asciiTheme="minorHAnsi" w:hAnsiTheme="minorHAnsi" w:cstheme="minorHAnsi"/>
                <w:color w:val="000000"/>
                <w:szCs w:val="20"/>
              </w:rPr>
            </w:pPr>
          </w:p>
        </w:tc>
        <w:tc>
          <w:tcPr>
            <w:tcW w:w="1183" w:type="dxa"/>
            <w:tcBorders>
              <w:top w:val="nil"/>
              <w:left w:val="nil"/>
              <w:bottom w:val="nil"/>
              <w:right w:val="nil"/>
            </w:tcBorders>
            <w:shd w:val="clear" w:color="auto" w:fill="auto"/>
            <w:vAlign w:val="center"/>
            <w:hideMark/>
          </w:tcPr>
          <w:p w14:paraId="20D49F8E"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371" w:type="dxa"/>
            <w:tcBorders>
              <w:top w:val="nil"/>
              <w:left w:val="nil"/>
              <w:bottom w:val="nil"/>
              <w:right w:val="nil"/>
            </w:tcBorders>
            <w:shd w:val="clear" w:color="auto" w:fill="auto"/>
            <w:vAlign w:val="center"/>
            <w:hideMark/>
          </w:tcPr>
          <w:p w14:paraId="17F9E16E"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13" w:type="dxa"/>
            <w:tcBorders>
              <w:top w:val="nil"/>
              <w:left w:val="nil"/>
              <w:bottom w:val="nil"/>
              <w:right w:val="nil"/>
            </w:tcBorders>
            <w:shd w:val="clear" w:color="auto" w:fill="auto"/>
            <w:vAlign w:val="center"/>
            <w:hideMark/>
          </w:tcPr>
          <w:p w14:paraId="684A0071" w14:textId="77777777" w:rsidR="00776BB9" w:rsidRPr="00C73365" w:rsidRDefault="00776BB9">
            <w:pPr>
              <w:jc w:val="right"/>
              <w:rPr>
                <w:rFonts w:asciiTheme="minorHAnsi" w:hAnsiTheme="minorHAnsi" w:cstheme="minorHAnsi"/>
                <w:color w:val="000000"/>
                <w:szCs w:val="20"/>
              </w:rPr>
            </w:pPr>
          </w:p>
        </w:tc>
      </w:tr>
      <w:tr w:rsidR="00776BB9" w:rsidRPr="00C73365" w14:paraId="51A78A4C" w14:textId="77777777" w:rsidTr="00793DCB">
        <w:trPr>
          <w:trHeight w:val="290"/>
        </w:trPr>
        <w:tc>
          <w:tcPr>
            <w:tcW w:w="1764" w:type="dxa"/>
            <w:tcBorders>
              <w:top w:val="nil"/>
              <w:left w:val="nil"/>
              <w:bottom w:val="single" w:sz="8" w:space="0" w:color="7030A0"/>
              <w:right w:val="nil"/>
            </w:tcBorders>
            <w:shd w:val="clear" w:color="auto" w:fill="auto"/>
            <w:vAlign w:val="center"/>
            <w:hideMark/>
          </w:tcPr>
          <w:p w14:paraId="666E519E" w14:textId="77777777"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RNPVIR</w:t>
            </w:r>
          </w:p>
        </w:tc>
        <w:tc>
          <w:tcPr>
            <w:tcW w:w="1183" w:type="dxa"/>
            <w:tcBorders>
              <w:top w:val="nil"/>
              <w:left w:val="nil"/>
              <w:bottom w:val="single" w:sz="8" w:space="0" w:color="7030A0"/>
              <w:right w:val="nil"/>
            </w:tcBorders>
            <w:shd w:val="clear" w:color="auto" w:fill="auto"/>
            <w:vAlign w:val="center"/>
            <w:hideMark/>
          </w:tcPr>
          <w:p w14:paraId="313DFFED"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96" w:type="dxa"/>
            <w:tcBorders>
              <w:top w:val="nil"/>
              <w:left w:val="nil"/>
              <w:bottom w:val="single" w:sz="8" w:space="0" w:color="7030A0"/>
              <w:right w:val="nil"/>
            </w:tcBorders>
            <w:shd w:val="clear" w:color="auto" w:fill="auto"/>
            <w:vAlign w:val="center"/>
            <w:hideMark/>
          </w:tcPr>
          <w:p w14:paraId="329005A9"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285" w:type="dxa"/>
            <w:tcBorders>
              <w:top w:val="nil"/>
              <w:left w:val="nil"/>
              <w:bottom w:val="single" w:sz="8" w:space="0" w:color="7030A0"/>
              <w:right w:val="nil"/>
            </w:tcBorders>
            <w:shd w:val="clear" w:color="auto" w:fill="auto"/>
            <w:vAlign w:val="center"/>
            <w:hideMark/>
          </w:tcPr>
          <w:p w14:paraId="5A35E0B6"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183" w:type="dxa"/>
            <w:tcBorders>
              <w:top w:val="nil"/>
              <w:left w:val="nil"/>
              <w:bottom w:val="single" w:sz="8" w:space="0" w:color="7030A0"/>
              <w:right w:val="nil"/>
            </w:tcBorders>
            <w:shd w:val="clear" w:color="auto" w:fill="auto"/>
            <w:vAlign w:val="center"/>
            <w:hideMark/>
          </w:tcPr>
          <w:p w14:paraId="5FFA886C"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371" w:type="dxa"/>
            <w:tcBorders>
              <w:top w:val="nil"/>
              <w:left w:val="nil"/>
              <w:bottom w:val="single" w:sz="8" w:space="0" w:color="7030A0"/>
              <w:right w:val="nil"/>
            </w:tcBorders>
            <w:shd w:val="clear" w:color="auto" w:fill="auto"/>
            <w:vAlign w:val="center"/>
            <w:hideMark/>
          </w:tcPr>
          <w:p w14:paraId="29507D10"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113" w:type="dxa"/>
            <w:tcBorders>
              <w:top w:val="nil"/>
              <w:left w:val="nil"/>
              <w:bottom w:val="single" w:sz="8" w:space="0" w:color="7030A0"/>
              <w:right w:val="nil"/>
            </w:tcBorders>
            <w:shd w:val="clear" w:color="auto" w:fill="auto"/>
            <w:vAlign w:val="center"/>
            <w:hideMark/>
          </w:tcPr>
          <w:p w14:paraId="0FDAA2E3" w14:textId="77777777"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776BB9" w:rsidRPr="00C73365" w14:paraId="6256559C" w14:textId="77777777" w:rsidTr="00793DCB">
        <w:trPr>
          <w:trHeight w:val="290"/>
        </w:trPr>
        <w:tc>
          <w:tcPr>
            <w:tcW w:w="1764" w:type="dxa"/>
            <w:tcBorders>
              <w:top w:val="nil"/>
              <w:left w:val="nil"/>
              <w:bottom w:val="single" w:sz="8" w:space="0" w:color="7030A0"/>
              <w:right w:val="nil"/>
            </w:tcBorders>
            <w:shd w:val="clear" w:color="auto" w:fill="auto"/>
            <w:vAlign w:val="center"/>
            <w:hideMark/>
          </w:tcPr>
          <w:p w14:paraId="2371696A" w14:textId="77777777" w:rsidR="00776BB9" w:rsidRPr="00C73365" w:rsidRDefault="00776BB9">
            <w:pPr>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183" w:type="dxa"/>
            <w:tcBorders>
              <w:top w:val="nil"/>
              <w:left w:val="nil"/>
              <w:bottom w:val="single" w:sz="8" w:space="0" w:color="7030A0"/>
              <w:right w:val="nil"/>
            </w:tcBorders>
            <w:shd w:val="clear" w:color="auto" w:fill="auto"/>
            <w:vAlign w:val="center"/>
            <w:hideMark/>
          </w:tcPr>
          <w:p w14:paraId="50E5DF40" w14:textId="77777777"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2 524</w:t>
            </w:r>
          </w:p>
        </w:tc>
        <w:tc>
          <w:tcPr>
            <w:tcW w:w="896" w:type="dxa"/>
            <w:tcBorders>
              <w:top w:val="nil"/>
              <w:left w:val="nil"/>
              <w:bottom w:val="single" w:sz="8" w:space="0" w:color="7030A0"/>
              <w:right w:val="nil"/>
            </w:tcBorders>
            <w:shd w:val="clear" w:color="auto" w:fill="auto"/>
            <w:vAlign w:val="center"/>
            <w:hideMark/>
          </w:tcPr>
          <w:p w14:paraId="1DB268A1" w14:textId="77777777"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2 087</w:t>
            </w:r>
          </w:p>
        </w:tc>
        <w:tc>
          <w:tcPr>
            <w:tcW w:w="1285" w:type="dxa"/>
            <w:tcBorders>
              <w:top w:val="nil"/>
              <w:left w:val="nil"/>
              <w:bottom w:val="single" w:sz="8" w:space="0" w:color="7030A0"/>
              <w:right w:val="nil"/>
            </w:tcBorders>
            <w:shd w:val="clear" w:color="auto" w:fill="auto"/>
            <w:vAlign w:val="center"/>
            <w:hideMark/>
          </w:tcPr>
          <w:p w14:paraId="60649BD0" w14:textId="77777777"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85</w:t>
            </w:r>
          </w:p>
        </w:tc>
        <w:tc>
          <w:tcPr>
            <w:tcW w:w="1183" w:type="dxa"/>
            <w:tcBorders>
              <w:top w:val="nil"/>
              <w:left w:val="nil"/>
              <w:bottom w:val="single" w:sz="8" w:space="0" w:color="7030A0"/>
              <w:right w:val="nil"/>
            </w:tcBorders>
            <w:shd w:val="clear" w:color="auto" w:fill="auto"/>
            <w:vAlign w:val="center"/>
            <w:hideMark/>
          </w:tcPr>
          <w:p w14:paraId="0EBA64AA" w14:textId="77777777"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4 526</w:t>
            </w:r>
          </w:p>
        </w:tc>
        <w:tc>
          <w:tcPr>
            <w:tcW w:w="1371" w:type="dxa"/>
            <w:tcBorders>
              <w:top w:val="nil"/>
              <w:left w:val="nil"/>
              <w:bottom w:val="single" w:sz="8" w:space="0" w:color="7030A0"/>
              <w:right w:val="nil"/>
            </w:tcBorders>
            <w:shd w:val="clear" w:color="auto" w:fill="auto"/>
            <w:vAlign w:val="center"/>
            <w:hideMark/>
          </w:tcPr>
          <w:p w14:paraId="1FB48907" w14:textId="77777777"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 xml:space="preserve">4 </w:t>
            </w:r>
            <w:r w:rsidR="00AF7F7C" w:rsidRPr="00C73365">
              <w:rPr>
                <w:rFonts w:asciiTheme="minorHAnsi" w:hAnsiTheme="minorHAnsi" w:cstheme="minorHAnsi"/>
                <w:color w:val="7030A0"/>
                <w:szCs w:val="20"/>
              </w:rPr>
              <w:t>254</w:t>
            </w:r>
          </w:p>
        </w:tc>
        <w:tc>
          <w:tcPr>
            <w:tcW w:w="1113" w:type="dxa"/>
            <w:tcBorders>
              <w:top w:val="nil"/>
              <w:left w:val="nil"/>
              <w:bottom w:val="single" w:sz="8" w:space="0" w:color="7030A0"/>
              <w:right w:val="nil"/>
            </w:tcBorders>
            <w:shd w:val="clear" w:color="auto" w:fill="auto"/>
            <w:vAlign w:val="center"/>
            <w:hideMark/>
          </w:tcPr>
          <w:p w14:paraId="6BF99F04" w14:textId="77777777"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170</w:t>
            </w:r>
          </w:p>
        </w:tc>
      </w:tr>
    </w:tbl>
    <w:p w14:paraId="251F36F0" w14:textId="77777777" w:rsidR="00776BB9" w:rsidRPr="00C73365" w:rsidRDefault="009C56EA" w:rsidP="004572A0">
      <w:pPr>
        <w:pStyle w:val="Corpsdetexte"/>
        <w:rPr>
          <w:rFonts w:asciiTheme="minorHAnsi" w:hAnsiTheme="minorHAnsi" w:cstheme="minorHAnsi"/>
          <w:lang w:val="fr-FR" w:eastAsia="fr-FR"/>
        </w:rPr>
      </w:pPr>
      <w:r w:rsidRPr="00C73365">
        <w:rPr>
          <w:rFonts w:asciiTheme="minorHAnsi" w:hAnsiTheme="minorHAnsi" w:cstheme="minorHAnsi"/>
          <w:lang w:val="fr-FR"/>
        </w:rPr>
        <w:t xml:space="preserve">* : En 2016 : </w:t>
      </w:r>
      <w:r w:rsidR="009D5152" w:rsidRPr="00C73365">
        <w:rPr>
          <w:rFonts w:asciiTheme="minorHAnsi" w:hAnsiTheme="minorHAnsi" w:cstheme="minorHAnsi"/>
          <w:lang w:val="fr-FR"/>
        </w:rPr>
        <w:t xml:space="preserve">2269 </w:t>
      </w:r>
      <w:r w:rsidRPr="00C73365">
        <w:rPr>
          <w:rFonts w:asciiTheme="minorHAnsi" w:hAnsiTheme="minorHAnsi" w:cstheme="minorHAnsi"/>
          <w:lang w:val="fr-FR"/>
        </w:rPr>
        <w:t>€ comprends</w:t>
      </w:r>
      <w:r w:rsidR="009D5152" w:rsidRPr="00C73365">
        <w:rPr>
          <w:rFonts w:asciiTheme="minorHAnsi" w:hAnsiTheme="minorHAnsi" w:cstheme="minorHAnsi"/>
          <w:lang w:val="fr-FR"/>
        </w:rPr>
        <w:t xml:space="preserve"> les avances remboursables reçues par </w:t>
      </w:r>
      <w:r w:rsidR="00EF089C" w:rsidRPr="00C73365">
        <w:rPr>
          <w:rFonts w:asciiTheme="minorHAnsi" w:hAnsiTheme="minorHAnsi" w:cstheme="minorHAnsi"/>
          <w:lang w:val="fr-FR"/>
        </w:rPr>
        <w:t>ABIVAX</w:t>
      </w:r>
      <w:r w:rsidR="009D5152" w:rsidRPr="00C73365">
        <w:rPr>
          <w:rFonts w:asciiTheme="minorHAnsi" w:hAnsiTheme="minorHAnsi" w:cstheme="minorHAnsi"/>
          <w:lang w:val="fr-FR"/>
        </w:rPr>
        <w:t xml:space="preserve"> (</w:t>
      </w:r>
      <w:r w:rsidRPr="00C73365">
        <w:rPr>
          <w:rFonts w:asciiTheme="minorHAnsi" w:hAnsiTheme="minorHAnsi" w:cstheme="minorHAnsi"/>
          <w:lang w:val="fr-FR"/>
        </w:rPr>
        <w:t>2 187</w:t>
      </w:r>
      <w:r w:rsidR="00EF089C" w:rsidRPr="00C73365">
        <w:rPr>
          <w:rFonts w:asciiTheme="minorHAnsi" w:hAnsiTheme="minorHAnsi" w:cstheme="minorHAnsi"/>
          <w:lang w:val="fr-FR"/>
        </w:rPr>
        <w:t>K€</w:t>
      </w:r>
      <w:r w:rsidRPr="00C73365">
        <w:rPr>
          <w:rFonts w:asciiTheme="minorHAnsi" w:hAnsiTheme="minorHAnsi" w:cstheme="minorHAnsi"/>
          <w:lang w:val="fr-FR"/>
        </w:rPr>
        <w:t>)</w:t>
      </w:r>
      <w:r w:rsidR="009D5152" w:rsidRPr="00C73365">
        <w:rPr>
          <w:rFonts w:asciiTheme="minorHAnsi" w:hAnsiTheme="minorHAnsi" w:cstheme="minorHAnsi"/>
          <w:lang w:val="fr-FR"/>
        </w:rPr>
        <w:t xml:space="preserve"> et les </w:t>
      </w:r>
      <w:r w:rsidR="005C2F77" w:rsidRPr="00C73365">
        <w:rPr>
          <w:rFonts w:asciiTheme="minorHAnsi" w:hAnsiTheme="minorHAnsi" w:cstheme="minorHAnsi"/>
          <w:lang w:val="fr-FR" w:eastAsia="fr-FR"/>
        </w:rPr>
        <w:t xml:space="preserve">intérêts courus : </w:t>
      </w:r>
      <w:r w:rsidR="00FA41A3" w:rsidRPr="00C73365">
        <w:rPr>
          <w:rFonts w:asciiTheme="minorHAnsi" w:hAnsiTheme="minorHAnsi" w:cstheme="minorHAnsi"/>
          <w:lang w:val="fr-FR" w:eastAsia="fr-FR"/>
        </w:rPr>
        <w:t>21</w:t>
      </w:r>
      <w:r w:rsidR="00EF089C" w:rsidRPr="00C73365">
        <w:rPr>
          <w:rFonts w:asciiTheme="minorHAnsi" w:hAnsiTheme="minorHAnsi" w:cstheme="minorHAnsi"/>
          <w:lang w:val="fr-FR" w:eastAsia="fr-FR"/>
        </w:rPr>
        <w:t>K€</w:t>
      </w:r>
      <w:r w:rsidR="00776BB9" w:rsidRPr="00C73365">
        <w:rPr>
          <w:rFonts w:asciiTheme="minorHAnsi" w:hAnsiTheme="minorHAnsi" w:cstheme="minorHAnsi"/>
          <w:lang w:val="fr-FR" w:eastAsia="fr-FR"/>
        </w:rPr>
        <w:t xml:space="preserve"> </w:t>
      </w:r>
      <w:r w:rsidR="006B447F" w:rsidRPr="00C73365">
        <w:rPr>
          <w:rFonts w:asciiTheme="minorHAnsi" w:hAnsiTheme="minorHAnsi" w:cstheme="minorHAnsi"/>
          <w:lang w:val="fr-FR" w:eastAsia="fr-FR"/>
        </w:rPr>
        <w:t>d’intérêts</w:t>
      </w:r>
      <w:r w:rsidR="00CF771F" w:rsidRPr="00C73365">
        <w:rPr>
          <w:rFonts w:asciiTheme="minorHAnsi" w:hAnsiTheme="minorHAnsi" w:cstheme="minorHAnsi"/>
          <w:lang w:val="fr-FR" w:eastAsia="fr-FR"/>
        </w:rPr>
        <w:t xml:space="preserve"> courus</w:t>
      </w:r>
      <w:r w:rsidR="009D5152" w:rsidRPr="00C73365">
        <w:rPr>
          <w:rFonts w:asciiTheme="minorHAnsi" w:hAnsiTheme="minorHAnsi" w:cstheme="minorHAnsi"/>
          <w:lang w:val="fr-FR" w:eastAsia="fr-FR"/>
        </w:rPr>
        <w:t xml:space="preserve"> comptabilisé sur le compte 167 400 et </w:t>
      </w:r>
      <w:r w:rsidRPr="00C73365">
        <w:rPr>
          <w:rFonts w:asciiTheme="minorHAnsi" w:hAnsiTheme="minorHAnsi" w:cstheme="minorHAnsi"/>
          <w:lang w:val="fr-FR" w:eastAsia="fr-FR"/>
        </w:rPr>
        <w:t>61</w:t>
      </w:r>
      <w:r w:rsidR="00EF089C" w:rsidRPr="00C73365">
        <w:rPr>
          <w:rFonts w:asciiTheme="minorHAnsi" w:hAnsiTheme="minorHAnsi" w:cstheme="minorHAnsi"/>
          <w:lang w:val="fr-FR" w:eastAsia="fr-FR"/>
        </w:rPr>
        <w:t>K€</w:t>
      </w:r>
      <w:r w:rsidR="009D5152" w:rsidRPr="00C73365">
        <w:rPr>
          <w:rFonts w:asciiTheme="minorHAnsi" w:hAnsiTheme="minorHAnsi" w:cstheme="minorHAnsi"/>
          <w:lang w:val="fr-FR" w:eastAsia="fr-FR"/>
        </w:rPr>
        <w:t xml:space="preserve"> d’intérêts courus comptabilisés sur le compte 168 810 </w:t>
      </w:r>
      <w:r w:rsidRPr="00C73365">
        <w:rPr>
          <w:rFonts w:asciiTheme="minorHAnsi" w:hAnsiTheme="minorHAnsi" w:cstheme="minorHAnsi"/>
          <w:lang w:val="fr-FR" w:eastAsia="fr-FR"/>
        </w:rPr>
        <w:t>en 2016 (contre 92</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 xml:space="preserve"> en 2017) </w:t>
      </w:r>
      <w:r w:rsidR="009D5152" w:rsidRPr="00C73365">
        <w:rPr>
          <w:rFonts w:asciiTheme="minorHAnsi" w:hAnsiTheme="minorHAnsi" w:cstheme="minorHAnsi"/>
          <w:lang w:val="fr-FR" w:eastAsia="fr-FR"/>
        </w:rPr>
        <w:t>soit 31k</w:t>
      </w:r>
      <w:r w:rsidRPr="00C73365">
        <w:rPr>
          <w:rFonts w:asciiTheme="minorHAnsi" w:hAnsiTheme="minorHAnsi" w:cstheme="minorHAnsi"/>
          <w:lang w:val="fr-FR" w:eastAsia="fr-FR"/>
        </w:rPr>
        <w:t>e</w:t>
      </w:r>
      <w:r w:rsidR="009D5152" w:rsidRPr="00C73365">
        <w:rPr>
          <w:rFonts w:asciiTheme="minorHAnsi" w:hAnsiTheme="minorHAnsi" w:cstheme="minorHAnsi"/>
          <w:lang w:val="fr-FR" w:eastAsia="fr-FR"/>
        </w:rPr>
        <w:t xml:space="preserve"> d’intérêts courus </w:t>
      </w:r>
      <w:r w:rsidRPr="00C73365">
        <w:rPr>
          <w:rFonts w:asciiTheme="minorHAnsi" w:hAnsiTheme="minorHAnsi" w:cstheme="minorHAnsi"/>
          <w:lang w:val="fr-FR" w:eastAsia="fr-FR"/>
        </w:rPr>
        <w:t xml:space="preserve">supplémentaires en </w:t>
      </w:r>
      <w:r w:rsidR="009D5152" w:rsidRPr="00C73365">
        <w:rPr>
          <w:rFonts w:asciiTheme="minorHAnsi" w:hAnsiTheme="minorHAnsi" w:cstheme="minorHAnsi"/>
          <w:lang w:val="fr-FR" w:eastAsia="fr-FR"/>
        </w:rPr>
        <w:t>2017</w:t>
      </w:r>
      <w:r w:rsidRPr="00C73365">
        <w:rPr>
          <w:rFonts w:asciiTheme="minorHAnsi" w:hAnsiTheme="minorHAnsi" w:cstheme="minorHAnsi"/>
          <w:lang w:val="fr-FR" w:eastAsia="fr-FR"/>
        </w:rPr>
        <w:t>, ce qui augmente le solde BPI-Carena à 2 300 € au 31/12/2017</w:t>
      </w:r>
      <w:r w:rsidR="009D5152" w:rsidRPr="00C73365">
        <w:rPr>
          <w:rFonts w:asciiTheme="minorHAnsi" w:hAnsiTheme="minorHAnsi" w:cstheme="minorHAnsi"/>
          <w:lang w:val="fr-FR" w:eastAsia="fr-FR"/>
        </w:rPr>
        <w:t>.</w:t>
      </w:r>
    </w:p>
    <w:bookmarkEnd w:id="369"/>
    <w:p w14:paraId="398B52EE" w14:textId="77777777" w:rsidR="00776BB9" w:rsidRPr="00C73365" w:rsidRDefault="00776BB9" w:rsidP="004572A0">
      <w:pPr>
        <w:pStyle w:val="Corpsdetexte"/>
        <w:rPr>
          <w:rFonts w:asciiTheme="minorHAnsi" w:hAnsiTheme="minorHAnsi" w:cstheme="minorHAnsi"/>
          <w:b/>
          <w:lang w:val="fr-FR"/>
        </w:rPr>
      </w:pPr>
      <w:r w:rsidRPr="00C73365">
        <w:rPr>
          <w:rFonts w:asciiTheme="minorHAnsi" w:hAnsiTheme="minorHAnsi" w:cstheme="minorHAnsi"/>
          <w:b/>
          <w:lang w:val="fr-FR"/>
        </w:rPr>
        <w:t>Emprunts et dettes financières – Autres</w:t>
      </w:r>
    </w:p>
    <w:p w14:paraId="30F941B7" w14:textId="77777777" w:rsidR="00776BB9" w:rsidRPr="00C73365" w:rsidRDefault="00776BB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Au 31/12/2017, compte tenu des remboursements déjà effectués, il reste 170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restant à rembourser sur le projet adjuvant (BPI A106002G)</w:t>
      </w:r>
      <w:r w:rsidR="00635502" w:rsidRPr="00C73365">
        <w:rPr>
          <w:rFonts w:asciiTheme="minorHAnsi" w:hAnsiTheme="minorHAnsi" w:cstheme="minorHAnsi"/>
          <w:lang w:val="fr-FR"/>
        </w:rPr>
        <w:t xml:space="preserve"> </w:t>
      </w:r>
      <w:r w:rsidR="00635502" w:rsidRPr="00C73365">
        <w:rPr>
          <w:rFonts w:asciiTheme="minorHAnsi" w:hAnsiTheme="minorHAnsi" w:cstheme="minorHAnsi"/>
          <w:color w:val="000000"/>
          <w:lang w:val="fr-FR"/>
        </w:rPr>
        <w:t xml:space="preserve">pour </w:t>
      </w:r>
      <w:r w:rsidR="00635502" w:rsidRPr="00C73365">
        <w:rPr>
          <w:rFonts w:asciiTheme="minorHAnsi" w:hAnsiTheme="minorHAnsi" w:cstheme="minorHAnsi"/>
          <w:lang w:val="fr-FR"/>
        </w:rPr>
        <w:t>un projet de développement de nouveaux adjuvants vaccinaux et évaluation clinique, en continuité avec le dossier A0805001G signé avec la société Wittycell en 2010.</w:t>
      </w:r>
    </w:p>
    <w:bookmarkEnd w:id="366"/>
    <w:p w14:paraId="655AC75F" w14:textId="77777777" w:rsidR="00F46C7B" w:rsidRPr="00C73365" w:rsidRDefault="00F46C7B">
      <w:pPr>
        <w:rPr>
          <w:rFonts w:asciiTheme="minorHAnsi" w:hAnsiTheme="minorHAnsi" w:cstheme="minorHAnsi"/>
          <w:color w:val="000000" w:themeColor="text1"/>
          <w:szCs w:val="20"/>
          <w:lang w:val="fr-FR"/>
        </w:rPr>
      </w:pPr>
      <w:r w:rsidRPr="00C73365">
        <w:rPr>
          <w:rFonts w:asciiTheme="minorHAnsi" w:hAnsiTheme="minorHAnsi" w:cstheme="minorHAnsi"/>
          <w:color w:val="000000" w:themeColor="text1"/>
          <w:szCs w:val="20"/>
          <w:lang w:val="fr-FR"/>
        </w:rPr>
        <w:br w:type="page"/>
      </w:r>
    </w:p>
    <w:p w14:paraId="669F62B3" w14:textId="77777777" w:rsidR="00F46C7B" w:rsidRPr="00C73365" w:rsidRDefault="00F46C7B" w:rsidP="007A1897">
      <w:pPr>
        <w:pStyle w:val="ConmainL1"/>
        <w:numPr>
          <w:ilvl w:val="0"/>
          <w:numId w:val="9"/>
        </w:numPr>
        <w:spacing w:after="120"/>
        <w:rPr>
          <w:rFonts w:asciiTheme="minorHAnsi" w:hAnsiTheme="minorHAnsi" w:cstheme="minorHAnsi"/>
          <w:lang w:val="fr-FR"/>
        </w:rPr>
      </w:pPr>
      <w:bookmarkStart w:id="370" w:name="_Toc474746871"/>
      <w:bookmarkStart w:id="371" w:name="_Toc478730331"/>
      <w:bookmarkStart w:id="372" w:name="_Toc478731123"/>
      <w:bookmarkStart w:id="373" w:name="_Toc479947077"/>
      <w:bookmarkStart w:id="374" w:name="_Toc478730332"/>
      <w:bookmarkStart w:id="375" w:name="_Toc478731124"/>
      <w:bookmarkStart w:id="376" w:name="_Toc479947078"/>
      <w:bookmarkStart w:id="377" w:name="_Toc478730333"/>
      <w:bookmarkStart w:id="378" w:name="_Toc478731125"/>
      <w:bookmarkStart w:id="379" w:name="_Toc479947079"/>
      <w:bookmarkStart w:id="380" w:name="_Toc478730334"/>
      <w:bookmarkStart w:id="381" w:name="_Toc478731126"/>
      <w:bookmarkStart w:id="382" w:name="_Toc479947080"/>
      <w:bookmarkStart w:id="383" w:name="_Toc478730335"/>
      <w:bookmarkStart w:id="384" w:name="_Toc478731127"/>
      <w:bookmarkStart w:id="385" w:name="_Toc479947081"/>
      <w:bookmarkStart w:id="386" w:name="_Toc478730336"/>
      <w:bookmarkStart w:id="387" w:name="_Toc478731128"/>
      <w:bookmarkStart w:id="388" w:name="_Toc479947082"/>
      <w:bookmarkStart w:id="389" w:name="_Toc478730337"/>
      <w:bookmarkStart w:id="390" w:name="_Toc478731129"/>
      <w:bookmarkStart w:id="391" w:name="_Toc479947083"/>
      <w:bookmarkStart w:id="392" w:name="_Toc478730338"/>
      <w:bookmarkStart w:id="393" w:name="_Toc478731130"/>
      <w:bookmarkStart w:id="394" w:name="_Toc479947084"/>
      <w:bookmarkStart w:id="395" w:name="_Toc478730339"/>
      <w:bookmarkStart w:id="396" w:name="_Toc478731131"/>
      <w:bookmarkStart w:id="397" w:name="_Toc479947085"/>
      <w:bookmarkStart w:id="398" w:name="_Toc478730340"/>
      <w:bookmarkStart w:id="399" w:name="_Toc478731132"/>
      <w:bookmarkStart w:id="400" w:name="_Toc479947086"/>
      <w:bookmarkStart w:id="401" w:name="_Toc478730341"/>
      <w:bookmarkStart w:id="402" w:name="_Toc478731133"/>
      <w:bookmarkStart w:id="403" w:name="_Toc479947087"/>
      <w:bookmarkStart w:id="404" w:name="_Toc478730342"/>
      <w:bookmarkStart w:id="405" w:name="_Toc478731134"/>
      <w:bookmarkStart w:id="406" w:name="_Toc479947088"/>
      <w:bookmarkStart w:id="407" w:name="_Toc478730343"/>
      <w:bookmarkStart w:id="408" w:name="_Toc478731135"/>
      <w:bookmarkStart w:id="409" w:name="_Toc479947089"/>
      <w:bookmarkStart w:id="410" w:name="_Toc478730344"/>
      <w:bookmarkStart w:id="411" w:name="_Toc478731136"/>
      <w:bookmarkStart w:id="412" w:name="_Toc479947090"/>
      <w:bookmarkStart w:id="413" w:name="_Toc478730345"/>
      <w:bookmarkStart w:id="414" w:name="_Toc478731137"/>
      <w:bookmarkStart w:id="415" w:name="_Toc479947091"/>
      <w:bookmarkStart w:id="416" w:name="_Toc478730346"/>
      <w:bookmarkStart w:id="417" w:name="_Toc478731138"/>
      <w:bookmarkStart w:id="418" w:name="_Toc479947092"/>
      <w:bookmarkStart w:id="419" w:name="_Toc478730347"/>
      <w:bookmarkStart w:id="420" w:name="_Toc478731139"/>
      <w:bookmarkStart w:id="421" w:name="_Toc479947093"/>
      <w:bookmarkStart w:id="422" w:name="_Toc478730348"/>
      <w:bookmarkStart w:id="423" w:name="_Toc478731140"/>
      <w:bookmarkStart w:id="424" w:name="_Toc479947094"/>
      <w:bookmarkStart w:id="425" w:name="_Toc478730437"/>
      <w:bookmarkStart w:id="426" w:name="_Toc478731229"/>
      <w:bookmarkStart w:id="427" w:name="_Toc479947183"/>
      <w:bookmarkStart w:id="428" w:name="_Toc478730438"/>
      <w:bookmarkStart w:id="429" w:name="_Toc478731230"/>
      <w:bookmarkStart w:id="430" w:name="_Toc479947184"/>
      <w:bookmarkStart w:id="431" w:name="_Toc478730439"/>
      <w:bookmarkStart w:id="432" w:name="_Toc478731231"/>
      <w:bookmarkStart w:id="433" w:name="_Toc479947185"/>
      <w:bookmarkStart w:id="434" w:name="_Toc478730440"/>
      <w:bookmarkStart w:id="435" w:name="_Toc478731232"/>
      <w:bookmarkStart w:id="436" w:name="_Toc479947186"/>
      <w:bookmarkStart w:id="437" w:name="_Toc478730441"/>
      <w:bookmarkStart w:id="438" w:name="_Toc478731233"/>
      <w:bookmarkStart w:id="439" w:name="_Toc479947187"/>
      <w:bookmarkStart w:id="440" w:name="_Toc478730442"/>
      <w:bookmarkStart w:id="441" w:name="_Toc478731234"/>
      <w:bookmarkStart w:id="442" w:name="_Toc479947188"/>
      <w:bookmarkStart w:id="443" w:name="_Toc478730443"/>
      <w:bookmarkStart w:id="444" w:name="_Toc478731235"/>
      <w:bookmarkStart w:id="445" w:name="_Toc479947189"/>
      <w:bookmarkStart w:id="446" w:name="_Toc478730444"/>
      <w:bookmarkStart w:id="447" w:name="_Toc478731236"/>
      <w:bookmarkStart w:id="448" w:name="_Toc479947190"/>
      <w:bookmarkStart w:id="449" w:name="_Toc478730445"/>
      <w:bookmarkStart w:id="450" w:name="_Toc478731237"/>
      <w:bookmarkStart w:id="451" w:name="_Toc479947191"/>
      <w:bookmarkStart w:id="452" w:name="_Toc478730446"/>
      <w:bookmarkStart w:id="453" w:name="_Toc478731238"/>
      <w:bookmarkStart w:id="454" w:name="_Toc479947192"/>
      <w:bookmarkStart w:id="455" w:name="_Toc478730447"/>
      <w:bookmarkStart w:id="456" w:name="_Toc478731239"/>
      <w:bookmarkStart w:id="457" w:name="_Toc479947193"/>
      <w:bookmarkStart w:id="458" w:name="_Toc478730448"/>
      <w:bookmarkStart w:id="459" w:name="_Toc478731240"/>
      <w:bookmarkStart w:id="460" w:name="_Toc479947194"/>
      <w:bookmarkStart w:id="461" w:name="_Toc478730449"/>
      <w:bookmarkStart w:id="462" w:name="_Toc478731241"/>
      <w:bookmarkStart w:id="463" w:name="_Toc479947195"/>
      <w:bookmarkStart w:id="464" w:name="_Toc478730487"/>
      <w:bookmarkStart w:id="465" w:name="_Toc478731279"/>
      <w:bookmarkStart w:id="466" w:name="_Toc479947233"/>
      <w:bookmarkStart w:id="467" w:name="_Toc478730488"/>
      <w:bookmarkStart w:id="468" w:name="_Toc478731280"/>
      <w:bookmarkStart w:id="469" w:name="_Toc479947234"/>
      <w:bookmarkStart w:id="470" w:name="_Toc478730489"/>
      <w:bookmarkStart w:id="471" w:name="_Toc478731281"/>
      <w:bookmarkStart w:id="472" w:name="_Toc479947235"/>
      <w:bookmarkStart w:id="473" w:name="_Toc478730490"/>
      <w:bookmarkStart w:id="474" w:name="_Toc478731282"/>
      <w:bookmarkStart w:id="475" w:name="_Toc479947236"/>
      <w:bookmarkStart w:id="476" w:name="_Toc478730491"/>
      <w:bookmarkStart w:id="477" w:name="_Toc478731283"/>
      <w:bookmarkStart w:id="478" w:name="_Toc479947237"/>
      <w:bookmarkStart w:id="479" w:name="_Toc478730585"/>
      <w:bookmarkStart w:id="480" w:name="_Toc478731377"/>
      <w:bookmarkStart w:id="481" w:name="_Toc479947331"/>
      <w:bookmarkStart w:id="482" w:name="_Toc478730586"/>
      <w:bookmarkStart w:id="483" w:name="_Toc478731378"/>
      <w:bookmarkStart w:id="484" w:name="_Toc479947332"/>
      <w:bookmarkStart w:id="485" w:name="_Toc478730587"/>
      <w:bookmarkStart w:id="486" w:name="_Toc478731379"/>
      <w:bookmarkStart w:id="487" w:name="_Toc479947333"/>
      <w:bookmarkStart w:id="488" w:name="_Toc478730588"/>
      <w:bookmarkStart w:id="489" w:name="_Toc478731380"/>
      <w:bookmarkStart w:id="490" w:name="_Toc479947334"/>
      <w:bookmarkStart w:id="491" w:name="_Toc478730589"/>
      <w:bookmarkStart w:id="492" w:name="_Toc478731381"/>
      <w:bookmarkStart w:id="493" w:name="_Toc479947335"/>
      <w:bookmarkStart w:id="494" w:name="_Toc478730590"/>
      <w:bookmarkStart w:id="495" w:name="_Toc478731382"/>
      <w:bookmarkStart w:id="496" w:name="_Toc479947336"/>
      <w:bookmarkStart w:id="497" w:name="_Toc478730591"/>
      <w:bookmarkStart w:id="498" w:name="_Toc478731383"/>
      <w:bookmarkStart w:id="499" w:name="_Toc479947337"/>
      <w:bookmarkStart w:id="500" w:name="_Toc478730592"/>
      <w:bookmarkStart w:id="501" w:name="_Toc478731384"/>
      <w:bookmarkStart w:id="502" w:name="_Toc479947338"/>
      <w:bookmarkStart w:id="503" w:name="_Toc478730593"/>
      <w:bookmarkStart w:id="504" w:name="_Toc478731385"/>
      <w:bookmarkStart w:id="505" w:name="_Toc479947339"/>
      <w:bookmarkStart w:id="506" w:name="_Toc478730594"/>
      <w:bookmarkStart w:id="507" w:name="_Toc478731386"/>
      <w:bookmarkStart w:id="508" w:name="_Toc479947340"/>
      <w:bookmarkStart w:id="509" w:name="_Toc478730595"/>
      <w:bookmarkStart w:id="510" w:name="_Toc478731387"/>
      <w:bookmarkStart w:id="511" w:name="_Toc479947341"/>
      <w:bookmarkStart w:id="512" w:name="_Toc478730596"/>
      <w:bookmarkStart w:id="513" w:name="_Toc478731388"/>
      <w:bookmarkStart w:id="514" w:name="_Toc479947342"/>
      <w:bookmarkStart w:id="515" w:name="_Toc478730597"/>
      <w:bookmarkStart w:id="516" w:name="_Toc478731389"/>
      <w:bookmarkStart w:id="517" w:name="_Toc479947343"/>
      <w:bookmarkStart w:id="518" w:name="_Toc478730598"/>
      <w:bookmarkStart w:id="519" w:name="_Toc478731390"/>
      <w:bookmarkStart w:id="520" w:name="_Toc479947344"/>
      <w:bookmarkStart w:id="521" w:name="_Toc478730599"/>
      <w:bookmarkStart w:id="522" w:name="_Toc478731391"/>
      <w:bookmarkStart w:id="523" w:name="_Toc479947345"/>
      <w:bookmarkStart w:id="524" w:name="_Toc478730600"/>
      <w:bookmarkStart w:id="525" w:name="_Toc478731392"/>
      <w:bookmarkStart w:id="526" w:name="_Toc479947346"/>
      <w:bookmarkStart w:id="527" w:name="_Toc478730601"/>
      <w:bookmarkStart w:id="528" w:name="_Toc478731393"/>
      <w:bookmarkStart w:id="529" w:name="_Toc479947347"/>
      <w:bookmarkStart w:id="530" w:name="_Toc478730602"/>
      <w:bookmarkStart w:id="531" w:name="_Toc478731394"/>
      <w:bookmarkStart w:id="532" w:name="_Toc479947348"/>
      <w:bookmarkStart w:id="533" w:name="_Toc478730603"/>
      <w:bookmarkStart w:id="534" w:name="_Toc478731395"/>
      <w:bookmarkStart w:id="535" w:name="_Toc479947349"/>
      <w:bookmarkStart w:id="536" w:name="_Toc478730632"/>
      <w:bookmarkStart w:id="537" w:name="_Toc478731424"/>
      <w:bookmarkStart w:id="538" w:name="_Toc479947378"/>
      <w:bookmarkStart w:id="539" w:name="_Toc478730633"/>
      <w:bookmarkStart w:id="540" w:name="_Toc478731425"/>
      <w:bookmarkStart w:id="541" w:name="_Toc479947379"/>
      <w:bookmarkStart w:id="542" w:name="_Toc478730634"/>
      <w:bookmarkStart w:id="543" w:name="_Toc478731426"/>
      <w:bookmarkStart w:id="544" w:name="_Toc479947380"/>
      <w:bookmarkStart w:id="545" w:name="_Toc478730635"/>
      <w:bookmarkStart w:id="546" w:name="_Toc478731427"/>
      <w:bookmarkStart w:id="547" w:name="_Toc479947381"/>
      <w:bookmarkStart w:id="548" w:name="_Toc478730636"/>
      <w:bookmarkStart w:id="549" w:name="_Toc478731428"/>
      <w:bookmarkStart w:id="550" w:name="_Toc479947382"/>
      <w:bookmarkStart w:id="551" w:name="_Toc478730637"/>
      <w:bookmarkStart w:id="552" w:name="_Toc478731429"/>
      <w:bookmarkStart w:id="553" w:name="_Toc479947383"/>
      <w:bookmarkStart w:id="554" w:name="_Toc478730638"/>
      <w:bookmarkStart w:id="555" w:name="_Toc478731430"/>
      <w:bookmarkStart w:id="556" w:name="_Toc479947384"/>
      <w:bookmarkStart w:id="557" w:name="_Toc478730639"/>
      <w:bookmarkStart w:id="558" w:name="_Toc478731431"/>
      <w:bookmarkStart w:id="559" w:name="_Toc479947385"/>
      <w:bookmarkStart w:id="560" w:name="_Toc478730640"/>
      <w:bookmarkStart w:id="561" w:name="_Toc478731432"/>
      <w:bookmarkStart w:id="562" w:name="_Toc479947386"/>
      <w:bookmarkStart w:id="563" w:name="_Toc478730641"/>
      <w:bookmarkStart w:id="564" w:name="_Toc478731433"/>
      <w:bookmarkStart w:id="565" w:name="_Toc479947387"/>
      <w:bookmarkStart w:id="566" w:name="_Toc478730642"/>
      <w:bookmarkStart w:id="567" w:name="_Toc478731434"/>
      <w:bookmarkStart w:id="568" w:name="_Toc479947388"/>
      <w:bookmarkStart w:id="569" w:name="_Toc478730643"/>
      <w:bookmarkStart w:id="570" w:name="_Toc478731435"/>
      <w:bookmarkStart w:id="571" w:name="_Toc479947389"/>
      <w:bookmarkStart w:id="572" w:name="_Toc478730644"/>
      <w:bookmarkStart w:id="573" w:name="_Toc478731436"/>
      <w:bookmarkStart w:id="574" w:name="_Toc479947390"/>
      <w:bookmarkStart w:id="575" w:name="_Toc478730645"/>
      <w:bookmarkStart w:id="576" w:name="_Toc478731437"/>
      <w:bookmarkStart w:id="577" w:name="_Toc479947391"/>
      <w:bookmarkStart w:id="578" w:name="_Toc478730646"/>
      <w:bookmarkStart w:id="579" w:name="_Toc478731438"/>
      <w:bookmarkStart w:id="580" w:name="_Toc479947392"/>
      <w:bookmarkStart w:id="581" w:name="_Toc478730647"/>
      <w:bookmarkStart w:id="582" w:name="_Toc478731439"/>
      <w:bookmarkStart w:id="583" w:name="_Toc479947393"/>
      <w:bookmarkStart w:id="584" w:name="_Toc478730648"/>
      <w:bookmarkStart w:id="585" w:name="_Toc478731440"/>
      <w:bookmarkStart w:id="586" w:name="_Toc479947394"/>
      <w:bookmarkStart w:id="587" w:name="_Toc478730681"/>
      <w:bookmarkStart w:id="588" w:name="_Toc478731473"/>
      <w:bookmarkStart w:id="589" w:name="_Toc479947427"/>
      <w:bookmarkStart w:id="590" w:name="_Toc478730682"/>
      <w:bookmarkStart w:id="591" w:name="_Toc478731474"/>
      <w:bookmarkStart w:id="592" w:name="_Toc479947428"/>
      <w:bookmarkStart w:id="593" w:name="_Toc478730683"/>
      <w:bookmarkStart w:id="594" w:name="_Toc478731475"/>
      <w:bookmarkStart w:id="595" w:name="_Toc479947429"/>
      <w:bookmarkStart w:id="596" w:name="_Toc478730684"/>
      <w:bookmarkStart w:id="597" w:name="_Toc478731476"/>
      <w:bookmarkStart w:id="598" w:name="_Toc479947430"/>
      <w:bookmarkStart w:id="599" w:name="_Toc478730685"/>
      <w:bookmarkStart w:id="600" w:name="_Toc478731477"/>
      <w:bookmarkStart w:id="601" w:name="_Toc479947431"/>
      <w:bookmarkStart w:id="602" w:name="_Toc478730686"/>
      <w:bookmarkStart w:id="603" w:name="_Toc478731478"/>
      <w:bookmarkStart w:id="604" w:name="_Toc479947432"/>
      <w:bookmarkStart w:id="605" w:name="_Toc478730763"/>
      <w:bookmarkStart w:id="606" w:name="_Toc478731555"/>
      <w:bookmarkStart w:id="607" w:name="_Toc479947509"/>
      <w:bookmarkStart w:id="608" w:name="_Toc478730764"/>
      <w:bookmarkStart w:id="609" w:name="_Toc478731556"/>
      <w:bookmarkStart w:id="610" w:name="_Toc479947510"/>
      <w:bookmarkStart w:id="611" w:name="_Toc478730765"/>
      <w:bookmarkStart w:id="612" w:name="_Toc478731557"/>
      <w:bookmarkStart w:id="613" w:name="_Toc479947511"/>
      <w:bookmarkStart w:id="614" w:name="_Toc478730766"/>
      <w:bookmarkStart w:id="615" w:name="_Toc478731558"/>
      <w:bookmarkStart w:id="616" w:name="_Toc479947512"/>
      <w:bookmarkStart w:id="617" w:name="_Toc478730767"/>
      <w:bookmarkStart w:id="618" w:name="_Toc478731559"/>
      <w:bookmarkStart w:id="619" w:name="_Toc479947513"/>
      <w:bookmarkStart w:id="620" w:name="_Toc478730768"/>
      <w:bookmarkStart w:id="621" w:name="_Toc478731560"/>
      <w:bookmarkStart w:id="622" w:name="_Toc479947514"/>
      <w:bookmarkStart w:id="623" w:name="_Toc478730769"/>
      <w:bookmarkStart w:id="624" w:name="_Toc478731561"/>
      <w:bookmarkStart w:id="625" w:name="_Toc479947515"/>
      <w:bookmarkStart w:id="626" w:name="_Toc478730868"/>
      <w:bookmarkStart w:id="627" w:name="_Toc478731660"/>
      <w:bookmarkStart w:id="628" w:name="_Toc479947614"/>
      <w:bookmarkStart w:id="629" w:name="_Toc478730869"/>
      <w:bookmarkStart w:id="630" w:name="_Toc478731661"/>
      <w:bookmarkStart w:id="631" w:name="_Toc479947615"/>
      <w:bookmarkStart w:id="632" w:name="_Toc478730870"/>
      <w:bookmarkStart w:id="633" w:name="_Toc478731662"/>
      <w:bookmarkStart w:id="634" w:name="_Toc479947616"/>
      <w:bookmarkStart w:id="635" w:name="_Toc478730871"/>
      <w:bookmarkStart w:id="636" w:name="_Toc478731663"/>
      <w:bookmarkStart w:id="637" w:name="_Toc479947617"/>
      <w:bookmarkStart w:id="638" w:name="_Toc478730872"/>
      <w:bookmarkStart w:id="639" w:name="_Toc478731664"/>
      <w:bookmarkStart w:id="640" w:name="_Toc479947618"/>
      <w:bookmarkStart w:id="641" w:name="_Toc478730873"/>
      <w:bookmarkStart w:id="642" w:name="_Toc478731665"/>
      <w:bookmarkStart w:id="643" w:name="_Toc479947619"/>
      <w:bookmarkStart w:id="644" w:name="_Toc478730874"/>
      <w:bookmarkStart w:id="645" w:name="_Toc478731666"/>
      <w:bookmarkStart w:id="646" w:name="_Toc479947620"/>
      <w:bookmarkStart w:id="647" w:name="_Toc478730875"/>
      <w:bookmarkStart w:id="648" w:name="_Toc478731667"/>
      <w:bookmarkStart w:id="649" w:name="_Toc479947621"/>
      <w:bookmarkStart w:id="650" w:name="_Toc478730876"/>
      <w:bookmarkStart w:id="651" w:name="_Toc478731668"/>
      <w:bookmarkStart w:id="652" w:name="_Toc479947622"/>
      <w:bookmarkStart w:id="653" w:name="_Toc478730877"/>
      <w:bookmarkStart w:id="654" w:name="_Toc478731669"/>
      <w:bookmarkStart w:id="655" w:name="_Toc479947623"/>
      <w:bookmarkStart w:id="656" w:name="_Toc478730878"/>
      <w:bookmarkStart w:id="657" w:name="_Toc478731670"/>
      <w:bookmarkStart w:id="658" w:name="_Toc479947624"/>
      <w:bookmarkStart w:id="659" w:name="_Toc478730879"/>
      <w:bookmarkStart w:id="660" w:name="_Toc478731671"/>
      <w:bookmarkStart w:id="661" w:name="_Toc479947625"/>
      <w:bookmarkStart w:id="662" w:name="_Toc478730880"/>
      <w:bookmarkStart w:id="663" w:name="_Toc478731672"/>
      <w:bookmarkStart w:id="664" w:name="_Toc479947626"/>
      <w:bookmarkStart w:id="665" w:name="_Toc478730881"/>
      <w:bookmarkStart w:id="666" w:name="_Toc478731673"/>
      <w:bookmarkStart w:id="667" w:name="_Toc479947627"/>
      <w:bookmarkStart w:id="668" w:name="_Toc462673251"/>
      <w:bookmarkStart w:id="669" w:name="_Toc467835598"/>
      <w:bookmarkStart w:id="670" w:name="_Toc510548424"/>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C73365">
        <w:rPr>
          <w:rFonts w:asciiTheme="minorHAnsi" w:hAnsiTheme="minorHAnsi" w:cstheme="minorHAnsi"/>
          <w:lang w:val="fr-FR"/>
        </w:rPr>
        <w:lastRenderedPageBreak/>
        <w:t>TRESORERIE ET CAPITAUX</w:t>
      </w:r>
      <w:bookmarkEnd w:id="668"/>
      <w:bookmarkEnd w:id="669"/>
      <w:bookmarkEnd w:id="670"/>
    </w:p>
    <w:p w14:paraId="0B9A490B" w14:textId="77777777"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1" w:name="_Toc462673252"/>
      <w:bookmarkStart w:id="672" w:name="_Toc467835599"/>
      <w:bookmarkStart w:id="673" w:name="_Toc510548425"/>
      <w:r w:rsidRPr="00C73365">
        <w:rPr>
          <w:rFonts w:asciiTheme="minorHAnsi" w:hAnsiTheme="minorHAnsi" w:cstheme="minorHAnsi"/>
          <w:sz w:val="22"/>
          <w:szCs w:val="22"/>
          <w:lang w:val="fr-FR"/>
        </w:rPr>
        <w:t>Informations sur les capitaux de la Société</w:t>
      </w:r>
      <w:bookmarkEnd w:id="671"/>
      <w:bookmarkEnd w:id="672"/>
      <w:bookmarkEnd w:id="673"/>
    </w:p>
    <w:p w14:paraId="38F0E092" w14:textId="77777777" w:rsidR="00F46C7B" w:rsidRPr="00C73365" w:rsidRDefault="00F46C7B" w:rsidP="007A1897">
      <w:pPr>
        <w:rPr>
          <w:rFonts w:asciiTheme="minorHAnsi" w:hAnsiTheme="minorHAnsi" w:cstheme="minorHAnsi"/>
          <w:lang w:val="fr-FR"/>
        </w:rPr>
      </w:pPr>
    </w:p>
    <w:tbl>
      <w:tblPr>
        <w:tblW w:w="9668" w:type="dxa"/>
        <w:tblLook w:val="04A0" w:firstRow="1" w:lastRow="0" w:firstColumn="1" w:lastColumn="0" w:noHBand="0" w:noVBand="1"/>
      </w:tblPr>
      <w:tblGrid>
        <w:gridCol w:w="4112"/>
        <w:gridCol w:w="1033"/>
        <w:gridCol w:w="888"/>
        <w:gridCol w:w="888"/>
        <w:gridCol w:w="888"/>
        <w:gridCol w:w="971"/>
        <w:gridCol w:w="888"/>
      </w:tblGrid>
      <w:tr w:rsidR="003505F2" w:rsidRPr="00C73365" w14:paraId="2276E8DD" w14:textId="77777777" w:rsidTr="00C50FC3">
        <w:trPr>
          <w:trHeight w:val="983"/>
        </w:trPr>
        <w:tc>
          <w:tcPr>
            <w:tcW w:w="4112" w:type="dxa"/>
            <w:tcBorders>
              <w:top w:val="single" w:sz="12" w:space="0" w:color="7030A0"/>
              <w:left w:val="nil"/>
              <w:bottom w:val="single" w:sz="8" w:space="0" w:color="7030A0"/>
              <w:right w:val="nil"/>
            </w:tcBorders>
            <w:shd w:val="clear" w:color="auto" w:fill="auto"/>
            <w:vAlign w:val="center"/>
            <w:hideMark/>
          </w:tcPr>
          <w:p w14:paraId="0BE41603" w14:textId="77777777"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033" w:type="dxa"/>
            <w:tcBorders>
              <w:top w:val="single" w:sz="12" w:space="0" w:color="7030A0"/>
              <w:left w:val="nil"/>
              <w:bottom w:val="single" w:sz="8" w:space="0" w:color="7030A0"/>
              <w:right w:val="nil"/>
            </w:tcBorders>
            <w:shd w:val="clear" w:color="auto" w:fill="auto"/>
            <w:vAlign w:val="center"/>
            <w:hideMark/>
          </w:tcPr>
          <w:p w14:paraId="482D23D1" w14:textId="77777777"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d’actions émises</w:t>
            </w:r>
          </w:p>
        </w:tc>
        <w:tc>
          <w:tcPr>
            <w:tcW w:w="888" w:type="dxa"/>
            <w:tcBorders>
              <w:top w:val="single" w:sz="12" w:space="0" w:color="7030A0"/>
              <w:left w:val="nil"/>
              <w:bottom w:val="single" w:sz="8" w:space="0" w:color="7030A0"/>
              <w:right w:val="nil"/>
            </w:tcBorders>
            <w:shd w:val="clear" w:color="auto" w:fill="auto"/>
            <w:vAlign w:val="center"/>
            <w:hideMark/>
          </w:tcPr>
          <w:p w14:paraId="06C3E1A5" w14:textId="77777777"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Capital</w:t>
            </w:r>
          </w:p>
        </w:tc>
        <w:tc>
          <w:tcPr>
            <w:tcW w:w="888" w:type="dxa"/>
            <w:tcBorders>
              <w:top w:val="single" w:sz="12" w:space="0" w:color="7030A0"/>
              <w:left w:val="nil"/>
              <w:bottom w:val="single" w:sz="8" w:space="0" w:color="7030A0"/>
              <w:right w:val="nil"/>
            </w:tcBorders>
            <w:shd w:val="clear" w:color="auto" w:fill="auto"/>
            <w:vAlign w:val="center"/>
            <w:hideMark/>
          </w:tcPr>
          <w:p w14:paraId="23B42CD1" w14:textId="77777777"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Primes</w:t>
            </w:r>
          </w:p>
        </w:tc>
        <w:tc>
          <w:tcPr>
            <w:tcW w:w="888" w:type="dxa"/>
            <w:tcBorders>
              <w:top w:val="single" w:sz="12" w:space="0" w:color="7030A0"/>
              <w:left w:val="nil"/>
              <w:bottom w:val="single" w:sz="8" w:space="0" w:color="7030A0"/>
              <w:right w:val="nil"/>
            </w:tcBorders>
            <w:shd w:val="clear" w:color="auto" w:fill="auto"/>
            <w:vAlign w:val="center"/>
            <w:hideMark/>
          </w:tcPr>
          <w:p w14:paraId="52281867" w14:textId="77777777"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BSA</w:t>
            </w:r>
          </w:p>
        </w:tc>
        <w:tc>
          <w:tcPr>
            <w:tcW w:w="971" w:type="dxa"/>
            <w:tcBorders>
              <w:top w:val="single" w:sz="12" w:space="0" w:color="7030A0"/>
              <w:left w:val="nil"/>
              <w:bottom w:val="single" w:sz="8" w:space="0" w:color="7030A0"/>
              <w:right w:val="nil"/>
            </w:tcBorders>
            <w:shd w:val="clear" w:color="auto" w:fill="auto"/>
            <w:vAlign w:val="center"/>
            <w:hideMark/>
          </w:tcPr>
          <w:p w14:paraId="673D1662" w14:textId="77777777"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Report à nouveau</w:t>
            </w:r>
          </w:p>
        </w:tc>
        <w:tc>
          <w:tcPr>
            <w:tcW w:w="888" w:type="dxa"/>
            <w:tcBorders>
              <w:top w:val="single" w:sz="12" w:space="0" w:color="7030A0"/>
              <w:left w:val="nil"/>
              <w:bottom w:val="single" w:sz="8" w:space="0" w:color="7030A0"/>
              <w:right w:val="nil"/>
            </w:tcBorders>
            <w:shd w:val="clear" w:color="auto" w:fill="auto"/>
            <w:vAlign w:val="center"/>
            <w:hideMark/>
          </w:tcPr>
          <w:p w14:paraId="2D90AE2E" w14:textId="77777777"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3505F2" w:rsidRPr="00C73365" w14:paraId="389A80A4" w14:textId="77777777" w:rsidTr="00C50FC3">
        <w:trPr>
          <w:trHeight w:val="346"/>
        </w:trPr>
        <w:tc>
          <w:tcPr>
            <w:tcW w:w="4112" w:type="dxa"/>
            <w:tcBorders>
              <w:top w:val="nil"/>
              <w:left w:val="nil"/>
              <w:bottom w:val="single" w:sz="8" w:space="0" w:color="7030A0"/>
              <w:right w:val="nil"/>
            </w:tcBorders>
            <w:shd w:val="clear" w:color="auto" w:fill="auto"/>
            <w:noWrap/>
            <w:vAlign w:val="center"/>
            <w:hideMark/>
          </w:tcPr>
          <w:p w14:paraId="46D02B12" w14:textId="77777777"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2014</w:t>
            </w:r>
          </w:p>
        </w:tc>
        <w:tc>
          <w:tcPr>
            <w:tcW w:w="1033" w:type="dxa"/>
            <w:tcBorders>
              <w:top w:val="nil"/>
              <w:left w:val="nil"/>
              <w:bottom w:val="single" w:sz="8" w:space="0" w:color="7030A0"/>
              <w:right w:val="nil"/>
            </w:tcBorders>
            <w:shd w:val="clear" w:color="auto" w:fill="auto"/>
            <w:noWrap/>
            <w:vAlign w:val="center"/>
            <w:hideMark/>
          </w:tcPr>
          <w:p w14:paraId="3B1121A3"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69 150</w:t>
            </w:r>
          </w:p>
        </w:tc>
        <w:tc>
          <w:tcPr>
            <w:tcW w:w="888" w:type="dxa"/>
            <w:tcBorders>
              <w:top w:val="nil"/>
              <w:left w:val="nil"/>
              <w:bottom w:val="single" w:sz="8" w:space="0" w:color="7030A0"/>
              <w:right w:val="nil"/>
            </w:tcBorders>
            <w:shd w:val="clear" w:color="auto" w:fill="auto"/>
            <w:vAlign w:val="center"/>
            <w:hideMark/>
          </w:tcPr>
          <w:p w14:paraId="1B444ABA"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69</w:t>
            </w:r>
          </w:p>
        </w:tc>
        <w:tc>
          <w:tcPr>
            <w:tcW w:w="888" w:type="dxa"/>
            <w:tcBorders>
              <w:top w:val="nil"/>
              <w:left w:val="nil"/>
              <w:bottom w:val="single" w:sz="8" w:space="0" w:color="7030A0"/>
              <w:right w:val="nil"/>
            </w:tcBorders>
            <w:shd w:val="clear" w:color="auto" w:fill="auto"/>
            <w:vAlign w:val="center"/>
            <w:hideMark/>
          </w:tcPr>
          <w:p w14:paraId="25F37340"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35 674</w:t>
            </w:r>
          </w:p>
        </w:tc>
        <w:tc>
          <w:tcPr>
            <w:tcW w:w="888" w:type="dxa"/>
            <w:tcBorders>
              <w:top w:val="nil"/>
              <w:left w:val="nil"/>
              <w:bottom w:val="single" w:sz="8" w:space="0" w:color="7030A0"/>
              <w:right w:val="nil"/>
            </w:tcBorders>
            <w:shd w:val="clear" w:color="auto" w:fill="auto"/>
            <w:vAlign w:val="center"/>
            <w:hideMark/>
          </w:tcPr>
          <w:p w14:paraId="07992224"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971" w:type="dxa"/>
            <w:tcBorders>
              <w:top w:val="nil"/>
              <w:left w:val="nil"/>
              <w:bottom w:val="single" w:sz="8" w:space="0" w:color="7030A0"/>
              <w:right w:val="nil"/>
            </w:tcBorders>
            <w:shd w:val="clear" w:color="auto" w:fill="auto"/>
            <w:vAlign w:val="center"/>
            <w:hideMark/>
          </w:tcPr>
          <w:p w14:paraId="18BF61EC"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-5 091</w:t>
            </w:r>
          </w:p>
        </w:tc>
        <w:tc>
          <w:tcPr>
            <w:tcW w:w="888" w:type="dxa"/>
            <w:tcBorders>
              <w:top w:val="nil"/>
              <w:left w:val="nil"/>
              <w:bottom w:val="single" w:sz="8" w:space="0" w:color="7030A0"/>
              <w:right w:val="nil"/>
            </w:tcBorders>
            <w:shd w:val="clear" w:color="auto" w:fill="auto"/>
            <w:vAlign w:val="center"/>
            <w:hideMark/>
          </w:tcPr>
          <w:p w14:paraId="011C5FF9"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30 653</w:t>
            </w:r>
          </w:p>
        </w:tc>
      </w:tr>
      <w:tr w:rsidR="003505F2" w:rsidRPr="00C73365" w14:paraId="1286B5C9" w14:textId="77777777" w:rsidTr="00C50FC3">
        <w:trPr>
          <w:trHeight w:val="332"/>
        </w:trPr>
        <w:tc>
          <w:tcPr>
            <w:tcW w:w="4112" w:type="dxa"/>
            <w:tcBorders>
              <w:top w:val="nil"/>
              <w:left w:val="nil"/>
              <w:bottom w:val="nil"/>
              <w:right w:val="nil"/>
            </w:tcBorders>
            <w:shd w:val="clear" w:color="auto" w:fill="auto"/>
            <w:noWrap/>
            <w:vAlign w:val="center"/>
            <w:hideMark/>
          </w:tcPr>
          <w:p w14:paraId="1A45DB5D" w14:textId="77777777"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Division du nominal - AGM 20 Février 2015</w:t>
            </w:r>
          </w:p>
        </w:tc>
        <w:tc>
          <w:tcPr>
            <w:tcW w:w="1033" w:type="dxa"/>
            <w:tcBorders>
              <w:top w:val="nil"/>
              <w:left w:val="nil"/>
              <w:bottom w:val="nil"/>
              <w:right w:val="nil"/>
            </w:tcBorders>
            <w:shd w:val="clear" w:color="auto" w:fill="auto"/>
            <w:noWrap/>
            <w:vAlign w:val="center"/>
            <w:hideMark/>
          </w:tcPr>
          <w:p w14:paraId="04FD3E2E"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6 915 000</w:t>
            </w:r>
          </w:p>
        </w:tc>
        <w:tc>
          <w:tcPr>
            <w:tcW w:w="888" w:type="dxa"/>
            <w:tcBorders>
              <w:top w:val="nil"/>
              <w:left w:val="nil"/>
              <w:bottom w:val="nil"/>
              <w:right w:val="nil"/>
            </w:tcBorders>
            <w:shd w:val="clear" w:color="auto" w:fill="auto"/>
            <w:hideMark/>
          </w:tcPr>
          <w:p w14:paraId="02471174"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7B753F17"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5C025F26" w14:textId="77777777"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14:paraId="62092712"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142CB775" w14:textId="77777777" w:rsidR="003505F2" w:rsidRPr="00C73365" w:rsidRDefault="003505F2" w:rsidP="001E0BFC">
            <w:pPr>
              <w:jc w:val="left"/>
              <w:rPr>
                <w:rFonts w:asciiTheme="minorHAnsi" w:hAnsiTheme="minorHAnsi" w:cstheme="minorHAnsi"/>
                <w:szCs w:val="20"/>
              </w:rPr>
            </w:pPr>
          </w:p>
        </w:tc>
      </w:tr>
      <w:tr w:rsidR="003505F2" w:rsidRPr="00C73365" w14:paraId="1829174C" w14:textId="77777777" w:rsidTr="00C50FC3">
        <w:trPr>
          <w:trHeight w:val="332"/>
        </w:trPr>
        <w:tc>
          <w:tcPr>
            <w:tcW w:w="4112" w:type="dxa"/>
            <w:tcBorders>
              <w:top w:val="nil"/>
              <w:left w:val="nil"/>
              <w:bottom w:val="nil"/>
              <w:right w:val="nil"/>
            </w:tcBorders>
            <w:shd w:val="clear" w:color="auto" w:fill="auto"/>
            <w:noWrap/>
            <w:vAlign w:val="center"/>
            <w:hideMark/>
          </w:tcPr>
          <w:p w14:paraId="54F88EEC" w14:textId="77777777"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 CA 23 Juin 2015</w:t>
            </w:r>
          </w:p>
        </w:tc>
        <w:tc>
          <w:tcPr>
            <w:tcW w:w="1033" w:type="dxa"/>
            <w:tcBorders>
              <w:top w:val="nil"/>
              <w:left w:val="nil"/>
              <w:bottom w:val="nil"/>
              <w:right w:val="nil"/>
            </w:tcBorders>
            <w:shd w:val="clear" w:color="auto" w:fill="auto"/>
            <w:noWrap/>
            <w:vAlign w:val="center"/>
            <w:hideMark/>
          </w:tcPr>
          <w:p w14:paraId="5E8FE8B2"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2 707 089</w:t>
            </w:r>
          </w:p>
        </w:tc>
        <w:tc>
          <w:tcPr>
            <w:tcW w:w="888" w:type="dxa"/>
            <w:tcBorders>
              <w:top w:val="nil"/>
              <w:left w:val="nil"/>
              <w:bottom w:val="nil"/>
              <w:right w:val="nil"/>
            </w:tcBorders>
            <w:shd w:val="clear" w:color="auto" w:fill="auto"/>
            <w:vAlign w:val="center"/>
            <w:hideMark/>
          </w:tcPr>
          <w:p w14:paraId="51DEE342"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888" w:type="dxa"/>
            <w:tcBorders>
              <w:top w:val="nil"/>
              <w:left w:val="nil"/>
              <w:bottom w:val="nil"/>
              <w:right w:val="nil"/>
            </w:tcBorders>
            <w:shd w:val="clear" w:color="auto" w:fill="auto"/>
            <w:vAlign w:val="center"/>
            <w:hideMark/>
          </w:tcPr>
          <w:p w14:paraId="6EC138B6"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57 634</w:t>
            </w:r>
          </w:p>
        </w:tc>
        <w:tc>
          <w:tcPr>
            <w:tcW w:w="888" w:type="dxa"/>
            <w:tcBorders>
              <w:top w:val="nil"/>
              <w:left w:val="nil"/>
              <w:bottom w:val="nil"/>
              <w:right w:val="nil"/>
            </w:tcBorders>
            <w:shd w:val="clear" w:color="auto" w:fill="auto"/>
            <w:hideMark/>
          </w:tcPr>
          <w:p w14:paraId="05A980E0" w14:textId="77777777"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14:paraId="52C1D46F"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70FF95F7"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57 661</w:t>
            </w:r>
          </w:p>
        </w:tc>
      </w:tr>
      <w:tr w:rsidR="003505F2" w:rsidRPr="00C73365" w14:paraId="0CB422B4" w14:textId="77777777" w:rsidTr="00C50FC3">
        <w:trPr>
          <w:trHeight w:val="332"/>
        </w:trPr>
        <w:tc>
          <w:tcPr>
            <w:tcW w:w="4112" w:type="dxa"/>
            <w:tcBorders>
              <w:top w:val="nil"/>
              <w:left w:val="nil"/>
              <w:bottom w:val="nil"/>
              <w:right w:val="nil"/>
            </w:tcBorders>
            <w:shd w:val="clear" w:color="auto" w:fill="auto"/>
            <w:noWrap/>
            <w:vAlign w:val="center"/>
            <w:hideMark/>
          </w:tcPr>
          <w:p w14:paraId="7B6F8E1B" w14:textId="77777777"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14:paraId="01AB974D"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2ED81142"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321AD1DE"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-3 774</w:t>
            </w:r>
          </w:p>
        </w:tc>
        <w:tc>
          <w:tcPr>
            <w:tcW w:w="888" w:type="dxa"/>
            <w:tcBorders>
              <w:top w:val="nil"/>
              <w:left w:val="nil"/>
              <w:bottom w:val="nil"/>
              <w:right w:val="nil"/>
            </w:tcBorders>
            <w:shd w:val="clear" w:color="auto" w:fill="auto"/>
            <w:hideMark/>
          </w:tcPr>
          <w:p w14:paraId="49F207AA" w14:textId="77777777"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14:paraId="651CF2AD"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2296C299"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-3 774</w:t>
            </w:r>
          </w:p>
        </w:tc>
      </w:tr>
      <w:tr w:rsidR="003505F2" w:rsidRPr="00C73365" w14:paraId="070BAD0A" w14:textId="77777777" w:rsidTr="00C50FC3">
        <w:trPr>
          <w:trHeight w:val="332"/>
        </w:trPr>
        <w:tc>
          <w:tcPr>
            <w:tcW w:w="4112" w:type="dxa"/>
            <w:tcBorders>
              <w:top w:val="nil"/>
              <w:left w:val="nil"/>
              <w:bottom w:val="nil"/>
              <w:right w:val="nil"/>
            </w:tcBorders>
            <w:shd w:val="clear" w:color="auto" w:fill="auto"/>
            <w:noWrap/>
            <w:vAlign w:val="center"/>
            <w:hideMark/>
          </w:tcPr>
          <w:p w14:paraId="75A412ED" w14:textId="77777777"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BCE</w:t>
            </w:r>
          </w:p>
        </w:tc>
        <w:tc>
          <w:tcPr>
            <w:tcW w:w="1033" w:type="dxa"/>
            <w:tcBorders>
              <w:top w:val="nil"/>
              <w:left w:val="nil"/>
              <w:bottom w:val="nil"/>
              <w:right w:val="nil"/>
            </w:tcBorders>
            <w:shd w:val="clear" w:color="auto" w:fill="auto"/>
            <w:noWrap/>
            <w:vAlign w:val="center"/>
            <w:hideMark/>
          </w:tcPr>
          <w:p w14:paraId="32770F80"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74 800</w:t>
            </w:r>
          </w:p>
        </w:tc>
        <w:tc>
          <w:tcPr>
            <w:tcW w:w="888" w:type="dxa"/>
            <w:tcBorders>
              <w:top w:val="nil"/>
              <w:left w:val="nil"/>
              <w:bottom w:val="nil"/>
              <w:right w:val="nil"/>
            </w:tcBorders>
            <w:shd w:val="clear" w:color="auto" w:fill="auto"/>
            <w:vAlign w:val="center"/>
            <w:hideMark/>
          </w:tcPr>
          <w:p w14:paraId="1C9A6FA7"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hideMark/>
          </w:tcPr>
          <w:p w14:paraId="6BBA1E73"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5E2F183D" w14:textId="77777777"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14:paraId="4FC1BCBE"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5672A408"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r>
      <w:tr w:rsidR="003505F2" w:rsidRPr="00C73365" w14:paraId="4AE63B64" w14:textId="77777777" w:rsidTr="00C50FC3">
        <w:trPr>
          <w:trHeight w:val="332"/>
        </w:trPr>
        <w:tc>
          <w:tcPr>
            <w:tcW w:w="4112" w:type="dxa"/>
            <w:tcBorders>
              <w:top w:val="nil"/>
              <w:left w:val="nil"/>
              <w:bottom w:val="nil"/>
              <w:right w:val="nil"/>
            </w:tcBorders>
            <w:shd w:val="clear" w:color="auto" w:fill="auto"/>
            <w:noWrap/>
            <w:vAlign w:val="center"/>
            <w:hideMark/>
          </w:tcPr>
          <w:p w14:paraId="65F9FBD9" w14:textId="77777777"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hideMark/>
          </w:tcPr>
          <w:p w14:paraId="423F9BE8"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1D4CF896"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2CE95C26"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0F80E67D"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173</w:t>
            </w:r>
          </w:p>
        </w:tc>
        <w:tc>
          <w:tcPr>
            <w:tcW w:w="971" w:type="dxa"/>
            <w:tcBorders>
              <w:top w:val="nil"/>
              <w:left w:val="nil"/>
              <w:bottom w:val="nil"/>
              <w:right w:val="nil"/>
            </w:tcBorders>
            <w:shd w:val="clear" w:color="auto" w:fill="auto"/>
            <w:hideMark/>
          </w:tcPr>
          <w:p w14:paraId="5F17043A"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110A1577"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173</w:t>
            </w:r>
          </w:p>
        </w:tc>
      </w:tr>
      <w:tr w:rsidR="003505F2" w:rsidRPr="00C73365" w14:paraId="64F2D273" w14:textId="77777777" w:rsidTr="00C50FC3">
        <w:trPr>
          <w:trHeight w:val="346"/>
        </w:trPr>
        <w:tc>
          <w:tcPr>
            <w:tcW w:w="4112" w:type="dxa"/>
            <w:tcBorders>
              <w:top w:val="nil"/>
              <w:left w:val="nil"/>
              <w:bottom w:val="single" w:sz="8" w:space="0" w:color="7030A0"/>
              <w:right w:val="nil"/>
            </w:tcBorders>
            <w:shd w:val="clear" w:color="auto" w:fill="auto"/>
            <w:noWrap/>
            <w:vAlign w:val="center"/>
            <w:hideMark/>
          </w:tcPr>
          <w:p w14:paraId="7D8137E7" w14:textId="77777777"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2015</w:t>
            </w:r>
          </w:p>
        </w:tc>
        <w:tc>
          <w:tcPr>
            <w:tcW w:w="1033" w:type="dxa"/>
            <w:tcBorders>
              <w:top w:val="nil"/>
              <w:left w:val="nil"/>
              <w:bottom w:val="single" w:sz="8" w:space="0" w:color="7030A0"/>
              <w:right w:val="nil"/>
            </w:tcBorders>
            <w:shd w:val="clear" w:color="auto" w:fill="auto"/>
            <w:noWrap/>
            <w:vAlign w:val="center"/>
            <w:hideMark/>
          </w:tcPr>
          <w:p w14:paraId="614A8B2F"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03CA6411"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066D996D"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35A39562"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14:paraId="5FA69F93"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-15 954</w:t>
            </w:r>
          </w:p>
        </w:tc>
        <w:tc>
          <w:tcPr>
            <w:tcW w:w="888" w:type="dxa"/>
            <w:tcBorders>
              <w:top w:val="nil"/>
              <w:left w:val="nil"/>
              <w:bottom w:val="nil"/>
              <w:right w:val="nil"/>
            </w:tcBorders>
            <w:shd w:val="clear" w:color="auto" w:fill="auto"/>
            <w:vAlign w:val="center"/>
            <w:hideMark/>
          </w:tcPr>
          <w:p w14:paraId="1644B57A"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-15 954</w:t>
            </w:r>
          </w:p>
        </w:tc>
      </w:tr>
      <w:tr w:rsidR="003505F2" w:rsidRPr="00C73365" w14:paraId="11D0CC0A" w14:textId="77777777" w:rsidTr="00C50FC3">
        <w:trPr>
          <w:trHeight w:val="346"/>
        </w:trPr>
        <w:tc>
          <w:tcPr>
            <w:tcW w:w="4112" w:type="dxa"/>
            <w:tcBorders>
              <w:top w:val="nil"/>
              <w:left w:val="nil"/>
              <w:bottom w:val="single" w:sz="8" w:space="0" w:color="7030A0"/>
              <w:right w:val="nil"/>
            </w:tcBorders>
            <w:shd w:val="clear" w:color="auto" w:fill="auto"/>
            <w:noWrap/>
            <w:vAlign w:val="center"/>
            <w:hideMark/>
          </w:tcPr>
          <w:p w14:paraId="52806A68" w14:textId="77777777"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2015</w:t>
            </w:r>
          </w:p>
        </w:tc>
        <w:tc>
          <w:tcPr>
            <w:tcW w:w="1033" w:type="dxa"/>
            <w:tcBorders>
              <w:top w:val="nil"/>
              <w:left w:val="nil"/>
              <w:bottom w:val="single" w:sz="8" w:space="0" w:color="7030A0"/>
              <w:right w:val="nil"/>
            </w:tcBorders>
            <w:shd w:val="clear" w:color="auto" w:fill="auto"/>
            <w:noWrap/>
            <w:vAlign w:val="center"/>
            <w:hideMark/>
          </w:tcPr>
          <w:p w14:paraId="237EEF73"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9 696 889</w:t>
            </w:r>
          </w:p>
        </w:tc>
        <w:tc>
          <w:tcPr>
            <w:tcW w:w="888" w:type="dxa"/>
            <w:tcBorders>
              <w:top w:val="nil"/>
              <w:left w:val="nil"/>
              <w:bottom w:val="single" w:sz="8" w:space="0" w:color="7030A0"/>
              <w:right w:val="nil"/>
            </w:tcBorders>
            <w:shd w:val="clear" w:color="auto" w:fill="auto"/>
            <w:vAlign w:val="center"/>
            <w:hideMark/>
          </w:tcPr>
          <w:p w14:paraId="57B4D62F"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14:paraId="4F89A6E2"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14:paraId="6ED415D3"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173</w:t>
            </w:r>
          </w:p>
        </w:tc>
        <w:tc>
          <w:tcPr>
            <w:tcW w:w="971" w:type="dxa"/>
            <w:tcBorders>
              <w:top w:val="single" w:sz="8" w:space="0" w:color="7030A0"/>
              <w:left w:val="nil"/>
              <w:bottom w:val="single" w:sz="8" w:space="0" w:color="7030A0"/>
              <w:right w:val="nil"/>
            </w:tcBorders>
            <w:shd w:val="clear" w:color="auto" w:fill="auto"/>
            <w:vAlign w:val="center"/>
            <w:hideMark/>
          </w:tcPr>
          <w:p w14:paraId="595624CE"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-21 045</w:t>
            </w:r>
          </w:p>
        </w:tc>
        <w:tc>
          <w:tcPr>
            <w:tcW w:w="888" w:type="dxa"/>
            <w:tcBorders>
              <w:top w:val="single" w:sz="8" w:space="0" w:color="7030A0"/>
              <w:left w:val="nil"/>
              <w:bottom w:val="single" w:sz="8" w:space="0" w:color="7030A0"/>
              <w:right w:val="nil"/>
            </w:tcBorders>
            <w:shd w:val="clear" w:color="auto" w:fill="auto"/>
            <w:vAlign w:val="center"/>
            <w:hideMark/>
          </w:tcPr>
          <w:p w14:paraId="58CED511"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68 759</w:t>
            </w:r>
          </w:p>
        </w:tc>
      </w:tr>
      <w:tr w:rsidR="003505F2" w:rsidRPr="00C73365" w14:paraId="56F77265" w14:textId="77777777" w:rsidTr="00C50FC3">
        <w:trPr>
          <w:trHeight w:val="332"/>
        </w:trPr>
        <w:tc>
          <w:tcPr>
            <w:tcW w:w="4112" w:type="dxa"/>
            <w:tcBorders>
              <w:top w:val="nil"/>
              <w:left w:val="nil"/>
              <w:bottom w:val="nil"/>
              <w:right w:val="nil"/>
            </w:tcBorders>
            <w:shd w:val="clear" w:color="auto" w:fill="auto"/>
            <w:noWrap/>
            <w:vAlign w:val="center"/>
            <w:hideMark/>
          </w:tcPr>
          <w:p w14:paraId="12304D77" w14:textId="77777777"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14:paraId="621879B0"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5 200</w:t>
            </w:r>
          </w:p>
        </w:tc>
        <w:tc>
          <w:tcPr>
            <w:tcW w:w="888" w:type="dxa"/>
            <w:tcBorders>
              <w:top w:val="nil"/>
              <w:left w:val="nil"/>
              <w:bottom w:val="nil"/>
              <w:right w:val="nil"/>
            </w:tcBorders>
            <w:shd w:val="clear" w:color="auto" w:fill="auto"/>
            <w:vAlign w:val="center"/>
            <w:hideMark/>
          </w:tcPr>
          <w:p w14:paraId="60013C43"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2A71C2B0"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6946A670"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971" w:type="dxa"/>
            <w:tcBorders>
              <w:top w:val="nil"/>
              <w:left w:val="nil"/>
              <w:bottom w:val="nil"/>
              <w:right w:val="nil"/>
            </w:tcBorders>
            <w:shd w:val="clear" w:color="auto" w:fill="auto"/>
            <w:vAlign w:val="center"/>
            <w:hideMark/>
          </w:tcPr>
          <w:p w14:paraId="566C01FC"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0894FE96"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3505F2" w:rsidRPr="00C73365" w14:paraId="431D19B7" w14:textId="77777777" w:rsidTr="00C50FC3">
        <w:trPr>
          <w:trHeight w:val="332"/>
        </w:trPr>
        <w:tc>
          <w:tcPr>
            <w:tcW w:w="4112" w:type="dxa"/>
            <w:tcBorders>
              <w:top w:val="nil"/>
              <w:left w:val="nil"/>
              <w:bottom w:val="nil"/>
              <w:right w:val="nil"/>
            </w:tcBorders>
            <w:shd w:val="clear" w:color="auto" w:fill="auto"/>
            <w:noWrap/>
            <w:vAlign w:val="center"/>
            <w:hideMark/>
          </w:tcPr>
          <w:p w14:paraId="6DEC657B" w14:textId="77777777"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14:paraId="20FE02E4"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4BC1AB2F"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5FD1196B"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73C8F48F"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58</w:t>
            </w:r>
          </w:p>
        </w:tc>
        <w:tc>
          <w:tcPr>
            <w:tcW w:w="971" w:type="dxa"/>
            <w:tcBorders>
              <w:top w:val="nil"/>
              <w:left w:val="nil"/>
              <w:bottom w:val="nil"/>
              <w:right w:val="nil"/>
            </w:tcBorders>
            <w:shd w:val="clear" w:color="auto" w:fill="auto"/>
            <w:hideMark/>
          </w:tcPr>
          <w:p w14:paraId="7F5B1838"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64BD095D"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58</w:t>
            </w:r>
          </w:p>
        </w:tc>
      </w:tr>
      <w:tr w:rsidR="003505F2" w:rsidRPr="00C73365" w14:paraId="32FCD121" w14:textId="77777777" w:rsidTr="00C50FC3">
        <w:trPr>
          <w:trHeight w:val="346"/>
        </w:trPr>
        <w:tc>
          <w:tcPr>
            <w:tcW w:w="4112" w:type="dxa"/>
            <w:tcBorders>
              <w:top w:val="nil"/>
              <w:left w:val="nil"/>
              <w:bottom w:val="single" w:sz="8" w:space="0" w:color="7030A0"/>
              <w:right w:val="nil"/>
            </w:tcBorders>
            <w:shd w:val="clear" w:color="auto" w:fill="auto"/>
            <w:noWrap/>
            <w:vAlign w:val="center"/>
            <w:hideMark/>
          </w:tcPr>
          <w:p w14:paraId="4E704EA8" w14:textId="77777777"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2016</w:t>
            </w:r>
          </w:p>
        </w:tc>
        <w:tc>
          <w:tcPr>
            <w:tcW w:w="1033" w:type="dxa"/>
            <w:tcBorders>
              <w:top w:val="nil"/>
              <w:left w:val="nil"/>
              <w:bottom w:val="single" w:sz="8" w:space="0" w:color="7030A0"/>
              <w:right w:val="nil"/>
            </w:tcBorders>
            <w:shd w:val="clear" w:color="auto" w:fill="auto"/>
            <w:noWrap/>
            <w:vAlign w:val="center"/>
            <w:hideMark/>
          </w:tcPr>
          <w:p w14:paraId="45866051"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4F29E2BC"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14EC21F0"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41DEAD48"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14:paraId="16AA8CBC"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888" w:type="dxa"/>
            <w:tcBorders>
              <w:top w:val="nil"/>
              <w:left w:val="nil"/>
              <w:bottom w:val="nil"/>
              <w:right w:val="nil"/>
            </w:tcBorders>
            <w:shd w:val="clear" w:color="auto" w:fill="auto"/>
            <w:vAlign w:val="center"/>
            <w:hideMark/>
          </w:tcPr>
          <w:p w14:paraId="27E5B927"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3505F2" w:rsidRPr="00C73365" w14:paraId="25BD9FB8" w14:textId="77777777" w:rsidTr="00C50FC3">
        <w:trPr>
          <w:trHeight w:val="346"/>
        </w:trPr>
        <w:tc>
          <w:tcPr>
            <w:tcW w:w="4112" w:type="dxa"/>
            <w:tcBorders>
              <w:top w:val="nil"/>
              <w:left w:val="nil"/>
              <w:bottom w:val="single" w:sz="8" w:space="0" w:color="7030A0"/>
              <w:right w:val="nil"/>
            </w:tcBorders>
            <w:shd w:val="clear" w:color="auto" w:fill="auto"/>
            <w:noWrap/>
            <w:vAlign w:val="center"/>
            <w:hideMark/>
          </w:tcPr>
          <w:p w14:paraId="27EFAF2A" w14:textId="77777777"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2016</w:t>
            </w:r>
          </w:p>
        </w:tc>
        <w:tc>
          <w:tcPr>
            <w:tcW w:w="1033" w:type="dxa"/>
            <w:tcBorders>
              <w:top w:val="nil"/>
              <w:left w:val="nil"/>
              <w:bottom w:val="single" w:sz="8" w:space="0" w:color="7030A0"/>
              <w:right w:val="nil"/>
            </w:tcBorders>
            <w:shd w:val="clear" w:color="auto" w:fill="auto"/>
            <w:noWrap/>
            <w:vAlign w:val="center"/>
            <w:hideMark/>
          </w:tcPr>
          <w:p w14:paraId="311F9F5F"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9 702 089</w:t>
            </w:r>
          </w:p>
        </w:tc>
        <w:tc>
          <w:tcPr>
            <w:tcW w:w="888" w:type="dxa"/>
            <w:tcBorders>
              <w:top w:val="nil"/>
              <w:left w:val="nil"/>
              <w:bottom w:val="single" w:sz="8" w:space="0" w:color="7030A0"/>
              <w:right w:val="nil"/>
            </w:tcBorders>
            <w:shd w:val="clear" w:color="auto" w:fill="auto"/>
            <w:vAlign w:val="center"/>
            <w:hideMark/>
          </w:tcPr>
          <w:p w14:paraId="2531D36F"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14:paraId="03890D97"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14:paraId="3BDAF92D"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231</w:t>
            </w:r>
          </w:p>
        </w:tc>
        <w:tc>
          <w:tcPr>
            <w:tcW w:w="971" w:type="dxa"/>
            <w:tcBorders>
              <w:top w:val="single" w:sz="8" w:space="0" w:color="7030A0"/>
              <w:left w:val="nil"/>
              <w:bottom w:val="single" w:sz="8" w:space="0" w:color="7030A0"/>
              <w:right w:val="nil"/>
            </w:tcBorders>
            <w:shd w:val="clear" w:color="auto" w:fill="auto"/>
            <w:vAlign w:val="center"/>
            <w:hideMark/>
          </w:tcPr>
          <w:p w14:paraId="5A960A57"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-35 352</w:t>
            </w:r>
          </w:p>
        </w:tc>
        <w:tc>
          <w:tcPr>
            <w:tcW w:w="888" w:type="dxa"/>
            <w:tcBorders>
              <w:top w:val="single" w:sz="8" w:space="0" w:color="7030A0"/>
              <w:left w:val="nil"/>
              <w:bottom w:val="single" w:sz="8" w:space="0" w:color="7030A0"/>
              <w:right w:val="nil"/>
            </w:tcBorders>
            <w:shd w:val="clear" w:color="auto" w:fill="auto"/>
            <w:vAlign w:val="center"/>
            <w:hideMark/>
          </w:tcPr>
          <w:p w14:paraId="49178106"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54 510</w:t>
            </w:r>
          </w:p>
        </w:tc>
      </w:tr>
      <w:tr w:rsidR="003505F2" w:rsidRPr="00C73365" w14:paraId="0DFA5033" w14:textId="77777777" w:rsidTr="00C50FC3">
        <w:trPr>
          <w:trHeight w:val="332"/>
        </w:trPr>
        <w:tc>
          <w:tcPr>
            <w:tcW w:w="4112" w:type="dxa"/>
            <w:tcBorders>
              <w:top w:val="nil"/>
              <w:left w:val="nil"/>
              <w:bottom w:val="nil"/>
              <w:right w:val="nil"/>
            </w:tcBorders>
            <w:shd w:val="clear" w:color="auto" w:fill="auto"/>
            <w:noWrap/>
            <w:vAlign w:val="center"/>
            <w:hideMark/>
          </w:tcPr>
          <w:p w14:paraId="76A515D4" w14:textId="77777777"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14:paraId="36436ADD"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142 140</w:t>
            </w:r>
          </w:p>
        </w:tc>
        <w:tc>
          <w:tcPr>
            <w:tcW w:w="888" w:type="dxa"/>
            <w:tcBorders>
              <w:top w:val="nil"/>
              <w:left w:val="nil"/>
              <w:bottom w:val="nil"/>
              <w:right w:val="nil"/>
            </w:tcBorders>
            <w:shd w:val="clear" w:color="auto" w:fill="auto"/>
            <w:vAlign w:val="center"/>
            <w:hideMark/>
          </w:tcPr>
          <w:p w14:paraId="53677C12"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vAlign w:val="center"/>
            <w:hideMark/>
          </w:tcPr>
          <w:p w14:paraId="440FABEF"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19</w:t>
            </w:r>
          </w:p>
        </w:tc>
        <w:tc>
          <w:tcPr>
            <w:tcW w:w="888" w:type="dxa"/>
            <w:tcBorders>
              <w:top w:val="nil"/>
              <w:left w:val="nil"/>
              <w:bottom w:val="nil"/>
              <w:right w:val="nil"/>
            </w:tcBorders>
            <w:shd w:val="clear" w:color="auto" w:fill="auto"/>
            <w:vAlign w:val="center"/>
            <w:hideMark/>
          </w:tcPr>
          <w:p w14:paraId="2843D128" w14:textId="77777777"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vAlign w:val="center"/>
            <w:hideMark/>
          </w:tcPr>
          <w:p w14:paraId="4CBBC37F"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5A47C26A"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20</w:t>
            </w:r>
          </w:p>
        </w:tc>
      </w:tr>
      <w:tr w:rsidR="003505F2" w:rsidRPr="00C73365" w14:paraId="4F984C1C" w14:textId="77777777" w:rsidTr="00C50FC3">
        <w:trPr>
          <w:trHeight w:val="332"/>
        </w:trPr>
        <w:tc>
          <w:tcPr>
            <w:tcW w:w="4112" w:type="dxa"/>
            <w:tcBorders>
              <w:top w:val="nil"/>
              <w:left w:val="nil"/>
              <w:bottom w:val="nil"/>
              <w:right w:val="nil"/>
            </w:tcBorders>
            <w:shd w:val="clear" w:color="auto" w:fill="auto"/>
            <w:noWrap/>
            <w:vAlign w:val="center"/>
            <w:hideMark/>
          </w:tcPr>
          <w:p w14:paraId="56E37963" w14:textId="77777777"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14:paraId="6FB4A207"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7FB8E94A"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73DABABC"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293AAC12" w14:textId="77777777"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14:paraId="4AE7E610"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3D71BE24" w14:textId="77777777" w:rsidR="003505F2" w:rsidRPr="00C73365" w:rsidRDefault="003505F2" w:rsidP="001E0BFC">
            <w:pPr>
              <w:jc w:val="left"/>
              <w:rPr>
                <w:rFonts w:asciiTheme="minorHAnsi" w:hAnsiTheme="minorHAnsi" w:cstheme="minorHAnsi"/>
                <w:szCs w:val="20"/>
              </w:rPr>
            </w:pPr>
          </w:p>
        </w:tc>
      </w:tr>
      <w:tr w:rsidR="003505F2" w:rsidRPr="00C73365" w14:paraId="610A6497" w14:textId="77777777" w:rsidTr="00C50FC3">
        <w:trPr>
          <w:trHeight w:val="332"/>
        </w:trPr>
        <w:tc>
          <w:tcPr>
            <w:tcW w:w="4112" w:type="dxa"/>
            <w:tcBorders>
              <w:top w:val="nil"/>
              <w:left w:val="nil"/>
              <w:bottom w:val="nil"/>
              <w:right w:val="nil"/>
            </w:tcBorders>
            <w:shd w:val="clear" w:color="auto" w:fill="auto"/>
            <w:noWrap/>
            <w:vAlign w:val="center"/>
            <w:hideMark/>
          </w:tcPr>
          <w:p w14:paraId="20ACB0A1" w14:textId="77777777"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14:paraId="1C00DDE4"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684D3FA7"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768FE2F9"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09036D96"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971" w:type="dxa"/>
            <w:tcBorders>
              <w:top w:val="nil"/>
              <w:left w:val="nil"/>
              <w:bottom w:val="nil"/>
              <w:right w:val="nil"/>
            </w:tcBorders>
            <w:shd w:val="clear" w:color="auto" w:fill="auto"/>
            <w:hideMark/>
          </w:tcPr>
          <w:p w14:paraId="638FC22C"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1D18F20B"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3505F2" w:rsidRPr="00C73365" w14:paraId="4AE30E50" w14:textId="77777777" w:rsidTr="00C50FC3">
        <w:trPr>
          <w:trHeight w:val="332"/>
        </w:trPr>
        <w:tc>
          <w:tcPr>
            <w:tcW w:w="4112" w:type="dxa"/>
            <w:tcBorders>
              <w:top w:val="nil"/>
              <w:left w:val="nil"/>
              <w:bottom w:val="nil"/>
              <w:right w:val="nil"/>
            </w:tcBorders>
            <w:shd w:val="clear" w:color="auto" w:fill="auto"/>
            <w:noWrap/>
            <w:vAlign w:val="center"/>
            <w:hideMark/>
          </w:tcPr>
          <w:p w14:paraId="66C1D177" w14:textId="77777777"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Equity line Kepler Chevreux</w:t>
            </w:r>
          </w:p>
        </w:tc>
        <w:tc>
          <w:tcPr>
            <w:tcW w:w="1033" w:type="dxa"/>
            <w:tcBorders>
              <w:top w:val="nil"/>
              <w:left w:val="nil"/>
              <w:bottom w:val="nil"/>
              <w:right w:val="nil"/>
            </w:tcBorders>
            <w:shd w:val="clear" w:color="auto" w:fill="auto"/>
            <w:noWrap/>
            <w:vAlign w:val="center"/>
            <w:hideMark/>
          </w:tcPr>
          <w:p w14:paraId="348DAF8D" w14:textId="77777777"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60 000</w:t>
            </w:r>
          </w:p>
        </w:tc>
        <w:tc>
          <w:tcPr>
            <w:tcW w:w="888" w:type="dxa"/>
            <w:tcBorders>
              <w:top w:val="nil"/>
              <w:left w:val="nil"/>
              <w:bottom w:val="nil"/>
              <w:right w:val="nil"/>
            </w:tcBorders>
            <w:shd w:val="clear" w:color="auto" w:fill="auto"/>
            <w:hideMark/>
          </w:tcPr>
          <w:p w14:paraId="3A948E96" w14:textId="77777777"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1</w:t>
            </w:r>
          </w:p>
        </w:tc>
        <w:tc>
          <w:tcPr>
            <w:tcW w:w="888" w:type="dxa"/>
            <w:tcBorders>
              <w:top w:val="nil"/>
              <w:left w:val="nil"/>
              <w:bottom w:val="nil"/>
              <w:right w:val="nil"/>
            </w:tcBorders>
            <w:shd w:val="clear" w:color="auto" w:fill="auto"/>
            <w:hideMark/>
          </w:tcPr>
          <w:p w14:paraId="702EEC94" w14:textId="77777777"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664</w:t>
            </w:r>
          </w:p>
        </w:tc>
        <w:tc>
          <w:tcPr>
            <w:tcW w:w="888" w:type="dxa"/>
            <w:tcBorders>
              <w:top w:val="nil"/>
              <w:left w:val="nil"/>
              <w:bottom w:val="nil"/>
              <w:right w:val="nil"/>
            </w:tcBorders>
            <w:shd w:val="clear" w:color="auto" w:fill="auto"/>
            <w:vAlign w:val="center"/>
            <w:hideMark/>
          </w:tcPr>
          <w:p w14:paraId="5336CCAC"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971" w:type="dxa"/>
            <w:tcBorders>
              <w:top w:val="nil"/>
              <w:left w:val="nil"/>
              <w:bottom w:val="nil"/>
              <w:right w:val="nil"/>
            </w:tcBorders>
            <w:shd w:val="clear" w:color="auto" w:fill="auto"/>
            <w:hideMark/>
          </w:tcPr>
          <w:p w14:paraId="7856B354"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312A9D58"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665</w:t>
            </w:r>
          </w:p>
        </w:tc>
      </w:tr>
      <w:tr w:rsidR="003505F2" w:rsidRPr="00C73365" w14:paraId="786D92FC" w14:textId="77777777" w:rsidTr="00C50FC3">
        <w:trPr>
          <w:trHeight w:val="332"/>
        </w:trPr>
        <w:tc>
          <w:tcPr>
            <w:tcW w:w="4112" w:type="dxa"/>
            <w:tcBorders>
              <w:top w:val="nil"/>
              <w:left w:val="nil"/>
              <w:bottom w:val="nil"/>
              <w:right w:val="nil"/>
            </w:tcBorders>
            <w:shd w:val="clear" w:color="auto" w:fill="auto"/>
            <w:noWrap/>
            <w:vAlign w:val="center"/>
            <w:hideMark/>
          </w:tcPr>
          <w:p w14:paraId="03A8E8A2" w14:textId="77777777"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vAlign w:val="center"/>
            <w:hideMark/>
          </w:tcPr>
          <w:p w14:paraId="01F152F7" w14:textId="77777777"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2208857B"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3BF5788F" w14:textId="77777777"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-77</w:t>
            </w:r>
          </w:p>
        </w:tc>
        <w:tc>
          <w:tcPr>
            <w:tcW w:w="888" w:type="dxa"/>
            <w:tcBorders>
              <w:top w:val="nil"/>
              <w:left w:val="nil"/>
              <w:bottom w:val="nil"/>
              <w:right w:val="nil"/>
            </w:tcBorders>
            <w:shd w:val="clear" w:color="auto" w:fill="auto"/>
            <w:vAlign w:val="center"/>
            <w:hideMark/>
          </w:tcPr>
          <w:p w14:paraId="531ECB42" w14:textId="77777777" w:rsidR="003505F2" w:rsidRPr="00C73365" w:rsidRDefault="003505F2" w:rsidP="001E0BFC">
            <w:pPr>
              <w:jc w:val="left"/>
              <w:rPr>
                <w:rFonts w:asciiTheme="minorHAnsi" w:hAnsiTheme="minorHAnsi" w:cstheme="minorHAnsi"/>
                <w:color w:val="000000"/>
                <w:sz w:val="22"/>
              </w:rPr>
            </w:pPr>
          </w:p>
        </w:tc>
        <w:tc>
          <w:tcPr>
            <w:tcW w:w="971" w:type="dxa"/>
            <w:tcBorders>
              <w:top w:val="nil"/>
              <w:left w:val="nil"/>
              <w:bottom w:val="nil"/>
              <w:right w:val="nil"/>
            </w:tcBorders>
            <w:shd w:val="clear" w:color="auto" w:fill="auto"/>
            <w:hideMark/>
          </w:tcPr>
          <w:p w14:paraId="5F687D7D" w14:textId="77777777"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46A30E6F"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-77</w:t>
            </w:r>
          </w:p>
        </w:tc>
      </w:tr>
      <w:tr w:rsidR="003505F2" w:rsidRPr="00C73365" w14:paraId="0BF6A0A5" w14:textId="77777777" w:rsidTr="00C50FC3">
        <w:trPr>
          <w:trHeight w:val="346"/>
        </w:trPr>
        <w:tc>
          <w:tcPr>
            <w:tcW w:w="4112" w:type="dxa"/>
            <w:tcBorders>
              <w:top w:val="nil"/>
              <w:left w:val="nil"/>
              <w:bottom w:val="single" w:sz="8" w:space="0" w:color="7030A0"/>
              <w:right w:val="nil"/>
            </w:tcBorders>
            <w:shd w:val="clear" w:color="auto" w:fill="auto"/>
            <w:noWrap/>
            <w:vAlign w:val="center"/>
            <w:hideMark/>
          </w:tcPr>
          <w:p w14:paraId="1EACC582" w14:textId="77777777"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2017</w:t>
            </w:r>
          </w:p>
        </w:tc>
        <w:tc>
          <w:tcPr>
            <w:tcW w:w="1033" w:type="dxa"/>
            <w:tcBorders>
              <w:top w:val="nil"/>
              <w:left w:val="nil"/>
              <w:bottom w:val="single" w:sz="8" w:space="0" w:color="7030A0"/>
              <w:right w:val="nil"/>
            </w:tcBorders>
            <w:shd w:val="clear" w:color="auto" w:fill="auto"/>
            <w:noWrap/>
            <w:vAlign w:val="center"/>
            <w:hideMark/>
          </w:tcPr>
          <w:p w14:paraId="6521DEB8"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5F6A3885"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090733F1"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74604E0F"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single" w:sz="8" w:space="0" w:color="7030A0"/>
              <w:right w:val="nil"/>
            </w:tcBorders>
            <w:shd w:val="clear" w:color="auto" w:fill="auto"/>
            <w:vAlign w:val="center"/>
            <w:hideMark/>
          </w:tcPr>
          <w:p w14:paraId="2D9F876B"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888" w:type="dxa"/>
            <w:tcBorders>
              <w:top w:val="nil"/>
              <w:left w:val="nil"/>
              <w:bottom w:val="single" w:sz="8" w:space="0" w:color="7030A0"/>
              <w:right w:val="nil"/>
            </w:tcBorders>
            <w:shd w:val="clear" w:color="auto" w:fill="auto"/>
            <w:vAlign w:val="center"/>
            <w:hideMark/>
          </w:tcPr>
          <w:p w14:paraId="5C1AD1FC" w14:textId="77777777"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-11 223</w:t>
            </w:r>
          </w:p>
        </w:tc>
      </w:tr>
      <w:tr w:rsidR="003505F2" w:rsidRPr="00C73365" w14:paraId="560CEEA4" w14:textId="77777777" w:rsidTr="00C50FC3">
        <w:trPr>
          <w:trHeight w:val="346"/>
        </w:trPr>
        <w:tc>
          <w:tcPr>
            <w:tcW w:w="4112" w:type="dxa"/>
            <w:tcBorders>
              <w:top w:val="nil"/>
              <w:left w:val="nil"/>
              <w:bottom w:val="single" w:sz="8" w:space="0" w:color="7030A0"/>
              <w:right w:val="nil"/>
            </w:tcBorders>
            <w:shd w:val="clear" w:color="auto" w:fill="auto"/>
            <w:noWrap/>
            <w:vAlign w:val="center"/>
            <w:hideMark/>
          </w:tcPr>
          <w:p w14:paraId="0F7D833B" w14:textId="77777777"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2017</w:t>
            </w:r>
          </w:p>
        </w:tc>
        <w:tc>
          <w:tcPr>
            <w:tcW w:w="1033" w:type="dxa"/>
            <w:tcBorders>
              <w:top w:val="nil"/>
              <w:left w:val="nil"/>
              <w:bottom w:val="single" w:sz="8" w:space="0" w:color="7030A0"/>
              <w:right w:val="nil"/>
            </w:tcBorders>
            <w:shd w:val="clear" w:color="auto" w:fill="auto"/>
            <w:noWrap/>
            <w:vAlign w:val="center"/>
            <w:hideMark/>
          </w:tcPr>
          <w:p w14:paraId="5D202521"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9 904 229</w:t>
            </w:r>
          </w:p>
        </w:tc>
        <w:tc>
          <w:tcPr>
            <w:tcW w:w="888" w:type="dxa"/>
            <w:tcBorders>
              <w:top w:val="nil"/>
              <w:left w:val="nil"/>
              <w:bottom w:val="single" w:sz="8" w:space="0" w:color="7030A0"/>
              <w:right w:val="nil"/>
            </w:tcBorders>
            <w:shd w:val="clear" w:color="auto" w:fill="auto"/>
            <w:noWrap/>
            <w:vAlign w:val="center"/>
            <w:hideMark/>
          </w:tcPr>
          <w:p w14:paraId="353D53C2"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99</w:t>
            </w:r>
          </w:p>
        </w:tc>
        <w:tc>
          <w:tcPr>
            <w:tcW w:w="888" w:type="dxa"/>
            <w:tcBorders>
              <w:top w:val="nil"/>
              <w:left w:val="nil"/>
              <w:bottom w:val="single" w:sz="8" w:space="0" w:color="7030A0"/>
              <w:right w:val="nil"/>
            </w:tcBorders>
            <w:shd w:val="clear" w:color="auto" w:fill="auto"/>
            <w:noWrap/>
            <w:vAlign w:val="center"/>
            <w:hideMark/>
          </w:tcPr>
          <w:p w14:paraId="0CC2FB1E"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90 139</w:t>
            </w:r>
          </w:p>
        </w:tc>
        <w:tc>
          <w:tcPr>
            <w:tcW w:w="888" w:type="dxa"/>
            <w:tcBorders>
              <w:top w:val="nil"/>
              <w:left w:val="nil"/>
              <w:bottom w:val="single" w:sz="8" w:space="0" w:color="7030A0"/>
              <w:right w:val="nil"/>
            </w:tcBorders>
            <w:shd w:val="clear" w:color="auto" w:fill="auto"/>
            <w:noWrap/>
            <w:vAlign w:val="center"/>
            <w:hideMark/>
          </w:tcPr>
          <w:p w14:paraId="2F2865DF"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253</w:t>
            </w:r>
          </w:p>
        </w:tc>
        <w:tc>
          <w:tcPr>
            <w:tcW w:w="971" w:type="dxa"/>
            <w:tcBorders>
              <w:top w:val="nil"/>
              <w:left w:val="nil"/>
              <w:bottom w:val="single" w:sz="8" w:space="0" w:color="7030A0"/>
              <w:right w:val="nil"/>
            </w:tcBorders>
            <w:shd w:val="clear" w:color="auto" w:fill="auto"/>
            <w:noWrap/>
            <w:vAlign w:val="center"/>
            <w:hideMark/>
          </w:tcPr>
          <w:p w14:paraId="3BD8E9CA"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-46 575</w:t>
            </w:r>
          </w:p>
        </w:tc>
        <w:tc>
          <w:tcPr>
            <w:tcW w:w="888" w:type="dxa"/>
            <w:tcBorders>
              <w:top w:val="nil"/>
              <w:left w:val="nil"/>
              <w:bottom w:val="single" w:sz="8" w:space="0" w:color="7030A0"/>
              <w:right w:val="nil"/>
            </w:tcBorders>
            <w:shd w:val="clear" w:color="auto" w:fill="auto"/>
            <w:noWrap/>
            <w:vAlign w:val="center"/>
            <w:hideMark/>
          </w:tcPr>
          <w:p w14:paraId="0B8DB2B1" w14:textId="77777777"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43 915</w:t>
            </w:r>
          </w:p>
        </w:tc>
      </w:tr>
    </w:tbl>
    <w:p w14:paraId="492BE836" w14:textId="77777777" w:rsidR="00575359" w:rsidRPr="00C73365" w:rsidRDefault="00575359" w:rsidP="007A1897">
      <w:pPr>
        <w:rPr>
          <w:rFonts w:asciiTheme="minorHAnsi" w:eastAsia="MS Mincho" w:hAnsiTheme="minorHAnsi" w:cstheme="minorHAnsi"/>
          <w:b/>
          <w:szCs w:val="20"/>
          <w:lang w:val="fr-FR" w:eastAsia="fr-FR"/>
        </w:rPr>
      </w:pPr>
    </w:p>
    <w:p w14:paraId="34784944" w14:textId="77777777" w:rsidR="00575359" w:rsidRPr="00C73365" w:rsidRDefault="00575359"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Composition du capital social</w:t>
      </w:r>
    </w:p>
    <w:p w14:paraId="059F93E4" w14:textId="77777777" w:rsidR="00FA29FE" w:rsidRPr="00C73365" w:rsidRDefault="00FA29F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 xml:space="preserve">L’exercice de 394 BSA-2014-1 en date du 17 mars 2017 donnant lieu à la création de 39.400 actions de la Société a entraîné  une augmentation du capital social de 394 € pour le porter de 97.020,89 € à 97.414,89 €.  </w:t>
      </w:r>
    </w:p>
    <w:p w14:paraId="55F951AB" w14:textId="77777777" w:rsidR="00FA29FE" w:rsidRPr="00C73365" w:rsidRDefault="00FA29F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L’exercice de 100 BCE-2014-4 en date du 3 août 2017 donnant lieu à la création de 10.000 actions de la Société a entraîné une augmentation du capital social de 100 € pour le porter de 97.414,89 € à 97.514,89 €.</w:t>
      </w:r>
    </w:p>
    <w:p w14:paraId="58BEDDAB" w14:textId="77777777" w:rsidR="00FA29FE" w:rsidRPr="00C73365" w:rsidRDefault="00FA29F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L’exercice de 473,4 BSA 2014-4 en date du 7 août 2017 donnant lieu à la création de 47.340 actions de la Société a entraîné une augmentation du capital social de 473,40 € pour le porter de 97.514,89 € à 97.988,29 €.</w:t>
      </w:r>
    </w:p>
    <w:p w14:paraId="2D4ACD14" w14:textId="77777777" w:rsidR="00FA29FE" w:rsidRPr="00C73365" w:rsidRDefault="00FA29F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L’exercice de 400 BCE-2014-2 en date du 6 octobre 2017 donnant lieu à la création de 40.000 actions de la Société a entraîné une augmentation du capital social de 400 euros pour le porter de 97.988,29 € à 98.388,29 €.</w:t>
      </w:r>
    </w:p>
    <w:p w14:paraId="29AA3795" w14:textId="77777777" w:rsidR="00FA29FE" w:rsidRPr="00C73365" w:rsidRDefault="00FA29F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L’exercice de 29 BSA-2014-7 en date du 13 novembre 2017 donnant lieu à la création de 2.900 actions de la Société a entraîné une augmentation du capital social de 29 euros pour le porter de 98.388,29 euros à 98.417,29 euros.</w:t>
      </w:r>
    </w:p>
    <w:p w14:paraId="02231544" w14:textId="77777777" w:rsidR="00FA29FE" w:rsidRPr="00C73365" w:rsidRDefault="00FA29FE" w:rsidP="004572A0">
      <w:pPr>
        <w:pStyle w:val="Corpsdetexte"/>
        <w:rPr>
          <w:rFonts w:asciiTheme="minorHAnsi" w:hAnsiTheme="minorHAnsi" w:cstheme="minorHAnsi"/>
          <w:lang w:val="fr-FR" w:eastAsia="fr-FR"/>
        </w:rPr>
      </w:pPr>
      <w:bookmarkStart w:id="674" w:name="_Hlk509931322"/>
      <w:r w:rsidRPr="00C73365">
        <w:rPr>
          <w:rFonts w:asciiTheme="minorHAnsi" w:hAnsiTheme="minorHAnsi" w:cstheme="minorHAnsi"/>
          <w:lang w:val="fr-FR" w:eastAsia="fr-FR"/>
        </w:rPr>
        <w:t>L’exercice de 2.500 BCE-2016-1 en date du 2</w:t>
      </w:r>
      <w:r w:rsidR="00C40D23" w:rsidRPr="00C73365">
        <w:rPr>
          <w:rFonts w:asciiTheme="minorHAnsi" w:hAnsiTheme="minorHAnsi" w:cstheme="minorHAnsi"/>
          <w:lang w:val="fr-FR" w:eastAsia="fr-FR"/>
        </w:rPr>
        <w:t>0</w:t>
      </w:r>
      <w:r w:rsidRPr="00C73365">
        <w:rPr>
          <w:rFonts w:asciiTheme="minorHAnsi" w:hAnsiTheme="minorHAnsi" w:cstheme="minorHAnsi"/>
          <w:lang w:val="fr-FR" w:eastAsia="fr-FR"/>
        </w:rPr>
        <w:t xml:space="preserve"> décembre 2017 donnant lieu à la création de 2.500 actions de la Société a entraîné une augmentation du capital social de 25 euros pour le porter de 98.417,29 euros à 98.442,29 euros.</w:t>
      </w:r>
    </w:p>
    <w:bookmarkEnd w:id="674"/>
    <w:p w14:paraId="16F385C8" w14:textId="77777777" w:rsidR="00FA29FE" w:rsidRPr="00C73365" w:rsidRDefault="00FA29F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lastRenderedPageBreak/>
        <w:t>L’exercice de 60 000 bons par K</w:t>
      </w:r>
      <w:r w:rsidR="00EF089C" w:rsidRPr="00C73365">
        <w:rPr>
          <w:rFonts w:asciiTheme="minorHAnsi" w:hAnsiTheme="minorHAnsi" w:cstheme="minorHAnsi"/>
          <w:lang w:val="fr-FR" w:eastAsia="fr-FR"/>
        </w:rPr>
        <w:t xml:space="preserve">epler </w:t>
      </w:r>
      <w:r w:rsidRPr="00C73365">
        <w:rPr>
          <w:rFonts w:asciiTheme="minorHAnsi" w:hAnsiTheme="minorHAnsi" w:cstheme="minorHAnsi"/>
          <w:lang w:val="fr-FR" w:eastAsia="fr-FR"/>
        </w:rPr>
        <w:t>C</w:t>
      </w:r>
      <w:r w:rsidR="00EF089C" w:rsidRPr="00C73365">
        <w:rPr>
          <w:rFonts w:asciiTheme="minorHAnsi" w:hAnsiTheme="minorHAnsi" w:cstheme="minorHAnsi"/>
          <w:lang w:val="fr-FR" w:eastAsia="fr-FR"/>
        </w:rPr>
        <w:t>heuvreux</w:t>
      </w:r>
      <w:r w:rsidRPr="00C73365">
        <w:rPr>
          <w:rFonts w:asciiTheme="minorHAnsi" w:hAnsiTheme="minorHAnsi" w:cstheme="minorHAnsi"/>
          <w:lang w:val="fr-FR" w:eastAsia="fr-FR"/>
        </w:rPr>
        <w:t xml:space="preserve"> au cours du second semestre 2017 donnant lieu à la création de 60 000 actions de la Société a entraîné une augmentation du capital social de 600 euros pour le porter de 98.442,29 euros à 99.042,29 euros.</w:t>
      </w:r>
    </w:p>
    <w:p w14:paraId="1760065A" w14:textId="77777777" w:rsidR="00FA29FE" w:rsidRPr="00C73365" w:rsidRDefault="00FA29F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 Conseil d’Administration n’a pas encore constaté ces augmentations de capital.</w:t>
      </w:r>
    </w:p>
    <w:p w14:paraId="59E07A1E" w14:textId="77777777" w:rsidR="00575359" w:rsidRPr="00C73365" w:rsidRDefault="00575359"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détail des variations du capital est présenté dans le tableau de variation des capitaux propres figurant dans cette annexe</w:t>
      </w:r>
      <w:r w:rsidR="002D590C" w:rsidRPr="00C73365">
        <w:rPr>
          <w:rFonts w:asciiTheme="minorHAnsi" w:eastAsia="MS Mincho" w:hAnsiTheme="minorHAnsi" w:cstheme="minorHAnsi"/>
          <w:lang w:val="fr-FR" w:eastAsia="fr-FR"/>
        </w:rPr>
        <w:t>.</w:t>
      </w:r>
    </w:p>
    <w:tbl>
      <w:tblPr>
        <w:tblW w:w="5896" w:type="dxa"/>
        <w:tblInd w:w="1124" w:type="dxa"/>
        <w:tblLook w:val="04A0" w:firstRow="1" w:lastRow="0" w:firstColumn="1" w:lastColumn="0" w:noHBand="0" w:noVBand="1"/>
      </w:tblPr>
      <w:tblGrid>
        <w:gridCol w:w="3266"/>
        <w:gridCol w:w="1269"/>
        <w:gridCol w:w="1361"/>
      </w:tblGrid>
      <w:tr w:rsidR="00F36BDF" w:rsidRPr="00C73365" w14:paraId="6A3EB141" w14:textId="77777777" w:rsidTr="002D590C">
        <w:trPr>
          <w:trHeight w:val="265"/>
        </w:trPr>
        <w:tc>
          <w:tcPr>
            <w:tcW w:w="3266" w:type="dxa"/>
            <w:tcBorders>
              <w:top w:val="single" w:sz="8" w:space="0" w:color="7030A0"/>
              <w:left w:val="nil"/>
              <w:bottom w:val="single" w:sz="8" w:space="0" w:color="7030A0"/>
              <w:right w:val="nil"/>
            </w:tcBorders>
            <w:shd w:val="clear" w:color="auto" w:fill="auto"/>
            <w:vAlign w:val="center"/>
            <w:hideMark/>
          </w:tcPr>
          <w:p w14:paraId="13B9BF6C" w14:textId="77777777" w:rsidR="00F36BDF" w:rsidRPr="00C73365" w:rsidRDefault="00F36BDF" w:rsidP="00F36BDF">
            <w:pPr>
              <w:spacing w:after="0"/>
              <w:rPr>
                <w:rFonts w:asciiTheme="minorHAnsi" w:hAnsiTheme="minorHAnsi" w:cstheme="minorHAnsi"/>
                <w:b/>
                <w:color w:val="000000"/>
                <w:szCs w:val="20"/>
                <w:lang w:val="fr-FR"/>
              </w:rPr>
            </w:pPr>
            <w:r w:rsidRPr="00C73365">
              <w:rPr>
                <w:rFonts w:asciiTheme="minorHAnsi" w:hAnsiTheme="minorHAnsi" w:cstheme="minorHAnsi"/>
                <w:b/>
                <w:color w:val="7030A0"/>
                <w:szCs w:val="20"/>
                <w:lang w:val="fr-FR"/>
              </w:rPr>
              <w:t> </w:t>
            </w:r>
            <w:r w:rsidR="00B97E97" w:rsidRPr="00C73365">
              <w:rPr>
                <w:rFonts w:asciiTheme="minorHAnsi" w:hAnsiTheme="minorHAnsi" w:cstheme="minorHAnsi"/>
                <w:b/>
                <w:color w:val="7030A0"/>
                <w:szCs w:val="20"/>
                <w:lang w:val="fr-FR"/>
              </w:rPr>
              <w:t>31 décembre 2017</w:t>
            </w:r>
          </w:p>
        </w:tc>
        <w:tc>
          <w:tcPr>
            <w:tcW w:w="1269" w:type="dxa"/>
            <w:tcBorders>
              <w:top w:val="single" w:sz="8" w:space="0" w:color="7030A0"/>
              <w:left w:val="nil"/>
              <w:bottom w:val="single" w:sz="8" w:space="0" w:color="7030A0"/>
              <w:right w:val="nil"/>
            </w:tcBorders>
            <w:shd w:val="clear" w:color="auto" w:fill="auto"/>
            <w:vAlign w:val="center"/>
            <w:hideMark/>
          </w:tcPr>
          <w:p w14:paraId="57F142A3" w14:textId="77777777" w:rsidR="00F36BDF" w:rsidRPr="00C73365" w:rsidRDefault="00F36BDF" w:rsidP="00F36BD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w:t>
            </w:r>
          </w:p>
        </w:tc>
        <w:tc>
          <w:tcPr>
            <w:tcW w:w="1361" w:type="dxa"/>
            <w:tcBorders>
              <w:top w:val="single" w:sz="8" w:space="0" w:color="7030A0"/>
              <w:left w:val="nil"/>
              <w:bottom w:val="single" w:sz="8" w:space="0" w:color="7030A0"/>
              <w:right w:val="nil"/>
            </w:tcBorders>
            <w:shd w:val="clear" w:color="auto" w:fill="auto"/>
            <w:vAlign w:val="center"/>
            <w:hideMark/>
          </w:tcPr>
          <w:p w14:paraId="5D964E17" w14:textId="77777777" w:rsidR="00F36BDF" w:rsidRPr="00C73365" w:rsidRDefault="00F36BDF" w:rsidP="00F36BD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non dilué (capital)</w:t>
            </w:r>
          </w:p>
        </w:tc>
      </w:tr>
      <w:tr w:rsidR="00F36BDF" w:rsidRPr="00C73365" w14:paraId="544207B0" w14:textId="77777777" w:rsidTr="002D590C">
        <w:trPr>
          <w:trHeight w:val="253"/>
        </w:trPr>
        <w:tc>
          <w:tcPr>
            <w:tcW w:w="3266" w:type="dxa"/>
            <w:tcBorders>
              <w:top w:val="nil"/>
              <w:left w:val="nil"/>
              <w:bottom w:val="nil"/>
              <w:right w:val="nil"/>
            </w:tcBorders>
            <w:shd w:val="clear" w:color="auto" w:fill="auto"/>
            <w:noWrap/>
            <w:vAlign w:val="center"/>
            <w:hideMark/>
          </w:tcPr>
          <w:p w14:paraId="0222EFD8" w14:textId="77777777"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Holding Incubatrice Medical Devices</w:t>
            </w:r>
          </w:p>
        </w:tc>
        <w:tc>
          <w:tcPr>
            <w:tcW w:w="1269" w:type="dxa"/>
            <w:tcBorders>
              <w:top w:val="nil"/>
              <w:left w:val="nil"/>
              <w:bottom w:val="nil"/>
              <w:right w:val="nil"/>
            </w:tcBorders>
            <w:shd w:val="clear" w:color="auto" w:fill="auto"/>
            <w:noWrap/>
            <w:vAlign w:val="center"/>
            <w:hideMark/>
          </w:tcPr>
          <w:p w14:paraId="1157F428"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257 600</w:t>
            </w:r>
          </w:p>
        </w:tc>
        <w:tc>
          <w:tcPr>
            <w:tcW w:w="1361" w:type="dxa"/>
            <w:tcBorders>
              <w:top w:val="nil"/>
              <w:left w:val="nil"/>
              <w:bottom w:val="nil"/>
              <w:right w:val="nil"/>
            </w:tcBorders>
            <w:shd w:val="clear" w:color="auto" w:fill="auto"/>
            <w:vAlign w:val="center"/>
            <w:hideMark/>
          </w:tcPr>
          <w:p w14:paraId="763E6F55"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2,60%</w:t>
            </w:r>
          </w:p>
        </w:tc>
      </w:tr>
      <w:tr w:rsidR="00F36BDF" w:rsidRPr="00C73365" w14:paraId="20C9F9CB" w14:textId="77777777" w:rsidTr="002D590C">
        <w:trPr>
          <w:trHeight w:val="253"/>
        </w:trPr>
        <w:tc>
          <w:tcPr>
            <w:tcW w:w="3266" w:type="dxa"/>
            <w:tcBorders>
              <w:top w:val="nil"/>
              <w:left w:val="nil"/>
              <w:bottom w:val="nil"/>
              <w:right w:val="nil"/>
            </w:tcBorders>
            <w:shd w:val="clear" w:color="auto" w:fill="auto"/>
            <w:noWrap/>
            <w:vAlign w:val="center"/>
            <w:hideMark/>
          </w:tcPr>
          <w:p w14:paraId="042DD5DD" w14:textId="77777777"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Truffle Capital</w:t>
            </w:r>
          </w:p>
        </w:tc>
        <w:tc>
          <w:tcPr>
            <w:tcW w:w="1269" w:type="dxa"/>
            <w:tcBorders>
              <w:top w:val="nil"/>
              <w:left w:val="nil"/>
              <w:bottom w:val="nil"/>
              <w:right w:val="nil"/>
            </w:tcBorders>
            <w:shd w:val="clear" w:color="auto" w:fill="auto"/>
            <w:noWrap/>
            <w:vAlign w:val="center"/>
            <w:hideMark/>
          </w:tcPr>
          <w:p w14:paraId="6D723A7A"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5 921 954</w:t>
            </w:r>
          </w:p>
        </w:tc>
        <w:tc>
          <w:tcPr>
            <w:tcW w:w="1361" w:type="dxa"/>
            <w:tcBorders>
              <w:top w:val="nil"/>
              <w:left w:val="nil"/>
              <w:bottom w:val="nil"/>
              <w:right w:val="nil"/>
            </w:tcBorders>
            <w:shd w:val="clear" w:color="auto" w:fill="auto"/>
            <w:vAlign w:val="center"/>
            <w:hideMark/>
          </w:tcPr>
          <w:p w14:paraId="523A4731"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59,79%</w:t>
            </w:r>
          </w:p>
        </w:tc>
      </w:tr>
      <w:tr w:rsidR="00F36BDF" w:rsidRPr="00C73365" w14:paraId="7484746F" w14:textId="77777777" w:rsidTr="002D590C">
        <w:trPr>
          <w:trHeight w:val="253"/>
        </w:trPr>
        <w:tc>
          <w:tcPr>
            <w:tcW w:w="3266" w:type="dxa"/>
            <w:tcBorders>
              <w:top w:val="nil"/>
              <w:left w:val="nil"/>
              <w:bottom w:val="nil"/>
              <w:right w:val="nil"/>
            </w:tcBorders>
            <w:shd w:val="clear" w:color="auto" w:fill="auto"/>
            <w:noWrap/>
            <w:vAlign w:val="center"/>
            <w:hideMark/>
          </w:tcPr>
          <w:p w14:paraId="7F80B629" w14:textId="77777777"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Direction</w:t>
            </w:r>
          </w:p>
        </w:tc>
        <w:tc>
          <w:tcPr>
            <w:tcW w:w="1269" w:type="dxa"/>
            <w:tcBorders>
              <w:top w:val="nil"/>
              <w:left w:val="nil"/>
              <w:bottom w:val="nil"/>
              <w:right w:val="nil"/>
            </w:tcBorders>
            <w:shd w:val="clear" w:color="auto" w:fill="auto"/>
            <w:noWrap/>
            <w:vAlign w:val="center"/>
            <w:hideMark/>
          </w:tcPr>
          <w:p w14:paraId="07D945CC"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6 500</w:t>
            </w:r>
          </w:p>
        </w:tc>
        <w:tc>
          <w:tcPr>
            <w:tcW w:w="1361" w:type="dxa"/>
            <w:tcBorders>
              <w:top w:val="nil"/>
              <w:left w:val="nil"/>
              <w:bottom w:val="nil"/>
              <w:right w:val="nil"/>
            </w:tcBorders>
            <w:shd w:val="clear" w:color="auto" w:fill="auto"/>
            <w:vAlign w:val="center"/>
            <w:hideMark/>
          </w:tcPr>
          <w:p w14:paraId="3557632D"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0,07%</w:t>
            </w:r>
          </w:p>
        </w:tc>
      </w:tr>
      <w:tr w:rsidR="00F36BDF" w:rsidRPr="00C73365" w14:paraId="4423980B" w14:textId="77777777" w:rsidTr="002D590C">
        <w:trPr>
          <w:trHeight w:val="253"/>
        </w:trPr>
        <w:tc>
          <w:tcPr>
            <w:tcW w:w="3266" w:type="dxa"/>
            <w:tcBorders>
              <w:top w:val="nil"/>
              <w:left w:val="nil"/>
              <w:bottom w:val="nil"/>
              <w:right w:val="nil"/>
            </w:tcBorders>
            <w:shd w:val="clear" w:color="auto" w:fill="auto"/>
            <w:noWrap/>
            <w:vAlign w:val="center"/>
            <w:hideMark/>
          </w:tcPr>
          <w:p w14:paraId="1873C448" w14:textId="77777777"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Conseil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administration</w:t>
            </w:r>
          </w:p>
        </w:tc>
        <w:tc>
          <w:tcPr>
            <w:tcW w:w="1269" w:type="dxa"/>
            <w:tcBorders>
              <w:top w:val="nil"/>
              <w:left w:val="nil"/>
              <w:bottom w:val="nil"/>
              <w:right w:val="nil"/>
            </w:tcBorders>
            <w:shd w:val="clear" w:color="auto" w:fill="auto"/>
            <w:noWrap/>
            <w:vAlign w:val="center"/>
            <w:hideMark/>
          </w:tcPr>
          <w:p w14:paraId="2C3DBEAC"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446 011</w:t>
            </w:r>
          </w:p>
        </w:tc>
        <w:tc>
          <w:tcPr>
            <w:tcW w:w="1361" w:type="dxa"/>
            <w:tcBorders>
              <w:top w:val="nil"/>
              <w:left w:val="nil"/>
              <w:bottom w:val="nil"/>
              <w:right w:val="nil"/>
            </w:tcBorders>
            <w:shd w:val="clear" w:color="auto" w:fill="auto"/>
            <w:vAlign w:val="center"/>
            <w:hideMark/>
          </w:tcPr>
          <w:p w14:paraId="57C88F05"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4,50%</w:t>
            </w:r>
          </w:p>
        </w:tc>
      </w:tr>
      <w:tr w:rsidR="00F36BDF" w:rsidRPr="00C73365" w14:paraId="27719BF1" w14:textId="77777777" w:rsidTr="002D590C">
        <w:trPr>
          <w:trHeight w:val="253"/>
        </w:trPr>
        <w:tc>
          <w:tcPr>
            <w:tcW w:w="3266" w:type="dxa"/>
            <w:tcBorders>
              <w:top w:val="nil"/>
              <w:left w:val="nil"/>
              <w:bottom w:val="nil"/>
              <w:right w:val="nil"/>
            </w:tcBorders>
            <w:shd w:val="clear" w:color="auto" w:fill="auto"/>
            <w:noWrap/>
            <w:vAlign w:val="center"/>
            <w:hideMark/>
          </w:tcPr>
          <w:p w14:paraId="248CC70C" w14:textId="77777777"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Salariés</w:t>
            </w:r>
          </w:p>
        </w:tc>
        <w:tc>
          <w:tcPr>
            <w:tcW w:w="1269" w:type="dxa"/>
            <w:tcBorders>
              <w:top w:val="nil"/>
              <w:left w:val="nil"/>
              <w:bottom w:val="nil"/>
              <w:right w:val="nil"/>
            </w:tcBorders>
            <w:shd w:val="clear" w:color="auto" w:fill="auto"/>
            <w:noWrap/>
            <w:vAlign w:val="center"/>
            <w:hideMark/>
          </w:tcPr>
          <w:p w14:paraId="47BCE429"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2 500</w:t>
            </w:r>
          </w:p>
        </w:tc>
        <w:tc>
          <w:tcPr>
            <w:tcW w:w="1361" w:type="dxa"/>
            <w:tcBorders>
              <w:top w:val="nil"/>
              <w:left w:val="nil"/>
              <w:bottom w:val="nil"/>
              <w:right w:val="nil"/>
            </w:tcBorders>
            <w:shd w:val="clear" w:color="auto" w:fill="auto"/>
            <w:vAlign w:val="center"/>
            <w:hideMark/>
          </w:tcPr>
          <w:p w14:paraId="3489D9B4"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0,03%</w:t>
            </w:r>
          </w:p>
        </w:tc>
      </w:tr>
      <w:tr w:rsidR="00F36BDF" w:rsidRPr="00C73365" w14:paraId="7CA46B59" w14:textId="77777777" w:rsidTr="002D590C">
        <w:trPr>
          <w:trHeight w:val="253"/>
        </w:trPr>
        <w:tc>
          <w:tcPr>
            <w:tcW w:w="3266" w:type="dxa"/>
            <w:tcBorders>
              <w:top w:val="nil"/>
              <w:left w:val="nil"/>
              <w:bottom w:val="nil"/>
              <w:right w:val="nil"/>
            </w:tcBorders>
            <w:shd w:val="clear" w:color="auto" w:fill="auto"/>
            <w:noWrap/>
            <w:vAlign w:val="center"/>
            <w:hideMark/>
          </w:tcPr>
          <w:p w14:paraId="4C784650" w14:textId="77777777"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Consultants*</w:t>
            </w:r>
          </w:p>
        </w:tc>
        <w:tc>
          <w:tcPr>
            <w:tcW w:w="1269" w:type="dxa"/>
            <w:tcBorders>
              <w:top w:val="nil"/>
              <w:left w:val="nil"/>
              <w:bottom w:val="nil"/>
              <w:right w:val="nil"/>
            </w:tcBorders>
            <w:shd w:val="clear" w:color="auto" w:fill="auto"/>
            <w:noWrap/>
            <w:vAlign w:val="center"/>
            <w:hideMark/>
          </w:tcPr>
          <w:p w14:paraId="3D2E5C21"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53 527</w:t>
            </w:r>
          </w:p>
        </w:tc>
        <w:tc>
          <w:tcPr>
            <w:tcW w:w="1361" w:type="dxa"/>
            <w:tcBorders>
              <w:top w:val="nil"/>
              <w:left w:val="nil"/>
              <w:bottom w:val="nil"/>
              <w:right w:val="nil"/>
            </w:tcBorders>
            <w:shd w:val="clear" w:color="auto" w:fill="auto"/>
            <w:vAlign w:val="center"/>
            <w:hideMark/>
          </w:tcPr>
          <w:p w14:paraId="36913B80"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0,54%</w:t>
            </w:r>
          </w:p>
        </w:tc>
      </w:tr>
      <w:tr w:rsidR="00F36BDF" w:rsidRPr="00C73365" w14:paraId="0503F69F" w14:textId="77777777" w:rsidTr="002D590C">
        <w:trPr>
          <w:trHeight w:val="253"/>
        </w:trPr>
        <w:tc>
          <w:tcPr>
            <w:tcW w:w="3266" w:type="dxa"/>
            <w:tcBorders>
              <w:top w:val="nil"/>
              <w:left w:val="nil"/>
              <w:bottom w:val="nil"/>
              <w:right w:val="nil"/>
            </w:tcBorders>
            <w:shd w:val="clear" w:color="auto" w:fill="auto"/>
            <w:noWrap/>
            <w:vAlign w:val="center"/>
            <w:hideMark/>
          </w:tcPr>
          <w:p w14:paraId="4AB72AF8" w14:textId="77777777"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w:t>
            </w:r>
            <w:r w:rsidR="002D590C" w:rsidRPr="00C73365">
              <w:rPr>
                <w:rFonts w:asciiTheme="minorHAnsi" w:hAnsiTheme="minorHAnsi" w:cstheme="minorHAnsi"/>
                <w:color w:val="000000"/>
                <w:szCs w:val="20"/>
              </w:rPr>
              <w:t>*</w:t>
            </w:r>
          </w:p>
        </w:tc>
        <w:tc>
          <w:tcPr>
            <w:tcW w:w="1269" w:type="dxa"/>
            <w:tcBorders>
              <w:top w:val="nil"/>
              <w:left w:val="nil"/>
              <w:bottom w:val="nil"/>
              <w:right w:val="nil"/>
            </w:tcBorders>
            <w:shd w:val="clear" w:color="auto" w:fill="auto"/>
            <w:noWrap/>
            <w:vAlign w:val="center"/>
            <w:hideMark/>
          </w:tcPr>
          <w:p w14:paraId="6FF84CD3"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187 883</w:t>
            </w:r>
          </w:p>
        </w:tc>
        <w:tc>
          <w:tcPr>
            <w:tcW w:w="1361" w:type="dxa"/>
            <w:tcBorders>
              <w:top w:val="nil"/>
              <w:left w:val="nil"/>
              <w:bottom w:val="nil"/>
              <w:right w:val="nil"/>
            </w:tcBorders>
            <w:shd w:val="clear" w:color="auto" w:fill="auto"/>
            <w:vAlign w:val="center"/>
            <w:hideMark/>
          </w:tcPr>
          <w:p w14:paraId="23A8279A"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1,90%</w:t>
            </w:r>
          </w:p>
        </w:tc>
      </w:tr>
      <w:tr w:rsidR="00F36BDF" w:rsidRPr="00C73365" w14:paraId="65C5C988" w14:textId="77777777" w:rsidTr="002D590C">
        <w:trPr>
          <w:trHeight w:val="253"/>
        </w:trPr>
        <w:tc>
          <w:tcPr>
            <w:tcW w:w="3266" w:type="dxa"/>
            <w:tcBorders>
              <w:top w:val="nil"/>
              <w:left w:val="nil"/>
              <w:bottom w:val="nil"/>
              <w:right w:val="nil"/>
            </w:tcBorders>
            <w:shd w:val="clear" w:color="auto" w:fill="auto"/>
            <w:noWrap/>
            <w:vAlign w:val="center"/>
            <w:hideMark/>
          </w:tcPr>
          <w:p w14:paraId="0418E3AB" w14:textId="77777777"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Auto contrôle</w:t>
            </w:r>
          </w:p>
        </w:tc>
        <w:tc>
          <w:tcPr>
            <w:tcW w:w="1269" w:type="dxa"/>
            <w:tcBorders>
              <w:top w:val="nil"/>
              <w:left w:val="nil"/>
              <w:bottom w:val="nil"/>
              <w:right w:val="nil"/>
            </w:tcBorders>
            <w:shd w:val="clear" w:color="auto" w:fill="auto"/>
            <w:noWrap/>
            <w:vAlign w:val="center"/>
            <w:hideMark/>
          </w:tcPr>
          <w:p w14:paraId="49E2C98C"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34 050</w:t>
            </w:r>
          </w:p>
        </w:tc>
        <w:tc>
          <w:tcPr>
            <w:tcW w:w="1361" w:type="dxa"/>
            <w:tcBorders>
              <w:top w:val="nil"/>
              <w:left w:val="nil"/>
              <w:bottom w:val="nil"/>
              <w:right w:val="nil"/>
            </w:tcBorders>
            <w:shd w:val="clear" w:color="auto" w:fill="auto"/>
            <w:vAlign w:val="center"/>
            <w:hideMark/>
          </w:tcPr>
          <w:p w14:paraId="1C5AE311"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0,34%</w:t>
            </w:r>
          </w:p>
        </w:tc>
      </w:tr>
      <w:tr w:rsidR="00F36BDF" w:rsidRPr="00C73365" w14:paraId="19F27EE6" w14:textId="77777777" w:rsidTr="002D590C">
        <w:trPr>
          <w:trHeight w:val="265"/>
        </w:trPr>
        <w:tc>
          <w:tcPr>
            <w:tcW w:w="3266" w:type="dxa"/>
            <w:tcBorders>
              <w:top w:val="nil"/>
              <w:left w:val="nil"/>
              <w:bottom w:val="single" w:sz="8" w:space="0" w:color="7030A0"/>
              <w:right w:val="nil"/>
            </w:tcBorders>
            <w:shd w:val="clear" w:color="auto" w:fill="auto"/>
            <w:noWrap/>
            <w:vAlign w:val="center"/>
            <w:hideMark/>
          </w:tcPr>
          <w:p w14:paraId="6FD155BF" w14:textId="77777777"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Flottant</w:t>
            </w:r>
          </w:p>
        </w:tc>
        <w:tc>
          <w:tcPr>
            <w:tcW w:w="1269" w:type="dxa"/>
            <w:tcBorders>
              <w:top w:val="nil"/>
              <w:left w:val="nil"/>
              <w:bottom w:val="single" w:sz="8" w:space="0" w:color="7030A0"/>
              <w:right w:val="nil"/>
            </w:tcBorders>
            <w:shd w:val="clear" w:color="auto" w:fill="auto"/>
            <w:vAlign w:val="center"/>
            <w:hideMark/>
          </w:tcPr>
          <w:p w14:paraId="4CD37D71"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2 994 204</w:t>
            </w:r>
          </w:p>
        </w:tc>
        <w:tc>
          <w:tcPr>
            <w:tcW w:w="1361" w:type="dxa"/>
            <w:tcBorders>
              <w:top w:val="nil"/>
              <w:left w:val="nil"/>
              <w:bottom w:val="single" w:sz="8" w:space="0" w:color="7030A0"/>
              <w:right w:val="nil"/>
            </w:tcBorders>
            <w:shd w:val="clear" w:color="auto" w:fill="auto"/>
            <w:vAlign w:val="center"/>
            <w:hideMark/>
          </w:tcPr>
          <w:p w14:paraId="68803808" w14:textId="77777777"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30,23%</w:t>
            </w:r>
          </w:p>
        </w:tc>
      </w:tr>
      <w:tr w:rsidR="00F36BDF" w:rsidRPr="00C73365" w14:paraId="3E670369" w14:textId="77777777" w:rsidTr="002D590C">
        <w:trPr>
          <w:trHeight w:val="265"/>
        </w:trPr>
        <w:tc>
          <w:tcPr>
            <w:tcW w:w="3266" w:type="dxa"/>
            <w:tcBorders>
              <w:top w:val="nil"/>
              <w:left w:val="nil"/>
              <w:bottom w:val="single" w:sz="8" w:space="0" w:color="7030A0"/>
              <w:right w:val="nil"/>
            </w:tcBorders>
            <w:shd w:val="clear" w:color="auto" w:fill="auto"/>
            <w:noWrap/>
            <w:vAlign w:val="center"/>
            <w:hideMark/>
          </w:tcPr>
          <w:p w14:paraId="06FAF7ED" w14:textId="77777777" w:rsidR="00F36BDF" w:rsidRPr="00C73365" w:rsidRDefault="00F36BDF" w:rsidP="00F36BDF">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269" w:type="dxa"/>
            <w:tcBorders>
              <w:top w:val="nil"/>
              <w:left w:val="nil"/>
              <w:bottom w:val="single" w:sz="8" w:space="0" w:color="7030A0"/>
              <w:right w:val="nil"/>
            </w:tcBorders>
            <w:shd w:val="clear" w:color="auto" w:fill="auto"/>
            <w:vAlign w:val="center"/>
            <w:hideMark/>
          </w:tcPr>
          <w:p w14:paraId="650605AE" w14:textId="77777777" w:rsidR="00F36BDF" w:rsidRPr="00C73365" w:rsidRDefault="00F36BDF" w:rsidP="00F36BD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9 904 229</w:t>
            </w:r>
          </w:p>
        </w:tc>
        <w:tc>
          <w:tcPr>
            <w:tcW w:w="1361" w:type="dxa"/>
            <w:tcBorders>
              <w:top w:val="nil"/>
              <w:left w:val="nil"/>
              <w:bottom w:val="single" w:sz="8" w:space="0" w:color="7030A0"/>
              <w:right w:val="nil"/>
            </w:tcBorders>
            <w:shd w:val="clear" w:color="auto" w:fill="auto"/>
            <w:vAlign w:val="center"/>
            <w:hideMark/>
          </w:tcPr>
          <w:p w14:paraId="3314C219" w14:textId="77777777" w:rsidR="00F36BDF" w:rsidRPr="00C73365" w:rsidRDefault="00F36BDF" w:rsidP="00F36BD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100,00%</w:t>
            </w:r>
          </w:p>
        </w:tc>
      </w:tr>
    </w:tbl>
    <w:p w14:paraId="10FAB42E" w14:textId="77777777" w:rsidR="002D590C" w:rsidRPr="00C73365" w:rsidRDefault="002D590C" w:rsidP="004572A0">
      <w:pPr>
        <w:pStyle w:val="Corpsdetexte"/>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BSA/BSPCE ainsi que des anciens salariés de la société, des anciens membres du conseil ou certains membres des comités.</w:t>
      </w:r>
    </w:p>
    <w:p w14:paraId="7CDF04CD" w14:textId="77777777" w:rsidR="002D590C" w:rsidRPr="00C73365" w:rsidRDefault="002D590C"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r w:rsidR="00B97E97" w:rsidRPr="00C73365">
        <w:rPr>
          <w:rFonts w:asciiTheme="minorHAnsi" w:hAnsiTheme="minorHAnsi" w:cstheme="minorHAnsi"/>
          <w:lang w:val="fr-FR"/>
        </w:rPr>
        <w:t>)</w:t>
      </w:r>
    </w:p>
    <w:p w14:paraId="12C8203D" w14:textId="77777777" w:rsidR="00F46C7B" w:rsidRPr="00C73365" w:rsidRDefault="00F46C7B" w:rsidP="004572A0">
      <w:pPr>
        <w:pStyle w:val="Corpsdetexte"/>
        <w:rPr>
          <w:rFonts w:asciiTheme="minorHAnsi" w:hAnsiTheme="minorHAnsi" w:cstheme="minorHAnsi"/>
          <w:b/>
          <w:sz w:val="24"/>
          <w:lang w:val="fr-FR"/>
        </w:rPr>
      </w:pPr>
      <w:r w:rsidRPr="00C73365">
        <w:rPr>
          <w:rFonts w:asciiTheme="minorHAnsi" w:hAnsiTheme="minorHAnsi" w:cstheme="minorHAnsi"/>
          <w:b/>
          <w:lang w:val="fr-FR"/>
        </w:rPr>
        <w:t>Emission d’instruments financiers dilutifs (BSPCE et BSA)</w:t>
      </w:r>
    </w:p>
    <w:p w14:paraId="22899011" w14:textId="77777777" w:rsidR="00BC0211"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a émis les titres donnant accès à son capital (bons de souscription de parts de créateur d’entreprise – BCE- et bons de souscription d’actions – BSA)</w:t>
      </w:r>
      <w:r w:rsidR="005677B0" w:rsidRPr="00C73365">
        <w:rPr>
          <w:rFonts w:asciiTheme="minorHAnsi" w:hAnsiTheme="minorHAnsi" w:cstheme="minorHAnsi"/>
          <w:lang w:val="fr-FR"/>
        </w:rPr>
        <w:t>.</w:t>
      </w:r>
    </w:p>
    <w:p w14:paraId="12688FBB" w14:textId="77777777" w:rsidR="00333B95" w:rsidRPr="00C73365" w:rsidRDefault="00333B95" w:rsidP="004572A0">
      <w:pPr>
        <w:pStyle w:val="Corpsdetexte"/>
        <w:rPr>
          <w:rFonts w:asciiTheme="minorHAnsi" w:hAnsiTheme="minorHAnsi" w:cstheme="minorHAnsi"/>
          <w:lang w:val="fr-FR"/>
        </w:rPr>
      </w:pPr>
      <w:r w:rsidRPr="00C73365">
        <w:rPr>
          <w:rFonts w:asciiTheme="minorHAnsi" w:hAnsiTheme="minorHAnsi" w:cstheme="minorHAnsi"/>
          <w:lang w:val="fr-FR"/>
        </w:rPr>
        <w:t>Sur la base des capitaux propres au 31 décembre 2017, et dans l’hypothèse où tous les instruments dilutifs valides à la même date seraient exercés, les capitaux propres par action au 31 décembre 2017 sont de 4.43 euros pour 9 904 229 actions. Après dilution (soit avec 1 650 167 actions supplémentaires), ils seraient de 3.80 euros pour 11 554 396 actions.</w:t>
      </w:r>
    </w:p>
    <w:p w14:paraId="505EAB36" w14:textId="77777777" w:rsidR="00F46C7B" w:rsidRPr="00C73365" w:rsidRDefault="00F46C7B" w:rsidP="007A1897">
      <w:pPr>
        <w:rPr>
          <w:rFonts w:asciiTheme="minorHAnsi" w:hAnsiTheme="minorHAnsi" w:cstheme="minorHAnsi"/>
          <w:sz w:val="22"/>
          <w:lang w:val="fr-FR"/>
        </w:rPr>
      </w:pPr>
      <w:r w:rsidRPr="00C73365">
        <w:rPr>
          <w:rFonts w:asciiTheme="minorHAnsi" w:hAnsiTheme="minorHAnsi" w:cstheme="minorHAnsi"/>
          <w:sz w:val="22"/>
          <w:lang w:val="fr-FR"/>
        </w:rPr>
        <w:br w:type="page"/>
      </w:r>
    </w:p>
    <w:p w14:paraId="5ADB0BE2" w14:textId="77777777"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5" w:name="_Toc462673253"/>
      <w:bookmarkStart w:id="676" w:name="_Toc467835600"/>
      <w:bookmarkStart w:id="677" w:name="_Toc510548426"/>
      <w:r w:rsidRPr="00C73365">
        <w:rPr>
          <w:rFonts w:asciiTheme="minorHAnsi" w:hAnsiTheme="minorHAnsi" w:cstheme="minorHAnsi"/>
          <w:sz w:val="22"/>
          <w:szCs w:val="22"/>
          <w:lang w:val="fr-FR"/>
        </w:rPr>
        <w:lastRenderedPageBreak/>
        <w:t>Flux de trésorerie</w:t>
      </w:r>
      <w:bookmarkEnd w:id="675"/>
      <w:bookmarkEnd w:id="676"/>
      <w:bookmarkEnd w:id="677"/>
    </w:p>
    <w:p w14:paraId="2063D211" w14:textId="77777777" w:rsidR="006B2CAE" w:rsidRPr="00C73365" w:rsidRDefault="006B2CAE">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t>Informations financières sélectionnées des flux de trésorerie :</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6B2CAE" w:rsidRPr="00C73365" w14:paraId="7D6DEA3F" w14:textId="77777777" w:rsidTr="006B2CAE">
        <w:trPr>
          <w:trHeight w:val="852"/>
        </w:trPr>
        <w:tc>
          <w:tcPr>
            <w:tcW w:w="4960" w:type="dxa"/>
            <w:tcBorders>
              <w:top w:val="single" w:sz="12" w:space="0" w:color="7030A0"/>
              <w:left w:val="nil"/>
              <w:bottom w:val="single" w:sz="8" w:space="0" w:color="7030A0"/>
              <w:right w:val="nil"/>
            </w:tcBorders>
            <w:shd w:val="clear" w:color="auto" w:fill="auto"/>
            <w:vAlign w:val="center"/>
            <w:hideMark/>
          </w:tcPr>
          <w:p w14:paraId="307E9E68"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14:paraId="048FD985" w14:textId="77777777"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08" w:type="dxa"/>
            <w:tcBorders>
              <w:top w:val="single" w:sz="12" w:space="0" w:color="7030A0"/>
              <w:left w:val="nil"/>
              <w:bottom w:val="single" w:sz="8" w:space="0" w:color="7030A0"/>
              <w:right w:val="nil"/>
            </w:tcBorders>
            <w:shd w:val="clear" w:color="auto" w:fill="auto"/>
            <w:vAlign w:val="center"/>
            <w:hideMark/>
          </w:tcPr>
          <w:p w14:paraId="1D987FB6" w14:textId="77777777"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31" w:type="dxa"/>
            <w:tcBorders>
              <w:top w:val="single" w:sz="12" w:space="0" w:color="7030A0"/>
              <w:left w:val="nil"/>
              <w:bottom w:val="single" w:sz="8" w:space="0" w:color="7030A0"/>
              <w:right w:val="nil"/>
            </w:tcBorders>
            <w:shd w:val="clear" w:color="auto" w:fill="auto"/>
            <w:vAlign w:val="center"/>
            <w:hideMark/>
          </w:tcPr>
          <w:p w14:paraId="7E682C06" w14:textId="77777777"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6B2CAE" w:rsidRPr="0030056F" w14:paraId="12798CE0" w14:textId="77777777" w:rsidTr="006B2CAE">
        <w:trPr>
          <w:trHeight w:val="276"/>
        </w:trPr>
        <w:tc>
          <w:tcPr>
            <w:tcW w:w="4960" w:type="dxa"/>
            <w:tcBorders>
              <w:top w:val="nil"/>
              <w:left w:val="nil"/>
              <w:bottom w:val="nil"/>
              <w:right w:val="nil"/>
            </w:tcBorders>
            <w:shd w:val="clear" w:color="auto" w:fill="auto"/>
            <w:noWrap/>
            <w:vAlign w:val="center"/>
            <w:hideMark/>
          </w:tcPr>
          <w:p w14:paraId="7CC06DB1" w14:textId="77777777"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7D3D1469" w14:textId="77777777" w:rsidR="006B2CAE" w:rsidRPr="00C73365" w:rsidRDefault="006B2CAE"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14:paraId="2B44FCC0" w14:textId="77777777" w:rsidR="006B2CAE" w:rsidRPr="00C73365" w:rsidRDefault="006B2CAE"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14:paraId="10A12E4A" w14:textId="77777777" w:rsidR="006B2CAE" w:rsidRPr="00C73365" w:rsidRDefault="006B2CAE" w:rsidP="00A96CCA">
            <w:pPr>
              <w:spacing w:after="0"/>
              <w:jc w:val="right"/>
              <w:rPr>
                <w:rFonts w:asciiTheme="minorHAnsi" w:hAnsiTheme="minorHAnsi" w:cstheme="minorHAnsi"/>
                <w:szCs w:val="20"/>
                <w:lang w:val="fr-FR" w:eastAsia="fr-FR"/>
              </w:rPr>
            </w:pPr>
          </w:p>
        </w:tc>
      </w:tr>
      <w:tr w:rsidR="006B2CAE" w:rsidRPr="00C73365" w14:paraId="0758FF8E" w14:textId="77777777" w:rsidTr="006B2CAE">
        <w:trPr>
          <w:trHeight w:val="276"/>
        </w:trPr>
        <w:tc>
          <w:tcPr>
            <w:tcW w:w="4960" w:type="dxa"/>
            <w:tcBorders>
              <w:top w:val="nil"/>
              <w:left w:val="nil"/>
              <w:bottom w:val="nil"/>
              <w:right w:val="nil"/>
            </w:tcBorders>
            <w:shd w:val="clear" w:color="auto" w:fill="auto"/>
            <w:noWrap/>
            <w:vAlign w:val="center"/>
            <w:hideMark/>
          </w:tcPr>
          <w:p w14:paraId="5C1E257F"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0B9154DA"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14:paraId="6170EF42"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14:paraId="44979C6E"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6B2CAE" w:rsidRPr="00C73365" w14:paraId="40B5BE7D" w14:textId="77777777" w:rsidTr="006B2CAE">
        <w:trPr>
          <w:trHeight w:val="276"/>
        </w:trPr>
        <w:tc>
          <w:tcPr>
            <w:tcW w:w="4960" w:type="dxa"/>
            <w:tcBorders>
              <w:top w:val="nil"/>
              <w:left w:val="nil"/>
              <w:bottom w:val="nil"/>
              <w:right w:val="nil"/>
            </w:tcBorders>
            <w:shd w:val="clear" w:color="auto" w:fill="auto"/>
            <w:noWrap/>
            <w:vAlign w:val="center"/>
            <w:hideMark/>
          </w:tcPr>
          <w:p w14:paraId="7C50AB05"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14:paraId="3DBDE71D"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14:paraId="39580699"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14:paraId="0101E4DE"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6B2CAE" w:rsidRPr="00C73365" w14:paraId="2539CCAF" w14:textId="77777777" w:rsidTr="006B2CAE">
        <w:trPr>
          <w:trHeight w:val="276"/>
        </w:trPr>
        <w:tc>
          <w:tcPr>
            <w:tcW w:w="4960" w:type="dxa"/>
            <w:tcBorders>
              <w:top w:val="nil"/>
              <w:left w:val="nil"/>
              <w:bottom w:val="nil"/>
              <w:right w:val="nil"/>
            </w:tcBorders>
            <w:shd w:val="clear" w:color="auto" w:fill="auto"/>
            <w:noWrap/>
            <w:vAlign w:val="center"/>
            <w:hideMark/>
          </w:tcPr>
          <w:p w14:paraId="175990D7"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6216355C"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14:paraId="0909FF8A"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14:paraId="5F9D00E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6B2CAE" w:rsidRPr="00C73365" w14:paraId="3BFA73EA" w14:textId="77777777" w:rsidTr="006B2CAE">
        <w:trPr>
          <w:trHeight w:val="276"/>
        </w:trPr>
        <w:tc>
          <w:tcPr>
            <w:tcW w:w="4960" w:type="dxa"/>
            <w:tcBorders>
              <w:top w:val="nil"/>
              <w:left w:val="nil"/>
              <w:bottom w:val="nil"/>
              <w:right w:val="nil"/>
            </w:tcBorders>
            <w:shd w:val="clear" w:color="auto" w:fill="auto"/>
            <w:noWrap/>
            <w:vAlign w:val="center"/>
            <w:hideMark/>
          </w:tcPr>
          <w:p w14:paraId="356E12B7"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5AD0D8B6"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14:paraId="19169CFB"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14:paraId="1390FB04"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6B2CAE" w:rsidRPr="00C73365" w14:paraId="3E49815A" w14:textId="77777777" w:rsidTr="006B2CAE">
        <w:trPr>
          <w:trHeight w:val="276"/>
        </w:trPr>
        <w:tc>
          <w:tcPr>
            <w:tcW w:w="4960" w:type="dxa"/>
            <w:tcBorders>
              <w:top w:val="nil"/>
              <w:left w:val="nil"/>
              <w:bottom w:val="nil"/>
              <w:right w:val="nil"/>
            </w:tcBorders>
            <w:shd w:val="clear" w:color="auto" w:fill="auto"/>
            <w:noWrap/>
            <w:vAlign w:val="center"/>
            <w:hideMark/>
          </w:tcPr>
          <w:p w14:paraId="123D98F9"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60224E70"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14:paraId="1F28118E"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14:paraId="5F363985"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6B2CAE" w:rsidRPr="00C73365" w14:paraId="0EDCD5CD" w14:textId="77777777" w:rsidTr="006B2CAE">
        <w:trPr>
          <w:trHeight w:val="276"/>
        </w:trPr>
        <w:tc>
          <w:tcPr>
            <w:tcW w:w="4960" w:type="dxa"/>
            <w:tcBorders>
              <w:top w:val="nil"/>
              <w:left w:val="nil"/>
              <w:bottom w:val="nil"/>
              <w:right w:val="nil"/>
            </w:tcBorders>
            <w:shd w:val="clear" w:color="auto" w:fill="auto"/>
            <w:noWrap/>
            <w:vAlign w:val="center"/>
            <w:hideMark/>
          </w:tcPr>
          <w:p w14:paraId="24F431F6"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14:paraId="472D8328"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14:paraId="380D78BD"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14:paraId="77DDB104"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6B2CAE" w:rsidRPr="00C73365" w14:paraId="32D1BF53" w14:textId="77777777" w:rsidTr="006B2CAE">
        <w:trPr>
          <w:trHeight w:val="276"/>
        </w:trPr>
        <w:tc>
          <w:tcPr>
            <w:tcW w:w="4960" w:type="dxa"/>
            <w:tcBorders>
              <w:top w:val="nil"/>
              <w:left w:val="nil"/>
              <w:bottom w:val="nil"/>
              <w:right w:val="nil"/>
            </w:tcBorders>
            <w:shd w:val="clear" w:color="auto" w:fill="auto"/>
            <w:noWrap/>
            <w:vAlign w:val="center"/>
            <w:hideMark/>
          </w:tcPr>
          <w:p w14:paraId="4902C9F3"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14:paraId="0B0A5D20"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14:paraId="27A3530B"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14:paraId="3FB58C3C"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6B2CAE" w:rsidRPr="0030056F" w14:paraId="0385BC51" w14:textId="77777777" w:rsidTr="006B2CAE">
        <w:trPr>
          <w:trHeight w:val="276"/>
        </w:trPr>
        <w:tc>
          <w:tcPr>
            <w:tcW w:w="4960" w:type="dxa"/>
            <w:tcBorders>
              <w:top w:val="nil"/>
              <w:left w:val="nil"/>
              <w:bottom w:val="nil"/>
              <w:right w:val="nil"/>
            </w:tcBorders>
            <w:shd w:val="clear" w:color="auto" w:fill="auto"/>
            <w:noWrap/>
            <w:vAlign w:val="center"/>
            <w:hideMark/>
          </w:tcPr>
          <w:p w14:paraId="33A5B1B7"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769F75CB"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14:paraId="5E76F56A"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14:paraId="14B1C957" w14:textId="77777777" w:rsidR="006B2CAE" w:rsidRPr="00C73365" w:rsidRDefault="006B2CAE" w:rsidP="00A96CCA">
            <w:pPr>
              <w:spacing w:after="0"/>
              <w:jc w:val="right"/>
              <w:rPr>
                <w:rFonts w:asciiTheme="minorHAnsi" w:hAnsiTheme="minorHAnsi" w:cstheme="minorHAnsi"/>
                <w:color w:val="000000"/>
                <w:szCs w:val="20"/>
                <w:lang w:val="fr-FR" w:eastAsia="fr-FR"/>
              </w:rPr>
            </w:pPr>
          </w:p>
        </w:tc>
      </w:tr>
      <w:tr w:rsidR="006B2CAE" w:rsidRPr="00C73365" w14:paraId="533BEEA6" w14:textId="77777777" w:rsidTr="006B2CAE">
        <w:trPr>
          <w:trHeight w:val="276"/>
        </w:trPr>
        <w:tc>
          <w:tcPr>
            <w:tcW w:w="4960" w:type="dxa"/>
            <w:tcBorders>
              <w:top w:val="nil"/>
              <w:left w:val="nil"/>
              <w:bottom w:val="nil"/>
              <w:right w:val="nil"/>
            </w:tcBorders>
            <w:shd w:val="clear" w:color="auto" w:fill="auto"/>
            <w:noWrap/>
            <w:vAlign w:val="center"/>
            <w:hideMark/>
          </w:tcPr>
          <w:p w14:paraId="3C961B42"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65A096C7"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14:paraId="5CC54E65"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14:paraId="185D6D6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14:paraId="3AC00EFA" w14:textId="77777777" w:rsidTr="006B2CAE">
        <w:trPr>
          <w:trHeight w:val="276"/>
        </w:trPr>
        <w:tc>
          <w:tcPr>
            <w:tcW w:w="4960" w:type="dxa"/>
            <w:tcBorders>
              <w:top w:val="nil"/>
              <w:left w:val="nil"/>
              <w:bottom w:val="nil"/>
              <w:right w:val="nil"/>
            </w:tcBorders>
            <w:shd w:val="clear" w:color="auto" w:fill="auto"/>
            <w:noWrap/>
            <w:vAlign w:val="center"/>
            <w:hideMark/>
          </w:tcPr>
          <w:p w14:paraId="3D3F4067"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3E96910D"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14:paraId="31476D33"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14:paraId="1C351053"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6B2CAE" w:rsidRPr="00C73365" w14:paraId="46C2F5D6" w14:textId="77777777" w:rsidTr="006B2CAE">
        <w:trPr>
          <w:trHeight w:val="288"/>
        </w:trPr>
        <w:tc>
          <w:tcPr>
            <w:tcW w:w="4960" w:type="dxa"/>
            <w:tcBorders>
              <w:top w:val="nil"/>
              <w:left w:val="nil"/>
              <w:bottom w:val="single" w:sz="8" w:space="0" w:color="7030A0"/>
              <w:right w:val="nil"/>
            </w:tcBorders>
            <w:shd w:val="clear" w:color="auto" w:fill="auto"/>
            <w:noWrap/>
            <w:vAlign w:val="center"/>
            <w:hideMark/>
          </w:tcPr>
          <w:p w14:paraId="750B69F4"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51ECAD60"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14:paraId="7FC41FE7"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14:paraId="2208CD91"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6B2CAE" w:rsidRPr="00C73365" w14:paraId="7359D1C5" w14:textId="77777777" w:rsidTr="006B2CAE">
        <w:trPr>
          <w:trHeight w:val="288"/>
        </w:trPr>
        <w:tc>
          <w:tcPr>
            <w:tcW w:w="4960" w:type="dxa"/>
            <w:tcBorders>
              <w:top w:val="nil"/>
              <w:left w:val="nil"/>
              <w:bottom w:val="single" w:sz="8" w:space="0" w:color="7030A0"/>
              <w:right w:val="nil"/>
            </w:tcBorders>
            <w:shd w:val="clear" w:color="auto" w:fill="auto"/>
            <w:noWrap/>
            <w:vAlign w:val="center"/>
            <w:hideMark/>
          </w:tcPr>
          <w:p w14:paraId="405DFB7E" w14:textId="77777777"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14:paraId="7085E810"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14:paraId="5C249F1A"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14:paraId="03F89ADD"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6B2CAE" w:rsidRPr="00C73365" w14:paraId="0AC2943E" w14:textId="77777777" w:rsidTr="006B2CAE">
        <w:trPr>
          <w:trHeight w:val="276"/>
        </w:trPr>
        <w:tc>
          <w:tcPr>
            <w:tcW w:w="4960" w:type="dxa"/>
            <w:tcBorders>
              <w:top w:val="nil"/>
              <w:left w:val="nil"/>
              <w:bottom w:val="nil"/>
              <w:right w:val="nil"/>
            </w:tcBorders>
            <w:shd w:val="clear" w:color="auto" w:fill="auto"/>
            <w:noWrap/>
            <w:vAlign w:val="center"/>
            <w:hideMark/>
          </w:tcPr>
          <w:p w14:paraId="57D16954" w14:textId="77777777"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14:paraId="17C2919C"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14:paraId="1E58DC33"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14:paraId="520451CA" w14:textId="77777777"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14:paraId="3CED98C4" w14:textId="77777777" w:rsidTr="006B2CAE">
        <w:trPr>
          <w:trHeight w:val="276"/>
        </w:trPr>
        <w:tc>
          <w:tcPr>
            <w:tcW w:w="4960" w:type="dxa"/>
            <w:tcBorders>
              <w:top w:val="nil"/>
              <w:left w:val="nil"/>
              <w:bottom w:val="nil"/>
              <w:right w:val="nil"/>
            </w:tcBorders>
            <w:shd w:val="clear" w:color="auto" w:fill="auto"/>
            <w:noWrap/>
            <w:vAlign w:val="center"/>
            <w:hideMark/>
          </w:tcPr>
          <w:p w14:paraId="65BDCA8A"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14:paraId="3D0FFCEE"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14:paraId="29670669"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14:paraId="706DBCB6"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6B2CAE" w:rsidRPr="00C73365" w14:paraId="5EEA6C89" w14:textId="77777777" w:rsidTr="006B2CAE">
        <w:trPr>
          <w:trHeight w:val="276"/>
        </w:trPr>
        <w:tc>
          <w:tcPr>
            <w:tcW w:w="4960" w:type="dxa"/>
            <w:tcBorders>
              <w:top w:val="nil"/>
              <w:left w:val="nil"/>
              <w:bottom w:val="nil"/>
              <w:right w:val="nil"/>
            </w:tcBorders>
            <w:shd w:val="clear" w:color="auto" w:fill="auto"/>
            <w:noWrap/>
            <w:vAlign w:val="center"/>
            <w:hideMark/>
          </w:tcPr>
          <w:p w14:paraId="020A5A6B"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14:paraId="623B6BB9"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14:paraId="1CA08289"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14:paraId="54BC8295"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6B2CAE" w:rsidRPr="00C73365" w14:paraId="43A646E4" w14:textId="77777777" w:rsidTr="006B2CAE">
        <w:trPr>
          <w:trHeight w:val="276"/>
        </w:trPr>
        <w:tc>
          <w:tcPr>
            <w:tcW w:w="4960" w:type="dxa"/>
            <w:tcBorders>
              <w:top w:val="nil"/>
              <w:left w:val="nil"/>
              <w:bottom w:val="nil"/>
              <w:right w:val="nil"/>
            </w:tcBorders>
            <w:shd w:val="clear" w:color="auto" w:fill="auto"/>
            <w:noWrap/>
            <w:vAlign w:val="center"/>
            <w:hideMark/>
          </w:tcPr>
          <w:p w14:paraId="6252BEE0"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14:paraId="1B7181ED"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14:paraId="6C921FC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14:paraId="3CDB49AD"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6B2CAE" w:rsidRPr="00C73365" w14:paraId="25F48CEF" w14:textId="77777777" w:rsidTr="006B2CAE">
        <w:trPr>
          <w:trHeight w:val="288"/>
        </w:trPr>
        <w:tc>
          <w:tcPr>
            <w:tcW w:w="4960" w:type="dxa"/>
            <w:tcBorders>
              <w:top w:val="nil"/>
              <w:left w:val="nil"/>
              <w:bottom w:val="single" w:sz="8" w:space="0" w:color="7030A0"/>
              <w:right w:val="nil"/>
            </w:tcBorders>
            <w:shd w:val="clear" w:color="auto" w:fill="auto"/>
            <w:noWrap/>
            <w:vAlign w:val="center"/>
            <w:hideMark/>
          </w:tcPr>
          <w:p w14:paraId="5CFA78E2"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14:paraId="0FFC7110"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14:paraId="628A290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14:paraId="695611C4"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6B2CAE" w:rsidRPr="00C73365" w14:paraId="695D0580" w14:textId="77777777" w:rsidTr="006B2CAE">
        <w:trPr>
          <w:trHeight w:val="288"/>
        </w:trPr>
        <w:tc>
          <w:tcPr>
            <w:tcW w:w="4960" w:type="dxa"/>
            <w:tcBorders>
              <w:top w:val="nil"/>
              <w:left w:val="nil"/>
              <w:bottom w:val="nil"/>
              <w:right w:val="nil"/>
            </w:tcBorders>
            <w:shd w:val="clear" w:color="auto" w:fill="auto"/>
            <w:noWrap/>
            <w:vAlign w:val="center"/>
            <w:hideMark/>
          </w:tcPr>
          <w:p w14:paraId="31CF628D" w14:textId="77777777"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14:paraId="7C0477C3"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14:paraId="52736B0D"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14:paraId="30DEAB43"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6B2CAE" w:rsidRPr="00C73365" w14:paraId="5273C8B0" w14:textId="77777777" w:rsidTr="006B2CAE">
        <w:trPr>
          <w:trHeight w:val="288"/>
        </w:trPr>
        <w:tc>
          <w:tcPr>
            <w:tcW w:w="4960" w:type="dxa"/>
            <w:tcBorders>
              <w:top w:val="single" w:sz="8" w:space="0" w:color="7030A0"/>
              <w:left w:val="nil"/>
              <w:bottom w:val="nil"/>
              <w:right w:val="nil"/>
            </w:tcBorders>
            <w:shd w:val="clear" w:color="auto" w:fill="auto"/>
            <w:noWrap/>
            <w:vAlign w:val="center"/>
            <w:hideMark/>
          </w:tcPr>
          <w:p w14:paraId="30A8E960" w14:textId="77777777"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14:paraId="5B0DD49A"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14:paraId="3CA1F1C9" w14:textId="77777777"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14:paraId="2BC57DB1" w14:textId="77777777"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14:paraId="625609E4" w14:textId="77777777" w:rsidTr="006B2CAE">
        <w:trPr>
          <w:trHeight w:val="276"/>
        </w:trPr>
        <w:tc>
          <w:tcPr>
            <w:tcW w:w="4960" w:type="dxa"/>
            <w:tcBorders>
              <w:top w:val="nil"/>
              <w:left w:val="nil"/>
              <w:bottom w:val="nil"/>
              <w:right w:val="nil"/>
            </w:tcBorders>
            <w:shd w:val="clear" w:color="auto" w:fill="auto"/>
            <w:noWrap/>
            <w:vAlign w:val="center"/>
            <w:hideMark/>
          </w:tcPr>
          <w:p w14:paraId="3EE6FC87"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14:paraId="3E7292CC"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14:paraId="4C766816"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14:paraId="7583F4DF"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6B2CAE" w:rsidRPr="00C73365" w14:paraId="543CC06F" w14:textId="77777777" w:rsidTr="006B2CAE">
        <w:trPr>
          <w:trHeight w:val="276"/>
        </w:trPr>
        <w:tc>
          <w:tcPr>
            <w:tcW w:w="4960" w:type="dxa"/>
            <w:tcBorders>
              <w:top w:val="nil"/>
              <w:left w:val="nil"/>
              <w:bottom w:val="nil"/>
              <w:right w:val="nil"/>
            </w:tcBorders>
            <w:shd w:val="clear" w:color="auto" w:fill="auto"/>
            <w:noWrap/>
            <w:vAlign w:val="center"/>
            <w:hideMark/>
          </w:tcPr>
          <w:p w14:paraId="19C66BD6"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14:paraId="6C23BBD1"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14:paraId="31E94147"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14:paraId="5C7A207A"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6B2CAE" w:rsidRPr="00C73365" w14:paraId="57DFCE1D" w14:textId="77777777" w:rsidTr="006B2CAE">
        <w:trPr>
          <w:trHeight w:val="276"/>
        </w:trPr>
        <w:tc>
          <w:tcPr>
            <w:tcW w:w="4960" w:type="dxa"/>
            <w:tcBorders>
              <w:top w:val="nil"/>
              <w:left w:val="nil"/>
              <w:bottom w:val="nil"/>
              <w:right w:val="nil"/>
            </w:tcBorders>
            <w:shd w:val="clear" w:color="auto" w:fill="auto"/>
            <w:noWrap/>
            <w:vAlign w:val="center"/>
            <w:hideMark/>
          </w:tcPr>
          <w:p w14:paraId="39AF538B"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14:paraId="1624C095"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14:paraId="1AFCD9BD"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14:paraId="7139F7AE"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6B2CAE" w:rsidRPr="00C73365" w14:paraId="2E37B0E2" w14:textId="77777777" w:rsidTr="006B2CAE">
        <w:trPr>
          <w:trHeight w:val="288"/>
        </w:trPr>
        <w:tc>
          <w:tcPr>
            <w:tcW w:w="4960" w:type="dxa"/>
            <w:tcBorders>
              <w:top w:val="nil"/>
              <w:left w:val="nil"/>
              <w:bottom w:val="single" w:sz="8" w:space="0" w:color="7030A0"/>
              <w:right w:val="nil"/>
            </w:tcBorders>
            <w:shd w:val="clear" w:color="auto" w:fill="auto"/>
            <w:noWrap/>
            <w:vAlign w:val="center"/>
            <w:hideMark/>
          </w:tcPr>
          <w:p w14:paraId="3FF30AC6"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14:paraId="69F11868"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14:paraId="61423CC0"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14:paraId="45216BF7"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14:paraId="345BFAC4" w14:textId="77777777" w:rsidTr="006B2CAE">
        <w:trPr>
          <w:trHeight w:val="288"/>
        </w:trPr>
        <w:tc>
          <w:tcPr>
            <w:tcW w:w="4960" w:type="dxa"/>
            <w:tcBorders>
              <w:top w:val="nil"/>
              <w:left w:val="nil"/>
              <w:bottom w:val="nil"/>
              <w:right w:val="nil"/>
            </w:tcBorders>
            <w:shd w:val="clear" w:color="auto" w:fill="auto"/>
            <w:noWrap/>
            <w:vAlign w:val="center"/>
            <w:hideMark/>
          </w:tcPr>
          <w:p w14:paraId="298992E3" w14:textId="77777777"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14:paraId="1DD4DE91"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14:paraId="0A6B1AD3"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14:paraId="49F0C254" w14:textId="77777777"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6B2CAE" w:rsidRPr="00C73365" w14:paraId="2AE3FBC3" w14:textId="77777777" w:rsidTr="006B2CAE">
        <w:trPr>
          <w:trHeight w:val="276"/>
        </w:trPr>
        <w:tc>
          <w:tcPr>
            <w:tcW w:w="4960" w:type="dxa"/>
            <w:tcBorders>
              <w:top w:val="single" w:sz="8" w:space="0" w:color="7030A0"/>
              <w:left w:val="nil"/>
              <w:bottom w:val="nil"/>
              <w:right w:val="nil"/>
            </w:tcBorders>
            <w:shd w:val="clear" w:color="auto" w:fill="auto"/>
            <w:noWrap/>
            <w:vAlign w:val="center"/>
            <w:hideMark/>
          </w:tcPr>
          <w:p w14:paraId="47AFFA68" w14:textId="77777777"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14:paraId="45265361" w14:textId="77777777"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14:paraId="6A5983C8" w14:textId="77777777"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14:paraId="07217DCE" w14:textId="77777777"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6B2CAE" w:rsidRPr="00C73365" w14:paraId="51C5AF3F" w14:textId="77777777" w:rsidTr="006B2CAE">
        <w:trPr>
          <w:trHeight w:val="288"/>
        </w:trPr>
        <w:tc>
          <w:tcPr>
            <w:tcW w:w="4960" w:type="dxa"/>
            <w:tcBorders>
              <w:top w:val="nil"/>
              <w:left w:val="nil"/>
              <w:bottom w:val="single" w:sz="8" w:space="0" w:color="7030A0"/>
              <w:right w:val="nil"/>
            </w:tcBorders>
            <w:shd w:val="clear" w:color="auto" w:fill="auto"/>
            <w:noWrap/>
            <w:vAlign w:val="center"/>
            <w:hideMark/>
          </w:tcPr>
          <w:p w14:paraId="073E3CF6" w14:textId="77777777"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14:paraId="79B56A07"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14:paraId="3FB18561"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14:paraId="1856B760" w14:textId="77777777"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6B2CAE" w:rsidRPr="00C73365" w14:paraId="2492C4F1" w14:textId="77777777" w:rsidTr="006B2CAE">
        <w:trPr>
          <w:trHeight w:val="288"/>
        </w:trPr>
        <w:tc>
          <w:tcPr>
            <w:tcW w:w="4960" w:type="dxa"/>
            <w:tcBorders>
              <w:top w:val="nil"/>
              <w:left w:val="nil"/>
              <w:bottom w:val="single" w:sz="8" w:space="0" w:color="7030A0"/>
              <w:right w:val="nil"/>
            </w:tcBorders>
            <w:shd w:val="clear" w:color="auto" w:fill="auto"/>
            <w:noWrap/>
            <w:vAlign w:val="center"/>
            <w:hideMark/>
          </w:tcPr>
          <w:p w14:paraId="27E0E7C5" w14:textId="77777777" w:rsidR="006B2CAE" w:rsidRPr="00C73365" w:rsidRDefault="006B2CAE"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14:paraId="7A2828E9" w14:textId="77777777"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14:paraId="71B66342" w14:textId="77777777"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14:paraId="7D0ADB7A" w14:textId="77777777"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14:paraId="2D9A2180" w14:textId="77777777" w:rsidR="006B2CAE" w:rsidRPr="00C73365" w:rsidRDefault="006B2CAE" w:rsidP="004572A0">
      <w:pPr>
        <w:pStyle w:val="Lgende"/>
        <w:rPr>
          <w:rFonts w:asciiTheme="minorHAnsi" w:hAnsiTheme="minorHAnsi" w:cstheme="minorHAnsi"/>
          <w:lang w:val="fr-FR"/>
        </w:rPr>
      </w:pPr>
      <w:r w:rsidRPr="00C73365">
        <w:rPr>
          <w:rFonts w:asciiTheme="minorHAnsi" w:hAnsiTheme="minorHAnsi" w:cstheme="minorHAnsi"/>
          <w:lang w:val="fr-FR"/>
        </w:rPr>
        <w:t>Les montants indiqués en Trésorerie correspondent aux Valeurs Mobilières de Placement et Disponibilités indiquées au Bilan</w:t>
      </w:r>
    </w:p>
    <w:p w14:paraId="0C17D7F4" w14:textId="77777777" w:rsidR="001E0BFC" w:rsidRDefault="001E0BFC" w:rsidP="001E0BFC">
      <w:pPr>
        <w:pStyle w:val="Listepuces"/>
        <w:numPr>
          <w:ilvl w:val="0"/>
          <w:numId w:val="0"/>
        </w:numPr>
        <w:rPr>
          <w:rFonts w:asciiTheme="minorHAnsi" w:hAnsiTheme="minorHAnsi" w:cstheme="minorHAnsi"/>
          <w:lang w:val="fr-FR"/>
        </w:rPr>
      </w:pPr>
      <w:r w:rsidRPr="00E66FAB">
        <w:rPr>
          <w:rFonts w:asciiTheme="minorHAnsi" w:hAnsiTheme="minorHAnsi" w:cstheme="minorHAnsi"/>
          <w:lang w:val="fr-FR"/>
        </w:rPr>
        <w:t>La trésorerie financière nette déduction faite des dettes financières de 170 K€ est de 16 862 K€.</w:t>
      </w:r>
      <w:r>
        <w:rPr>
          <w:rFonts w:asciiTheme="minorHAnsi" w:hAnsiTheme="minorHAnsi" w:cstheme="minorHAnsi"/>
          <w:lang w:val="fr-FR"/>
        </w:rPr>
        <w:t xml:space="preserve"> </w:t>
      </w:r>
    </w:p>
    <w:p w14:paraId="09C471B4" w14:textId="24282AB4" w:rsidR="001E0BFC" w:rsidRDefault="001E0BFC" w:rsidP="001E0BFC">
      <w:pPr>
        <w:pStyle w:val="Listepuces"/>
        <w:numPr>
          <w:ilvl w:val="0"/>
          <w:numId w:val="0"/>
        </w:numPr>
        <w:rPr>
          <w:rFonts w:asciiTheme="minorHAnsi" w:hAnsiTheme="minorHAnsi" w:cstheme="minorHAnsi"/>
          <w:lang w:val="fr-FR"/>
        </w:rPr>
      </w:pPr>
      <w:r w:rsidRPr="00C73365">
        <w:rPr>
          <w:rFonts w:asciiTheme="minorHAnsi" w:hAnsiTheme="minorHAnsi" w:cstheme="minorHAnsi"/>
          <w:lang w:val="fr-FR"/>
        </w:rPr>
        <w:t xml:space="preserve">La variation de trésorerie hors augmentation de capital sur l’année 2015 a été de -19 628 K€. Cette même variation était de -16 140 K€ </w:t>
      </w:r>
      <w:r w:rsidR="00474AE7">
        <w:rPr>
          <w:rFonts w:asciiTheme="minorHAnsi" w:hAnsiTheme="minorHAnsi" w:cstheme="minorHAnsi"/>
          <w:lang w:val="fr-FR"/>
        </w:rPr>
        <w:t xml:space="preserve">en 2016 </w:t>
      </w:r>
      <w:r w:rsidRPr="00C73365">
        <w:rPr>
          <w:rFonts w:asciiTheme="minorHAnsi" w:hAnsiTheme="minorHAnsi" w:cstheme="minorHAnsi"/>
          <w:lang w:val="fr-FR"/>
        </w:rPr>
        <w:t>et de -5 955 K€</w:t>
      </w:r>
      <w:r w:rsidR="00474AE7">
        <w:rPr>
          <w:rFonts w:asciiTheme="minorHAnsi" w:hAnsiTheme="minorHAnsi" w:cstheme="minorHAnsi"/>
          <w:lang w:val="fr-FR"/>
        </w:rPr>
        <w:t xml:space="preserve"> en 2017.</w:t>
      </w:r>
      <w:r w:rsidRPr="00C73365">
        <w:rPr>
          <w:rFonts w:asciiTheme="minorHAnsi" w:hAnsiTheme="minorHAnsi" w:cstheme="minorHAnsi"/>
          <w:lang w:val="fr-FR"/>
        </w:rPr>
        <w:t xml:space="preserve"> </w:t>
      </w:r>
    </w:p>
    <w:p w14:paraId="383957F4" w14:textId="6E64D4C2" w:rsidR="000A4258" w:rsidRPr="008A3726" w:rsidRDefault="0030056F" w:rsidP="001E0BFC">
      <w:pPr>
        <w:pStyle w:val="Listepuces"/>
        <w:numPr>
          <w:ilvl w:val="0"/>
          <w:numId w:val="0"/>
        </w:numPr>
        <w:rPr>
          <w:rFonts w:asciiTheme="minorHAnsi" w:hAnsiTheme="minorHAnsi" w:cstheme="minorHAnsi"/>
          <w:lang w:val="fr-FR"/>
        </w:rPr>
      </w:pPr>
      <w:r w:rsidRPr="008A3726">
        <w:rPr>
          <w:rFonts w:asciiTheme="minorHAnsi" w:hAnsiTheme="minorHAnsi" w:cstheme="minorHAnsi"/>
          <w:lang w:val="fr-FR"/>
        </w:rPr>
        <w:t>En 2017, l</w:t>
      </w:r>
      <w:r w:rsidR="00D3074B" w:rsidRPr="008A3726">
        <w:rPr>
          <w:rFonts w:asciiTheme="minorHAnsi" w:hAnsiTheme="minorHAnsi" w:cstheme="minorHAnsi"/>
          <w:lang w:val="fr-FR"/>
        </w:rPr>
        <w:t>es flux de trésorerie liés à l’exploitation sont principalement impact</w:t>
      </w:r>
      <w:r w:rsidR="009E5AF4" w:rsidRPr="008A3726">
        <w:rPr>
          <w:rFonts w:asciiTheme="minorHAnsi" w:hAnsiTheme="minorHAnsi" w:cstheme="minorHAnsi"/>
          <w:lang w:val="fr-FR"/>
        </w:rPr>
        <w:t xml:space="preserve">és par le résultat d’exploitation de -14 150 k€ liés aux charges R&amp;D élevées propres à l’activité de l’entreprise. </w:t>
      </w:r>
    </w:p>
    <w:p w14:paraId="504AB37F" w14:textId="603C89BB" w:rsidR="001E0BFC" w:rsidRPr="008A3726" w:rsidRDefault="001E0BFC" w:rsidP="001E0BFC">
      <w:pPr>
        <w:pStyle w:val="Listepuces"/>
        <w:numPr>
          <w:ilvl w:val="0"/>
          <w:numId w:val="0"/>
        </w:numPr>
        <w:rPr>
          <w:rFonts w:asciiTheme="minorHAnsi" w:hAnsiTheme="minorHAnsi" w:cstheme="minorHAnsi"/>
          <w:lang w:val="fr-FR"/>
        </w:rPr>
      </w:pPr>
      <w:r w:rsidRPr="008A3726">
        <w:rPr>
          <w:rFonts w:asciiTheme="minorHAnsi" w:hAnsiTheme="minorHAnsi" w:cstheme="minorHAnsi"/>
          <w:lang w:val="fr-FR"/>
        </w:rPr>
        <w:t xml:space="preserve">Les variations du flux de trésorerie lié à l’investissement en 2017 sont principalement dues au contrat de liquidité. Les opérations d’achat et de vente d’actions via le contrat de liquidité sont comptabilisées en acquisitions et cessions d’immobilisation et le solde en espèce du contrat est une variation de créances. Ces montants sont détaillés à la note 3 du chapitre 20.1.1. </w:t>
      </w:r>
    </w:p>
    <w:p w14:paraId="53CC8280" w14:textId="732DAFFE" w:rsidR="001E0BFC" w:rsidRPr="00C73365" w:rsidRDefault="009E5AF4" w:rsidP="0030056F">
      <w:pPr>
        <w:pStyle w:val="Listepuces"/>
        <w:numPr>
          <w:ilvl w:val="0"/>
          <w:numId w:val="0"/>
        </w:numPr>
        <w:rPr>
          <w:rFonts w:asciiTheme="minorHAnsi" w:hAnsiTheme="minorHAnsi" w:cstheme="minorHAnsi"/>
          <w:lang w:val="fr-FR"/>
        </w:rPr>
      </w:pPr>
      <w:r w:rsidRPr="008A3726">
        <w:rPr>
          <w:rFonts w:asciiTheme="minorHAnsi" w:hAnsiTheme="minorHAnsi" w:cstheme="minorHAnsi"/>
          <w:lang w:val="fr-FR"/>
        </w:rPr>
        <w:t xml:space="preserve">Le flux de trésorie lié au financement est principalement </w:t>
      </w:r>
      <w:r w:rsidR="00B45751" w:rsidRPr="008A3726">
        <w:rPr>
          <w:rFonts w:asciiTheme="minorHAnsi" w:hAnsiTheme="minorHAnsi" w:cstheme="minorHAnsi"/>
          <w:lang w:val="fr-FR"/>
        </w:rPr>
        <w:t>dû</w:t>
      </w:r>
      <w:r w:rsidRPr="008A3726">
        <w:rPr>
          <w:rFonts w:asciiTheme="minorHAnsi" w:hAnsiTheme="minorHAnsi" w:cstheme="minorHAnsi"/>
          <w:lang w:val="fr-FR"/>
        </w:rPr>
        <w:t xml:space="preserve"> à la reception de l’avance remboursable des projets Rnpvir (1</w:t>
      </w:r>
      <w:r w:rsidR="00584DC2" w:rsidRPr="008A3726">
        <w:rPr>
          <w:rFonts w:asciiTheme="minorHAnsi" w:hAnsiTheme="minorHAnsi" w:cstheme="minorHAnsi"/>
          <w:lang w:val="fr-FR"/>
        </w:rPr>
        <w:t xml:space="preserve"> </w:t>
      </w:r>
      <w:r w:rsidRPr="008A3726">
        <w:rPr>
          <w:rFonts w:asciiTheme="minorHAnsi" w:hAnsiTheme="minorHAnsi" w:cstheme="minorHAnsi"/>
          <w:lang w:val="fr-FR"/>
        </w:rPr>
        <w:t>756 k€) et Ebola (300 k€) par la BPI</w:t>
      </w:r>
      <w:r w:rsidR="00584DC2" w:rsidRPr="008A3726">
        <w:rPr>
          <w:rFonts w:asciiTheme="minorHAnsi" w:hAnsiTheme="minorHAnsi" w:cstheme="minorHAnsi"/>
          <w:lang w:val="fr-FR"/>
        </w:rPr>
        <w:t xml:space="preserve"> et à l’utilisation de l’equity line Kepler Chevreux (Note 6 du Chapitre 20.1.1</w:t>
      </w:r>
      <w:r w:rsidR="008A3726" w:rsidRPr="008A3726">
        <w:rPr>
          <w:rFonts w:asciiTheme="minorHAnsi" w:hAnsiTheme="minorHAnsi" w:cstheme="minorHAnsi"/>
          <w:lang w:val="fr-FR"/>
        </w:rPr>
        <w:t>)</w:t>
      </w:r>
    </w:p>
    <w:p w14:paraId="23D682C3" w14:textId="4CFEEC80" w:rsidR="004F5D6F" w:rsidRPr="006D6044" w:rsidRDefault="00F46C7B" w:rsidP="004F5D6F">
      <w:pPr>
        <w:pStyle w:val="ConmainL2"/>
        <w:numPr>
          <w:ilvl w:val="1"/>
          <w:numId w:val="9"/>
        </w:numPr>
        <w:spacing w:after="120"/>
        <w:rPr>
          <w:rFonts w:asciiTheme="minorHAnsi" w:hAnsiTheme="minorHAnsi" w:cstheme="minorHAnsi"/>
          <w:sz w:val="22"/>
          <w:szCs w:val="22"/>
          <w:lang w:val="fr-FR"/>
        </w:rPr>
      </w:pPr>
      <w:bookmarkStart w:id="678" w:name="_Toc462673254"/>
      <w:bookmarkStart w:id="679" w:name="_Toc510548427"/>
      <w:r w:rsidRPr="00C73365">
        <w:rPr>
          <w:rFonts w:asciiTheme="minorHAnsi" w:hAnsiTheme="minorHAnsi" w:cstheme="minorHAnsi"/>
          <w:sz w:val="22"/>
          <w:szCs w:val="22"/>
          <w:lang w:val="fr-FR"/>
        </w:rPr>
        <w:lastRenderedPageBreak/>
        <w:t>Conditions d’emprunt et structure de financement</w:t>
      </w:r>
      <w:bookmarkEnd w:id="678"/>
      <w:bookmarkEnd w:id="679"/>
    </w:p>
    <w:p w14:paraId="7637EAA1" w14:textId="77777777" w:rsidR="00F46C7B" w:rsidRPr="00C73365" w:rsidRDefault="00F46C7B" w:rsidP="00616826">
      <w:pPr>
        <w:pStyle w:val="Paragraphedeliste"/>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Dettes Financières</w:t>
      </w:r>
    </w:p>
    <w:tbl>
      <w:tblPr>
        <w:tblpPr w:leftFromText="180" w:rightFromText="180" w:vertAnchor="text" w:horzAnchor="page" w:tblpX="3016" w:tblpY="406"/>
        <w:tblW w:w="4766" w:type="dxa"/>
        <w:tblCellMar>
          <w:left w:w="70" w:type="dxa"/>
          <w:right w:w="70" w:type="dxa"/>
        </w:tblCellMar>
        <w:tblLook w:val="04A0" w:firstRow="1" w:lastRow="0" w:firstColumn="1" w:lastColumn="0" w:noHBand="0" w:noVBand="1"/>
      </w:tblPr>
      <w:tblGrid>
        <w:gridCol w:w="3975"/>
        <w:gridCol w:w="154"/>
        <w:gridCol w:w="637"/>
      </w:tblGrid>
      <w:tr w:rsidR="0030056F" w:rsidRPr="00C73365" w14:paraId="31CAF1F0" w14:textId="77777777" w:rsidTr="0030056F">
        <w:trPr>
          <w:trHeight w:val="391"/>
        </w:trPr>
        <w:tc>
          <w:tcPr>
            <w:tcW w:w="3975" w:type="dxa"/>
            <w:tcBorders>
              <w:top w:val="single" w:sz="12" w:space="0" w:color="7030A0"/>
              <w:left w:val="nil"/>
              <w:bottom w:val="single" w:sz="8" w:space="0" w:color="7030A0"/>
              <w:right w:val="nil"/>
            </w:tcBorders>
            <w:shd w:val="clear" w:color="auto" w:fill="auto"/>
            <w:vAlign w:val="center"/>
            <w:hideMark/>
          </w:tcPr>
          <w:p w14:paraId="35D2865D" w14:textId="77777777"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Echéancier de Remboursement</w:t>
            </w:r>
            <w:r w:rsidRPr="00C73365">
              <w:rPr>
                <w:rFonts w:asciiTheme="minorHAnsi" w:hAnsiTheme="minorHAnsi" w:cstheme="minorHAnsi"/>
                <w:color w:val="000000"/>
                <w:szCs w:val="20"/>
                <w:lang w:val="fr-FR" w:eastAsia="fr-FR"/>
              </w:rPr>
              <w:br/>
              <w:t>en milliers d’euros</w:t>
            </w:r>
          </w:p>
        </w:tc>
        <w:tc>
          <w:tcPr>
            <w:tcW w:w="154" w:type="dxa"/>
            <w:tcBorders>
              <w:top w:val="nil"/>
              <w:left w:val="nil"/>
              <w:bottom w:val="nil"/>
              <w:right w:val="nil"/>
            </w:tcBorders>
            <w:shd w:val="clear" w:color="auto" w:fill="auto"/>
            <w:noWrap/>
            <w:vAlign w:val="center"/>
            <w:hideMark/>
          </w:tcPr>
          <w:p w14:paraId="68797753" w14:textId="77777777" w:rsidR="0030056F" w:rsidRPr="00C73365" w:rsidRDefault="0030056F" w:rsidP="0030056F">
            <w:pPr>
              <w:spacing w:after="0"/>
              <w:jc w:val="center"/>
              <w:rPr>
                <w:rFonts w:asciiTheme="minorHAnsi" w:hAnsiTheme="minorHAnsi" w:cstheme="minorHAnsi"/>
                <w:color w:val="000000"/>
                <w:szCs w:val="20"/>
                <w:lang w:val="fr-FR" w:eastAsia="fr-FR"/>
              </w:rPr>
            </w:pPr>
          </w:p>
        </w:tc>
        <w:tc>
          <w:tcPr>
            <w:tcW w:w="637" w:type="dxa"/>
            <w:tcBorders>
              <w:top w:val="single" w:sz="12" w:space="0" w:color="7030A0"/>
              <w:left w:val="nil"/>
              <w:bottom w:val="single" w:sz="8" w:space="0" w:color="7030A0"/>
              <w:right w:val="nil"/>
            </w:tcBorders>
            <w:vAlign w:val="center"/>
          </w:tcPr>
          <w:p w14:paraId="16E38751" w14:textId="77777777" w:rsidR="0030056F" w:rsidRPr="00C73365" w:rsidRDefault="0030056F" w:rsidP="0030056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p>
        </w:tc>
      </w:tr>
      <w:tr w:rsidR="0030056F" w:rsidRPr="00C73365" w14:paraId="2B986995" w14:textId="77777777" w:rsidTr="0030056F">
        <w:trPr>
          <w:trHeight w:val="420"/>
        </w:trPr>
        <w:tc>
          <w:tcPr>
            <w:tcW w:w="3975" w:type="dxa"/>
            <w:tcBorders>
              <w:top w:val="nil"/>
              <w:left w:val="nil"/>
              <w:bottom w:val="single" w:sz="4" w:space="0" w:color="7030A0"/>
              <w:right w:val="nil"/>
            </w:tcBorders>
            <w:shd w:val="clear" w:color="auto" w:fill="auto"/>
            <w:vAlign w:val="center"/>
            <w:hideMark/>
          </w:tcPr>
          <w:p w14:paraId="51B050EA" w14:textId="77777777"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Remboursement aide à l’innovation A106002G</w:t>
            </w:r>
          </w:p>
          <w:p w14:paraId="741CFAD8" w14:textId="77777777"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(aide conjointe BPI - Fonds FEDER)</w:t>
            </w:r>
          </w:p>
        </w:tc>
        <w:tc>
          <w:tcPr>
            <w:tcW w:w="154" w:type="dxa"/>
            <w:tcBorders>
              <w:top w:val="nil"/>
              <w:left w:val="nil"/>
              <w:right w:val="nil"/>
            </w:tcBorders>
            <w:shd w:val="clear" w:color="auto" w:fill="auto"/>
            <w:vAlign w:val="center"/>
            <w:hideMark/>
          </w:tcPr>
          <w:p w14:paraId="16D02882" w14:textId="77777777" w:rsidR="0030056F" w:rsidRPr="00C73365" w:rsidRDefault="0030056F" w:rsidP="0030056F">
            <w:pPr>
              <w:spacing w:after="0"/>
              <w:jc w:val="center"/>
              <w:rPr>
                <w:rFonts w:asciiTheme="minorHAnsi" w:hAnsiTheme="minorHAnsi" w:cstheme="minorHAnsi"/>
                <w:color w:val="000000"/>
                <w:szCs w:val="20"/>
                <w:lang w:val="fr-FR" w:eastAsia="fr-FR"/>
              </w:rPr>
            </w:pPr>
          </w:p>
        </w:tc>
        <w:tc>
          <w:tcPr>
            <w:tcW w:w="637" w:type="dxa"/>
            <w:tcBorders>
              <w:top w:val="nil"/>
              <w:left w:val="nil"/>
              <w:bottom w:val="single" w:sz="4" w:space="0" w:color="7030A0"/>
              <w:right w:val="nil"/>
            </w:tcBorders>
            <w:vAlign w:val="center"/>
          </w:tcPr>
          <w:p w14:paraId="4AAEB667" w14:textId="77777777" w:rsidR="0030056F" w:rsidRPr="00C73365" w:rsidRDefault="0030056F" w:rsidP="0030056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170</w:t>
            </w:r>
          </w:p>
        </w:tc>
      </w:tr>
      <w:tr w:rsidR="0030056F" w:rsidRPr="00C73365" w14:paraId="10063E06" w14:textId="77777777" w:rsidTr="0030056F">
        <w:trPr>
          <w:trHeight w:val="316"/>
        </w:trPr>
        <w:tc>
          <w:tcPr>
            <w:tcW w:w="3975" w:type="dxa"/>
            <w:tcBorders>
              <w:top w:val="single" w:sz="4" w:space="0" w:color="7030A0"/>
              <w:left w:val="nil"/>
              <w:bottom w:val="single" w:sz="4" w:space="0" w:color="7030A0"/>
              <w:right w:val="nil"/>
            </w:tcBorders>
            <w:shd w:val="clear" w:color="auto" w:fill="auto"/>
            <w:noWrap/>
            <w:vAlign w:val="center"/>
            <w:hideMark/>
          </w:tcPr>
          <w:p w14:paraId="11173CA4" w14:textId="77777777" w:rsidR="0030056F" w:rsidRPr="00C73365" w:rsidRDefault="0030056F" w:rsidP="0030056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dettes financières</w:t>
            </w:r>
          </w:p>
        </w:tc>
        <w:tc>
          <w:tcPr>
            <w:tcW w:w="154" w:type="dxa"/>
            <w:tcBorders>
              <w:left w:val="nil"/>
              <w:right w:val="nil"/>
            </w:tcBorders>
            <w:shd w:val="clear" w:color="auto" w:fill="auto"/>
            <w:noWrap/>
            <w:vAlign w:val="center"/>
            <w:hideMark/>
          </w:tcPr>
          <w:p w14:paraId="437E2C4E" w14:textId="77777777" w:rsidR="0030056F" w:rsidRPr="00C73365" w:rsidRDefault="0030056F" w:rsidP="0030056F">
            <w:pPr>
              <w:spacing w:after="0"/>
              <w:jc w:val="center"/>
              <w:rPr>
                <w:rFonts w:asciiTheme="minorHAnsi" w:hAnsiTheme="minorHAnsi" w:cstheme="minorHAnsi"/>
                <w:b/>
                <w:bCs/>
                <w:color w:val="7030A0"/>
                <w:szCs w:val="20"/>
                <w:lang w:val="fr-FR" w:eastAsia="fr-FR"/>
              </w:rPr>
            </w:pPr>
          </w:p>
        </w:tc>
        <w:tc>
          <w:tcPr>
            <w:tcW w:w="637" w:type="dxa"/>
            <w:tcBorders>
              <w:top w:val="single" w:sz="4" w:space="0" w:color="7030A0"/>
              <w:left w:val="nil"/>
              <w:bottom w:val="single" w:sz="4" w:space="0" w:color="7030A0"/>
              <w:right w:val="nil"/>
            </w:tcBorders>
            <w:vAlign w:val="center"/>
          </w:tcPr>
          <w:p w14:paraId="5A76862C" w14:textId="77777777" w:rsidR="0030056F" w:rsidRPr="00C73365" w:rsidRDefault="0030056F" w:rsidP="0030056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170</w:t>
            </w:r>
          </w:p>
        </w:tc>
      </w:tr>
    </w:tbl>
    <w:p w14:paraId="5FCBB2A3" w14:textId="77777777" w:rsidR="0030056F" w:rsidRDefault="0030056F" w:rsidP="0030056F">
      <w:pPr>
        <w:rPr>
          <w:rFonts w:asciiTheme="minorHAnsi" w:hAnsiTheme="minorHAnsi" w:cstheme="minorHAnsi"/>
          <w:lang w:val="fr-FR"/>
        </w:rPr>
      </w:pPr>
    </w:p>
    <w:p w14:paraId="6C701EB9" w14:textId="77777777" w:rsidR="0030056F" w:rsidRDefault="0030056F" w:rsidP="0030056F">
      <w:pPr>
        <w:rPr>
          <w:rFonts w:asciiTheme="minorHAnsi" w:eastAsia="MS Mincho" w:hAnsiTheme="minorHAnsi" w:cstheme="minorHAnsi"/>
          <w:lang w:val="fr-FR" w:eastAsia="ja-JP"/>
        </w:rPr>
      </w:pPr>
    </w:p>
    <w:p w14:paraId="4E550A71" w14:textId="77777777" w:rsidR="0030056F" w:rsidRDefault="0030056F" w:rsidP="0030056F">
      <w:pPr>
        <w:rPr>
          <w:rFonts w:asciiTheme="minorHAnsi" w:eastAsia="MS Mincho" w:hAnsiTheme="minorHAnsi" w:cstheme="minorHAnsi"/>
          <w:lang w:val="fr-FR" w:eastAsia="ja-JP"/>
        </w:rPr>
      </w:pPr>
    </w:p>
    <w:p w14:paraId="22CB7C7D" w14:textId="77777777" w:rsidR="0030056F" w:rsidRDefault="0030056F" w:rsidP="0030056F">
      <w:pPr>
        <w:rPr>
          <w:rFonts w:asciiTheme="minorHAnsi" w:eastAsia="MS Mincho" w:hAnsiTheme="minorHAnsi" w:cstheme="minorHAnsi"/>
          <w:lang w:val="fr-FR" w:eastAsia="ja-JP"/>
        </w:rPr>
      </w:pPr>
    </w:p>
    <w:p w14:paraId="3479D762" w14:textId="77777777" w:rsidR="0030056F" w:rsidRDefault="0030056F" w:rsidP="0030056F">
      <w:pPr>
        <w:rPr>
          <w:rFonts w:asciiTheme="minorHAnsi" w:eastAsia="MS Mincho" w:hAnsiTheme="minorHAnsi" w:cstheme="minorHAnsi"/>
          <w:lang w:val="fr-FR" w:eastAsia="ja-JP"/>
        </w:rPr>
      </w:pPr>
    </w:p>
    <w:p w14:paraId="3BB6EBBD" w14:textId="414890F6" w:rsidR="00F46C7B" w:rsidRPr="0030056F" w:rsidRDefault="008F2F8F" w:rsidP="0030056F">
      <w:pPr>
        <w:rPr>
          <w:rFonts w:asciiTheme="minorHAnsi" w:hAnsiTheme="minorHAnsi" w:cstheme="minorHAnsi"/>
        </w:rPr>
      </w:pPr>
      <w:r w:rsidRPr="00C73365">
        <w:rPr>
          <w:rFonts w:asciiTheme="minorHAnsi" w:eastAsia="MS Mincho" w:hAnsiTheme="minorHAnsi" w:cstheme="minorHAnsi"/>
          <w:lang w:val="fr-FR" w:eastAsia="ja-JP"/>
        </w:rPr>
        <w:t>A date d’enregistrement d</w:t>
      </w:r>
      <w:r w:rsidR="00EF089C" w:rsidRPr="00C73365">
        <w:rPr>
          <w:rFonts w:asciiTheme="minorHAnsi" w:eastAsia="MS Mincho" w:hAnsiTheme="minorHAnsi" w:cstheme="minorHAnsi"/>
          <w:lang w:val="fr-FR" w:eastAsia="ja-JP"/>
        </w:rPr>
        <w:t>e ce document</w:t>
      </w:r>
      <w:r w:rsidRPr="00C73365">
        <w:rPr>
          <w:rFonts w:asciiTheme="minorHAnsi" w:eastAsia="MS Mincho" w:hAnsiTheme="minorHAnsi" w:cstheme="minorHAnsi"/>
          <w:lang w:val="fr-FR" w:eastAsia="ja-JP"/>
        </w:rPr>
        <w:t xml:space="preserve">, l’aide conjointe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et Feder est intégralement remboursée. </w:t>
      </w:r>
      <w:r w:rsidR="00F46C7B" w:rsidRPr="00C73365">
        <w:rPr>
          <w:rFonts w:asciiTheme="minorHAnsi" w:eastAsia="MS Mincho" w:hAnsiTheme="minorHAnsi" w:cstheme="minorHAnsi"/>
          <w:lang w:val="fr-FR" w:eastAsia="ja-JP"/>
        </w:rPr>
        <w:t>La Société ne dispose pas de ressources financières de type bancaire</w:t>
      </w:r>
      <w:r w:rsidR="009D0B10" w:rsidRPr="00C73365">
        <w:rPr>
          <w:rFonts w:asciiTheme="minorHAnsi" w:eastAsia="MS Mincho" w:hAnsiTheme="minorHAnsi" w:cstheme="minorHAnsi"/>
          <w:lang w:val="fr-FR" w:eastAsia="ja-JP"/>
        </w:rPr>
        <w:t xml:space="preserve"> au 31 décembre 2017</w:t>
      </w:r>
      <w:r w:rsidR="00F46C7B" w:rsidRPr="00C73365">
        <w:rPr>
          <w:rFonts w:asciiTheme="minorHAnsi" w:eastAsia="MS Mincho" w:hAnsiTheme="minorHAnsi" w:cstheme="minorHAnsi"/>
          <w:lang w:val="fr-FR" w:eastAsia="ja-JP"/>
        </w:rPr>
        <w:t xml:space="preserve">, les emprunts et dettes financières divers figurant au bilan à la clôture correspondant aux avances à rembourser </w:t>
      </w:r>
      <w:r w:rsidR="001479F8">
        <w:rPr>
          <w:rFonts w:asciiTheme="minorHAnsi" w:eastAsia="MS Mincho" w:hAnsiTheme="minorHAnsi" w:cstheme="minorHAnsi"/>
          <w:lang w:val="fr-FR" w:eastAsia="ja-JP"/>
        </w:rPr>
        <w:t>Bpifrance</w:t>
      </w:r>
      <w:r w:rsidR="00F46C7B" w:rsidRPr="00C73365">
        <w:rPr>
          <w:rFonts w:asciiTheme="minorHAnsi" w:eastAsia="MS Mincho" w:hAnsiTheme="minorHAnsi" w:cstheme="minorHAnsi"/>
          <w:lang w:val="fr-FR" w:eastAsia="ja-JP"/>
        </w:rPr>
        <w:t>.</w:t>
      </w:r>
      <w:r w:rsidR="006D6044">
        <w:rPr>
          <w:rFonts w:asciiTheme="minorHAnsi" w:eastAsia="MS Mincho" w:hAnsiTheme="minorHAnsi" w:cstheme="minorHAnsi"/>
          <w:lang w:val="fr-FR" w:eastAsia="ja-JP"/>
        </w:rPr>
        <w:t xml:space="preserve"> Le détail des dettes financière est présenté à la note 9 du paragraphe 20.1.1. </w:t>
      </w:r>
    </w:p>
    <w:p w14:paraId="737E7744" w14:textId="77777777" w:rsidR="000760BF" w:rsidRPr="00C73365" w:rsidRDefault="00F46C7B" w:rsidP="002D590C">
      <w:pPr>
        <w:pStyle w:val="Paragraphedeliste"/>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Avances remboursables</w:t>
      </w:r>
    </w:p>
    <w:p w14:paraId="55B26217" w14:textId="77777777" w:rsidR="00FB3E68" w:rsidRPr="00C73365" w:rsidRDefault="00FB3E68" w:rsidP="005E0DB0">
      <w:pPr>
        <w:spacing w:after="0"/>
        <w:rPr>
          <w:rFonts w:asciiTheme="minorHAnsi" w:hAnsiTheme="minorHAnsi" w:cstheme="minorHAnsi"/>
          <w:lang w:val="fr-FR"/>
        </w:rPr>
      </w:pPr>
    </w:p>
    <w:p w14:paraId="2D1A89D8" w14:textId="4A114A03" w:rsidR="00F46C7B" w:rsidRPr="0030056F" w:rsidRDefault="0081325D" w:rsidP="0030056F">
      <w:pPr>
        <w:pStyle w:val="Corpsdetexte"/>
        <w:rPr>
          <w:rFonts w:asciiTheme="minorHAnsi" w:hAnsiTheme="minorHAnsi" w:cstheme="minorHAnsi"/>
          <w:lang w:val="fr-FR"/>
        </w:rPr>
      </w:pPr>
      <w:r w:rsidRPr="00C73365">
        <w:rPr>
          <w:rFonts w:asciiTheme="minorHAnsi" w:hAnsiTheme="minorHAnsi" w:cstheme="minorHAnsi"/>
          <w:lang w:val="fr-FR"/>
        </w:rPr>
        <w:t xml:space="preserve">Sur l’année 2017,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reçu 2 056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d’avances remboursables (1</w:t>
      </w:r>
      <w:r w:rsidR="00EF089C" w:rsidRPr="00C73365">
        <w:rPr>
          <w:rFonts w:asciiTheme="minorHAnsi" w:hAnsiTheme="minorHAnsi" w:cstheme="minorHAnsi"/>
          <w:lang w:val="fr-FR"/>
        </w:rPr>
        <w:t> </w:t>
      </w:r>
      <w:r w:rsidRPr="00C73365">
        <w:rPr>
          <w:rFonts w:asciiTheme="minorHAnsi" w:hAnsiTheme="minorHAnsi" w:cstheme="minorHAnsi"/>
          <w:lang w:val="fr-FR"/>
        </w:rPr>
        <w:t>756</w:t>
      </w:r>
      <w:r w:rsidR="00EF089C" w:rsidRPr="00C73365">
        <w:rPr>
          <w:rFonts w:asciiTheme="minorHAnsi" w:hAnsiTheme="minorHAnsi" w:cstheme="minorHAnsi"/>
          <w:lang w:val="fr-FR"/>
        </w:rPr>
        <w:t xml:space="preserve"> K€</w:t>
      </w:r>
      <w:r w:rsidRPr="00C73365">
        <w:rPr>
          <w:rFonts w:asciiTheme="minorHAnsi" w:hAnsiTheme="minorHAnsi" w:cstheme="minorHAnsi"/>
          <w:lang w:val="fr-FR"/>
        </w:rPr>
        <w:t xml:space="preserve"> correspondant au projet RNP-VIR et 300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au projet E</w:t>
      </w:r>
      <w:r w:rsidR="00FB3E68" w:rsidRPr="00C73365">
        <w:rPr>
          <w:rFonts w:asciiTheme="minorHAnsi" w:hAnsiTheme="minorHAnsi" w:cstheme="minorHAnsi"/>
          <w:lang w:val="fr-FR"/>
        </w:rPr>
        <w:t>bola</w:t>
      </w:r>
      <w:r w:rsidRPr="00C73365">
        <w:rPr>
          <w:rFonts w:asciiTheme="minorHAnsi" w:hAnsiTheme="minorHAnsi" w:cstheme="minorHAnsi"/>
          <w:lang w:val="fr-FR"/>
        </w:rPr>
        <w:t>)</w:t>
      </w:r>
      <w:r w:rsidR="00665210" w:rsidRPr="00C73365">
        <w:rPr>
          <w:rFonts w:asciiTheme="minorHAnsi" w:hAnsiTheme="minorHAnsi" w:cstheme="minorHAnsi"/>
          <w:lang w:val="fr-FR"/>
        </w:rPr>
        <w:t xml:space="preserve"> et a remboursé 85 </w:t>
      </w:r>
      <w:r w:rsidR="00EF089C" w:rsidRPr="00C73365">
        <w:rPr>
          <w:rFonts w:asciiTheme="minorHAnsi" w:hAnsiTheme="minorHAnsi" w:cstheme="minorHAnsi"/>
          <w:lang w:val="fr-FR"/>
        </w:rPr>
        <w:t>K€</w:t>
      </w:r>
      <w:r w:rsidR="00665210" w:rsidRPr="00C73365">
        <w:rPr>
          <w:rFonts w:asciiTheme="minorHAnsi" w:hAnsiTheme="minorHAnsi" w:cstheme="minorHAnsi"/>
          <w:lang w:val="fr-FR"/>
        </w:rPr>
        <w:t xml:space="preserve"> correspondant </w:t>
      </w:r>
      <w:r w:rsidR="005E0DB0" w:rsidRPr="00C73365">
        <w:rPr>
          <w:rFonts w:asciiTheme="minorHAnsi" w:hAnsiTheme="minorHAnsi" w:cstheme="minorHAnsi"/>
          <w:lang w:val="fr-FR"/>
        </w:rPr>
        <w:t xml:space="preserve">à l’aide conjointe </w:t>
      </w:r>
      <w:r w:rsidR="001479F8">
        <w:rPr>
          <w:rFonts w:asciiTheme="minorHAnsi" w:hAnsiTheme="minorHAnsi" w:cstheme="minorHAnsi"/>
          <w:lang w:val="fr-FR"/>
        </w:rPr>
        <w:t>Bpifrance</w:t>
      </w:r>
      <w:r w:rsidR="005E0DB0" w:rsidRPr="00C73365">
        <w:rPr>
          <w:rFonts w:asciiTheme="minorHAnsi" w:hAnsiTheme="minorHAnsi" w:cstheme="minorHAnsi"/>
          <w:lang w:val="fr-FR"/>
        </w:rPr>
        <w:t xml:space="preserve"> et Feder (A 10 06 002G).</w:t>
      </w:r>
      <w:r w:rsidR="00FB3E68" w:rsidRPr="00C73365">
        <w:rPr>
          <w:rFonts w:asciiTheme="minorHAnsi" w:hAnsiTheme="minorHAnsi" w:cstheme="minorHAnsi"/>
          <w:lang w:val="fr-FR"/>
        </w:rPr>
        <w:t xml:space="preserve"> </w:t>
      </w:r>
      <w:r w:rsidR="009755C9" w:rsidRPr="00C73365">
        <w:rPr>
          <w:rFonts w:asciiTheme="minorHAnsi" w:hAnsiTheme="minorHAnsi" w:cstheme="minorHAnsi"/>
          <w:lang w:val="fr-FR"/>
        </w:rPr>
        <w:t>Le détail des</w:t>
      </w:r>
      <w:r w:rsidR="00FB3E68" w:rsidRPr="00C73365">
        <w:rPr>
          <w:rFonts w:asciiTheme="minorHAnsi" w:hAnsiTheme="minorHAnsi" w:cstheme="minorHAnsi"/>
          <w:lang w:val="fr-FR"/>
        </w:rPr>
        <w:t xml:space="preserve"> projets et des</w:t>
      </w:r>
      <w:r w:rsidR="009755C9" w:rsidRPr="00C73365">
        <w:rPr>
          <w:rFonts w:asciiTheme="minorHAnsi" w:hAnsiTheme="minorHAnsi" w:cstheme="minorHAnsi"/>
          <w:lang w:val="fr-FR"/>
        </w:rPr>
        <w:t xml:space="preserve"> remboursements est au paragraphe suivant.</w:t>
      </w:r>
      <w:r w:rsidR="006D6044" w:rsidRPr="006D6044">
        <w:rPr>
          <w:rFonts w:asciiTheme="minorHAnsi" w:eastAsia="MS Mincho" w:hAnsiTheme="minorHAnsi" w:cstheme="minorHAnsi"/>
          <w:lang w:val="fr-FR" w:eastAsia="ja-JP"/>
        </w:rPr>
        <w:t xml:space="preserve"> </w:t>
      </w:r>
      <w:r w:rsidR="006D6044">
        <w:rPr>
          <w:rFonts w:asciiTheme="minorHAnsi" w:eastAsia="MS Mincho" w:hAnsiTheme="minorHAnsi" w:cstheme="minorHAnsi"/>
          <w:lang w:val="fr-FR" w:eastAsia="ja-JP"/>
        </w:rPr>
        <w:t>Le détail des avances remboursables est présenté à la note 8 du paragraphe 20.1.1.</w:t>
      </w:r>
    </w:p>
    <w:p w14:paraId="6E26DDE9" w14:textId="77777777" w:rsidR="00F46C7B" w:rsidRPr="00C73365" w:rsidRDefault="00616826" w:rsidP="00616826">
      <w:pPr>
        <w:pStyle w:val="Paragraphedeliste"/>
        <w:numPr>
          <w:ilvl w:val="2"/>
          <w:numId w:val="9"/>
        </w:numPr>
        <w:spacing w:after="0"/>
        <w:outlineLvl w:val="2"/>
        <w:rPr>
          <w:rFonts w:asciiTheme="minorHAnsi" w:hAnsiTheme="minorHAnsi" w:cstheme="minorHAnsi"/>
          <w:b/>
          <w:color w:val="7030A0"/>
          <w:lang w:val="fr-FR"/>
        </w:rPr>
      </w:pPr>
      <w:r w:rsidRPr="00C73365">
        <w:rPr>
          <w:rFonts w:asciiTheme="minorHAnsi" w:hAnsiTheme="minorHAnsi" w:cstheme="minorHAnsi"/>
          <w:b/>
          <w:color w:val="7030A0"/>
          <w:lang w:val="fr-FR"/>
        </w:rPr>
        <w:t>Tableau récapitulatif des montants restant à rembourser au 31 décembre 2017 </w:t>
      </w:r>
      <w:r w:rsidR="00F46C7B" w:rsidRPr="00C73365">
        <w:rPr>
          <w:rFonts w:asciiTheme="minorHAnsi" w:hAnsiTheme="minorHAnsi" w:cstheme="minorHAnsi"/>
          <w:b/>
          <w:color w:val="7030A0"/>
          <w:lang w:val="fr-FR"/>
        </w:rPr>
        <w:t>:</w:t>
      </w:r>
    </w:p>
    <w:p w14:paraId="641C278F" w14:textId="77777777" w:rsidR="00FB3E68" w:rsidRPr="00C73365" w:rsidRDefault="00FB3E68" w:rsidP="00FB3E68">
      <w:pPr>
        <w:spacing w:after="0"/>
        <w:rPr>
          <w:rFonts w:asciiTheme="minorHAnsi" w:hAnsiTheme="minorHAnsi" w:cstheme="minorHAnsi"/>
          <w:highlight w:val="lightGray"/>
          <w:lang w:val="fr-FR"/>
        </w:rPr>
      </w:pPr>
    </w:p>
    <w:p w14:paraId="272672CA" w14:textId="77777777" w:rsidR="00FB3E68" w:rsidRPr="00C73365" w:rsidRDefault="00FB3E6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WITTYCELL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juillet 2014) et </w:t>
      </w:r>
      <w:r w:rsidR="001479F8">
        <w:rPr>
          <w:rFonts w:asciiTheme="minorHAnsi" w:hAnsiTheme="minorHAnsi" w:cstheme="minorHAnsi"/>
          <w:lang w:val="fr-FR"/>
        </w:rPr>
        <w:t>Bpifrance</w:t>
      </w:r>
      <w:r w:rsidRPr="00C73365">
        <w:rPr>
          <w:rFonts w:asciiTheme="minorHAnsi" w:hAnsiTheme="minorHAnsi" w:cstheme="minorHAnsi"/>
          <w:lang w:val="fr-FR"/>
        </w:rPr>
        <w:t xml:space="preserve"> avait conclu en date du 3 décembre 2010 un contrat d’aide à l’innovation conjointement à une aide sur fonds FEDER dans le cadre du développement de nouveaux adjuvants vaccinaux (Aide conjointe </w:t>
      </w:r>
      <w:r w:rsidR="001479F8">
        <w:rPr>
          <w:rFonts w:asciiTheme="minorHAnsi" w:hAnsiTheme="minorHAnsi" w:cstheme="minorHAnsi"/>
          <w:lang w:val="fr-FR"/>
        </w:rPr>
        <w:t>Bpifrance</w:t>
      </w:r>
      <w:r w:rsidRPr="00C73365">
        <w:rPr>
          <w:rFonts w:asciiTheme="minorHAnsi" w:hAnsiTheme="minorHAnsi" w:cstheme="minorHAnsi"/>
          <w:lang w:val="fr-FR"/>
        </w:rPr>
        <w:t xml:space="preserve"> et Feder (A 10 06 002G)). La Société a perçu l’intégralité de l’aide à l’innovation octroyée (montant de 800.000 euros).</w:t>
      </w:r>
    </w:p>
    <w:p w14:paraId="090E810F" w14:textId="77777777" w:rsidR="00FB3E68" w:rsidRPr="00C73365" w:rsidRDefault="00FB3E68" w:rsidP="004572A0">
      <w:pPr>
        <w:pStyle w:val="Corpsdetexte"/>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 xml:space="preserve">Dans le cadre de contrat d’aide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(détaillé au paragraphe 22.4), </w:t>
      </w:r>
      <w:r w:rsidR="00EF089C" w:rsidRPr="00C73365">
        <w:rPr>
          <w:rFonts w:asciiTheme="minorHAnsi" w:eastAsia="MS Mincho" w:hAnsiTheme="minorHAnsi" w:cstheme="minorHAnsi"/>
          <w:lang w:val="fr-FR" w:eastAsia="ja-JP"/>
        </w:rPr>
        <w:t>ABIVAX</w:t>
      </w:r>
      <w:r w:rsidRPr="00C73365">
        <w:rPr>
          <w:rFonts w:asciiTheme="minorHAnsi" w:eastAsia="MS Mincho" w:hAnsiTheme="minorHAnsi" w:cstheme="minorHAnsi"/>
          <w:lang w:val="fr-FR" w:eastAsia="ja-JP"/>
        </w:rPr>
        <w:t xml:space="preserve"> bénéficie par le contrat Carena en vue de </w:t>
      </w:r>
      <w:r w:rsidRPr="00C73365">
        <w:rPr>
          <w:rFonts w:asciiTheme="minorHAnsi" w:hAnsiTheme="minorHAnsi" w:cstheme="minorHAnsi"/>
          <w:lang w:val="fr-FR"/>
        </w:rPr>
        <w:t xml:space="preserve">développer un programme thérapeutique anti VIH-Sida avec le composé ABX464 </w:t>
      </w:r>
      <w:r w:rsidRPr="00C73365">
        <w:rPr>
          <w:rFonts w:asciiTheme="minorHAnsi" w:eastAsia="MS Mincho" w:hAnsiTheme="minorHAnsi" w:cstheme="minorHAnsi"/>
          <w:lang w:val="fr-FR" w:eastAsia="ja-JP"/>
        </w:rPr>
        <w:t xml:space="preserve">d’une aide de 3,8 </w:t>
      </w:r>
      <w:r w:rsidR="00EF089C" w:rsidRPr="00C73365">
        <w:rPr>
          <w:rFonts w:asciiTheme="minorHAnsi" w:eastAsia="MS Mincho" w:hAnsiTheme="minorHAnsi" w:cstheme="minorHAnsi"/>
          <w:lang w:val="fr-FR" w:eastAsia="ja-JP"/>
        </w:rPr>
        <w:t>M€</w:t>
      </w:r>
      <w:r w:rsidRPr="00C73365">
        <w:rPr>
          <w:rFonts w:asciiTheme="minorHAnsi" w:eastAsia="MS Mincho" w:hAnsiTheme="minorHAnsi" w:cstheme="minorHAnsi"/>
          <w:lang w:val="fr-FR" w:eastAsia="ja-JP"/>
        </w:rPr>
        <w:t xml:space="preserve"> d’avances conditionnées assimilées à des fonds propres réparties sur cinq années. Les aides sont débloquées au fur et à mesure de l’avancée du projet et par la remise à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Sauf échec du programme, le remboursement de l’avance reçue est prévu sur 5 ans à compter du 30 juin 2020. Un remboursement complémentaire est prévu en fonction des revenus qui seront générés par </w:t>
      </w:r>
      <w:r w:rsidR="00EF089C" w:rsidRPr="00C73365">
        <w:rPr>
          <w:rFonts w:asciiTheme="minorHAnsi" w:eastAsia="MS Mincho" w:hAnsiTheme="minorHAnsi" w:cstheme="minorHAnsi"/>
          <w:lang w:val="fr-FR" w:eastAsia="ja-JP"/>
        </w:rPr>
        <w:t>ABIVAX</w:t>
      </w:r>
      <w:r w:rsidRPr="00C73365">
        <w:rPr>
          <w:rFonts w:asciiTheme="minorHAnsi" w:eastAsia="MS Mincho" w:hAnsiTheme="minorHAnsi" w:cstheme="minorHAnsi"/>
          <w:lang w:val="fr-FR" w:eastAsia="ja-JP"/>
        </w:rPr>
        <w:t xml:space="preserve"> grâce à ce programme de recherche et développement.</w:t>
      </w:r>
    </w:p>
    <w:p w14:paraId="3819498C" w14:textId="0B28BF20" w:rsidR="00FB3E68"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FB3E68" w:rsidRPr="00C73365">
        <w:rPr>
          <w:rFonts w:asciiTheme="minorHAnsi" w:hAnsiTheme="minorHAnsi" w:cstheme="minorHAnsi"/>
          <w:lang w:val="fr-FR"/>
        </w:rPr>
        <w:t xml:space="preserve"> bénéficie également par le contrat RNP-VIR en vue d’approfondir les méthodes de découverte de nouvelles molécules visant au traitement de maladies infectieuses par le développement de la plateforme technologique antivirale d’avances remboursables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un montant global maximum de 6.3</w:t>
      </w:r>
      <w:r w:rsidRPr="00C73365">
        <w:rPr>
          <w:rFonts w:asciiTheme="minorHAnsi" w:hAnsiTheme="minorHAnsi" w:cstheme="minorHAnsi"/>
          <w:lang w:val="fr-FR"/>
        </w:rPr>
        <w:t xml:space="preserve"> M€</w:t>
      </w:r>
      <w:r w:rsidR="00FB3E68" w:rsidRPr="00C73365">
        <w:rPr>
          <w:rFonts w:asciiTheme="minorHAnsi" w:hAnsiTheme="minorHAnsi" w:cstheme="minorHAnsi"/>
          <w:lang w:val="fr-FR"/>
        </w:rPr>
        <w:t xml:space="preserve"> répartis sur cinq années</w:t>
      </w:r>
      <w:r w:rsidRPr="00C73365">
        <w:rPr>
          <w:rFonts w:asciiTheme="minorHAnsi" w:hAnsiTheme="minorHAnsi" w:cstheme="minorHAnsi"/>
          <w:lang w:val="fr-FR"/>
        </w:rPr>
        <w:t xml:space="preserve"> à compter de 2022</w:t>
      </w:r>
      <w:r w:rsidR="00FB3E68" w:rsidRPr="00C73365">
        <w:rPr>
          <w:rFonts w:asciiTheme="minorHAnsi" w:hAnsiTheme="minorHAnsi" w:cstheme="minorHAnsi"/>
          <w:lang w:val="fr-FR"/>
        </w:rPr>
        <w:t>.</w:t>
      </w:r>
      <w:r w:rsidR="0030056F">
        <w:rPr>
          <w:rFonts w:asciiTheme="minorHAnsi" w:hAnsiTheme="minorHAnsi" w:cstheme="minorHAnsi"/>
          <w:lang w:val="fr-FR"/>
        </w:rPr>
        <w:t xml:space="preserve"> </w:t>
      </w:r>
      <w:r w:rsidR="00FB3E68" w:rsidRPr="00C73365">
        <w:rPr>
          <w:rFonts w:asciiTheme="minorHAnsi" w:hAnsiTheme="minorHAnsi" w:cstheme="minorHAnsi"/>
          <w:lang w:val="fr-FR"/>
        </w:rPr>
        <w:t>Le contrat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 xml:space="preserve">aide conjointe </w:t>
      </w:r>
      <w:r w:rsidR="001479F8">
        <w:rPr>
          <w:rFonts w:asciiTheme="minorHAnsi" w:hAnsiTheme="minorHAnsi" w:cstheme="minorHAnsi"/>
          <w:lang w:val="fr-FR"/>
        </w:rPr>
        <w:t>Bpifrance</w:t>
      </w:r>
      <w:r w:rsidR="00FB3E68" w:rsidRPr="00C73365">
        <w:rPr>
          <w:rFonts w:asciiTheme="minorHAnsi" w:hAnsiTheme="minorHAnsi" w:cstheme="minorHAnsi"/>
          <w:lang w:val="fr-FR"/>
        </w:rPr>
        <w:t xml:space="preserve"> et Région Occitanie concernant le projet Ebola accordé le 2 juin est constitué d’avances remboursables (conditionné au succès)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 xml:space="preserve">un montant global maximum de 390 000 euros pour </w:t>
      </w:r>
      <w:r w:rsidRPr="00C73365">
        <w:rPr>
          <w:rFonts w:asciiTheme="minorHAnsi" w:hAnsiTheme="minorHAnsi" w:cstheme="minorHAnsi"/>
          <w:lang w:val="fr-FR"/>
        </w:rPr>
        <w:t>ABIVAX</w:t>
      </w:r>
      <w:r w:rsidR="00FB3E68" w:rsidRPr="00C73365">
        <w:rPr>
          <w:rFonts w:asciiTheme="minorHAnsi" w:hAnsiTheme="minorHAnsi" w:cstheme="minorHAnsi"/>
          <w:lang w:val="fr-FR"/>
        </w:rPr>
        <w:t xml:space="preserve"> sur une durée de deux ans.</w:t>
      </w:r>
    </w:p>
    <w:tbl>
      <w:tblPr>
        <w:tblW w:w="10206" w:type="dxa"/>
        <w:tblCellMar>
          <w:left w:w="70" w:type="dxa"/>
          <w:right w:w="70" w:type="dxa"/>
        </w:tblCellMar>
        <w:tblLook w:val="04A0" w:firstRow="1" w:lastRow="0" w:firstColumn="1" w:lastColumn="0" w:noHBand="0" w:noVBand="1"/>
      </w:tblPr>
      <w:tblGrid>
        <w:gridCol w:w="4564"/>
        <w:gridCol w:w="546"/>
        <w:gridCol w:w="546"/>
        <w:gridCol w:w="546"/>
        <w:gridCol w:w="546"/>
        <w:gridCol w:w="546"/>
        <w:gridCol w:w="733"/>
        <w:gridCol w:w="674"/>
        <w:gridCol w:w="783"/>
        <w:gridCol w:w="722"/>
      </w:tblGrid>
      <w:tr w:rsidR="00FB3E68" w:rsidRPr="00C73365" w14:paraId="397EA11A" w14:textId="77777777" w:rsidTr="008F376F">
        <w:trPr>
          <w:trHeight w:val="144"/>
        </w:trPr>
        <w:tc>
          <w:tcPr>
            <w:tcW w:w="0" w:type="auto"/>
            <w:tcBorders>
              <w:top w:val="single" w:sz="12" w:space="0" w:color="7030A0"/>
              <w:left w:val="nil"/>
              <w:bottom w:val="nil"/>
              <w:right w:val="nil"/>
            </w:tcBorders>
            <w:shd w:val="clear" w:color="auto" w:fill="auto"/>
            <w:vAlign w:val="center"/>
            <w:hideMark/>
          </w:tcPr>
          <w:p w14:paraId="3D274B9D" w14:textId="77777777" w:rsidR="00FB3E68" w:rsidRPr="00C73365" w:rsidRDefault="00FB3E68" w:rsidP="007F1850">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au 31 décembre 2017</w:t>
            </w:r>
          </w:p>
        </w:tc>
        <w:tc>
          <w:tcPr>
            <w:tcW w:w="0" w:type="auto"/>
            <w:vMerge w:val="restart"/>
            <w:tcBorders>
              <w:top w:val="single" w:sz="12" w:space="0" w:color="7030A0"/>
              <w:left w:val="nil"/>
              <w:bottom w:val="single" w:sz="8" w:space="0" w:color="7030A0"/>
              <w:right w:val="nil"/>
            </w:tcBorders>
            <w:shd w:val="clear" w:color="auto" w:fill="auto"/>
            <w:vAlign w:val="center"/>
            <w:hideMark/>
          </w:tcPr>
          <w:p w14:paraId="278C9204" w14:textId="77777777"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2017</w:t>
            </w:r>
          </w:p>
        </w:tc>
        <w:tc>
          <w:tcPr>
            <w:tcW w:w="0" w:type="auto"/>
            <w:vMerge w:val="restart"/>
            <w:tcBorders>
              <w:top w:val="single" w:sz="12" w:space="0" w:color="7030A0"/>
              <w:left w:val="nil"/>
              <w:bottom w:val="single" w:sz="8" w:space="0" w:color="7030A0"/>
              <w:right w:val="nil"/>
            </w:tcBorders>
            <w:shd w:val="clear" w:color="auto" w:fill="auto"/>
            <w:vAlign w:val="center"/>
            <w:hideMark/>
          </w:tcPr>
          <w:p w14:paraId="56CA5DF9" w14:textId="77777777"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p>
        </w:tc>
        <w:tc>
          <w:tcPr>
            <w:tcW w:w="0" w:type="auto"/>
            <w:vMerge w:val="restart"/>
            <w:tcBorders>
              <w:top w:val="single" w:sz="12" w:space="0" w:color="7030A0"/>
              <w:left w:val="nil"/>
              <w:bottom w:val="single" w:sz="8" w:space="0" w:color="7030A0"/>
              <w:right w:val="nil"/>
            </w:tcBorders>
            <w:shd w:val="clear" w:color="auto" w:fill="auto"/>
            <w:vAlign w:val="center"/>
            <w:hideMark/>
          </w:tcPr>
          <w:p w14:paraId="2C83EDFA" w14:textId="77777777"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p>
        </w:tc>
        <w:tc>
          <w:tcPr>
            <w:tcW w:w="0" w:type="auto"/>
            <w:vMerge w:val="restart"/>
            <w:tcBorders>
              <w:top w:val="single" w:sz="12" w:space="0" w:color="7030A0"/>
              <w:left w:val="nil"/>
              <w:bottom w:val="single" w:sz="8" w:space="0" w:color="7030A0"/>
              <w:right w:val="nil"/>
            </w:tcBorders>
            <w:shd w:val="clear" w:color="auto" w:fill="auto"/>
            <w:vAlign w:val="center"/>
            <w:hideMark/>
          </w:tcPr>
          <w:p w14:paraId="5C4D6576" w14:textId="77777777"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p>
        </w:tc>
        <w:tc>
          <w:tcPr>
            <w:tcW w:w="0" w:type="auto"/>
            <w:vMerge w:val="restart"/>
            <w:tcBorders>
              <w:top w:val="single" w:sz="12" w:space="0" w:color="7030A0"/>
              <w:left w:val="nil"/>
              <w:bottom w:val="single" w:sz="8" w:space="0" w:color="7030A0"/>
              <w:right w:val="nil"/>
            </w:tcBorders>
            <w:shd w:val="clear" w:color="auto" w:fill="auto"/>
            <w:vAlign w:val="center"/>
            <w:hideMark/>
          </w:tcPr>
          <w:p w14:paraId="203A5150" w14:textId="77777777"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p>
        </w:tc>
        <w:tc>
          <w:tcPr>
            <w:tcW w:w="733" w:type="dxa"/>
            <w:vMerge w:val="restart"/>
            <w:tcBorders>
              <w:top w:val="single" w:sz="12" w:space="0" w:color="7030A0"/>
              <w:left w:val="nil"/>
              <w:bottom w:val="single" w:sz="8" w:space="0" w:color="7030A0"/>
              <w:right w:val="nil"/>
            </w:tcBorders>
            <w:shd w:val="clear" w:color="auto" w:fill="auto"/>
            <w:vAlign w:val="center"/>
            <w:hideMark/>
          </w:tcPr>
          <w:p w14:paraId="784E1DAF" w14:textId="77777777"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2022</w:t>
            </w:r>
          </w:p>
        </w:tc>
        <w:tc>
          <w:tcPr>
            <w:tcW w:w="674" w:type="dxa"/>
            <w:vMerge w:val="restart"/>
            <w:tcBorders>
              <w:top w:val="single" w:sz="12" w:space="0" w:color="7030A0"/>
              <w:left w:val="nil"/>
              <w:bottom w:val="single" w:sz="8" w:space="0" w:color="7030A0"/>
              <w:right w:val="nil"/>
            </w:tcBorders>
            <w:shd w:val="clear" w:color="auto" w:fill="auto"/>
            <w:vAlign w:val="center"/>
            <w:hideMark/>
          </w:tcPr>
          <w:p w14:paraId="67D5C88B" w14:textId="77777777"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2023</w:t>
            </w:r>
          </w:p>
        </w:tc>
        <w:tc>
          <w:tcPr>
            <w:tcW w:w="783" w:type="dxa"/>
            <w:vMerge w:val="restart"/>
            <w:tcBorders>
              <w:top w:val="single" w:sz="12" w:space="0" w:color="7030A0"/>
              <w:left w:val="nil"/>
              <w:bottom w:val="single" w:sz="8" w:space="0" w:color="7030A0"/>
              <w:right w:val="nil"/>
            </w:tcBorders>
            <w:shd w:val="clear" w:color="auto" w:fill="auto"/>
            <w:vAlign w:val="center"/>
            <w:hideMark/>
          </w:tcPr>
          <w:p w14:paraId="0F7B7403" w14:textId="77777777"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2024</w:t>
            </w:r>
          </w:p>
        </w:tc>
        <w:tc>
          <w:tcPr>
            <w:tcW w:w="722" w:type="dxa"/>
            <w:vMerge w:val="restart"/>
            <w:tcBorders>
              <w:top w:val="single" w:sz="12" w:space="0" w:color="7030A0"/>
              <w:left w:val="nil"/>
              <w:bottom w:val="single" w:sz="8" w:space="0" w:color="7030A0"/>
              <w:right w:val="nil"/>
            </w:tcBorders>
            <w:shd w:val="clear" w:color="auto" w:fill="auto"/>
            <w:vAlign w:val="center"/>
            <w:hideMark/>
          </w:tcPr>
          <w:p w14:paraId="0E1E3FB4" w14:textId="77777777"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2025</w:t>
            </w:r>
          </w:p>
        </w:tc>
      </w:tr>
      <w:tr w:rsidR="00FB3E68" w:rsidRPr="00C73365" w14:paraId="35E1C769" w14:textId="77777777" w:rsidTr="008F376F">
        <w:trPr>
          <w:trHeight w:val="144"/>
        </w:trPr>
        <w:tc>
          <w:tcPr>
            <w:tcW w:w="0" w:type="auto"/>
            <w:tcBorders>
              <w:top w:val="nil"/>
              <w:left w:val="nil"/>
              <w:bottom w:val="single" w:sz="8" w:space="0" w:color="7030A0"/>
              <w:right w:val="nil"/>
            </w:tcBorders>
            <w:shd w:val="clear" w:color="auto" w:fill="auto"/>
            <w:vAlign w:val="center"/>
            <w:hideMark/>
          </w:tcPr>
          <w:p w14:paraId="49F72B93" w14:textId="77777777"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0" w:type="auto"/>
            <w:vMerge/>
            <w:tcBorders>
              <w:top w:val="single" w:sz="12" w:space="0" w:color="7030A0"/>
              <w:left w:val="nil"/>
              <w:bottom w:val="single" w:sz="8" w:space="0" w:color="7030A0"/>
              <w:right w:val="nil"/>
            </w:tcBorders>
            <w:vAlign w:val="center"/>
            <w:hideMark/>
          </w:tcPr>
          <w:p w14:paraId="2A4F8B08" w14:textId="77777777"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14:paraId="48958992" w14:textId="77777777"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14:paraId="2BCB93D0" w14:textId="77777777"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14:paraId="3BF24A03" w14:textId="77777777"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14:paraId="590E1873" w14:textId="77777777" w:rsidR="00FB3E68" w:rsidRPr="00C73365" w:rsidRDefault="00FB3E68" w:rsidP="007F1850">
            <w:pPr>
              <w:rPr>
                <w:rFonts w:asciiTheme="minorHAnsi" w:hAnsiTheme="minorHAnsi" w:cstheme="minorHAnsi"/>
                <w:b/>
                <w:bCs/>
                <w:color w:val="000000"/>
                <w:szCs w:val="20"/>
                <w:lang w:val="fr-FR" w:eastAsia="fr-FR"/>
              </w:rPr>
            </w:pPr>
          </w:p>
        </w:tc>
        <w:tc>
          <w:tcPr>
            <w:tcW w:w="733" w:type="dxa"/>
            <w:vMerge/>
            <w:tcBorders>
              <w:top w:val="single" w:sz="12" w:space="0" w:color="7030A0"/>
              <w:left w:val="nil"/>
              <w:bottom w:val="single" w:sz="8" w:space="0" w:color="7030A0"/>
              <w:right w:val="nil"/>
            </w:tcBorders>
            <w:vAlign w:val="center"/>
            <w:hideMark/>
          </w:tcPr>
          <w:p w14:paraId="0CCCD8EF" w14:textId="77777777" w:rsidR="00FB3E68" w:rsidRPr="00C73365" w:rsidRDefault="00FB3E68" w:rsidP="007F1850">
            <w:pPr>
              <w:rPr>
                <w:rFonts w:asciiTheme="minorHAnsi" w:hAnsiTheme="minorHAnsi" w:cstheme="minorHAnsi"/>
                <w:b/>
                <w:bCs/>
                <w:color w:val="000000"/>
                <w:szCs w:val="20"/>
                <w:lang w:val="fr-FR" w:eastAsia="fr-FR"/>
              </w:rPr>
            </w:pPr>
          </w:p>
        </w:tc>
        <w:tc>
          <w:tcPr>
            <w:tcW w:w="674" w:type="dxa"/>
            <w:vMerge/>
            <w:tcBorders>
              <w:top w:val="single" w:sz="12" w:space="0" w:color="7030A0"/>
              <w:left w:val="nil"/>
              <w:bottom w:val="single" w:sz="8" w:space="0" w:color="7030A0"/>
              <w:right w:val="nil"/>
            </w:tcBorders>
            <w:vAlign w:val="center"/>
            <w:hideMark/>
          </w:tcPr>
          <w:p w14:paraId="29AB048B" w14:textId="77777777" w:rsidR="00FB3E68" w:rsidRPr="00C73365" w:rsidRDefault="00FB3E68" w:rsidP="007F1850">
            <w:pPr>
              <w:rPr>
                <w:rFonts w:asciiTheme="minorHAnsi" w:hAnsiTheme="minorHAnsi" w:cstheme="minorHAnsi"/>
                <w:b/>
                <w:bCs/>
                <w:color w:val="000000"/>
                <w:szCs w:val="20"/>
                <w:lang w:val="fr-FR" w:eastAsia="fr-FR"/>
              </w:rPr>
            </w:pPr>
          </w:p>
        </w:tc>
        <w:tc>
          <w:tcPr>
            <w:tcW w:w="783" w:type="dxa"/>
            <w:vMerge/>
            <w:tcBorders>
              <w:top w:val="single" w:sz="12" w:space="0" w:color="7030A0"/>
              <w:left w:val="nil"/>
              <w:bottom w:val="single" w:sz="8" w:space="0" w:color="7030A0"/>
              <w:right w:val="nil"/>
            </w:tcBorders>
            <w:vAlign w:val="center"/>
            <w:hideMark/>
          </w:tcPr>
          <w:p w14:paraId="20DA196C" w14:textId="77777777" w:rsidR="00FB3E68" w:rsidRPr="00C73365" w:rsidRDefault="00FB3E68" w:rsidP="007F1850">
            <w:pPr>
              <w:rPr>
                <w:rFonts w:asciiTheme="minorHAnsi" w:hAnsiTheme="minorHAnsi" w:cstheme="minorHAnsi"/>
                <w:b/>
                <w:bCs/>
                <w:color w:val="000000"/>
                <w:szCs w:val="20"/>
                <w:lang w:val="fr-FR" w:eastAsia="fr-FR"/>
              </w:rPr>
            </w:pPr>
          </w:p>
        </w:tc>
        <w:tc>
          <w:tcPr>
            <w:tcW w:w="722" w:type="dxa"/>
            <w:vMerge/>
            <w:tcBorders>
              <w:top w:val="single" w:sz="12" w:space="0" w:color="7030A0"/>
              <w:left w:val="nil"/>
              <w:bottom w:val="single" w:sz="8" w:space="0" w:color="7030A0"/>
              <w:right w:val="nil"/>
            </w:tcBorders>
            <w:vAlign w:val="center"/>
            <w:hideMark/>
          </w:tcPr>
          <w:p w14:paraId="6A0DFE4D" w14:textId="77777777" w:rsidR="00FB3E68" w:rsidRPr="00C73365" w:rsidRDefault="00FB3E68" w:rsidP="007F1850">
            <w:pPr>
              <w:rPr>
                <w:rFonts w:asciiTheme="minorHAnsi" w:hAnsiTheme="minorHAnsi" w:cstheme="minorHAnsi"/>
                <w:b/>
                <w:bCs/>
                <w:color w:val="000000"/>
                <w:szCs w:val="20"/>
                <w:lang w:val="fr-FR" w:eastAsia="fr-FR"/>
              </w:rPr>
            </w:pPr>
          </w:p>
        </w:tc>
      </w:tr>
      <w:tr w:rsidR="00FB3E68" w:rsidRPr="00C73365" w14:paraId="20BE870C" w14:textId="77777777" w:rsidTr="008F376F">
        <w:trPr>
          <w:trHeight w:val="144"/>
        </w:trPr>
        <w:tc>
          <w:tcPr>
            <w:tcW w:w="0" w:type="auto"/>
            <w:tcBorders>
              <w:top w:val="nil"/>
              <w:left w:val="nil"/>
              <w:bottom w:val="single" w:sz="8" w:space="0" w:color="7030A0"/>
              <w:right w:val="nil"/>
            </w:tcBorders>
            <w:shd w:val="clear" w:color="auto" w:fill="auto"/>
            <w:vAlign w:val="center"/>
            <w:hideMark/>
          </w:tcPr>
          <w:p w14:paraId="31ABCF27" w14:textId="77777777"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Projet ISI-CaReNA (part Avances Remboursables)</w:t>
            </w:r>
          </w:p>
        </w:tc>
        <w:tc>
          <w:tcPr>
            <w:tcW w:w="0" w:type="auto"/>
            <w:tcBorders>
              <w:top w:val="nil"/>
              <w:left w:val="nil"/>
              <w:bottom w:val="single" w:sz="8" w:space="0" w:color="7030A0"/>
              <w:right w:val="nil"/>
            </w:tcBorders>
            <w:shd w:val="clear" w:color="auto" w:fill="auto"/>
            <w:vAlign w:val="center"/>
            <w:hideMark/>
          </w:tcPr>
          <w:p w14:paraId="2736D400"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14:paraId="7D6FCCC0"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14:paraId="450EF043"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14:paraId="692426C2" w14:textId="77777777"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-300</w:t>
            </w:r>
          </w:p>
        </w:tc>
        <w:tc>
          <w:tcPr>
            <w:tcW w:w="0" w:type="auto"/>
            <w:tcBorders>
              <w:top w:val="nil"/>
              <w:left w:val="nil"/>
              <w:bottom w:val="single" w:sz="8" w:space="0" w:color="7030A0"/>
              <w:right w:val="nil"/>
            </w:tcBorders>
            <w:shd w:val="clear" w:color="auto" w:fill="auto"/>
            <w:vAlign w:val="center"/>
          </w:tcPr>
          <w:p w14:paraId="2AEFDA50" w14:textId="77777777"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w:t>
            </w:r>
          </w:p>
        </w:tc>
        <w:tc>
          <w:tcPr>
            <w:tcW w:w="733" w:type="dxa"/>
            <w:tcBorders>
              <w:top w:val="nil"/>
              <w:left w:val="nil"/>
              <w:bottom w:val="single" w:sz="8" w:space="0" w:color="7030A0"/>
              <w:right w:val="nil"/>
            </w:tcBorders>
            <w:shd w:val="clear" w:color="auto" w:fill="auto"/>
            <w:vAlign w:val="center"/>
          </w:tcPr>
          <w:p w14:paraId="4E96EFE0" w14:textId="77777777"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-750</w:t>
            </w:r>
          </w:p>
        </w:tc>
        <w:tc>
          <w:tcPr>
            <w:tcW w:w="674" w:type="dxa"/>
            <w:tcBorders>
              <w:top w:val="nil"/>
              <w:left w:val="nil"/>
              <w:bottom w:val="single" w:sz="8" w:space="0" w:color="7030A0"/>
              <w:right w:val="nil"/>
            </w:tcBorders>
            <w:shd w:val="clear" w:color="auto" w:fill="auto"/>
            <w:vAlign w:val="center"/>
          </w:tcPr>
          <w:p w14:paraId="0F7D42CA" w14:textId="77777777"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-1 100</w:t>
            </w:r>
          </w:p>
        </w:tc>
        <w:tc>
          <w:tcPr>
            <w:tcW w:w="783" w:type="dxa"/>
            <w:tcBorders>
              <w:top w:val="nil"/>
              <w:left w:val="nil"/>
              <w:bottom w:val="single" w:sz="8" w:space="0" w:color="7030A0"/>
              <w:right w:val="nil"/>
            </w:tcBorders>
            <w:shd w:val="clear" w:color="auto" w:fill="auto"/>
            <w:vAlign w:val="center"/>
          </w:tcPr>
          <w:p w14:paraId="5377EDC3" w14:textId="77777777"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- 1 747</w:t>
            </w:r>
          </w:p>
        </w:tc>
        <w:tc>
          <w:tcPr>
            <w:tcW w:w="722" w:type="dxa"/>
            <w:tcBorders>
              <w:top w:val="nil"/>
              <w:left w:val="nil"/>
              <w:bottom w:val="single" w:sz="8" w:space="0" w:color="7030A0"/>
              <w:right w:val="nil"/>
            </w:tcBorders>
            <w:shd w:val="clear" w:color="auto" w:fill="auto"/>
            <w:vAlign w:val="center"/>
            <w:hideMark/>
          </w:tcPr>
          <w:p w14:paraId="3AE93C63"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B3E68" w:rsidRPr="00C73365" w14:paraId="049A07DF" w14:textId="77777777" w:rsidTr="008F376F">
        <w:trPr>
          <w:trHeight w:val="144"/>
        </w:trPr>
        <w:tc>
          <w:tcPr>
            <w:tcW w:w="0" w:type="auto"/>
            <w:tcBorders>
              <w:top w:val="nil"/>
              <w:left w:val="nil"/>
              <w:bottom w:val="single" w:sz="8" w:space="0" w:color="7030A0"/>
              <w:right w:val="nil"/>
            </w:tcBorders>
            <w:shd w:val="clear" w:color="auto" w:fill="auto"/>
            <w:vAlign w:val="center"/>
            <w:hideMark/>
          </w:tcPr>
          <w:p w14:paraId="484F8C1C" w14:textId="77777777"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Projet PSPC- RNP Vir (part Avances Remboursables)</w:t>
            </w:r>
          </w:p>
        </w:tc>
        <w:tc>
          <w:tcPr>
            <w:tcW w:w="0" w:type="auto"/>
            <w:tcBorders>
              <w:top w:val="nil"/>
              <w:left w:val="nil"/>
              <w:bottom w:val="single" w:sz="8" w:space="0" w:color="7030A0"/>
              <w:right w:val="nil"/>
            </w:tcBorders>
            <w:shd w:val="clear" w:color="auto" w:fill="auto"/>
            <w:vAlign w:val="center"/>
            <w:hideMark/>
          </w:tcPr>
          <w:p w14:paraId="2EBEE338"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14:paraId="6C1F9509"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14:paraId="12A5753B"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14:paraId="708F0EC1"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14:paraId="3B35F667"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33" w:type="dxa"/>
            <w:tcBorders>
              <w:top w:val="nil"/>
              <w:left w:val="nil"/>
              <w:bottom w:val="single" w:sz="8" w:space="0" w:color="7030A0"/>
              <w:right w:val="nil"/>
            </w:tcBorders>
            <w:shd w:val="clear" w:color="auto" w:fill="auto"/>
            <w:vAlign w:val="center"/>
          </w:tcPr>
          <w:p w14:paraId="203AA3AA"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674" w:type="dxa"/>
            <w:tcBorders>
              <w:top w:val="nil"/>
              <w:left w:val="nil"/>
              <w:bottom w:val="single" w:sz="8" w:space="0" w:color="7030A0"/>
              <w:right w:val="nil"/>
            </w:tcBorders>
            <w:shd w:val="clear" w:color="auto" w:fill="auto"/>
            <w:vAlign w:val="center"/>
          </w:tcPr>
          <w:p w14:paraId="04A566DC"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783" w:type="dxa"/>
            <w:tcBorders>
              <w:top w:val="nil"/>
              <w:left w:val="nil"/>
              <w:bottom w:val="single" w:sz="8" w:space="0" w:color="7030A0"/>
              <w:right w:val="nil"/>
            </w:tcBorders>
            <w:shd w:val="clear" w:color="auto" w:fill="auto"/>
            <w:vAlign w:val="center"/>
          </w:tcPr>
          <w:p w14:paraId="5867BEF1"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722" w:type="dxa"/>
            <w:tcBorders>
              <w:top w:val="nil"/>
              <w:left w:val="nil"/>
              <w:bottom w:val="single" w:sz="8" w:space="0" w:color="7030A0"/>
              <w:right w:val="nil"/>
            </w:tcBorders>
            <w:shd w:val="clear" w:color="auto" w:fill="auto"/>
            <w:vAlign w:val="center"/>
          </w:tcPr>
          <w:p w14:paraId="1F150629"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8F376F" w:rsidRPr="00C73365">
              <w:rPr>
                <w:rFonts w:asciiTheme="minorHAnsi" w:hAnsiTheme="minorHAnsi" w:cstheme="minorHAnsi"/>
                <w:color w:val="000000"/>
                <w:szCs w:val="20"/>
                <w:lang w:val="fr-FR" w:eastAsia="fr-FR"/>
              </w:rPr>
              <w:t xml:space="preserve"> 644</w:t>
            </w:r>
          </w:p>
        </w:tc>
      </w:tr>
      <w:tr w:rsidR="00FB3E68" w:rsidRPr="00C73365" w14:paraId="012E366E" w14:textId="77777777" w:rsidTr="008F376F">
        <w:trPr>
          <w:trHeight w:val="144"/>
        </w:trPr>
        <w:tc>
          <w:tcPr>
            <w:tcW w:w="0" w:type="auto"/>
            <w:tcBorders>
              <w:top w:val="nil"/>
              <w:left w:val="nil"/>
              <w:bottom w:val="single" w:sz="8" w:space="0" w:color="7030A0"/>
              <w:right w:val="nil"/>
            </w:tcBorders>
            <w:shd w:val="clear" w:color="auto" w:fill="auto"/>
            <w:noWrap/>
            <w:vAlign w:val="center"/>
          </w:tcPr>
          <w:p w14:paraId="242CB999" w14:textId="77777777"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eastAsia="fr-FR"/>
              </w:rPr>
              <w:t>Projet Ebola</w:t>
            </w:r>
          </w:p>
        </w:tc>
        <w:tc>
          <w:tcPr>
            <w:tcW w:w="0" w:type="auto"/>
            <w:tcBorders>
              <w:top w:val="nil"/>
              <w:left w:val="nil"/>
              <w:bottom w:val="single" w:sz="8" w:space="0" w:color="7030A0"/>
              <w:right w:val="nil"/>
            </w:tcBorders>
            <w:shd w:val="clear" w:color="auto" w:fill="auto"/>
            <w:vAlign w:val="center"/>
          </w:tcPr>
          <w:p w14:paraId="62D8F646"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14:paraId="386CD783" w14:textId="77777777"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14:paraId="42948EA3" w14:textId="77777777"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-40</w:t>
            </w:r>
          </w:p>
        </w:tc>
        <w:tc>
          <w:tcPr>
            <w:tcW w:w="0" w:type="auto"/>
            <w:tcBorders>
              <w:top w:val="nil"/>
              <w:left w:val="nil"/>
              <w:bottom w:val="single" w:sz="8" w:space="0" w:color="7030A0"/>
              <w:right w:val="nil"/>
            </w:tcBorders>
            <w:shd w:val="clear" w:color="auto" w:fill="auto"/>
            <w:vAlign w:val="center"/>
          </w:tcPr>
          <w:p w14:paraId="5830D915" w14:textId="77777777"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-60</w:t>
            </w:r>
          </w:p>
        </w:tc>
        <w:tc>
          <w:tcPr>
            <w:tcW w:w="0" w:type="auto"/>
            <w:tcBorders>
              <w:top w:val="nil"/>
              <w:left w:val="nil"/>
              <w:bottom w:val="single" w:sz="8" w:space="0" w:color="7030A0"/>
              <w:right w:val="nil"/>
            </w:tcBorders>
            <w:shd w:val="clear" w:color="auto" w:fill="auto"/>
            <w:vAlign w:val="center"/>
          </w:tcPr>
          <w:p w14:paraId="6504DA9C" w14:textId="77777777"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-80</w:t>
            </w:r>
          </w:p>
        </w:tc>
        <w:tc>
          <w:tcPr>
            <w:tcW w:w="733" w:type="dxa"/>
            <w:tcBorders>
              <w:top w:val="nil"/>
              <w:left w:val="nil"/>
              <w:bottom w:val="single" w:sz="8" w:space="0" w:color="7030A0"/>
              <w:right w:val="nil"/>
            </w:tcBorders>
            <w:shd w:val="clear" w:color="auto" w:fill="auto"/>
            <w:vAlign w:val="center"/>
          </w:tcPr>
          <w:p w14:paraId="064386AA" w14:textId="77777777"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-100</w:t>
            </w:r>
          </w:p>
        </w:tc>
        <w:tc>
          <w:tcPr>
            <w:tcW w:w="674" w:type="dxa"/>
            <w:tcBorders>
              <w:top w:val="nil"/>
              <w:left w:val="nil"/>
              <w:bottom w:val="single" w:sz="8" w:space="0" w:color="7030A0"/>
              <w:right w:val="nil"/>
            </w:tcBorders>
            <w:shd w:val="clear" w:color="auto" w:fill="auto"/>
            <w:vAlign w:val="center"/>
          </w:tcPr>
          <w:p w14:paraId="6791E220" w14:textId="77777777"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-110</w:t>
            </w:r>
          </w:p>
        </w:tc>
        <w:tc>
          <w:tcPr>
            <w:tcW w:w="783" w:type="dxa"/>
            <w:tcBorders>
              <w:top w:val="nil"/>
              <w:left w:val="nil"/>
              <w:bottom w:val="single" w:sz="8" w:space="0" w:color="7030A0"/>
              <w:right w:val="nil"/>
            </w:tcBorders>
            <w:shd w:val="clear" w:color="auto" w:fill="auto"/>
            <w:vAlign w:val="center"/>
          </w:tcPr>
          <w:p w14:paraId="629CD292" w14:textId="77777777" w:rsidR="00FB3E68" w:rsidRPr="00C73365" w:rsidRDefault="00FB3E68" w:rsidP="007F1850">
            <w:pPr>
              <w:jc w:val="center"/>
              <w:rPr>
                <w:rFonts w:asciiTheme="minorHAnsi" w:hAnsiTheme="minorHAnsi" w:cstheme="minorHAnsi"/>
                <w:szCs w:val="20"/>
                <w:lang w:val="fr-FR" w:eastAsia="fr-FR"/>
              </w:rPr>
            </w:pPr>
          </w:p>
        </w:tc>
        <w:tc>
          <w:tcPr>
            <w:tcW w:w="722" w:type="dxa"/>
            <w:tcBorders>
              <w:top w:val="nil"/>
              <w:left w:val="nil"/>
              <w:bottom w:val="single" w:sz="8" w:space="0" w:color="7030A0"/>
              <w:right w:val="nil"/>
            </w:tcBorders>
            <w:shd w:val="clear" w:color="auto" w:fill="auto"/>
            <w:vAlign w:val="center"/>
          </w:tcPr>
          <w:p w14:paraId="354708ED" w14:textId="77777777" w:rsidR="00FB3E68" w:rsidRPr="00C73365" w:rsidRDefault="00FB3E68" w:rsidP="007F1850">
            <w:pPr>
              <w:jc w:val="center"/>
              <w:rPr>
                <w:rFonts w:asciiTheme="minorHAnsi" w:hAnsiTheme="minorHAnsi" w:cstheme="minorHAnsi"/>
                <w:color w:val="7030A0"/>
                <w:szCs w:val="20"/>
                <w:lang w:val="fr-FR" w:eastAsia="fr-FR"/>
              </w:rPr>
            </w:pPr>
          </w:p>
        </w:tc>
      </w:tr>
      <w:tr w:rsidR="00FB3E68" w:rsidRPr="00C73365" w14:paraId="6F39956E" w14:textId="77777777" w:rsidTr="008F376F">
        <w:trPr>
          <w:trHeight w:val="144"/>
        </w:trPr>
        <w:tc>
          <w:tcPr>
            <w:tcW w:w="0" w:type="auto"/>
            <w:tcBorders>
              <w:top w:val="nil"/>
              <w:left w:val="nil"/>
              <w:bottom w:val="single" w:sz="8" w:space="0" w:color="7030A0"/>
              <w:right w:val="nil"/>
            </w:tcBorders>
            <w:shd w:val="clear" w:color="auto" w:fill="auto"/>
            <w:noWrap/>
            <w:vAlign w:val="center"/>
            <w:hideMark/>
          </w:tcPr>
          <w:p w14:paraId="64EAD4A1" w14:textId="77777777"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Sous-Total autres fonds propres </w:t>
            </w:r>
            <w:r w:rsidRPr="00C73365">
              <w:rPr>
                <w:rFonts w:asciiTheme="minorHAnsi" w:hAnsiTheme="minorHAnsi" w:cstheme="minorHAnsi"/>
                <w:b/>
                <w:bCs/>
                <w:color w:val="7030A0"/>
                <w:szCs w:val="20"/>
                <w:lang w:val="fr-FR" w:eastAsia="fr-FR"/>
              </w:rPr>
              <w:t>(hors intérêts courus)</w:t>
            </w:r>
          </w:p>
        </w:tc>
        <w:tc>
          <w:tcPr>
            <w:tcW w:w="0" w:type="auto"/>
            <w:tcBorders>
              <w:top w:val="nil"/>
              <w:left w:val="nil"/>
              <w:bottom w:val="single" w:sz="8" w:space="0" w:color="7030A0"/>
              <w:right w:val="nil"/>
            </w:tcBorders>
            <w:shd w:val="clear" w:color="auto" w:fill="auto"/>
            <w:vAlign w:val="center"/>
            <w:hideMark/>
          </w:tcPr>
          <w:p w14:paraId="1FEC06F3"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14:paraId="3CD34AC8" w14:textId="77777777"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tcPr>
          <w:p w14:paraId="10E89E78" w14:textId="77777777"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-40</w:t>
            </w:r>
          </w:p>
        </w:tc>
        <w:tc>
          <w:tcPr>
            <w:tcW w:w="0" w:type="auto"/>
            <w:tcBorders>
              <w:top w:val="nil"/>
              <w:left w:val="nil"/>
              <w:bottom w:val="single" w:sz="8" w:space="0" w:color="7030A0"/>
              <w:right w:val="nil"/>
            </w:tcBorders>
            <w:shd w:val="clear" w:color="auto" w:fill="auto"/>
            <w:vAlign w:val="center"/>
          </w:tcPr>
          <w:p w14:paraId="471423D5" w14:textId="77777777"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-360</w:t>
            </w:r>
          </w:p>
        </w:tc>
        <w:tc>
          <w:tcPr>
            <w:tcW w:w="0" w:type="auto"/>
            <w:tcBorders>
              <w:top w:val="nil"/>
              <w:left w:val="nil"/>
              <w:bottom w:val="single" w:sz="8" w:space="0" w:color="7030A0"/>
              <w:right w:val="nil"/>
            </w:tcBorders>
            <w:shd w:val="clear" w:color="auto" w:fill="auto"/>
            <w:vAlign w:val="center"/>
          </w:tcPr>
          <w:p w14:paraId="6AAF6BBB" w14:textId="77777777"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-580</w:t>
            </w:r>
          </w:p>
        </w:tc>
        <w:tc>
          <w:tcPr>
            <w:tcW w:w="733" w:type="dxa"/>
            <w:tcBorders>
              <w:top w:val="nil"/>
              <w:left w:val="nil"/>
              <w:bottom w:val="single" w:sz="8" w:space="0" w:color="7030A0"/>
              <w:right w:val="nil"/>
            </w:tcBorders>
            <w:shd w:val="clear" w:color="auto" w:fill="auto"/>
            <w:vAlign w:val="center"/>
          </w:tcPr>
          <w:p w14:paraId="66C4DE77" w14:textId="77777777"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-2 494</w:t>
            </w:r>
          </w:p>
        </w:tc>
        <w:tc>
          <w:tcPr>
            <w:tcW w:w="674" w:type="dxa"/>
            <w:tcBorders>
              <w:top w:val="nil"/>
              <w:left w:val="nil"/>
              <w:bottom w:val="single" w:sz="8" w:space="0" w:color="7030A0"/>
              <w:right w:val="nil"/>
            </w:tcBorders>
            <w:shd w:val="clear" w:color="auto" w:fill="auto"/>
            <w:vAlign w:val="center"/>
          </w:tcPr>
          <w:p w14:paraId="29976CE6" w14:textId="77777777"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-2 854</w:t>
            </w:r>
          </w:p>
        </w:tc>
        <w:tc>
          <w:tcPr>
            <w:tcW w:w="783" w:type="dxa"/>
            <w:tcBorders>
              <w:top w:val="nil"/>
              <w:left w:val="nil"/>
              <w:bottom w:val="single" w:sz="8" w:space="0" w:color="7030A0"/>
              <w:right w:val="nil"/>
            </w:tcBorders>
            <w:shd w:val="clear" w:color="auto" w:fill="auto"/>
            <w:vAlign w:val="center"/>
          </w:tcPr>
          <w:p w14:paraId="31397C16" w14:textId="77777777"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-3 391</w:t>
            </w:r>
          </w:p>
        </w:tc>
        <w:tc>
          <w:tcPr>
            <w:tcW w:w="722" w:type="dxa"/>
            <w:tcBorders>
              <w:top w:val="nil"/>
              <w:left w:val="nil"/>
              <w:bottom w:val="single" w:sz="8" w:space="0" w:color="7030A0"/>
              <w:right w:val="nil"/>
            </w:tcBorders>
            <w:shd w:val="clear" w:color="auto" w:fill="auto"/>
            <w:vAlign w:val="center"/>
          </w:tcPr>
          <w:p w14:paraId="055A2B3E" w14:textId="77777777"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-1 644</w:t>
            </w:r>
          </w:p>
        </w:tc>
      </w:tr>
      <w:tr w:rsidR="00FB3E68" w:rsidRPr="00C73365" w14:paraId="5860458B" w14:textId="77777777" w:rsidTr="008F376F">
        <w:trPr>
          <w:trHeight w:val="144"/>
        </w:trPr>
        <w:tc>
          <w:tcPr>
            <w:tcW w:w="0" w:type="auto"/>
            <w:tcBorders>
              <w:top w:val="nil"/>
              <w:left w:val="nil"/>
              <w:bottom w:val="single" w:sz="8" w:space="0" w:color="7030A0"/>
              <w:right w:val="nil"/>
            </w:tcBorders>
            <w:shd w:val="clear" w:color="auto" w:fill="auto"/>
            <w:vAlign w:val="center"/>
            <w:hideMark/>
          </w:tcPr>
          <w:p w14:paraId="0F2687BD" w14:textId="77777777"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Aide conjointe </w:t>
            </w:r>
            <w:r w:rsidR="001479F8">
              <w:rPr>
                <w:rFonts w:asciiTheme="minorHAnsi" w:hAnsiTheme="minorHAnsi" w:cstheme="minorHAnsi"/>
                <w:color w:val="000000"/>
                <w:szCs w:val="20"/>
                <w:lang w:val="fr-FR" w:eastAsia="fr-FR"/>
              </w:rPr>
              <w:t>Bpifrance</w:t>
            </w:r>
            <w:r w:rsidRPr="00C73365">
              <w:rPr>
                <w:rFonts w:asciiTheme="minorHAnsi" w:hAnsiTheme="minorHAnsi" w:cstheme="minorHAnsi"/>
                <w:color w:val="000000"/>
                <w:szCs w:val="20"/>
                <w:lang w:val="fr-FR" w:eastAsia="fr-FR"/>
              </w:rPr>
              <w:t xml:space="preserve"> et Feder (A 10 06 002G)</w:t>
            </w:r>
            <w:r w:rsidR="008F2F8F" w:rsidRPr="00C73365">
              <w:rPr>
                <w:rFonts w:asciiTheme="minorHAnsi" w:hAnsiTheme="minorHAnsi" w:cstheme="minorHAnsi"/>
                <w:color w:val="000000"/>
                <w:szCs w:val="20"/>
                <w:lang w:val="fr-FR" w:eastAsia="fr-FR"/>
              </w:rPr>
              <w:t>*</w:t>
            </w:r>
          </w:p>
        </w:tc>
        <w:tc>
          <w:tcPr>
            <w:tcW w:w="0" w:type="auto"/>
            <w:tcBorders>
              <w:top w:val="nil"/>
              <w:left w:val="nil"/>
              <w:bottom w:val="single" w:sz="8" w:space="0" w:color="7030A0"/>
              <w:right w:val="nil"/>
            </w:tcBorders>
            <w:shd w:val="clear" w:color="auto" w:fill="auto"/>
            <w:vAlign w:val="center"/>
            <w:hideMark/>
          </w:tcPr>
          <w:p w14:paraId="54320AFE"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14:paraId="1EDC87FE"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w:t>
            </w:r>
          </w:p>
        </w:tc>
        <w:tc>
          <w:tcPr>
            <w:tcW w:w="0" w:type="auto"/>
            <w:tcBorders>
              <w:top w:val="nil"/>
              <w:left w:val="nil"/>
              <w:bottom w:val="single" w:sz="8" w:space="0" w:color="7030A0"/>
              <w:right w:val="nil"/>
            </w:tcBorders>
            <w:shd w:val="clear" w:color="auto" w:fill="auto"/>
            <w:vAlign w:val="center"/>
            <w:hideMark/>
          </w:tcPr>
          <w:p w14:paraId="0D59ED53"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14:paraId="4DF238A8"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14:paraId="60746503"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33" w:type="dxa"/>
            <w:tcBorders>
              <w:top w:val="nil"/>
              <w:left w:val="nil"/>
              <w:bottom w:val="single" w:sz="8" w:space="0" w:color="7030A0"/>
              <w:right w:val="nil"/>
            </w:tcBorders>
            <w:shd w:val="clear" w:color="auto" w:fill="auto"/>
            <w:vAlign w:val="center"/>
            <w:hideMark/>
          </w:tcPr>
          <w:p w14:paraId="6C541814"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674" w:type="dxa"/>
            <w:tcBorders>
              <w:top w:val="nil"/>
              <w:left w:val="nil"/>
              <w:bottom w:val="single" w:sz="8" w:space="0" w:color="7030A0"/>
              <w:right w:val="nil"/>
            </w:tcBorders>
            <w:shd w:val="clear" w:color="auto" w:fill="auto"/>
            <w:vAlign w:val="center"/>
            <w:hideMark/>
          </w:tcPr>
          <w:p w14:paraId="712C97FF"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83" w:type="dxa"/>
            <w:tcBorders>
              <w:top w:val="nil"/>
              <w:left w:val="nil"/>
              <w:bottom w:val="single" w:sz="8" w:space="0" w:color="7030A0"/>
              <w:right w:val="nil"/>
            </w:tcBorders>
            <w:shd w:val="clear" w:color="auto" w:fill="auto"/>
            <w:vAlign w:val="center"/>
            <w:hideMark/>
          </w:tcPr>
          <w:p w14:paraId="56CFFEA8"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22" w:type="dxa"/>
            <w:tcBorders>
              <w:top w:val="nil"/>
              <w:left w:val="nil"/>
              <w:bottom w:val="single" w:sz="8" w:space="0" w:color="7030A0"/>
              <w:right w:val="nil"/>
            </w:tcBorders>
            <w:shd w:val="clear" w:color="auto" w:fill="auto"/>
            <w:vAlign w:val="center"/>
            <w:hideMark/>
          </w:tcPr>
          <w:p w14:paraId="046957F7" w14:textId="77777777"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B3E68" w:rsidRPr="00C73365" w14:paraId="2AC1F5BC" w14:textId="77777777" w:rsidTr="008F376F">
        <w:trPr>
          <w:trHeight w:val="144"/>
        </w:trPr>
        <w:tc>
          <w:tcPr>
            <w:tcW w:w="0" w:type="auto"/>
            <w:tcBorders>
              <w:top w:val="nil"/>
              <w:left w:val="nil"/>
              <w:bottom w:val="single" w:sz="8" w:space="0" w:color="7030A0"/>
              <w:right w:val="nil"/>
            </w:tcBorders>
            <w:shd w:val="clear" w:color="auto" w:fill="auto"/>
            <w:noWrap/>
            <w:vAlign w:val="center"/>
            <w:hideMark/>
          </w:tcPr>
          <w:p w14:paraId="0058C2C9" w14:textId="77777777"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Sous-Total emprunts et dettes financières</w:t>
            </w:r>
          </w:p>
        </w:tc>
        <w:tc>
          <w:tcPr>
            <w:tcW w:w="0" w:type="auto"/>
            <w:tcBorders>
              <w:top w:val="nil"/>
              <w:left w:val="nil"/>
              <w:bottom w:val="single" w:sz="8" w:space="0" w:color="7030A0"/>
              <w:right w:val="nil"/>
            </w:tcBorders>
            <w:shd w:val="clear" w:color="auto" w:fill="auto"/>
            <w:vAlign w:val="center"/>
            <w:hideMark/>
          </w:tcPr>
          <w:p w14:paraId="683551F7" w14:textId="77777777"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14:paraId="60964C5E" w14:textId="77777777"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-85</w:t>
            </w:r>
          </w:p>
        </w:tc>
        <w:tc>
          <w:tcPr>
            <w:tcW w:w="0" w:type="auto"/>
            <w:tcBorders>
              <w:top w:val="nil"/>
              <w:left w:val="nil"/>
              <w:bottom w:val="single" w:sz="8" w:space="0" w:color="7030A0"/>
              <w:right w:val="nil"/>
            </w:tcBorders>
            <w:shd w:val="clear" w:color="auto" w:fill="auto"/>
            <w:vAlign w:val="center"/>
            <w:hideMark/>
          </w:tcPr>
          <w:p w14:paraId="00FC9FFF" w14:textId="77777777"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hideMark/>
          </w:tcPr>
          <w:p w14:paraId="7692B80D" w14:textId="77777777"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hideMark/>
          </w:tcPr>
          <w:p w14:paraId="75ABB053" w14:textId="77777777"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33" w:type="dxa"/>
            <w:tcBorders>
              <w:top w:val="nil"/>
              <w:left w:val="nil"/>
              <w:bottom w:val="single" w:sz="8" w:space="0" w:color="7030A0"/>
              <w:right w:val="nil"/>
            </w:tcBorders>
            <w:shd w:val="clear" w:color="auto" w:fill="auto"/>
            <w:vAlign w:val="center"/>
            <w:hideMark/>
          </w:tcPr>
          <w:p w14:paraId="56985138" w14:textId="77777777"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674" w:type="dxa"/>
            <w:tcBorders>
              <w:top w:val="nil"/>
              <w:left w:val="nil"/>
              <w:bottom w:val="single" w:sz="8" w:space="0" w:color="7030A0"/>
              <w:right w:val="nil"/>
            </w:tcBorders>
            <w:shd w:val="clear" w:color="auto" w:fill="auto"/>
            <w:vAlign w:val="center"/>
            <w:hideMark/>
          </w:tcPr>
          <w:p w14:paraId="2C70AEEE" w14:textId="77777777"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83" w:type="dxa"/>
            <w:tcBorders>
              <w:top w:val="nil"/>
              <w:left w:val="nil"/>
              <w:bottom w:val="single" w:sz="8" w:space="0" w:color="7030A0"/>
              <w:right w:val="nil"/>
            </w:tcBorders>
            <w:shd w:val="clear" w:color="auto" w:fill="auto"/>
            <w:vAlign w:val="center"/>
            <w:hideMark/>
          </w:tcPr>
          <w:p w14:paraId="79F3B547" w14:textId="77777777"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22" w:type="dxa"/>
            <w:tcBorders>
              <w:top w:val="nil"/>
              <w:left w:val="nil"/>
              <w:bottom w:val="single" w:sz="8" w:space="0" w:color="7030A0"/>
              <w:right w:val="nil"/>
            </w:tcBorders>
            <w:shd w:val="clear" w:color="auto" w:fill="auto"/>
            <w:vAlign w:val="center"/>
            <w:hideMark/>
          </w:tcPr>
          <w:p w14:paraId="157E5650" w14:textId="77777777"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8F376F" w:rsidRPr="00C73365" w14:paraId="3A01B6C0" w14:textId="77777777" w:rsidTr="008F376F">
        <w:trPr>
          <w:trHeight w:val="144"/>
        </w:trPr>
        <w:tc>
          <w:tcPr>
            <w:tcW w:w="0" w:type="auto"/>
            <w:tcBorders>
              <w:top w:val="nil"/>
              <w:left w:val="nil"/>
              <w:bottom w:val="single" w:sz="8" w:space="0" w:color="7030A0"/>
              <w:right w:val="nil"/>
            </w:tcBorders>
            <w:shd w:val="clear" w:color="auto" w:fill="auto"/>
            <w:noWrap/>
            <w:vAlign w:val="center"/>
            <w:hideMark/>
          </w:tcPr>
          <w:p w14:paraId="6DFCE963" w14:textId="77777777" w:rsidR="008F376F" w:rsidRPr="00C73365" w:rsidRDefault="008F376F" w:rsidP="008F376F">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0" w:type="auto"/>
            <w:tcBorders>
              <w:top w:val="nil"/>
              <w:left w:val="nil"/>
              <w:bottom w:val="single" w:sz="8" w:space="0" w:color="7030A0"/>
              <w:right w:val="nil"/>
            </w:tcBorders>
            <w:shd w:val="clear" w:color="auto" w:fill="auto"/>
            <w:vAlign w:val="center"/>
            <w:hideMark/>
          </w:tcPr>
          <w:p w14:paraId="1A926EBB" w14:textId="77777777"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14:paraId="7EAEC7D5" w14:textId="77777777"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-85</w:t>
            </w:r>
          </w:p>
        </w:tc>
        <w:tc>
          <w:tcPr>
            <w:tcW w:w="0" w:type="auto"/>
            <w:tcBorders>
              <w:top w:val="nil"/>
              <w:left w:val="nil"/>
              <w:bottom w:val="single" w:sz="8" w:space="0" w:color="7030A0"/>
              <w:right w:val="nil"/>
            </w:tcBorders>
            <w:shd w:val="clear" w:color="auto" w:fill="auto"/>
            <w:vAlign w:val="center"/>
          </w:tcPr>
          <w:p w14:paraId="123536A9" w14:textId="77777777"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-40</w:t>
            </w:r>
          </w:p>
        </w:tc>
        <w:tc>
          <w:tcPr>
            <w:tcW w:w="0" w:type="auto"/>
            <w:tcBorders>
              <w:top w:val="nil"/>
              <w:left w:val="nil"/>
              <w:bottom w:val="single" w:sz="8" w:space="0" w:color="7030A0"/>
              <w:right w:val="nil"/>
            </w:tcBorders>
            <w:shd w:val="clear" w:color="auto" w:fill="auto"/>
            <w:vAlign w:val="center"/>
          </w:tcPr>
          <w:p w14:paraId="1E7EA3AC" w14:textId="77777777"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-360</w:t>
            </w:r>
          </w:p>
        </w:tc>
        <w:tc>
          <w:tcPr>
            <w:tcW w:w="0" w:type="auto"/>
            <w:tcBorders>
              <w:top w:val="nil"/>
              <w:left w:val="nil"/>
              <w:bottom w:val="single" w:sz="8" w:space="0" w:color="7030A0"/>
              <w:right w:val="nil"/>
            </w:tcBorders>
            <w:shd w:val="clear" w:color="auto" w:fill="auto"/>
            <w:vAlign w:val="center"/>
          </w:tcPr>
          <w:p w14:paraId="7B59D2C0" w14:textId="77777777"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-580</w:t>
            </w:r>
          </w:p>
        </w:tc>
        <w:tc>
          <w:tcPr>
            <w:tcW w:w="733" w:type="dxa"/>
            <w:tcBorders>
              <w:top w:val="nil"/>
              <w:left w:val="nil"/>
              <w:bottom w:val="single" w:sz="8" w:space="0" w:color="7030A0"/>
              <w:right w:val="nil"/>
            </w:tcBorders>
            <w:shd w:val="clear" w:color="auto" w:fill="auto"/>
            <w:vAlign w:val="center"/>
          </w:tcPr>
          <w:p w14:paraId="3FF704B7" w14:textId="77777777"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-2 494</w:t>
            </w:r>
          </w:p>
        </w:tc>
        <w:tc>
          <w:tcPr>
            <w:tcW w:w="674" w:type="dxa"/>
            <w:tcBorders>
              <w:top w:val="nil"/>
              <w:left w:val="nil"/>
              <w:bottom w:val="single" w:sz="8" w:space="0" w:color="7030A0"/>
              <w:right w:val="nil"/>
            </w:tcBorders>
            <w:shd w:val="clear" w:color="auto" w:fill="auto"/>
            <w:vAlign w:val="center"/>
          </w:tcPr>
          <w:p w14:paraId="027CA8CA" w14:textId="77777777"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-2 854</w:t>
            </w:r>
          </w:p>
        </w:tc>
        <w:tc>
          <w:tcPr>
            <w:tcW w:w="783" w:type="dxa"/>
            <w:tcBorders>
              <w:top w:val="nil"/>
              <w:left w:val="nil"/>
              <w:bottom w:val="single" w:sz="8" w:space="0" w:color="7030A0"/>
              <w:right w:val="nil"/>
            </w:tcBorders>
            <w:shd w:val="clear" w:color="auto" w:fill="auto"/>
            <w:vAlign w:val="center"/>
          </w:tcPr>
          <w:p w14:paraId="03640BBA" w14:textId="77777777"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-3 391</w:t>
            </w:r>
          </w:p>
        </w:tc>
        <w:tc>
          <w:tcPr>
            <w:tcW w:w="722" w:type="dxa"/>
            <w:tcBorders>
              <w:top w:val="nil"/>
              <w:left w:val="nil"/>
              <w:bottom w:val="single" w:sz="8" w:space="0" w:color="7030A0"/>
              <w:right w:val="nil"/>
            </w:tcBorders>
            <w:shd w:val="clear" w:color="auto" w:fill="auto"/>
            <w:vAlign w:val="center"/>
          </w:tcPr>
          <w:p w14:paraId="302296D8" w14:textId="77777777"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-1 644</w:t>
            </w:r>
          </w:p>
        </w:tc>
      </w:tr>
    </w:tbl>
    <w:p w14:paraId="53F75E33" w14:textId="4588CD6E" w:rsidR="00052CE9" w:rsidRPr="0030056F" w:rsidRDefault="00694421" w:rsidP="0030056F">
      <w:pPr>
        <w:pStyle w:val="Listepuces"/>
        <w:numPr>
          <w:ilvl w:val="0"/>
          <w:numId w:val="0"/>
        </w:numPr>
        <w:ind w:left="720" w:hanging="360"/>
        <w:rPr>
          <w:rFonts w:asciiTheme="minorHAnsi" w:hAnsiTheme="minorHAnsi" w:cstheme="minorHAnsi"/>
          <w:lang w:val="fr-FR"/>
        </w:rPr>
      </w:pPr>
      <w:r w:rsidRPr="00694421">
        <w:rPr>
          <w:rFonts w:asciiTheme="minorHAnsi" w:hAnsiTheme="minorHAnsi" w:cstheme="minorHAnsi"/>
          <w:lang w:val="fr-FR"/>
        </w:rPr>
        <w:t>*</w:t>
      </w:r>
      <w:r w:rsidR="008F2F8F" w:rsidRPr="00694421">
        <w:rPr>
          <w:rFonts w:asciiTheme="minorHAnsi" w:hAnsiTheme="minorHAnsi" w:cstheme="minorHAnsi"/>
          <w:lang w:val="fr-FR"/>
        </w:rPr>
        <w:t>à date d’enregistrement du DDR, l’aide conjointe</w:t>
      </w:r>
      <w:r w:rsidR="00EF089C" w:rsidRPr="00694421">
        <w:rPr>
          <w:rFonts w:asciiTheme="minorHAnsi" w:hAnsiTheme="minorHAnsi" w:cstheme="minorHAnsi"/>
          <w:lang w:val="fr-FR"/>
        </w:rPr>
        <w:t xml:space="preserve"> </w:t>
      </w:r>
      <w:r w:rsidR="001479F8" w:rsidRPr="00694421">
        <w:rPr>
          <w:rFonts w:asciiTheme="minorHAnsi" w:hAnsiTheme="minorHAnsi" w:cstheme="minorHAnsi"/>
          <w:lang w:val="fr-FR"/>
        </w:rPr>
        <w:t>Bpifrance</w:t>
      </w:r>
      <w:r w:rsidR="008F2F8F" w:rsidRPr="00694421">
        <w:rPr>
          <w:rFonts w:asciiTheme="minorHAnsi" w:hAnsiTheme="minorHAnsi" w:cstheme="minorHAnsi"/>
          <w:lang w:val="fr-FR"/>
        </w:rPr>
        <w:t xml:space="preserve"> et Feder est intégralement remboursée </w:t>
      </w:r>
      <w:r w:rsidR="00FB3E68" w:rsidRPr="00694421">
        <w:rPr>
          <w:rFonts w:asciiTheme="minorHAnsi" w:hAnsiTheme="minorHAnsi" w:cstheme="minorHAnsi"/>
          <w:lang w:val="fr-FR"/>
        </w:rPr>
        <w:t xml:space="preserve">(Voir Chapitre 22.4 Contrats d’aide </w:t>
      </w:r>
      <w:r w:rsidR="001479F8" w:rsidRPr="00694421">
        <w:rPr>
          <w:rFonts w:asciiTheme="minorHAnsi" w:hAnsiTheme="minorHAnsi" w:cstheme="minorHAnsi"/>
          <w:lang w:val="fr-FR"/>
        </w:rPr>
        <w:t>Bpifrance</w:t>
      </w:r>
      <w:r w:rsidR="00FB3E68" w:rsidRPr="00694421">
        <w:rPr>
          <w:rFonts w:asciiTheme="minorHAnsi" w:hAnsiTheme="minorHAnsi" w:cstheme="minorHAnsi"/>
          <w:lang w:val="fr-FR"/>
        </w:rPr>
        <w:t xml:space="preserve"> (subventions et/ou avances remboursables pour le détail</w:t>
      </w:r>
    </w:p>
    <w:p w14:paraId="53E5A005" w14:textId="77777777" w:rsidR="00F46C7B" w:rsidRPr="00C73365" w:rsidRDefault="00F46C7B" w:rsidP="00616826">
      <w:pPr>
        <w:pStyle w:val="Paragraphedeliste"/>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lastRenderedPageBreak/>
        <w:t>Introduction de la Société sur le marché Euronext Paris</w:t>
      </w:r>
    </w:p>
    <w:p w14:paraId="2B38C353" w14:textId="77777777" w:rsidR="00EF089C" w:rsidRPr="00C73365" w:rsidRDefault="00EF089C">
      <w:pPr>
        <w:pStyle w:val="Paragraphedeliste"/>
        <w:ind w:left="0"/>
        <w:rPr>
          <w:rFonts w:asciiTheme="minorHAnsi" w:hAnsiTheme="minorHAnsi" w:cstheme="minorHAnsi"/>
          <w:szCs w:val="22"/>
          <w:lang w:val="fr-FR"/>
        </w:rPr>
      </w:pPr>
    </w:p>
    <w:p w14:paraId="3BAA0305" w14:textId="77777777" w:rsidR="00EE4F61" w:rsidRPr="00C73365" w:rsidRDefault="00EF089C">
      <w:pPr>
        <w:pStyle w:val="Paragraphedeliste"/>
        <w:ind w:left="0"/>
        <w:rPr>
          <w:rFonts w:asciiTheme="minorHAnsi" w:hAnsiTheme="minorHAnsi" w:cstheme="minorHAnsi"/>
          <w:szCs w:val="22"/>
          <w:lang w:val="fr-FR"/>
        </w:rPr>
      </w:pPr>
      <w:r w:rsidRPr="00C73365">
        <w:rPr>
          <w:rFonts w:asciiTheme="minorHAnsi" w:hAnsiTheme="minorHAnsi" w:cstheme="minorHAnsi"/>
          <w:szCs w:val="22"/>
          <w:lang w:val="fr-FR"/>
        </w:rPr>
        <w:t>La société a été introduite en bourse</w:t>
      </w:r>
      <w:r w:rsidR="00F46C7B" w:rsidRPr="00C73365">
        <w:rPr>
          <w:rFonts w:asciiTheme="minorHAnsi" w:hAnsiTheme="minorHAnsi" w:cstheme="minorHAnsi"/>
          <w:szCs w:val="22"/>
          <w:lang w:val="fr-FR"/>
        </w:rPr>
        <w:t xml:space="preserve"> en juin 2015 </w:t>
      </w:r>
      <w:r w:rsidRPr="00C73365">
        <w:rPr>
          <w:rFonts w:asciiTheme="minorHAnsi" w:hAnsiTheme="minorHAnsi" w:cstheme="minorHAnsi"/>
          <w:szCs w:val="22"/>
          <w:lang w:val="fr-FR"/>
        </w:rPr>
        <w:t xml:space="preserve">où elle </w:t>
      </w:r>
      <w:r w:rsidR="00F46C7B" w:rsidRPr="00C73365">
        <w:rPr>
          <w:rFonts w:asciiTheme="minorHAnsi" w:hAnsiTheme="minorHAnsi" w:cstheme="minorHAnsi"/>
          <w:szCs w:val="22"/>
          <w:lang w:val="fr-FR"/>
        </w:rPr>
        <w:t>a pu lever près de 58 M</w:t>
      </w:r>
      <w:r w:rsidR="003D4F94" w:rsidRPr="00C73365">
        <w:rPr>
          <w:rFonts w:asciiTheme="minorHAnsi" w:hAnsiTheme="minorHAnsi" w:cstheme="minorHAnsi"/>
          <w:szCs w:val="22"/>
          <w:lang w:val="fr-FR"/>
        </w:rPr>
        <w:t>€</w:t>
      </w:r>
      <w:r w:rsidRPr="00C73365">
        <w:rPr>
          <w:rFonts w:asciiTheme="minorHAnsi" w:hAnsiTheme="minorHAnsi" w:cstheme="minorHAnsi"/>
          <w:szCs w:val="22"/>
          <w:lang w:val="fr-FR"/>
        </w:rPr>
        <w:t>.</w:t>
      </w:r>
    </w:p>
    <w:p w14:paraId="0442B5AE" w14:textId="77777777"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80" w:name="_Toc320733011"/>
      <w:bookmarkStart w:id="681" w:name="_Toc400469556"/>
      <w:bookmarkStart w:id="682" w:name="_Toc462673255"/>
      <w:bookmarkStart w:id="683" w:name="_Toc467835602"/>
      <w:bookmarkStart w:id="684" w:name="_Toc510548428"/>
      <w:r w:rsidRPr="00C73365">
        <w:rPr>
          <w:rFonts w:asciiTheme="minorHAnsi" w:hAnsiTheme="minorHAnsi" w:cstheme="minorHAnsi"/>
          <w:sz w:val="22"/>
          <w:szCs w:val="22"/>
          <w:lang w:val="fr-FR"/>
        </w:rPr>
        <w:t>Restrictions à l’utilisation des capitaux ayant influé sensiblement ou pouvant influer sensiblement, de manière directe ou indirecte sur les opérations de l</w:t>
      </w:r>
      <w:bookmarkEnd w:id="680"/>
      <w:bookmarkEnd w:id="681"/>
      <w:r w:rsidRPr="00C73365">
        <w:rPr>
          <w:rFonts w:asciiTheme="minorHAnsi" w:hAnsiTheme="minorHAnsi" w:cstheme="minorHAnsi"/>
          <w:sz w:val="22"/>
          <w:szCs w:val="22"/>
          <w:lang w:val="fr-FR"/>
        </w:rPr>
        <w:t>a Société</w:t>
      </w:r>
      <w:bookmarkEnd w:id="682"/>
      <w:bookmarkEnd w:id="683"/>
      <w:bookmarkEnd w:id="684"/>
    </w:p>
    <w:p w14:paraId="0E40860B" w14:textId="77777777" w:rsidR="00F46C7B" w:rsidRPr="00C73365" w:rsidRDefault="00F46C7B" w:rsidP="004572A0">
      <w:pPr>
        <w:pStyle w:val="Corpsdetexte"/>
        <w:rPr>
          <w:rFonts w:asciiTheme="minorHAnsi" w:hAnsiTheme="minorHAnsi" w:cstheme="minorHAnsi"/>
          <w:lang w:val="fr-FR"/>
        </w:rPr>
      </w:pPr>
      <w:r w:rsidRPr="00C73365">
        <w:rPr>
          <w:rFonts w:asciiTheme="minorHAnsi" w:eastAsia="MS Mincho" w:hAnsiTheme="minorHAnsi" w:cstheme="minorHAnsi"/>
          <w:lang w:val="fr-FR" w:eastAsia="ja-JP"/>
        </w:rPr>
        <w:t>Néant</w:t>
      </w:r>
      <w:bookmarkStart w:id="685" w:name="_Toc400469557"/>
    </w:p>
    <w:p w14:paraId="5C62FF74" w14:textId="77777777"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86" w:name="_Toc462673256"/>
      <w:bookmarkStart w:id="687" w:name="_Toc467835603"/>
      <w:bookmarkStart w:id="688" w:name="_Toc510548429"/>
      <w:r w:rsidRPr="00C73365">
        <w:rPr>
          <w:rFonts w:asciiTheme="minorHAnsi" w:hAnsiTheme="minorHAnsi" w:cstheme="minorHAnsi"/>
          <w:sz w:val="22"/>
          <w:szCs w:val="22"/>
          <w:lang w:val="fr-FR"/>
        </w:rPr>
        <w:t>Sources de financement attendues</w:t>
      </w:r>
      <w:bookmarkEnd w:id="685"/>
      <w:bookmarkEnd w:id="686"/>
      <w:bookmarkEnd w:id="687"/>
      <w:bookmarkEnd w:id="688"/>
    </w:p>
    <w:p w14:paraId="54F27D93" w14:textId="3AE4932A" w:rsidR="00F46C7B" w:rsidRPr="000E78ED"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L’augmentation des charges d’exploitation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le reflet d’une activité de recherche et développement intensifiée sur la partie clinique et accélérée sur la partie pré clinique. </w:t>
      </w:r>
      <w:r w:rsidRPr="00C73365">
        <w:rPr>
          <w:rFonts w:asciiTheme="minorHAnsi" w:eastAsia="MS Mincho" w:hAnsiTheme="minorHAnsi" w:cstheme="minorHAnsi"/>
          <w:lang w:val="fr-FR" w:eastAsia="ja-JP"/>
        </w:rPr>
        <w:t>Pour financer cette augmentation des dépenses, les sources de financement attendues sont les suivantes :</w:t>
      </w:r>
    </w:p>
    <w:p w14:paraId="75C86344"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Financement par </w:t>
      </w:r>
      <w:r w:rsidR="001479F8">
        <w:rPr>
          <w:rFonts w:asciiTheme="minorHAnsi" w:hAnsiTheme="minorHAnsi" w:cstheme="minorHAnsi"/>
          <w:b/>
          <w:lang w:val="fr-FR"/>
        </w:rPr>
        <w:t>Bpifrance</w:t>
      </w:r>
      <w:r w:rsidRPr="00C73365">
        <w:rPr>
          <w:rFonts w:asciiTheme="minorHAnsi" w:hAnsiTheme="minorHAnsi" w:cstheme="minorHAnsi"/>
          <w:b/>
          <w:lang w:val="fr-FR"/>
        </w:rPr>
        <w:t> :</w:t>
      </w:r>
    </w:p>
    <w:p w14:paraId="23951301" w14:textId="77777777" w:rsidR="00F46C7B" w:rsidRPr="00C73365" w:rsidRDefault="00F46C7B" w:rsidP="004572A0">
      <w:pPr>
        <w:pStyle w:val="Corpsdetexte"/>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Le programme de développement ABX464</w:t>
      </w:r>
      <w:r w:rsidR="00B7090B" w:rsidRPr="00C73365">
        <w:rPr>
          <w:rFonts w:asciiTheme="minorHAnsi" w:eastAsia="MS Mincho" w:hAnsiTheme="minorHAnsi" w:cstheme="minorHAnsi"/>
          <w:lang w:val="fr-FR" w:eastAsia="ja-JP"/>
        </w:rPr>
        <w:t xml:space="preserve"> </w:t>
      </w:r>
      <w:r w:rsidRPr="00C73365">
        <w:rPr>
          <w:rFonts w:asciiTheme="minorHAnsi" w:eastAsia="MS Mincho" w:hAnsiTheme="minorHAnsi" w:cstheme="minorHAnsi"/>
          <w:lang w:val="fr-FR" w:eastAsia="ja-JP"/>
        </w:rPr>
        <w:t xml:space="preserve">fait l’objet d’un soutien financier important de la part 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(projet ISI-CaReNA) </w:t>
      </w:r>
      <w:r w:rsidR="00B7090B" w:rsidRPr="00C73365">
        <w:rPr>
          <w:rFonts w:asciiTheme="minorHAnsi" w:eastAsia="MS Mincho" w:hAnsiTheme="minorHAnsi" w:cstheme="minorHAnsi"/>
          <w:lang w:val="fr-FR" w:eastAsia="ja-JP"/>
        </w:rPr>
        <w:t xml:space="preserve">et </w:t>
      </w:r>
      <w:r w:rsidRPr="00C73365">
        <w:rPr>
          <w:rFonts w:asciiTheme="minorHAnsi" w:eastAsia="MS Mincho" w:hAnsiTheme="minorHAnsi" w:cstheme="minorHAnsi"/>
          <w:lang w:val="fr-FR" w:eastAsia="ja-JP"/>
        </w:rPr>
        <w:t xml:space="preserve">a franchi avec succès l’Etape Clé n°1 </w:t>
      </w:r>
      <w:r w:rsidR="00056331" w:rsidRPr="00C73365">
        <w:rPr>
          <w:rFonts w:asciiTheme="minorHAnsi" w:eastAsia="MS Mincho" w:hAnsiTheme="minorHAnsi" w:cstheme="minorHAnsi"/>
          <w:lang w:val="fr-FR" w:eastAsia="ja-JP"/>
        </w:rPr>
        <w:t xml:space="preserve">en </w:t>
      </w:r>
      <w:r w:rsidRPr="00C73365">
        <w:rPr>
          <w:rFonts w:asciiTheme="minorHAnsi" w:eastAsia="MS Mincho" w:hAnsiTheme="minorHAnsi" w:cstheme="minorHAnsi"/>
          <w:lang w:val="fr-FR" w:eastAsia="ja-JP"/>
        </w:rPr>
        <w:t xml:space="preserve">Août 2014 </w:t>
      </w:r>
      <w:r w:rsidR="00E42CD3" w:rsidRPr="00C73365">
        <w:rPr>
          <w:rFonts w:asciiTheme="minorHAnsi" w:eastAsia="MS Mincho" w:hAnsiTheme="minorHAnsi" w:cstheme="minorHAnsi"/>
          <w:lang w:val="fr-FR" w:eastAsia="ja-JP"/>
        </w:rPr>
        <w:t xml:space="preserve">et l’Etape-Clé 2 </w:t>
      </w:r>
      <w:r w:rsidR="00056331" w:rsidRPr="00C73365">
        <w:rPr>
          <w:rFonts w:asciiTheme="minorHAnsi" w:eastAsia="MS Mincho" w:hAnsiTheme="minorHAnsi" w:cstheme="minorHAnsi"/>
          <w:lang w:val="fr-FR" w:eastAsia="ja-JP"/>
        </w:rPr>
        <w:t>en</w:t>
      </w:r>
      <w:r w:rsidRPr="00C73365">
        <w:rPr>
          <w:rFonts w:asciiTheme="minorHAnsi" w:eastAsia="MS Mincho" w:hAnsiTheme="minorHAnsi" w:cstheme="minorHAnsi"/>
          <w:lang w:val="fr-FR" w:eastAsia="ja-JP"/>
        </w:rPr>
        <w:t xml:space="preserve"> Juin </w:t>
      </w:r>
      <w:r w:rsidR="00E42CD3" w:rsidRPr="00C73365">
        <w:rPr>
          <w:rFonts w:asciiTheme="minorHAnsi" w:eastAsia="MS Mincho" w:hAnsiTheme="minorHAnsi" w:cstheme="minorHAnsi"/>
          <w:lang w:val="fr-FR" w:eastAsia="ja-JP"/>
        </w:rPr>
        <w:t>2016</w:t>
      </w:r>
      <w:r w:rsidRPr="00C73365">
        <w:rPr>
          <w:rFonts w:asciiTheme="minorHAnsi" w:eastAsia="MS Mincho" w:hAnsiTheme="minorHAnsi" w:cstheme="minorHAnsi"/>
          <w:lang w:val="fr-FR" w:eastAsia="ja-JP"/>
        </w:rPr>
        <w:t xml:space="preserve"> déclenchant ainsi </w:t>
      </w:r>
      <w:r w:rsidR="00E42CD3" w:rsidRPr="00C73365">
        <w:rPr>
          <w:rFonts w:asciiTheme="minorHAnsi" w:eastAsia="MS Mincho" w:hAnsiTheme="minorHAnsi" w:cstheme="minorHAnsi"/>
          <w:lang w:val="fr-FR" w:eastAsia="ja-JP"/>
        </w:rPr>
        <w:t xml:space="preserve">outre le premier versement effectué </w:t>
      </w:r>
      <w:r w:rsidR="00056331" w:rsidRPr="00C73365">
        <w:rPr>
          <w:rFonts w:asciiTheme="minorHAnsi" w:eastAsia="MS Mincho" w:hAnsiTheme="minorHAnsi" w:cstheme="minorHAnsi"/>
          <w:lang w:val="fr-FR" w:eastAsia="ja-JP"/>
        </w:rPr>
        <w:t xml:space="preserve">après la signature du contrat, </w:t>
      </w:r>
      <w:r w:rsidRPr="00C73365">
        <w:rPr>
          <w:rFonts w:asciiTheme="minorHAnsi" w:eastAsia="MS Mincho" w:hAnsiTheme="minorHAnsi" w:cstheme="minorHAnsi"/>
          <w:lang w:val="fr-FR" w:eastAsia="ja-JP"/>
        </w:rPr>
        <w:t xml:space="preserve">l’encaissement </w:t>
      </w:r>
      <w:r w:rsidR="00E42CD3" w:rsidRPr="00C73365">
        <w:rPr>
          <w:rFonts w:asciiTheme="minorHAnsi" w:eastAsia="MS Mincho" w:hAnsiTheme="minorHAnsi" w:cstheme="minorHAnsi"/>
          <w:lang w:val="fr-FR" w:eastAsia="ja-JP"/>
        </w:rPr>
        <w:t>des subventions et avances remboursables associé</w:t>
      </w:r>
      <w:r w:rsidR="00056331" w:rsidRPr="00C73365">
        <w:rPr>
          <w:rFonts w:asciiTheme="minorHAnsi" w:eastAsia="MS Mincho" w:hAnsiTheme="minorHAnsi" w:cstheme="minorHAnsi"/>
          <w:lang w:val="fr-FR" w:eastAsia="ja-JP"/>
        </w:rPr>
        <w:t>s à EC1 et EC2</w:t>
      </w:r>
      <w:r w:rsidR="00E42CD3" w:rsidRPr="00C73365">
        <w:rPr>
          <w:rFonts w:asciiTheme="minorHAnsi" w:eastAsia="MS Mincho" w:hAnsiTheme="minorHAnsi" w:cstheme="minorHAnsi"/>
          <w:lang w:val="fr-FR" w:eastAsia="ja-JP"/>
        </w:rPr>
        <w:t xml:space="preserve">. </w:t>
      </w:r>
    </w:p>
    <w:p w14:paraId="2906C509" w14:textId="77777777" w:rsidR="00056331" w:rsidRPr="00C73365" w:rsidRDefault="006834D5" w:rsidP="004572A0">
      <w:pPr>
        <w:pStyle w:val="Corpsdetexte"/>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 xml:space="preserve">Le programme </w:t>
      </w:r>
      <w:r w:rsidR="000E5435" w:rsidRPr="00C73365">
        <w:rPr>
          <w:rFonts w:asciiTheme="minorHAnsi" w:eastAsia="MS Mincho" w:hAnsiTheme="minorHAnsi" w:cstheme="minorHAnsi"/>
          <w:lang w:val="fr-FR" w:eastAsia="ja-JP"/>
        </w:rPr>
        <w:t>PSPC</w:t>
      </w:r>
      <w:r w:rsidRPr="00C73365">
        <w:rPr>
          <w:rFonts w:asciiTheme="minorHAnsi" w:eastAsia="MS Mincho" w:hAnsiTheme="minorHAnsi" w:cstheme="minorHAnsi"/>
          <w:lang w:val="fr-FR" w:eastAsia="ja-JP"/>
        </w:rPr>
        <w:t xml:space="preserve">-RNP Vir fait </w:t>
      </w:r>
      <w:r w:rsidR="00056331" w:rsidRPr="00C73365">
        <w:rPr>
          <w:rFonts w:asciiTheme="minorHAnsi" w:eastAsia="MS Mincho" w:hAnsiTheme="minorHAnsi" w:cstheme="minorHAnsi"/>
          <w:lang w:val="fr-FR" w:eastAsia="ja-JP"/>
        </w:rPr>
        <w:t xml:space="preserve">également </w:t>
      </w:r>
      <w:r w:rsidRPr="00C73365">
        <w:rPr>
          <w:rFonts w:asciiTheme="minorHAnsi" w:eastAsia="MS Mincho" w:hAnsiTheme="minorHAnsi" w:cstheme="minorHAnsi"/>
          <w:lang w:val="fr-FR" w:eastAsia="ja-JP"/>
        </w:rPr>
        <w:t xml:space="preserve">l’objet d’un soutien financier important de la part 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w:t>
      </w:r>
      <w:r w:rsidR="008B425E" w:rsidRPr="00C73365">
        <w:rPr>
          <w:rFonts w:asciiTheme="minorHAnsi" w:eastAsia="MS Mincho" w:hAnsiTheme="minorHAnsi" w:cstheme="minorHAnsi"/>
          <w:lang w:val="fr-FR" w:eastAsia="ja-JP"/>
        </w:rPr>
        <w:t xml:space="preserve"> </w:t>
      </w:r>
      <w:r w:rsidR="00EF089C" w:rsidRPr="00C73365">
        <w:rPr>
          <w:rFonts w:asciiTheme="minorHAnsi" w:eastAsia="MS Mincho" w:hAnsiTheme="minorHAnsi" w:cstheme="minorHAnsi"/>
          <w:lang w:val="fr-FR" w:eastAsia="ja-JP"/>
        </w:rPr>
        <w:t>ABIVAX</w:t>
      </w:r>
      <w:r w:rsidR="00056331" w:rsidRPr="00C73365">
        <w:rPr>
          <w:rFonts w:asciiTheme="minorHAnsi" w:eastAsia="MS Mincho" w:hAnsiTheme="minorHAnsi" w:cstheme="minorHAnsi"/>
          <w:lang w:val="fr-FR" w:eastAsia="ja-JP"/>
        </w:rPr>
        <w:t xml:space="preserve"> a reçu en </w:t>
      </w:r>
      <w:r w:rsidR="006B119E" w:rsidRPr="00C73365">
        <w:rPr>
          <w:rFonts w:asciiTheme="minorHAnsi" w:eastAsia="MS Mincho" w:hAnsiTheme="minorHAnsi" w:cstheme="minorHAnsi"/>
          <w:lang w:val="fr-FR" w:eastAsia="ja-JP"/>
        </w:rPr>
        <w:t>septembre</w:t>
      </w:r>
      <w:r w:rsidR="00056331" w:rsidRPr="00C73365">
        <w:rPr>
          <w:rFonts w:asciiTheme="minorHAnsi" w:eastAsia="MS Mincho" w:hAnsiTheme="minorHAnsi" w:cstheme="minorHAnsi"/>
          <w:lang w:val="fr-FR" w:eastAsia="ja-JP"/>
        </w:rPr>
        <w:t xml:space="preserve"> 2017 </w:t>
      </w:r>
      <w:r w:rsidR="004572A0" w:rsidRPr="00C73365">
        <w:rPr>
          <w:rFonts w:asciiTheme="minorHAnsi" w:eastAsia="MS Mincho" w:hAnsiTheme="minorHAnsi" w:cstheme="minorHAnsi"/>
          <w:lang w:val="fr-FR" w:eastAsia="ja-JP"/>
        </w:rPr>
        <w:t>un</w:t>
      </w:r>
      <w:r w:rsidR="00056331" w:rsidRPr="00C73365">
        <w:rPr>
          <w:rFonts w:asciiTheme="minorHAnsi" w:eastAsia="MS Mincho" w:hAnsiTheme="minorHAnsi" w:cstheme="minorHAnsi"/>
          <w:lang w:val="fr-FR" w:eastAsia="ja-JP"/>
        </w:rPr>
        <w:t xml:space="preserve"> premier versement </w:t>
      </w:r>
      <w:r w:rsidR="004572A0" w:rsidRPr="00C73365">
        <w:rPr>
          <w:rFonts w:asciiTheme="minorHAnsi" w:eastAsia="MS Mincho" w:hAnsiTheme="minorHAnsi" w:cstheme="minorHAnsi"/>
          <w:lang w:val="fr-FR" w:eastAsia="ja-JP"/>
        </w:rPr>
        <w:t xml:space="preserve">de 2.1 M€ </w:t>
      </w:r>
      <w:r w:rsidR="00056331" w:rsidRPr="00C73365">
        <w:rPr>
          <w:rFonts w:asciiTheme="minorHAnsi" w:eastAsia="MS Mincho" w:hAnsiTheme="minorHAnsi" w:cstheme="minorHAnsi"/>
          <w:lang w:val="fr-FR" w:eastAsia="ja-JP"/>
        </w:rPr>
        <w:t>préalablement à l’EC1.</w:t>
      </w:r>
    </w:p>
    <w:p w14:paraId="03C1C28A" w14:textId="77777777" w:rsidR="00056331" w:rsidRPr="00C73365" w:rsidRDefault="00056331"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programme d’aide au développement d’un traitement basé sur un cocktail d’anticorps polyclonaux contre le virus EBOLA (ABX544) </w:t>
      </w:r>
      <w:r w:rsidR="00B7090B" w:rsidRPr="00C73365">
        <w:rPr>
          <w:rFonts w:asciiTheme="minorHAnsi" w:hAnsiTheme="minorHAnsi" w:cstheme="minorHAnsi"/>
          <w:lang w:val="fr-FR"/>
        </w:rPr>
        <w:t xml:space="preserve">est </w:t>
      </w:r>
      <w:r w:rsidRPr="00C73365">
        <w:rPr>
          <w:rFonts w:asciiTheme="minorHAnsi" w:hAnsiTheme="minorHAnsi" w:cstheme="minorHAnsi"/>
          <w:lang w:val="fr-FR"/>
        </w:rPr>
        <w:t xml:space="preserve">conjointement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la région Occitanie avec des avances remboursables dont la majorité </w:t>
      </w:r>
      <w:r w:rsidR="004572A0" w:rsidRPr="00C73365">
        <w:rPr>
          <w:rFonts w:asciiTheme="minorHAnsi" w:hAnsiTheme="minorHAnsi" w:cstheme="minorHAnsi"/>
          <w:lang w:val="fr-FR"/>
        </w:rPr>
        <w:t xml:space="preserve">à hauteur de 300 K€ </w:t>
      </w:r>
      <w:r w:rsidRPr="00C73365">
        <w:rPr>
          <w:rFonts w:asciiTheme="minorHAnsi" w:hAnsiTheme="minorHAnsi" w:cstheme="minorHAnsi"/>
          <w:lang w:val="fr-FR"/>
        </w:rPr>
        <w:t>a été perçue en 2017.</w:t>
      </w:r>
    </w:p>
    <w:p w14:paraId="3B50DA8F" w14:textId="77777777" w:rsidR="006834D5" w:rsidRPr="00C73365" w:rsidRDefault="006834D5" w:rsidP="004572A0">
      <w:pPr>
        <w:pStyle w:val="Corpsdetexte"/>
        <w:rPr>
          <w:rFonts w:asciiTheme="minorHAnsi" w:hAnsiTheme="minorHAnsi" w:cstheme="minorHAnsi"/>
          <w:lang w:val="fr-FR"/>
        </w:rPr>
      </w:pPr>
      <w:r w:rsidRPr="00C73365">
        <w:rPr>
          <w:rFonts w:asciiTheme="minorHAnsi" w:hAnsiTheme="minorHAnsi" w:cstheme="minorHAnsi"/>
          <w:lang w:val="fr-FR"/>
        </w:rPr>
        <w:t>Les versements</w:t>
      </w:r>
      <w:r w:rsidR="00056331" w:rsidRPr="00C73365">
        <w:rPr>
          <w:rFonts w:asciiTheme="minorHAnsi" w:hAnsiTheme="minorHAnsi" w:cstheme="minorHAnsi"/>
          <w:lang w:val="fr-FR"/>
        </w:rPr>
        <w:t xml:space="preserve"> de ces programmes</w:t>
      </w:r>
      <w:r w:rsidRPr="00C73365">
        <w:rPr>
          <w:rFonts w:asciiTheme="minorHAnsi" w:hAnsiTheme="minorHAnsi" w:cstheme="minorHAnsi"/>
          <w:lang w:val="fr-FR"/>
        </w:rPr>
        <w:t xml:space="preserve"> </w:t>
      </w:r>
      <w:r w:rsidR="00056331" w:rsidRPr="00C73365">
        <w:rPr>
          <w:rFonts w:asciiTheme="minorHAnsi" w:hAnsiTheme="minorHAnsi" w:cstheme="minorHAnsi"/>
          <w:lang w:val="fr-FR"/>
        </w:rPr>
        <w:t>sont</w:t>
      </w:r>
      <w:r w:rsidRPr="00C73365">
        <w:rPr>
          <w:rFonts w:asciiTheme="minorHAnsi" w:hAnsiTheme="minorHAnsi" w:cstheme="minorHAnsi"/>
          <w:lang w:val="fr-FR"/>
        </w:rPr>
        <w:t xml:space="preserve"> effectués à la fin de chaque étape clé et </w:t>
      </w:r>
      <w:r w:rsidR="00056331" w:rsidRPr="00C73365">
        <w:rPr>
          <w:rFonts w:asciiTheme="minorHAnsi" w:hAnsiTheme="minorHAnsi" w:cstheme="minorHAnsi"/>
          <w:lang w:val="fr-FR"/>
        </w:rPr>
        <w:t xml:space="preserve">sont variables en fonction </w:t>
      </w:r>
      <w:r w:rsidRPr="00C73365">
        <w:rPr>
          <w:rFonts w:asciiTheme="minorHAnsi" w:hAnsiTheme="minorHAnsi" w:cstheme="minorHAnsi"/>
          <w:lang w:val="fr-FR"/>
        </w:rPr>
        <w:t>de</w:t>
      </w:r>
      <w:r w:rsidR="00056331" w:rsidRPr="00C73365">
        <w:rPr>
          <w:rFonts w:asciiTheme="minorHAnsi" w:hAnsiTheme="minorHAnsi" w:cstheme="minorHAnsi"/>
          <w:lang w:val="fr-FR"/>
        </w:rPr>
        <w:t>s</w:t>
      </w:r>
      <w:r w:rsidRPr="00C73365">
        <w:rPr>
          <w:rFonts w:asciiTheme="minorHAnsi" w:hAnsiTheme="minorHAnsi" w:cstheme="minorHAnsi"/>
          <w:lang w:val="fr-FR"/>
        </w:rPr>
        <w:t xml:space="preserve"> justificatifs de dépenses</w:t>
      </w:r>
      <w:r w:rsidR="00056331" w:rsidRPr="00C73365">
        <w:rPr>
          <w:rFonts w:asciiTheme="minorHAnsi" w:hAnsiTheme="minorHAnsi" w:cstheme="minorHAnsi"/>
          <w:lang w:val="fr-FR"/>
        </w:rPr>
        <w:t xml:space="preserve"> et livrables scientifiques effectués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056331" w:rsidRPr="00C73365">
        <w:rPr>
          <w:rFonts w:asciiTheme="minorHAnsi" w:hAnsiTheme="minorHAnsi" w:cstheme="minorHAnsi"/>
          <w:lang w:val="fr-FR"/>
        </w:rPr>
        <w:t>L</w:t>
      </w:r>
      <w:r w:rsidRPr="00C73365">
        <w:rPr>
          <w:rFonts w:asciiTheme="minorHAnsi" w:hAnsiTheme="minorHAnsi" w:cstheme="minorHAnsi"/>
          <w:lang w:val="fr-FR"/>
        </w:rPr>
        <w:t xml:space="preserve">e calendrier associé est indiqué </w:t>
      </w:r>
      <w:r w:rsidR="00B7090B" w:rsidRPr="00C73365">
        <w:rPr>
          <w:rFonts w:asciiTheme="minorHAnsi" w:hAnsiTheme="minorHAnsi" w:cstheme="minorHAnsi"/>
          <w:lang w:val="fr-FR"/>
        </w:rPr>
        <w:t xml:space="preserve">ci-dessous </w:t>
      </w:r>
      <w:r w:rsidRPr="00C73365">
        <w:rPr>
          <w:rFonts w:asciiTheme="minorHAnsi" w:hAnsiTheme="minorHAnsi" w:cstheme="minorHAnsi"/>
          <w:lang w:val="fr-FR"/>
        </w:rPr>
        <w:t>à titre indicatif et sera susceptible d’évoluer en fonction de l’avancée des livrables</w:t>
      </w:r>
      <w:r w:rsidR="008B425E" w:rsidRPr="00C73365">
        <w:rPr>
          <w:rFonts w:asciiTheme="minorHAnsi" w:hAnsiTheme="minorHAnsi" w:cstheme="minorHAnsi"/>
          <w:lang w:val="fr-FR"/>
        </w:rPr>
        <w:t>.</w:t>
      </w:r>
    </w:p>
    <w:p w14:paraId="27DD8328" w14:textId="77777777" w:rsidR="008B425E" w:rsidRPr="00C73365" w:rsidRDefault="006B2036" w:rsidP="004572A0">
      <w:pPr>
        <w:pStyle w:val="Corpsdetexte"/>
        <w:rPr>
          <w:rFonts w:asciiTheme="minorHAnsi" w:hAnsiTheme="minorHAnsi" w:cstheme="minorHAnsi"/>
          <w:lang w:val="fr-FR"/>
        </w:rPr>
      </w:pPr>
      <w:r w:rsidRPr="00C73365">
        <w:rPr>
          <w:rFonts w:asciiTheme="minorHAnsi" w:hAnsiTheme="minorHAnsi" w:cstheme="minorHAnsi"/>
          <w:lang w:val="fr-FR"/>
        </w:rPr>
        <w:t>Tableaux récapitulatifs</w:t>
      </w:r>
      <w:r w:rsidR="008B425E" w:rsidRPr="00C73365">
        <w:rPr>
          <w:rFonts w:asciiTheme="minorHAnsi" w:hAnsiTheme="minorHAnsi" w:cstheme="minorHAnsi"/>
          <w:lang w:val="fr-FR"/>
        </w:rPr>
        <w:t xml:space="preserve"> des montants à recevoir </w:t>
      </w:r>
      <w:r w:rsidR="00B7090B" w:rsidRPr="00C73365">
        <w:rPr>
          <w:rFonts w:asciiTheme="minorHAnsi" w:hAnsiTheme="minorHAnsi" w:cstheme="minorHAnsi"/>
          <w:lang w:val="fr-FR"/>
        </w:rPr>
        <w:t xml:space="preserve">à titre indicatif </w:t>
      </w:r>
      <w:r w:rsidR="008B425E" w:rsidRPr="00C73365">
        <w:rPr>
          <w:rFonts w:asciiTheme="minorHAnsi" w:hAnsiTheme="minorHAnsi" w:cstheme="minorHAnsi"/>
          <w:lang w:val="fr-FR"/>
        </w:rPr>
        <w:t>(détail au chapitre</w:t>
      </w:r>
      <w:r w:rsidR="00470BB2" w:rsidRPr="00C73365">
        <w:rPr>
          <w:rFonts w:asciiTheme="minorHAnsi" w:hAnsiTheme="minorHAnsi" w:cstheme="minorHAnsi"/>
          <w:lang w:val="fr-FR"/>
        </w:rPr>
        <w:t xml:space="preserve"> </w:t>
      </w:r>
      <w:r w:rsidR="008B425E" w:rsidRPr="00C73365">
        <w:rPr>
          <w:rFonts w:asciiTheme="minorHAnsi" w:hAnsiTheme="minorHAnsi" w:cstheme="minorHAnsi"/>
          <w:lang w:val="fr-FR"/>
        </w:rPr>
        <w:t xml:space="preserve">22.4 Contrat d’aide </w:t>
      </w:r>
      <w:r w:rsidR="001479F8">
        <w:rPr>
          <w:rFonts w:asciiTheme="minorHAnsi" w:hAnsiTheme="minorHAnsi" w:cstheme="minorHAnsi"/>
          <w:lang w:val="fr-FR"/>
        </w:rPr>
        <w:t>Bpifrance</w:t>
      </w:r>
      <w:r w:rsidR="008B425E" w:rsidRPr="00C73365">
        <w:rPr>
          <w:rFonts w:asciiTheme="minorHAnsi" w:hAnsiTheme="minorHAnsi" w:cstheme="minorHAnsi"/>
          <w:lang w:val="fr-FR"/>
        </w:rPr>
        <w:t xml:space="preserve"> (subventions et avances remboursables)</w:t>
      </w:r>
    </w:p>
    <w:p w14:paraId="77FD5BE3" w14:textId="77777777" w:rsidR="00056331" w:rsidRPr="00C73365" w:rsidRDefault="006B2036" w:rsidP="004572A0">
      <w:pPr>
        <w:pStyle w:val="Corpsdetexte"/>
        <w:rPr>
          <w:rFonts w:asciiTheme="minorHAnsi" w:hAnsiTheme="minorHAnsi" w:cstheme="minorHAnsi"/>
          <w:lang w:val="fr-FR"/>
        </w:rPr>
      </w:pPr>
      <w:r w:rsidRPr="00C73365">
        <w:rPr>
          <w:rFonts w:asciiTheme="minorHAnsi" w:hAnsiTheme="minorHAnsi" w:cstheme="minorHAnsi"/>
          <w:lang w:val="fr-FR"/>
        </w:rPr>
        <w:t>*Montants estimés</w:t>
      </w:r>
      <w:r w:rsidR="00E74348" w:rsidRPr="00C73365">
        <w:rPr>
          <w:rFonts w:asciiTheme="minorHAnsi" w:hAnsiTheme="minorHAnsi" w:cstheme="minorHAnsi"/>
          <w:lang w:val="fr-FR"/>
        </w:rPr>
        <w:t>, au 31 03 2018, voir détails au chapitres 22.4</w:t>
      </w:r>
    </w:p>
    <w:tbl>
      <w:tblPr>
        <w:tblW w:w="9494" w:type="dxa"/>
        <w:tblLook w:val="04A0" w:firstRow="1" w:lastRow="0" w:firstColumn="1" w:lastColumn="0" w:noHBand="0" w:noVBand="1"/>
      </w:tblPr>
      <w:tblGrid>
        <w:gridCol w:w="2791"/>
        <w:gridCol w:w="1908"/>
        <w:gridCol w:w="753"/>
        <w:gridCol w:w="753"/>
        <w:gridCol w:w="753"/>
        <w:gridCol w:w="753"/>
        <w:gridCol w:w="753"/>
        <w:gridCol w:w="231"/>
        <w:gridCol w:w="799"/>
      </w:tblGrid>
      <w:tr w:rsidR="00B7090B" w:rsidRPr="00C73365" w14:paraId="0E488BCE" w14:textId="77777777" w:rsidTr="006A05A6">
        <w:trPr>
          <w:trHeight w:val="315"/>
        </w:trPr>
        <w:tc>
          <w:tcPr>
            <w:tcW w:w="2791" w:type="dxa"/>
            <w:tcBorders>
              <w:top w:val="single" w:sz="12" w:space="0" w:color="7030A0"/>
              <w:left w:val="nil"/>
              <w:bottom w:val="nil"/>
              <w:right w:val="nil"/>
            </w:tcBorders>
            <w:shd w:val="clear" w:color="auto" w:fill="auto"/>
            <w:vAlign w:val="center"/>
            <w:hideMark/>
          </w:tcPr>
          <w:p w14:paraId="4DBB02CF" w14:textId="77777777" w:rsidR="00B7090B" w:rsidRPr="00C73365" w:rsidRDefault="00B7090B" w:rsidP="00B7090B">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 31 décembre 2017</w:t>
            </w:r>
          </w:p>
        </w:tc>
        <w:tc>
          <w:tcPr>
            <w:tcW w:w="1908" w:type="dxa"/>
            <w:tcBorders>
              <w:top w:val="single" w:sz="12" w:space="0" w:color="7030A0"/>
              <w:left w:val="nil"/>
              <w:bottom w:val="nil"/>
              <w:right w:val="nil"/>
            </w:tcBorders>
            <w:shd w:val="clear" w:color="auto" w:fill="auto"/>
            <w:vAlign w:val="center"/>
            <w:hideMark/>
          </w:tcPr>
          <w:p w14:paraId="1A67960B"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Solde au 31 décembre 2017</w:t>
            </w:r>
          </w:p>
        </w:tc>
        <w:tc>
          <w:tcPr>
            <w:tcW w:w="753" w:type="dxa"/>
            <w:tcBorders>
              <w:top w:val="single" w:sz="12" w:space="0" w:color="7030A0"/>
              <w:left w:val="nil"/>
              <w:bottom w:val="nil"/>
              <w:right w:val="nil"/>
            </w:tcBorders>
            <w:shd w:val="clear" w:color="auto" w:fill="auto"/>
            <w:vAlign w:val="center"/>
            <w:hideMark/>
          </w:tcPr>
          <w:p w14:paraId="12F3EB7B"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2018*</w:t>
            </w:r>
          </w:p>
        </w:tc>
        <w:tc>
          <w:tcPr>
            <w:tcW w:w="753" w:type="dxa"/>
            <w:tcBorders>
              <w:top w:val="single" w:sz="12" w:space="0" w:color="7030A0"/>
              <w:left w:val="nil"/>
              <w:bottom w:val="nil"/>
              <w:right w:val="nil"/>
            </w:tcBorders>
            <w:shd w:val="clear" w:color="auto" w:fill="auto"/>
            <w:vAlign w:val="center"/>
            <w:hideMark/>
          </w:tcPr>
          <w:p w14:paraId="329D8C1A"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2019*</w:t>
            </w:r>
          </w:p>
        </w:tc>
        <w:tc>
          <w:tcPr>
            <w:tcW w:w="753" w:type="dxa"/>
            <w:tcBorders>
              <w:top w:val="single" w:sz="12" w:space="0" w:color="7030A0"/>
              <w:left w:val="nil"/>
              <w:bottom w:val="nil"/>
              <w:right w:val="nil"/>
            </w:tcBorders>
            <w:shd w:val="clear" w:color="auto" w:fill="auto"/>
            <w:vAlign w:val="center"/>
            <w:hideMark/>
          </w:tcPr>
          <w:p w14:paraId="611480AF"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2020*</w:t>
            </w:r>
          </w:p>
        </w:tc>
        <w:tc>
          <w:tcPr>
            <w:tcW w:w="753" w:type="dxa"/>
            <w:tcBorders>
              <w:top w:val="single" w:sz="12" w:space="0" w:color="7030A0"/>
              <w:left w:val="nil"/>
              <w:bottom w:val="nil"/>
              <w:right w:val="nil"/>
            </w:tcBorders>
            <w:shd w:val="clear" w:color="auto" w:fill="auto"/>
            <w:vAlign w:val="center"/>
            <w:hideMark/>
          </w:tcPr>
          <w:p w14:paraId="6A999F1A"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2021*</w:t>
            </w:r>
          </w:p>
        </w:tc>
        <w:tc>
          <w:tcPr>
            <w:tcW w:w="753" w:type="dxa"/>
            <w:tcBorders>
              <w:top w:val="single" w:sz="12" w:space="0" w:color="7030A0"/>
              <w:left w:val="nil"/>
              <w:bottom w:val="nil"/>
              <w:right w:val="nil"/>
            </w:tcBorders>
            <w:shd w:val="clear" w:color="auto" w:fill="auto"/>
            <w:vAlign w:val="center"/>
            <w:hideMark/>
          </w:tcPr>
          <w:p w14:paraId="22798702"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2022*</w:t>
            </w:r>
          </w:p>
        </w:tc>
        <w:tc>
          <w:tcPr>
            <w:tcW w:w="231" w:type="dxa"/>
            <w:tcBorders>
              <w:top w:val="nil"/>
              <w:left w:val="nil"/>
              <w:bottom w:val="nil"/>
              <w:right w:val="nil"/>
            </w:tcBorders>
            <w:shd w:val="clear" w:color="auto" w:fill="auto"/>
            <w:noWrap/>
            <w:vAlign w:val="center"/>
            <w:hideMark/>
          </w:tcPr>
          <w:p w14:paraId="2B3D140C" w14:textId="77777777" w:rsidR="00B7090B" w:rsidRPr="00C73365" w:rsidRDefault="00B7090B" w:rsidP="00B7090B">
            <w:pPr>
              <w:spacing w:after="0"/>
              <w:jc w:val="center"/>
              <w:rPr>
                <w:rFonts w:asciiTheme="minorHAnsi" w:hAnsiTheme="minorHAnsi" w:cstheme="minorHAnsi"/>
                <w:b/>
                <w:bCs/>
                <w:color w:val="000000"/>
                <w:szCs w:val="20"/>
              </w:rPr>
            </w:pPr>
          </w:p>
        </w:tc>
        <w:tc>
          <w:tcPr>
            <w:tcW w:w="799" w:type="dxa"/>
            <w:tcBorders>
              <w:top w:val="single" w:sz="12" w:space="0" w:color="7030A0"/>
              <w:left w:val="nil"/>
              <w:bottom w:val="nil"/>
              <w:right w:val="nil"/>
            </w:tcBorders>
            <w:shd w:val="clear" w:color="auto" w:fill="auto"/>
            <w:vAlign w:val="center"/>
            <w:hideMark/>
          </w:tcPr>
          <w:p w14:paraId="6136CC4D"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B7090B" w:rsidRPr="00C73365" w14:paraId="2A8B76DF" w14:textId="77777777" w:rsidTr="006A05A6">
        <w:trPr>
          <w:trHeight w:val="315"/>
        </w:trPr>
        <w:tc>
          <w:tcPr>
            <w:tcW w:w="2791" w:type="dxa"/>
            <w:tcBorders>
              <w:top w:val="nil"/>
              <w:left w:val="nil"/>
              <w:bottom w:val="single" w:sz="8" w:space="0" w:color="7030A0"/>
              <w:right w:val="nil"/>
            </w:tcBorders>
            <w:shd w:val="clear" w:color="auto" w:fill="auto"/>
            <w:vAlign w:val="center"/>
            <w:hideMark/>
          </w:tcPr>
          <w:p w14:paraId="10280B8C" w14:textId="77777777" w:rsidR="00B7090B" w:rsidRPr="00C73365" w:rsidRDefault="00B7090B" w:rsidP="00B7090B">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908" w:type="dxa"/>
            <w:tcBorders>
              <w:top w:val="nil"/>
              <w:left w:val="nil"/>
              <w:bottom w:val="single" w:sz="8" w:space="0" w:color="7030A0"/>
              <w:right w:val="nil"/>
            </w:tcBorders>
            <w:shd w:val="clear" w:color="auto" w:fill="auto"/>
            <w:vAlign w:val="center"/>
            <w:hideMark/>
          </w:tcPr>
          <w:p w14:paraId="6B4FA5B1"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14:paraId="69945B1A"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14:paraId="7B77F28C"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14:paraId="43A0D999"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14:paraId="0CC89C6D"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14:paraId="0725ACE9"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231" w:type="dxa"/>
            <w:tcBorders>
              <w:top w:val="nil"/>
              <w:left w:val="nil"/>
              <w:bottom w:val="nil"/>
              <w:right w:val="nil"/>
            </w:tcBorders>
            <w:shd w:val="clear" w:color="auto" w:fill="auto"/>
            <w:noWrap/>
            <w:vAlign w:val="center"/>
            <w:hideMark/>
          </w:tcPr>
          <w:p w14:paraId="4B6719AC" w14:textId="77777777" w:rsidR="00B7090B" w:rsidRPr="00C73365" w:rsidRDefault="00B7090B" w:rsidP="00B7090B">
            <w:pPr>
              <w:spacing w:after="0"/>
              <w:jc w:val="center"/>
              <w:rPr>
                <w:rFonts w:asciiTheme="minorHAnsi" w:hAnsiTheme="minorHAnsi" w:cstheme="minorHAnsi"/>
                <w:b/>
                <w:bCs/>
                <w:color w:val="000000"/>
                <w:szCs w:val="20"/>
              </w:rPr>
            </w:pPr>
          </w:p>
        </w:tc>
        <w:tc>
          <w:tcPr>
            <w:tcW w:w="799" w:type="dxa"/>
            <w:tcBorders>
              <w:top w:val="nil"/>
              <w:left w:val="nil"/>
              <w:bottom w:val="single" w:sz="8" w:space="0" w:color="7030A0"/>
              <w:right w:val="nil"/>
            </w:tcBorders>
            <w:shd w:val="clear" w:color="auto" w:fill="auto"/>
            <w:vAlign w:val="center"/>
            <w:hideMark/>
          </w:tcPr>
          <w:p w14:paraId="4D50A9B6" w14:textId="77777777"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B7090B" w:rsidRPr="00C73365" w14:paraId="09D6E50B" w14:textId="77777777" w:rsidTr="006A05A6">
        <w:trPr>
          <w:trHeight w:val="300"/>
        </w:trPr>
        <w:tc>
          <w:tcPr>
            <w:tcW w:w="2791" w:type="dxa"/>
            <w:tcBorders>
              <w:top w:val="nil"/>
              <w:left w:val="nil"/>
              <w:bottom w:val="nil"/>
              <w:right w:val="nil"/>
            </w:tcBorders>
            <w:shd w:val="clear" w:color="auto" w:fill="auto"/>
            <w:vAlign w:val="center"/>
            <w:hideMark/>
          </w:tcPr>
          <w:p w14:paraId="435C14FD" w14:textId="77777777"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r w:rsidRPr="00C73365">
              <w:rPr>
                <w:rFonts w:asciiTheme="minorHAnsi" w:hAnsiTheme="minorHAnsi" w:cstheme="minorHAnsi"/>
                <w:color w:val="7030A0"/>
                <w:szCs w:val="20"/>
                <w:lang w:val="fr-FR"/>
              </w:rPr>
              <w:t>*</w:t>
            </w:r>
          </w:p>
        </w:tc>
        <w:tc>
          <w:tcPr>
            <w:tcW w:w="1908" w:type="dxa"/>
            <w:tcBorders>
              <w:top w:val="nil"/>
              <w:left w:val="nil"/>
              <w:bottom w:val="nil"/>
              <w:right w:val="nil"/>
            </w:tcBorders>
            <w:shd w:val="clear" w:color="auto" w:fill="auto"/>
            <w:vAlign w:val="center"/>
            <w:hideMark/>
          </w:tcPr>
          <w:p w14:paraId="3E9E0ECB"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753" w:type="dxa"/>
            <w:tcBorders>
              <w:top w:val="nil"/>
              <w:left w:val="nil"/>
              <w:bottom w:val="nil"/>
              <w:right w:val="nil"/>
            </w:tcBorders>
            <w:shd w:val="clear" w:color="auto" w:fill="auto"/>
            <w:vAlign w:val="center"/>
            <w:hideMark/>
          </w:tcPr>
          <w:p w14:paraId="50AA5644"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753" w:type="dxa"/>
            <w:tcBorders>
              <w:top w:val="nil"/>
              <w:left w:val="nil"/>
              <w:bottom w:val="nil"/>
              <w:right w:val="nil"/>
            </w:tcBorders>
            <w:shd w:val="clear" w:color="auto" w:fill="auto"/>
            <w:vAlign w:val="center"/>
            <w:hideMark/>
          </w:tcPr>
          <w:p w14:paraId="31BC4459" w14:textId="77777777" w:rsidR="00B7090B" w:rsidRPr="00C73365" w:rsidRDefault="00B7090B" w:rsidP="00B7090B">
            <w:pPr>
              <w:spacing w:after="0"/>
              <w:jc w:val="center"/>
              <w:rPr>
                <w:rFonts w:asciiTheme="minorHAnsi" w:hAnsiTheme="minorHAnsi" w:cstheme="minorHAnsi"/>
                <w:color w:val="000000"/>
                <w:szCs w:val="20"/>
              </w:rPr>
            </w:pPr>
          </w:p>
        </w:tc>
        <w:tc>
          <w:tcPr>
            <w:tcW w:w="753" w:type="dxa"/>
            <w:tcBorders>
              <w:top w:val="nil"/>
              <w:left w:val="nil"/>
              <w:bottom w:val="nil"/>
              <w:right w:val="nil"/>
            </w:tcBorders>
            <w:shd w:val="clear" w:color="auto" w:fill="auto"/>
            <w:vAlign w:val="center"/>
            <w:hideMark/>
          </w:tcPr>
          <w:p w14:paraId="1E96D56A" w14:textId="77777777" w:rsidR="00B7090B" w:rsidRPr="00C73365" w:rsidRDefault="00B7090B" w:rsidP="00B7090B">
            <w:pPr>
              <w:spacing w:after="0"/>
              <w:jc w:val="center"/>
              <w:rPr>
                <w:rFonts w:asciiTheme="minorHAnsi" w:hAnsiTheme="minorHAnsi" w:cstheme="minorHAnsi"/>
                <w:szCs w:val="20"/>
              </w:rPr>
            </w:pPr>
          </w:p>
        </w:tc>
        <w:tc>
          <w:tcPr>
            <w:tcW w:w="753" w:type="dxa"/>
            <w:tcBorders>
              <w:top w:val="nil"/>
              <w:left w:val="nil"/>
              <w:bottom w:val="nil"/>
              <w:right w:val="nil"/>
            </w:tcBorders>
            <w:shd w:val="clear" w:color="auto" w:fill="auto"/>
            <w:vAlign w:val="center"/>
            <w:hideMark/>
          </w:tcPr>
          <w:p w14:paraId="1B85F723" w14:textId="77777777" w:rsidR="00B7090B" w:rsidRPr="00C73365" w:rsidRDefault="00B7090B" w:rsidP="00B7090B">
            <w:pPr>
              <w:spacing w:after="0"/>
              <w:jc w:val="center"/>
              <w:rPr>
                <w:rFonts w:asciiTheme="minorHAnsi" w:hAnsiTheme="minorHAnsi" w:cstheme="minorHAnsi"/>
                <w:szCs w:val="20"/>
              </w:rPr>
            </w:pPr>
          </w:p>
        </w:tc>
        <w:tc>
          <w:tcPr>
            <w:tcW w:w="753" w:type="dxa"/>
            <w:tcBorders>
              <w:top w:val="nil"/>
              <w:left w:val="nil"/>
              <w:bottom w:val="nil"/>
              <w:right w:val="nil"/>
            </w:tcBorders>
            <w:shd w:val="clear" w:color="auto" w:fill="auto"/>
            <w:vAlign w:val="center"/>
            <w:hideMark/>
          </w:tcPr>
          <w:p w14:paraId="7D66B2F5" w14:textId="77777777" w:rsidR="00B7090B" w:rsidRPr="00C73365" w:rsidRDefault="00B7090B" w:rsidP="00B7090B">
            <w:pPr>
              <w:spacing w:after="0"/>
              <w:jc w:val="center"/>
              <w:rPr>
                <w:rFonts w:asciiTheme="minorHAnsi" w:hAnsiTheme="minorHAnsi" w:cstheme="minorHAnsi"/>
                <w:szCs w:val="20"/>
              </w:rPr>
            </w:pPr>
          </w:p>
        </w:tc>
        <w:tc>
          <w:tcPr>
            <w:tcW w:w="231" w:type="dxa"/>
            <w:tcBorders>
              <w:top w:val="nil"/>
              <w:left w:val="nil"/>
              <w:bottom w:val="nil"/>
              <w:right w:val="nil"/>
            </w:tcBorders>
            <w:shd w:val="clear" w:color="auto" w:fill="auto"/>
            <w:noWrap/>
            <w:vAlign w:val="center"/>
            <w:hideMark/>
          </w:tcPr>
          <w:p w14:paraId="67EC5883" w14:textId="77777777" w:rsidR="00B7090B" w:rsidRPr="00C73365" w:rsidRDefault="00B7090B" w:rsidP="00B7090B">
            <w:pPr>
              <w:spacing w:after="0"/>
              <w:jc w:val="center"/>
              <w:rPr>
                <w:rFonts w:asciiTheme="minorHAnsi" w:hAnsiTheme="minorHAnsi" w:cstheme="minorHAnsi"/>
                <w:szCs w:val="20"/>
              </w:rPr>
            </w:pPr>
          </w:p>
        </w:tc>
        <w:tc>
          <w:tcPr>
            <w:tcW w:w="799" w:type="dxa"/>
            <w:tcBorders>
              <w:top w:val="nil"/>
              <w:left w:val="nil"/>
              <w:bottom w:val="nil"/>
              <w:right w:val="nil"/>
            </w:tcBorders>
            <w:shd w:val="clear" w:color="auto" w:fill="auto"/>
            <w:vAlign w:val="center"/>
            <w:hideMark/>
          </w:tcPr>
          <w:p w14:paraId="710C8F00" w14:textId="77777777" w:rsidR="00B7090B" w:rsidRPr="00C73365" w:rsidRDefault="00B7090B"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1 397</w:t>
            </w:r>
          </w:p>
        </w:tc>
      </w:tr>
      <w:tr w:rsidR="00B7090B" w:rsidRPr="00C73365" w14:paraId="5EF4AA2D" w14:textId="77777777" w:rsidTr="006A05A6">
        <w:trPr>
          <w:trHeight w:val="315"/>
        </w:trPr>
        <w:tc>
          <w:tcPr>
            <w:tcW w:w="2791" w:type="dxa"/>
            <w:tcBorders>
              <w:top w:val="nil"/>
              <w:left w:val="nil"/>
              <w:bottom w:val="single" w:sz="8" w:space="0" w:color="7030A0"/>
              <w:right w:val="nil"/>
            </w:tcBorders>
            <w:shd w:val="clear" w:color="auto" w:fill="auto"/>
            <w:vAlign w:val="center"/>
            <w:hideMark/>
          </w:tcPr>
          <w:p w14:paraId="141D9C28" w14:textId="77777777"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 Remb)</w:t>
            </w:r>
            <w:r w:rsidRPr="00C73365">
              <w:rPr>
                <w:rFonts w:asciiTheme="minorHAnsi" w:hAnsiTheme="minorHAnsi" w:cstheme="minorHAnsi"/>
                <w:color w:val="7030A0"/>
                <w:szCs w:val="20"/>
                <w:lang w:val="fr-FR"/>
              </w:rPr>
              <w:t>*</w:t>
            </w:r>
          </w:p>
        </w:tc>
        <w:tc>
          <w:tcPr>
            <w:tcW w:w="1908" w:type="dxa"/>
            <w:tcBorders>
              <w:top w:val="nil"/>
              <w:left w:val="nil"/>
              <w:bottom w:val="single" w:sz="8" w:space="0" w:color="7030A0"/>
              <w:right w:val="nil"/>
            </w:tcBorders>
            <w:shd w:val="clear" w:color="auto" w:fill="auto"/>
            <w:vAlign w:val="center"/>
            <w:hideMark/>
          </w:tcPr>
          <w:p w14:paraId="4EFC771B"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753" w:type="dxa"/>
            <w:tcBorders>
              <w:top w:val="nil"/>
              <w:left w:val="nil"/>
              <w:bottom w:val="single" w:sz="8" w:space="0" w:color="7030A0"/>
              <w:right w:val="nil"/>
            </w:tcBorders>
            <w:shd w:val="clear" w:color="auto" w:fill="auto"/>
            <w:vAlign w:val="center"/>
            <w:hideMark/>
          </w:tcPr>
          <w:p w14:paraId="46723913" w14:textId="77777777" w:rsidR="00B7090B" w:rsidRPr="00C73365" w:rsidRDefault="004572A0" w:rsidP="008F376F">
            <w:pPr>
              <w:spacing w:after="0"/>
              <w:rPr>
                <w:rFonts w:asciiTheme="minorHAnsi" w:hAnsiTheme="minorHAnsi" w:cstheme="minorHAnsi"/>
                <w:color w:val="000000"/>
                <w:szCs w:val="20"/>
              </w:rPr>
            </w:pPr>
            <w:r w:rsidRPr="00C73365">
              <w:rPr>
                <w:rFonts w:asciiTheme="minorHAnsi" w:hAnsiTheme="minorHAnsi" w:cstheme="minorHAnsi"/>
                <w:color w:val="000000"/>
                <w:szCs w:val="20"/>
              </w:rPr>
              <w:t>1 643</w:t>
            </w:r>
          </w:p>
        </w:tc>
        <w:tc>
          <w:tcPr>
            <w:tcW w:w="753" w:type="dxa"/>
            <w:tcBorders>
              <w:top w:val="nil"/>
              <w:left w:val="nil"/>
              <w:bottom w:val="single" w:sz="8" w:space="0" w:color="7030A0"/>
              <w:right w:val="nil"/>
            </w:tcBorders>
            <w:shd w:val="clear" w:color="auto" w:fill="auto"/>
            <w:vAlign w:val="center"/>
            <w:hideMark/>
          </w:tcPr>
          <w:p w14:paraId="270467D1" w14:textId="77777777" w:rsidR="00B7090B" w:rsidRPr="00C73365" w:rsidRDefault="00B7090B" w:rsidP="004572A0">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c>
          <w:tcPr>
            <w:tcW w:w="753" w:type="dxa"/>
            <w:tcBorders>
              <w:top w:val="nil"/>
              <w:left w:val="nil"/>
              <w:bottom w:val="single" w:sz="8" w:space="0" w:color="7030A0"/>
              <w:right w:val="nil"/>
            </w:tcBorders>
            <w:shd w:val="clear" w:color="auto" w:fill="auto"/>
            <w:vAlign w:val="center"/>
            <w:hideMark/>
          </w:tcPr>
          <w:p w14:paraId="6F0F9590" w14:textId="77777777" w:rsidR="00B7090B" w:rsidRPr="00C73365" w:rsidRDefault="00B7090B"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c>
          <w:tcPr>
            <w:tcW w:w="753" w:type="dxa"/>
            <w:tcBorders>
              <w:top w:val="nil"/>
              <w:left w:val="nil"/>
              <w:bottom w:val="single" w:sz="8" w:space="0" w:color="7030A0"/>
              <w:right w:val="nil"/>
            </w:tcBorders>
            <w:shd w:val="clear" w:color="auto" w:fill="auto"/>
            <w:vAlign w:val="center"/>
            <w:hideMark/>
          </w:tcPr>
          <w:p w14:paraId="43E9B0F2"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14:paraId="773602A9"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231" w:type="dxa"/>
            <w:tcBorders>
              <w:top w:val="nil"/>
              <w:left w:val="nil"/>
              <w:bottom w:val="nil"/>
              <w:right w:val="nil"/>
            </w:tcBorders>
            <w:shd w:val="clear" w:color="auto" w:fill="auto"/>
            <w:noWrap/>
            <w:vAlign w:val="center"/>
            <w:hideMark/>
          </w:tcPr>
          <w:p w14:paraId="6E1109EC" w14:textId="77777777"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14:paraId="1EB69EBE" w14:textId="77777777" w:rsidR="00B7090B" w:rsidRPr="00C73365" w:rsidRDefault="00DF7C11" w:rsidP="00B7090B">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3 830</w:t>
            </w:r>
          </w:p>
        </w:tc>
      </w:tr>
      <w:tr w:rsidR="00B7090B" w:rsidRPr="00C73365" w14:paraId="20746C34" w14:textId="77777777" w:rsidTr="006A05A6">
        <w:trPr>
          <w:trHeight w:val="300"/>
        </w:trPr>
        <w:tc>
          <w:tcPr>
            <w:tcW w:w="2791" w:type="dxa"/>
            <w:tcBorders>
              <w:top w:val="nil"/>
              <w:left w:val="nil"/>
              <w:bottom w:val="nil"/>
              <w:right w:val="nil"/>
            </w:tcBorders>
            <w:shd w:val="clear" w:color="auto" w:fill="auto"/>
            <w:vAlign w:val="center"/>
            <w:hideMark/>
          </w:tcPr>
          <w:p w14:paraId="6B31614D" w14:textId="77777777"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PSCPC- RNP Vir (part Subventions)</w:t>
            </w:r>
            <w:r w:rsidRPr="00C73365">
              <w:rPr>
                <w:rFonts w:asciiTheme="minorHAnsi" w:hAnsiTheme="minorHAnsi" w:cstheme="minorHAnsi"/>
                <w:color w:val="7030A0"/>
                <w:szCs w:val="20"/>
                <w:lang w:val="fr-FR"/>
              </w:rPr>
              <w:t>*</w:t>
            </w:r>
          </w:p>
        </w:tc>
        <w:tc>
          <w:tcPr>
            <w:tcW w:w="1908" w:type="dxa"/>
            <w:tcBorders>
              <w:top w:val="nil"/>
              <w:left w:val="nil"/>
              <w:bottom w:val="nil"/>
              <w:right w:val="nil"/>
            </w:tcBorders>
            <w:shd w:val="clear" w:color="auto" w:fill="auto"/>
            <w:vAlign w:val="center"/>
            <w:hideMark/>
          </w:tcPr>
          <w:p w14:paraId="606EC8D2"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753" w:type="dxa"/>
            <w:tcBorders>
              <w:top w:val="nil"/>
              <w:left w:val="nil"/>
              <w:bottom w:val="nil"/>
              <w:right w:val="nil"/>
            </w:tcBorders>
            <w:shd w:val="clear" w:color="auto" w:fill="auto"/>
            <w:vAlign w:val="center"/>
            <w:hideMark/>
          </w:tcPr>
          <w:p w14:paraId="151B1841" w14:textId="5C61D6DA" w:rsidR="00B7090B" w:rsidRPr="00C73365" w:rsidRDefault="00900757" w:rsidP="00B7090B">
            <w:pPr>
              <w:spacing w:after="0"/>
              <w:jc w:val="center"/>
              <w:rPr>
                <w:rFonts w:asciiTheme="minorHAnsi" w:hAnsiTheme="minorHAnsi" w:cstheme="minorHAnsi"/>
                <w:color w:val="000000"/>
                <w:szCs w:val="20"/>
              </w:rPr>
            </w:pPr>
            <w:r>
              <w:rPr>
                <w:rFonts w:asciiTheme="minorHAnsi" w:hAnsiTheme="minorHAnsi" w:cstheme="minorHAnsi"/>
                <w:color w:val="000000"/>
                <w:szCs w:val="20"/>
              </w:rPr>
              <w:t>309</w:t>
            </w:r>
          </w:p>
        </w:tc>
        <w:tc>
          <w:tcPr>
            <w:tcW w:w="753" w:type="dxa"/>
            <w:tcBorders>
              <w:top w:val="nil"/>
              <w:left w:val="nil"/>
              <w:bottom w:val="nil"/>
              <w:right w:val="nil"/>
            </w:tcBorders>
            <w:shd w:val="clear" w:color="auto" w:fill="auto"/>
            <w:vAlign w:val="center"/>
            <w:hideMark/>
          </w:tcPr>
          <w:p w14:paraId="4B7E21AC" w14:textId="3D18621D" w:rsidR="00B7090B" w:rsidRPr="00C73365" w:rsidRDefault="008F376F"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r w:rsidR="00900757">
              <w:rPr>
                <w:rFonts w:asciiTheme="minorHAnsi" w:hAnsiTheme="minorHAnsi" w:cstheme="minorHAnsi"/>
                <w:color w:val="000000"/>
                <w:szCs w:val="20"/>
              </w:rPr>
              <w:t>28</w:t>
            </w:r>
          </w:p>
        </w:tc>
        <w:tc>
          <w:tcPr>
            <w:tcW w:w="753" w:type="dxa"/>
            <w:tcBorders>
              <w:top w:val="nil"/>
              <w:left w:val="nil"/>
              <w:bottom w:val="nil"/>
              <w:right w:val="nil"/>
            </w:tcBorders>
            <w:shd w:val="clear" w:color="auto" w:fill="auto"/>
            <w:vAlign w:val="center"/>
            <w:hideMark/>
          </w:tcPr>
          <w:p w14:paraId="40DE95D5"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414</w:t>
            </w:r>
          </w:p>
        </w:tc>
        <w:tc>
          <w:tcPr>
            <w:tcW w:w="753" w:type="dxa"/>
            <w:tcBorders>
              <w:top w:val="nil"/>
              <w:left w:val="nil"/>
              <w:bottom w:val="nil"/>
              <w:right w:val="nil"/>
            </w:tcBorders>
            <w:shd w:val="clear" w:color="auto" w:fill="auto"/>
            <w:vAlign w:val="center"/>
            <w:hideMark/>
          </w:tcPr>
          <w:p w14:paraId="3626D7C2"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96</w:t>
            </w:r>
          </w:p>
        </w:tc>
        <w:tc>
          <w:tcPr>
            <w:tcW w:w="753" w:type="dxa"/>
            <w:tcBorders>
              <w:top w:val="nil"/>
              <w:left w:val="nil"/>
              <w:bottom w:val="nil"/>
              <w:right w:val="nil"/>
            </w:tcBorders>
            <w:shd w:val="clear" w:color="auto" w:fill="auto"/>
            <w:vAlign w:val="center"/>
            <w:hideMark/>
          </w:tcPr>
          <w:p w14:paraId="0B2FFCFB"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318</w:t>
            </w:r>
          </w:p>
        </w:tc>
        <w:tc>
          <w:tcPr>
            <w:tcW w:w="231" w:type="dxa"/>
            <w:tcBorders>
              <w:top w:val="nil"/>
              <w:left w:val="nil"/>
              <w:bottom w:val="nil"/>
              <w:right w:val="nil"/>
            </w:tcBorders>
            <w:shd w:val="clear" w:color="auto" w:fill="auto"/>
            <w:noWrap/>
            <w:vAlign w:val="center"/>
            <w:hideMark/>
          </w:tcPr>
          <w:p w14:paraId="4B08D1F2" w14:textId="77777777"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nil"/>
              <w:right w:val="nil"/>
            </w:tcBorders>
            <w:shd w:val="clear" w:color="auto" w:fill="auto"/>
            <w:vAlign w:val="center"/>
            <w:hideMark/>
          </w:tcPr>
          <w:p w14:paraId="2C6B0390" w14:textId="2BEF93C1" w:rsidR="00B7090B" w:rsidRPr="00C73365" w:rsidRDefault="00FB7E16" w:rsidP="00B7090B">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2 112</w:t>
            </w:r>
          </w:p>
        </w:tc>
      </w:tr>
      <w:tr w:rsidR="00B7090B" w:rsidRPr="00C73365" w14:paraId="7E4D229F" w14:textId="77777777" w:rsidTr="006A05A6">
        <w:trPr>
          <w:trHeight w:val="315"/>
        </w:trPr>
        <w:tc>
          <w:tcPr>
            <w:tcW w:w="2791" w:type="dxa"/>
            <w:tcBorders>
              <w:top w:val="nil"/>
              <w:left w:val="nil"/>
              <w:bottom w:val="single" w:sz="8" w:space="0" w:color="7030A0"/>
              <w:right w:val="nil"/>
            </w:tcBorders>
            <w:shd w:val="clear" w:color="auto" w:fill="auto"/>
            <w:vAlign w:val="center"/>
            <w:hideMark/>
          </w:tcPr>
          <w:p w14:paraId="2D67C5E8" w14:textId="77777777"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PSPC- RNP Vir (part Av Remb)</w:t>
            </w:r>
            <w:r w:rsidRPr="00C73365">
              <w:rPr>
                <w:rFonts w:asciiTheme="minorHAnsi" w:hAnsiTheme="minorHAnsi" w:cstheme="minorHAnsi"/>
                <w:color w:val="7030A0"/>
                <w:szCs w:val="20"/>
                <w:lang w:val="fr-FR"/>
              </w:rPr>
              <w:t>*</w:t>
            </w:r>
          </w:p>
        </w:tc>
        <w:tc>
          <w:tcPr>
            <w:tcW w:w="1908" w:type="dxa"/>
            <w:tcBorders>
              <w:top w:val="nil"/>
              <w:left w:val="nil"/>
              <w:bottom w:val="single" w:sz="8" w:space="0" w:color="7030A0"/>
              <w:right w:val="nil"/>
            </w:tcBorders>
            <w:shd w:val="clear" w:color="auto" w:fill="auto"/>
            <w:vAlign w:val="center"/>
            <w:hideMark/>
          </w:tcPr>
          <w:p w14:paraId="012025E9"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753" w:type="dxa"/>
            <w:tcBorders>
              <w:top w:val="nil"/>
              <w:left w:val="nil"/>
              <w:bottom w:val="single" w:sz="8" w:space="0" w:color="7030A0"/>
              <w:right w:val="nil"/>
            </w:tcBorders>
            <w:shd w:val="clear" w:color="auto" w:fill="auto"/>
            <w:vAlign w:val="center"/>
            <w:hideMark/>
          </w:tcPr>
          <w:p w14:paraId="495AF9D7" w14:textId="4DDBB676" w:rsidR="00B7090B" w:rsidRPr="00C73365" w:rsidRDefault="00900757" w:rsidP="00B7090B">
            <w:pPr>
              <w:spacing w:after="0"/>
              <w:jc w:val="center"/>
              <w:rPr>
                <w:rFonts w:asciiTheme="minorHAnsi" w:hAnsiTheme="minorHAnsi" w:cstheme="minorHAnsi"/>
                <w:color w:val="000000"/>
                <w:szCs w:val="20"/>
              </w:rPr>
            </w:pPr>
            <w:r>
              <w:rPr>
                <w:rFonts w:asciiTheme="minorHAnsi" w:hAnsiTheme="minorHAnsi" w:cstheme="minorHAnsi"/>
                <w:color w:val="000000"/>
                <w:szCs w:val="20"/>
              </w:rPr>
              <w:t>979</w:t>
            </w:r>
          </w:p>
        </w:tc>
        <w:tc>
          <w:tcPr>
            <w:tcW w:w="753" w:type="dxa"/>
            <w:tcBorders>
              <w:top w:val="nil"/>
              <w:left w:val="nil"/>
              <w:bottom w:val="single" w:sz="8" w:space="0" w:color="7030A0"/>
              <w:right w:val="nil"/>
            </w:tcBorders>
            <w:shd w:val="clear" w:color="auto" w:fill="auto"/>
            <w:vAlign w:val="center"/>
          </w:tcPr>
          <w:p w14:paraId="422F8EAA" w14:textId="73D5109F" w:rsidR="00B7090B" w:rsidRPr="00C73365" w:rsidRDefault="008F376F"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sidR="00900757">
              <w:rPr>
                <w:rFonts w:asciiTheme="minorHAnsi" w:hAnsiTheme="minorHAnsi" w:cstheme="minorHAnsi"/>
                <w:color w:val="000000"/>
                <w:szCs w:val="20"/>
              </w:rPr>
              <w:t>297</w:t>
            </w:r>
          </w:p>
        </w:tc>
        <w:tc>
          <w:tcPr>
            <w:tcW w:w="753" w:type="dxa"/>
            <w:tcBorders>
              <w:top w:val="nil"/>
              <w:left w:val="nil"/>
              <w:bottom w:val="single" w:sz="8" w:space="0" w:color="7030A0"/>
              <w:right w:val="nil"/>
            </w:tcBorders>
            <w:shd w:val="clear" w:color="auto" w:fill="auto"/>
            <w:vAlign w:val="center"/>
            <w:hideMark/>
          </w:tcPr>
          <w:p w14:paraId="3580E1BB"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1 154</w:t>
            </w:r>
          </w:p>
        </w:tc>
        <w:tc>
          <w:tcPr>
            <w:tcW w:w="753" w:type="dxa"/>
            <w:tcBorders>
              <w:top w:val="nil"/>
              <w:left w:val="nil"/>
              <w:bottom w:val="single" w:sz="8" w:space="0" w:color="7030A0"/>
              <w:right w:val="nil"/>
            </w:tcBorders>
            <w:shd w:val="clear" w:color="auto" w:fill="auto"/>
            <w:vAlign w:val="center"/>
            <w:hideMark/>
          </w:tcPr>
          <w:p w14:paraId="2C6091D6"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167</w:t>
            </w:r>
          </w:p>
        </w:tc>
        <w:tc>
          <w:tcPr>
            <w:tcW w:w="753" w:type="dxa"/>
            <w:tcBorders>
              <w:top w:val="nil"/>
              <w:left w:val="nil"/>
              <w:bottom w:val="single" w:sz="8" w:space="0" w:color="7030A0"/>
              <w:right w:val="nil"/>
            </w:tcBorders>
            <w:shd w:val="clear" w:color="auto" w:fill="auto"/>
            <w:vAlign w:val="center"/>
            <w:hideMark/>
          </w:tcPr>
          <w:p w14:paraId="0FC77C7D"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945</w:t>
            </w:r>
          </w:p>
        </w:tc>
        <w:tc>
          <w:tcPr>
            <w:tcW w:w="231" w:type="dxa"/>
            <w:tcBorders>
              <w:top w:val="nil"/>
              <w:left w:val="nil"/>
              <w:bottom w:val="nil"/>
              <w:right w:val="nil"/>
            </w:tcBorders>
            <w:shd w:val="clear" w:color="auto" w:fill="auto"/>
            <w:noWrap/>
            <w:vAlign w:val="center"/>
            <w:hideMark/>
          </w:tcPr>
          <w:p w14:paraId="72FF6E4C" w14:textId="77777777"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14:paraId="4C373DDD" w14:textId="17753E8A" w:rsidR="00B7090B" w:rsidRPr="00C73365" w:rsidRDefault="008F376F"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6 2</w:t>
            </w:r>
            <w:r w:rsidR="00900757">
              <w:rPr>
                <w:rFonts w:asciiTheme="minorHAnsi" w:hAnsiTheme="minorHAnsi" w:cstheme="minorHAnsi"/>
                <w:color w:val="000000"/>
                <w:sz w:val="22"/>
                <w:szCs w:val="22"/>
              </w:rPr>
              <w:t>9</w:t>
            </w:r>
            <w:r w:rsidR="00FB7E16">
              <w:rPr>
                <w:rFonts w:asciiTheme="minorHAnsi" w:hAnsiTheme="minorHAnsi" w:cstheme="minorHAnsi"/>
                <w:color w:val="000000"/>
                <w:sz w:val="22"/>
                <w:szCs w:val="22"/>
              </w:rPr>
              <w:t>8</w:t>
            </w:r>
          </w:p>
        </w:tc>
      </w:tr>
      <w:tr w:rsidR="00B7090B" w:rsidRPr="00C73365" w14:paraId="7783ADAD" w14:textId="77777777" w:rsidTr="006A05A6">
        <w:trPr>
          <w:trHeight w:val="526"/>
        </w:trPr>
        <w:tc>
          <w:tcPr>
            <w:tcW w:w="2791" w:type="dxa"/>
            <w:tcBorders>
              <w:top w:val="nil"/>
              <w:left w:val="nil"/>
              <w:bottom w:val="single" w:sz="8" w:space="0" w:color="7030A0"/>
              <w:right w:val="nil"/>
            </w:tcBorders>
            <w:shd w:val="clear" w:color="auto" w:fill="auto"/>
            <w:vAlign w:val="center"/>
            <w:hideMark/>
          </w:tcPr>
          <w:p w14:paraId="703617B5" w14:textId="77777777"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pour Ebola</w:t>
            </w:r>
          </w:p>
        </w:tc>
        <w:tc>
          <w:tcPr>
            <w:tcW w:w="1908" w:type="dxa"/>
            <w:tcBorders>
              <w:top w:val="nil"/>
              <w:left w:val="nil"/>
              <w:bottom w:val="single" w:sz="8" w:space="0" w:color="7030A0"/>
              <w:right w:val="nil"/>
            </w:tcBorders>
            <w:shd w:val="clear" w:color="auto" w:fill="auto"/>
            <w:vAlign w:val="center"/>
            <w:hideMark/>
          </w:tcPr>
          <w:p w14:paraId="663874F6"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53" w:type="dxa"/>
            <w:tcBorders>
              <w:top w:val="nil"/>
              <w:left w:val="nil"/>
              <w:bottom w:val="single" w:sz="8" w:space="0" w:color="7030A0"/>
              <w:right w:val="nil"/>
            </w:tcBorders>
            <w:shd w:val="clear" w:color="auto" w:fill="auto"/>
            <w:vAlign w:val="center"/>
            <w:hideMark/>
          </w:tcPr>
          <w:p w14:paraId="1EEBE519"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753" w:type="dxa"/>
            <w:tcBorders>
              <w:top w:val="nil"/>
              <w:left w:val="nil"/>
              <w:bottom w:val="single" w:sz="8" w:space="0" w:color="7030A0"/>
              <w:right w:val="nil"/>
            </w:tcBorders>
            <w:shd w:val="clear" w:color="auto" w:fill="auto"/>
            <w:vAlign w:val="center"/>
            <w:hideMark/>
          </w:tcPr>
          <w:p w14:paraId="5AC0C0DA"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14:paraId="2FB3640E"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14:paraId="10124667"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14:paraId="2823A4AD"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231" w:type="dxa"/>
            <w:tcBorders>
              <w:top w:val="nil"/>
              <w:left w:val="nil"/>
              <w:bottom w:val="nil"/>
              <w:right w:val="nil"/>
            </w:tcBorders>
            <w:shd w:val="clear" w:color="auto" w:fill="auto"/>
            <w:noWrap/>
            <w:vAlign w:val="center"/>
            <w:hideMark/>
          </w:tcPr>
          <w:p w14:paraId="7A7150B8" w14:textId="77777777"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14:paraId="683294CF" w14:textId="77777777"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r>
      <w:tr w:rsidR="00B7090B" w:rsidRPr="00C73365" w14:paraId="07CF06D0" w14:textId="77777777" w:rsidTr="006A05A6">
        <w:trPr>
          <w:trHeight w:val="315"/>
        </w:trPr>
        <w:tc>
          <w:tcPr>
            <w:tcW w:w="2791" w:type="dxa"/>
            <w:tcBorders>
              <w:top w:val="nil"/>
              <w:left w:val="nil"/>
              <w:bottom w:val="single" w:sz="8" w:space="0" w:color="7030A0"/>
              <w:right w:val="nil"/>
            </w:tcBorders>
            <w:shd w:val="clear" w:color="auto" w:fill="auto"/>
            <w:vAlign w:val="center"/>
            <w:hideMark/>
          </w:tcPr>
          <w:p w14:paraId="11AAB5F2" w14:textId="77777777" w:rsidR="00B7090B" w:rsidRPr="00C73365" w:rsidRDefault="00B7090B" w:rsidP="00B7090B">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908" w:type="dxa"/>
            <w:tcBorders>
              <w:top w:val="nil"/>
              <w:left w:val="nil"/>
              <w:bottom w:val="single" w:sz="8" w:space="0" w:color="7030A0"/>
              <w:right w:val="nil"/>
            </w:tcBorders>
            <w:shd w:val="clear" w:color="auto" w:fill="auto"/>
            <w:vAlign w:val="center"/>
            <w:hideMark/>
          </w:tcPr>
          <w:p w14:paraId="5D12AE33" w14:textId="77777777" w:rsidR="00B7090B" w:rsidRPr="00C73365" w:rsidRDefault="00B7090B"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5 777</w:t>
            </w:r>
          </w:p>
        </w:tc>
        <w:tc>
          <w:tcPr>
            <w:tcW w:w="753" w:type="dxa"/>
            <w:tcBorders>
              <w:top w:val="nil"/>
              <w:left w:val="nil"/>
              <w:bottom w:val="single" w:sz="8" w:space="0" w:color="7030A0"/>
              <w:right w:val="nil"/>
            </w:tcBorders>
            <w:shd w:val="clear" w:color="auto" w:fill="auto"/>
            <w:vAlign w:val="center"/>
          </w:tcPr>
          <w:p w14:paraId="30B1B797" w14:textId="596F3DE6" w:rsidR="00B7090B" w:rsidRPr="00C73365" w:rsidRDefault="00694421"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 xml:space="preserve">3 </w:t>
            </w:r>
            <w:r w:rsidR="00FB7E16">
              <w:rPr>
                <w:rFonts w:asciiTheme="minorHAnsi" w:hAnsiTheme="minorHAnsi" w:cstheme="minorHAnsi"/>
                <w:b/>
                <w:bCs/>
                <w:color w:val="7030A0"/>
                <w:szCs w:val="20"/>
              </w:rPr>
              <w:t>231</w:t>
            </w:r>
          </w:p>
        </w:tc>
        <w:tc>
          <w:tcPr>
            <w:tcW w:w="753" w:type="dxa"/>
            <w:tcBorders>
              <w:top w:val="nil"/>
              <w:left w:val="nil"/>
              <w:bottom w:val="single" w:sz="8" w:space="0" w:color="7030A0"/>
              <w:right w:val="nil"/>
            </w:tcBorders>
            <w:shd w:val="clear" w:color="auto" w:fill="auto"/>
            <w:vAlign w:val="center"/>
          </w:tcPr>
          <w:p w14:paraId="2CDCE643" w14:textId="7B1EA752" w:rsidR="00B7090B" w:rsidRPr="00C73365" w:rsidRDefault="00FB7E1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1 925</w:t>
            </w:r>
          </w:p>
        </w:tc>
        <w:tc>
          <w:tcPr>
            <w:tcW w:w="753" w:type="dxa"/>
            <w:tcBorders>
              <w:top w:val="nil"/>
              <w:left w:val="nil"/>
              <w:bottom w:val="single" w:sz="8" w:space="0" w:color="7030A0"/>
              <w:right w:val="nil"/>
            </w:tcBorders>
            <w:shd w:val="clear" w:color="auto" w:fill="auto"/>
            <w:vAlign w:val="center"/>
          </w:tcPr>
          <w:p w14:paraId="317A59FA" w14:textId="77777777" w:rsidR="00B7090B" w:rsidRPr="00C73365" w:rsidRDefault="006A05A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1 568</w:t>
            </w:r>
          </w:p>
        </w:tc>
        <w:tc>
          <w:tcPr>
            <w:tcW w:w="753" w:type="dxa"/>
            <w:tcBorders>
              <w:top w:val="nil"/>
              <w:left w:val="nil"/>
              <w:bottom w:val="single" w:sz="8" w:space="0" w:color="7030A0"/>
              <w:right w:val="nil"/>
            </w:tcBorders>
            <w:shd w:val="clear" w:color="auto" w:fill="auto"/>
            <w:vAlign w:val="center"/>
          </w:tcPr>
          <w:p w14:paraId="3DDAAA28" w14:textId="77777777" w:rsidR="00B7090B" w:rsidRPr="00C73365" w:rsidRDefault="0056443F"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263</w:t>
            </w:r>
          </w:p>
        </w:tc>
        <w:tc>
          <w:tcPr>
            <w:tcW w:w="753" w:type="dxa"/>
            <w:tcBorders>
              <w:top w:val="nil"/>
              <w:left w:val="nil"/>
              <w:bottom w:val="single" w:sz="8" w:space="0" w:color="7030A0"/>
              <w:right w:val="nil"/>
            </w:tcBorders>
            <w:shd w:val="clear" w:color="auto" w:fill="auto"/>
            <w:vAlign w:val="center"/>
          </w:tcPr>
          <w:p w14:paraId="08BE8E4F" w14:textId="77777777" w:rsidR="00B7090B" w:rsidRPr="00C73365" w:rsidRDefault="0056443F"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1 263</w:t>
            </w:r>
          </w:p>
        </w:tc>
        <w:tc>
          <w:tcPr>
            <w:tcW w:w="231" w:type="dxa"/>
            <w:tcBorders>
              <w:top w:val="nil"/>
              <w:left w:val="nil"/>
              <w:bottom w:val="nil"/>
              <w:right w:val="nil"/>
            </w:tcBorders>
            <w:shd w:val="clear" w:color="auto" w:fill="auto"/>
            <w:noWrap/>
            <w:vAlign w:val="center"/>
          </w:tcPr>
          <w:p w14:paraId="11663502" w14:textId="77777777" w:rsidR="00B7090B" w:rsidRPr="00C73365" w:rsidRDefault="00B7090B" w:rsidP="00B7090B">
            <w:pPr>
              <w:spacing w:after="0"/>
              <w:jc w:val="center"/>
              <w:rPr>
                <w:rFonts w:asciiTheme="minorHAnsi" w:hAnsiTheme="minorHAnsi" w:cstheme="minorHAnsi"/>
                <w:b/>
                <w:bCs/>
                <w:color w:val="7030A0"/>
                <w:szCs w:val="20"/>
              </w:rPr>
            </w:pPr>
          </w:p>
        </w:tc>
        <w:tc>
          <w:tcPr>
            <w:tcW w:w="799" w:type="dxa"/>
            <w:tcBorders>
              <w:top w:val="nil"/>
              <w:left w:val="nil"/>
              <w:bottom w:val="single" w:sz="8" w:space="0" w:color="7030A0"/>
              <w:right w:val="nil"/>
            </w:tcBorders>
            <w:shd w:val="clear" w:color="auto" w:fill="auto"/>
            <w:vAlign w:val="center"/>
          </w:tcPr>
          <w:p w14:paraId="190C4C12" w14:textId="2A411205" w:rsidR="00B7090B" w:rsidRPr="00C73365" w:rsidRDefault="00FB7E1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14 027</w:t>
            </w:r>
          </w:p>
        </w:tc>
      </w:tr>
    </w:tbl>
    <w:p w14:paraId="2C451CDA" w14:textId="77777777" w:rsidR="00056331" w:rsidRPr="00C73365" w:rsidRDefault="00056331">
      <w:pPr>
        <w:autoSpaceDE w:val="0"/>
        <w:autoSpaceDN w:val="0"/>
        <w:adjustRightInd w:val="0"/>
        <w:rPr>
          <w:rFonts w:asciiTheme="minorHAnsi" w:hAnsiTheme="minorHAnsi" w:cstheme="minorHAnsi"/>
          <w:b/>
          <w:color w:val="7030A0"/>
          <w:szCs w:val="22"/>
          <w:lang w:val="fr-FR"/>
        </w:rPr>
      </w:pPr>
    </w:p>
    <w:p w14:paraId="72708F04" w14:textId="77777777" w:rsidR="006B2036" w:rsidRPr="00C73365" w:rsidRDefault="006B2036">
      <w:pPr>
        <w:autoSpaceDE w:val="0"/>
        <w:autoSpaceDN w:val="0"/>
        <w:adjustRightInd w:val="0"/>
        <w:rPr>
          <w:rFonts w:asciiTheme="minorHAnsi" w:hAnsiTheme="minorHAnsi" w:cstheme="minorHAnsi"/>
          <w:b/>
          <w:color w:val="7030A0"/>
          <w:szCs w:val="22"/>
          <w:lang w:val="fr-FR"/>
        </w:rPr>
      </w:pPr>
    </w:p>
    <w:p w14:paraId="632B72A7" w14:textId="77777777" w:rsidR="006834D5" w:rsidRPr="00C73365" w:rsidRDefault="006834D5" w:rsidP="004572A0">
      <w:pPr>
        <w:pStyle w:val="Corpsdetexte"/>
        <w:rPr>
          <w:rFonts w:asciiTheme="minorHAnsi" w:hAnsiTheme="minorHAnsi" w:cstheme="minorHAnsi"/>
          <w:b/>
          <w:u w:val="single"/>
          <w:lang w:val="fr-FR"/>
        </w:rPr>
      </w:pPr>
      <w:r w:rsidRPr="00C73365">
        <w:rPr>
          <w:rFonts w:asciiTheme="minorHAnsi" w:hAnsiTheme="minorHAnsi" w:cstheme="minorHAnsi"/>
          <w:b/>
          <w:lang w:val="fr-FR"/>
        </w:rPr>
        <w:t>Crédit Impôt Recherche (CIR) :</w:t>
      </w:r>
    </w:p>
    <w:p w14:paraId="14DA6795" w14:textId="77777777" w:rsidR="006B119E" w:rsidRPr="00C73365" w:rsidRDefault="006834D5" w:rsidP="004572A0">
      <w:pPr>
        <w:pStyle w:val="Corpsdetexte"/>
        <w:rPr>
          <w:rFonts w:asciiTheme="minorHAnsi" w:hAnsiTheme="minorHAnsi" w:cstheme="minorHAnsi"/>
          <w:lang w:val="fr-FR"/>
        </w:rPr>
      </w:pPr>
      <w:r w:rsidRPr="00C73365">
        <w:rPr>
          <w:rFonts w:asciiTheme="minorHAnsi" w:hAnsiTheme="minorHAnsi" w:cstheme="minorHAnsi"/>
          <w:lang w:val="fr-FR"/>
        </w:rPr>
        <w:t>La société ayant une activité de recherche et développement, elle bénéficie du crédit d’impôt recherche.</w:t>
      </w:r>
    </w:p>
    <w:p w14:paraId="19C47CB9" w14:textId="77777777" w:rsidR="004801C8" w:rsidRPr="00C73365" w:rsidRDefault="004801C8"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Le CIR d’un montant de</w:t>
      </w:r>
      <w:r w:rsidR="008F3083" w:rsidRPr="00C73365">
        <w:rPr>
          <w:rFonts w:asciiTheme="minorHAnsi" w:hAnsiTheme="minorHAnsi" w:cstheme="minorHAnsi"/>
          <w:lang w:val="fr-FR"/>
        </w:rPr>
        <w:t xml:space="preserve"> </w:t>
      </w:r>
      <w:r w:rsidRPr="00C73365">
        <w:rPr>
          <w:rFonts w:asciiTheme="minorHAnsi" w:hAnsiTheme="minorHAnsi" w:cstheme="minorHAnsi"/>
          <w:lang w:val="fr-FR"/>
        </w:rPr>
        <w:t xml:space="preserve">3 578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des dépenses de R&amp;D éligibles générées en 2016 a été encaissé dans son intégralité le 30 Août 2017.</w:t>
      </w:r>
    </w:p>
    <w:p w14:paraId="21F18486" w14:textId="77777777" w:rsidR="006834D5" w:rsidRPr="00C73365" w:rsidRDefault="006834D5"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L’activité de recherche et développement de la société au cours de l’année </w:t>
      </w:r>
      <w:r w:rsidR="004801C8" w:rsidRPr="00C73365">
        <w:rPr>
          <w:rFonts w:asciiTheme="minorHAnsi" w:hAnsiTheme="minorHAnsi" w:cstheme="minorHAnsi"/>
          <w:lang w:val="fr-FR"/>
        </w:rPr>
        <w:t xml:space="preserve">2017 </w:t>
      </w:r>
      <w:r w:rsidRPr="00C73365">
        <w:rPr>
          <w:rFonts w:asciiTheme="minorHAnsi" w:hAnsiTheme="minorHAnsi" w:cstheme="minorHAnsi"/>
          <w:lang w:val="fr-FR"/>
        </w:rPr>
        <w:t xml:space="preserve">a permis d’estimer un crédit d’impôt recherche de </w:t>
      </w:r>
      <w:r w:rsidR="00E30413" w:rsidRPr="00C73365">
        <w:rPr>
          <w:rFonts w:asciiTheme="minorHAnsi" w:hAnsiTheme="minorHAnsi" w:cstheme="minorHAnsi"/>
          <w:lang w:val="fr-FR"/>
        </w:rPr>
        <w:t>2 632</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w:t>
      </w:r>
    </w:p>
    <w:p w14:paraId="4975CED0" w14:textId="77777777" w:rsidR="006834D5" w:rsidRPr="00C73365" w:rsidRDefault="006834D5"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crédit d’impôt compétitivité emploi a été estimé pour l’année </w:t>
      </w:r>
      <w:r w:rsidR="004801C8" w:rsidRPr="00C73365">
        <w:rPr>
          <w:rFonts w:asciiTheme="minorHAnsi" w:hAnsiTheme="minorHAnsi" w:cstheme="minorHAnsi"/>
          <w:lang w:val="fr-FR"/>
        </w:rPr>
        <w:t xml:space="preserve">2017 </w:t>
      </w:r>
      <w:r w:rsidRPr="00C73365">
        <w:rPr>
          <w:rFonts w:asciiTheme="minorHAnsi" w:hAnsiTheme="minorHAnsi" w:cstheme="minorHAnsi"/>
          <w:lang w:val="fr-FR"/>
        </w:rPr>
        <w:t xml:space="preserve">sur la base des rémunérations éligibles sur cette période, pondérée de l’impact des bonus provisionnés à cette même date. Il a été estimé </w:t>
      </w:r>
      <w:r w:rsidR="00E30413" w:rsidRPr="00C73365">
        <w:rPr>
          <w:rFonts w:asciiTheme="minorHAnsi" w:hAnsiTheme="minorHAnsi" w:cstheme="minorHAnsi"/>
          <w:lang w:val="fr-FR"/>
        </w:rPr>
        <w:t xml:space="preserve">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et a été constaté en autres créances et au crédit des charges sociales sur la période.</w:t>
      </w:r>
    </w:p>
    <w:p w14:paraId="478BDC00" w14:textId="77777777" w:rsidR="00E832D4" w:rsidRPr="00C73365" w:rsidRDefault="00E832D4" w:rsidP="004572A0">
      <w:pPr>
        <w:pStyle w:val="Corpsdetexte"/>
        <w:rPr>
          <w:rFonts w:asciiTheme="minorHAnsi" w:hAnsiTheme="minorHAnsi" w:cstheme="minorHAnsi"/>
          <w:b/>
          <w:lang w:val="fr-FR"/>
        </w:rPr>
      </w:pPr>
      <w:r w:rsidRPr="00C73365">
        <w:rPr>
          <w:rFonts w:asciiTheme="minorHAnsi" w:hAnsiTheme="minorHAnsi" w:cstheme="minorHAnsi"/>
          <w:b/>
          <w:lang w:val="fr-FR"/>
        </w:rPr>
        <w:t>Equity Line</w:t>
      </w:r>
      <w:r w:rsidR="00D11919" w:rsidRPr="00C73365">
        <w:rPr>
          <w:rFonts w:asciiTheme="minorHAnsi" w:hAnsiTheme="minorHAnsi" w:cstheme="minorHAnsi"/>
          <w:b/>
          <w:lang w:val="fr-FR"/>
        </w:rPr>
        <w:t xml:space="preserve"> ou ligne de financement </w:t>
      </w:r>
      <w:r w:rsidR="006B119E" w:rsidRPr="00C73365">
        <w:rPr>
          <w:rFonts w:asciiTheme="minorHAnsi" w:hAnsiTheme="minorHAnsi" w:cstheme="minorHAnsi"/>
          <w:b/>
          <w:lang w:val="fr-FR"/>
        </w:rPr>
        <w:t xml:space="preserve">en </w:t>
      </w:r>
      <w:r w:rsidR="00D11919" w:rsidRPr="00C73365">
        <w:rPr>
          <w:rFonts w:asciiTheme="minorHAnsi" w:hAnsiTheme="minorHAnsi" w:cstheme="minorHAnsi"/>
          <w:b/>
          <w:lang w:val="fr-FR"/>
        </w:rPr>
        <w:t>fonds propres</w:t>
      </w:r>
      <w:r w:rsidRPr="00C73365">
        <w:rPr>
          <w:rFonts w:asciiTheme="minorHAnsi" w:hAnsiTheme="minorHAnsi" w:cstheme="minorHAnsi"/>
          <w:b/>
          <w:lang w:val="fr-FR"/>
        </w:rPr>
        <w:t xml:space="preserve"> </w:t>
      </w:r>
    </w:p>
    <w:p w14:paraId="5B83CF0E" w14:textId="77777777" w:rsidR="00D11919" w:rsidRPr="00C73365" w:rsidRDefault="00D1191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Directeur Général de la Société, agissant sur délégation du Conseil d’Administration, qui s’est tenu le 18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2017, et conformément à la 10</w:t>
      </w:r>
      <w:r w:rsidR="00470BB2" w:rsidRPr="00C73365">
        <w:rPr>
          <w:rFonts w:asciiTheme="minorHAnsi" w:hAnsiTheme="minorHAnsi" w:cstheme="minorHAnsi"/>
          <w:vertAlign w:val="superscript"/>
          <w:lang w:val="fr-FR"/>
        </w:rPr>
        <w:t>ème</w:t>
      </w:r>
      <w:r w:rsidR="00470BB2" w:rsidRPr="00C73365">
        <w:rPr>
          <w:rFonts w:asciiTheme="minorHAnsi" w:hAnsiTheme="minorHAnsi" w:cstheme="minorHAnsi"/>
          <w:lang w:val="fr-FR"/>
        </w:rPr>
        <w:t xml:space="preserve"> </w:t>
      </w:r>
      <w:r w:rsidRPr="00C73365">
        <w:rPr>
          <w:rFonts w:asciiTheme="minorHAnsi" w:hAnsiTheme="minorHAnsi" w:cstheme="minorHAnsi"/>
          <w:lang w:val="fr-FR"/>
        </w:rPr>
        <w:t>résolution de l’Assemblée Générale Mixte des actionnaires du 24 juin 2016</w:t>
      </w: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 décidé la mise en place de cette ligne de financement.</w:t>
      </w:r>
    </w:p>
    <w:p w14:paraId="6AAB2ADE" w14:textId="77777777" w:rsidR="00D11919" w:rsidRPr="00C73365" w:rsidRDefault="00D11919" w:rsidP="004572A0">
      <w:pPr>
        <w:pStyle w:val="Corpsdetexte"/>
        <w:rPr>
          <w:rFonts w:asciiTheme="minorHAnsi" w:hAnsiTheme="minorHAnsi" w:cstheme="minorHAnsi"/>
          <w:lang w:val="fr-FR"/>
        </w:rPr>
      </w:pPr>
      <w:r w:rsidRPr="00C73365">
        <w:rPr>
          <w:rFonts w:asciiTheme="minorHAnsi" w:hAnsiTheme="minorHAnsi" w:cstheme="minorHAnsi"/>
          <w:lang w:val="fr-FR"/>
        </w:rPr>
        <w:t>Conformément aux termes de l’accord, Kepler Cheuvreux intervenant à titre d</w:t>
      </w:r>
      <w:r w:rsidR="004572A0" w:rsidRPr="00C73365">
        <w:rPr>
          <w:rFonts w:asciiTheme="minorHAnsi" w:hAnsiTheme="minorHAnsi" w:cstheme="minorHAnsi"/>
          <w:lang w:val="fr-FR"/>
        </w:rPr>
        <w:t>’</w:t>
      </w:r>
      <w:r w:rsidRPr="00C73365">
        <w:rPr>
          <w:rFonts w:asciiTheme="minorHAnsi" w:hAnsiTheme="minorHAnsi" w:cstheme="minorHAnsi"/>
          <w:lang w:val="fr-FR"/>
        </w:rPr>
        <w:t>intermédiaire financier et garant de la transaction, s’est engagé à souscrire 970 000 actions, à sa propre initiative suivant un calendrier d’une durée maximale de 24 mois. Les actions seront émises sur la base d’une moyenne des cours de bourse pondérée par les volumes sur les deux jours de bourse précédant chaque émission, diminuée d’une décote maximale de 7,0%.</w:t>
      </w:r>
    </w:p>
    <w:p w14:paraId="43987E3C" w14:textId="77777777" w:rsidR="00220E64" w:rsidRPr="00C73365" w:rsidRDefault="00D11919"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Dans l’hypothèse d’une utilisation en totalité de cette ligne de </w:t>
      </w:r>
      <w:r w:rsidR="00676CAC" w:rsidRPr="00C73365">
        <w:rPr>
          <w:rFonts w:asciiTheme="minorHAnsi" w:hAnsiTheme="minorHAnsi" w:cstheme="minorHAnsi"/>
          <w:lang w:val="fr-FR"/>
        </w:rPr>
        <w:t>financement</w:t>
      </w:r>
      <w:r w:rsidR="00676CAC" w:rsidRPr="00C73365">
        <w:rPr>
          <w:rFonts w:asciiTheme="minorHAnsi" w:hAnsiTheme="minorHAnsi" w:cstheme="minorHAnsi"/>
          <w:vertAlign w:val="superscript"/>
          <w:lang w:val="fr-FR"/>
        </w:rPr>
        <w:t xml:space="preserve"> [</w:t>
      </w:r>
      <w:r w:rsidRPr="00C73365">
        <w:rPr>
          <w:rFonts w:asciiTheme="minorHAnsi" w:hAnsiTheme="minorHAnsi" w:cstheme="minorHAnsi"/>
          <w:vertAlign w:val="superscript"/>
          <w:lang w:val="fr-FR"/>
        </w:rPr>
        <w:t>2],</w:t>
      </w:r>
      <w:r w:rsidRPr="00C73365">
        <w:rPr>
          <w:rFonts w:asciiTheme="minorHAnsi" w:hAnsiTheme="minorHAnsi" w:cstheme="minorHAnsi"/>
          <w:lang w:val="fr-FR"/>
        </w:rPr>
        <w:t xml:space="preserve"> elle permettrait à la Société de lever 12 millions d</w:t>
      </w:r>
      <w:r w:rsidR="004572A0" w:rsidRPr="00C73365">
        <w:rPr>
          <w:rFonts w:asciiTheme="minorHAnsi" w:hAnsiTheme="minorHAnsi" w:cstheme="minorHAnsi"/>
          <w:lang w:val="fr-FR"/>
        </w:rPr>
        <w:t>’</w:t>
      </w:r>
      <w:r w:rsidRPr="00C73365">
        <w:rPr>
          <w:rFonts w:asciiTheme="minorHAnsi" w:hAnsiTheme="minorHAnsi" w:cstheme="minorHAnsi"/>
          <w:lang w:val="fr-FR"/>
        </w:rPr>
        <w:t>euros au prix de l</w:t>
      </w:r>
      <w:r w:rsidR="004572A0" w:rsidRPr="00C73365">
        <w:rPr>
          <w:rFonts w:asciiTheme="minorHAnsi" w:hAnsiTheme="minorHAnsi" w:cstheme="minorHAnsi"/>
          <w:lang w:val="fr-FR"/>
        </w:rPr>
        <w:t>’</w:t>
      </w:r>
      <w:r w:rsidRPr="00C73365">
        <w:rPr>
          <w:rFonts w:asciiTheme="minorHAnsi" w:hAnsiTheme="minorHAnsi" w:cstheme="minorHAnsi"/>
          <w:lang w:val="fr-FR"/>
        </w:rPr>
        <w:t>action</w:t>
      </w:r>
      <w:r w:rsidRPr="00C73365">
        <w:rPr>
          <w:rFonts w:asciiTheme="minorHAnsi" w:hAnsiTheme="minorHAnsi" w:cstheme="minorHAnsi"/>
          <w:vertAlign w:val="superscript"/>
          <w:lang w:val="fr-FR"/>
        </w:rPr>
        <w:t>[3]</w:t>
      </w:r>
      <w:r w:rsidR="00220E64" w:rsidRPr="00C73365">
        <w:rPr>
          <w:rFonts w:asciiTheme="minorHAnsi" w:hAnsiTheme="minorHAnsi" w:cstheme="minorHAnsi"/>
          <w:lang w:val="fr-FR"/>
        </w:rPr>
        <w:t xml:space="preserve"> en </w:t>
      </w:r>
      <w:r w:rsidR="003D4F94" w:rsidRPr="00C73365">
        <w:rPr>
          <w:rFonts w:asciiTheme="minorHAnsi" w:hAnsiTheme="minorHAnsi" w:cstheme="minorHAnsi"/>
          <w:lang w:val="fr-FR"/>
        </w:rPr>
        <w:t>s</w:t>
      </w:r>
      <w:r w:rsidR="006B119E" w:rsidRPr="00C73365">
        <w:rPr>
          <w:rFonts w:asciiTheme="minorHAnsi" w:hAnsiTheme="minorHAnsi" w:cstheme="minorHAnsi"/>
          <w:lang w:val="fr-FR"/>
        </w:rPr>
        <w:t>eptembre</w:t>
      </w:r>
      <w:r w:rsidR="00220E64" w:rsidRPr="00C73365">
        <w:rPr>
          <w:rFonts w:asciiTheme="minorHAnsi" w:hAnsiTheme="minorHAnsi" w:cstheme="minorHAnsi"/>
          <w:lang w:val="fr-FR"/>
        </w:rPr>
        <w:t xml:space="preserve"> 2017.</w:t>
      </w:r>
    </w:p>
    <w:p w14:paraId="4C2F99BD" w14:textId="77777777" w:rsidR="00D11919" w:rsidRPr="00C73365" w:rsidRDefault="00D11919" w:rsidP="004572A0">
      <w:pPr>
        <w:pStyle w:val="Corpsdetexte"/>
        <w:rPr>
          <w:rFonts w:asciiTheme="minorHAnsi" w:hAnsiTheme="minorHAnsi" w:cstheme="minorHAnsi"/>
          <w:lang w:val="fr-FR"/>
        </w:rPr>
      </w:pPr>
      <w:r w:rsidRPr="00C73365">
        <w:rPr>
          <w:rFonts w:asciiTheme="minorHAnsi" w:hAnsiTheme="minorHAnsi" w:cstheme="minorHAnsi"/>
          <w:lang w:val="fr-FR"/>
        </w:rPr>
        <w:t>Sous réserve que les conditions contractuelles soient remplies, un actionnaire détenant 1,00% du capital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avant sa mise en place, verrait sa participation passer à 0.91%</w:t>
      </w:r>
      <w:r w:rsidRPr="00C73365">
        <w:rPr>
          <w:rFonts w:asciiTheme="minorHAnsi" w:hAnsiTheme="minorHAnsi" w:cstheme="minorHAnsi"/>
          <w:vertAlign w:val="superscript"/>
          <w:lang w:val="fr-FR"/>
        </w:rPr>
        <w:t xml:space="preserve">[4] </w:t>
      </w:r>
      <w:r w:rsidRPr="00C73365">
        <w:rPr>
          <w:rFonts w:asciiTheme="minorHAnsi" w:hAnsiTheme="minorHAnsi" w:cstheme="minorHAnsi"/>
          <w:lang w:val="fr-FR"/>
        </w:rPr>
        <w:t xml:space="preserve">du capital.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conserve la possibilité de suspendre ou mettre fin à cet accord à tout moment.</w:t>
      </w:r>
    </w:p>
    <w:p w14:paraId="5929CE9C" w14:textId="77777777" w:rsidR="004B6D14" w:rsidRPr="00C73365" w:rsidRDefault="00220E64" w:rsidP="004572A0">
      <w:pPr>
        <w:pStyle w:val="Corpsdetexte"/>
        <w:rPr>
          <w:rFonts w:asciiTheme="minorHAnsi" w:hAnsiTheme="minorHAnsi" w:cstheme="minorHAnsi"/>
          <w:lang w:val="fr-FR"/>
        </w:rPr>
      </w:pPr>
      <w:r w:rsidRPr="00C73365">
        <w:rPr>
          <w:rFonts w:asciiTheme="minorHAnsi" w:hAnsiTheme="minorHAnsi" w:cstheme="minorHAnsi"/>
          <w:lang w:val="fr-FR"/>
        </w:rPr>
        <w:t>Depuis la signature de l’accord, l</w:t>
      </w:r>
      <w:r w:rsidR="001E738B" w:rsidRPr="00C73365">
        <w:rPr>
          <w:rFonts w:asciiTheme="minorHAnsi" w:hAnsiTheme="minorHAnsi" w:cstheme="minorHAnsi"/>
          <w:lang w:val="fr-FR"/>
        </w:rPr>
        <w:t>’exercice de 60 000 bons par K</w:t>
      </w:r>
      <w:r w:rsidRPr="00C73365">
        <w:rPr>
          <w:rFonts w:asciiTheme="minorHAnsi" w:hAnsiTheme="minorHAnsi" w:cstheme="minorHAnsi"/>
          <w:lang w:val="fr-FR"/>
        </w:rPr>
        <w:t>epler Cheuvreux</w:t>
      </w:r>
      <w:r w:rsidR="001E738B" w:rsidRPr="00C73365">
        <w:rPr>
          <w:rFonts w:asciiTheme="minorHAnsi" w:hAnsiTheme="minorHAnsi" w:cstheme="minorHAnsi"/>
          <w:lang w:val="fr-FR"/>
        </w:rPr>
        <w:t xml:space="preserve"> a été réalisé en </w:t>
      </w:r>
      <w:r w:rsidR="006B119E" w:rsidRPr="00C73365">
        <w:rPr>
          <w:rFonts w:asciiTheme="minorHAnsi" w:hAnsiTheme="minorHAnsi" w:cstheme="minorHAnsi"/>
          <w:lang w:val="fr-FR"/>
        </w:rPr>
        <w:t>septembre</w:t>
      </w:r>
      <w:r w:rsidR="001E738B" w:rsidRPr="00C73365">
        <w:rPr>
          <w:rFonts w:asciiTheme="minorHAnsi" w:hAnsiTheme="minorHAnsi" w:cstheme="minorHAnsi"/>
          <w:lang w:val="fr-FR"/>
        </w:rPr>
        <w:t xml:space="preserve"> </w:t>
      </w:r>
      <w:r w:rsidR="00FE4BD4" w:rsidRPr="00C73365">
        <w:rPr>
          <w:rFonts w:asciiTheme="minorHAnsi" w:hAnsiTheme="minorHAnsi" w:cstheme="minorHAnsi"/>
          <w:lang w:val="fr-FR"/>
        </w:rPr>
        <w:t xml:space="preserve">2017 </w:t>
      </w:r>
      <w:r w:rsidR="001E738B" w:rsidRPr="00C73365">
        <w:rPr>
          <w:rFonts w:asciiTheme="minorHAnsi" w:hAnsiTheme="minorHAnsi" w:cstheme="minorHAnsi"/>
          <w:lang w:val="fr-FR"/>
        </w:rPr>
        <w:t xml:space="preserve">(40 000 titres émis) et en octobre </w:t>
      </w:r>
      <w:r w:rsidR="00FE4BD4" w:rsidRPr="00C73365">
        <w:rPr>
          <w:rFonts w:asciiTheme="minorHAnsi" w:hAnsiTheme="minorHAnsi" w:cstheme="minorHAnsi"/>
          <w:lang w:val="fr-FR"/>
        </w:rPr>
        <w:t xml:space="preserve">2017 </w:t>
      </w:r>
      <w:r w:rsidR="001E738B" w:rsidRPr="00C73365">
        <w:rPr>
          <w:rFonts w:asciiTheme="minorHAnsi" w:hAnsiTheme="minorHAnsi" w:cstheme="minorHAnsi"/>
          <w:lang w:val="fr-FR"/>
        </w:rPr>
        <w:t>(20 000 titres émis)</w:t>
      </w:r>
      <w:r w:rsidR="00FE4BD4" w:rsidRPr="00C73365">
        <w:rPr>
          <w:rFonts w:asciiTheme="minorHAnsi" w:hAnsiTheme="minorHAnsi" w:cstheme="minorHAnsi"/>
          <w:lang w:val="fr-FR"/>
        </w:rPr>
        <w:t xml:space="preserve"> et a permis de libérer un montant de 0.6 </w:t>
      </w:r>
      <w:r w:rsidR="006B119E" w:rsidRPr="00C73365">
        <w:rPr>
          <w:rFonts w:asciiTheme="minorHAnsi" w:hAnsiTheme="minorHAnsi" w:cstheme="minorHAnsi"/>
          <w:lang w:val="fr-FR"/>
        </w:rPr>
        <w:t>M</w:t>
      </w:r>
      <w:r w:rsidR="00FE4BD4" w:rsidRPr="00C73365">
        <w:rPr>
          <w:rFonts w:asciiTheme="minorHAnsi" w:hAnsiTheme="minorHAnsi" w:cstheme="minorHAnsi"/>
          <w:lang w:val="fr-FR"/>
        </w:rPr>
        <w:t xml:space="preserve">€. Le montant </w:t>
      </w:r>
      <w:r w:rsidRPr="00C73365">
        <w:rPr>
          <w:rFonts w:asciiTheme="minorHAnsi" w:hAnsiTheme="minorHAnsi" w:cstheme="minorHAnsi"/>
          <w:lang w:val="fr-FR"/>
        </w:rPr>
        <w:t xml:space="preserve">résiduel </w:t>
      </w:r>
      <w:r w:rsidR="00FE4BD4" w:rsidRPr="00C73365">
        <w:rPr>
          <w:rFonts w:asciiTheme="minorHAnsi" w:hAnsiTheme="minorHAnsi" w:cstheme="minorHAnsi"/>
          <w:lang w:val="fr-FR"/>
        </w:rPr>
        <w:t xml:space="preserve">de la ligne </w:t>
      </w:r>
      <w:r w:rsidRPr="00C73365">
        <w:rPr>
          <w:rFonts w:asciiTheme="minorHAnsi" w:hAnsiTheme="minorHAnsi" w:cstheme="minorHAnsi"/>
          <w:lang w:val="fr-FR"/>
        </w:rPr>
        <w:t>de financement en fond propre</w:t>
      </w:r>
      <w:r w:rsidR="00FE4BD4" w:rsidRPr="00C73365">
        <w:rPr>
          <w:rFonts w:asciiTheme="minorHAnsi" w:hAnsiTheme="minorHAnsi" w:cstheme="minorHAnsi"/>
          <w:lang w:val="fr-FR"/>
        </w:rPr>
        <w:t xml:space="preserve"> de Kepler Cheuvreux au 31 mars 2017 est ainsi de 9</w:t>
      </w:r>
      <w:r w:rsidR="005E7389" w:rsidRPr="00C73365">
        <w:rPr>
          <w:rFonts w:asciiTheme="minorHAnsi" w:hAnsiTheme="minorHAnsi" w:cstheme="minorHAnsi"/>
          <w:lang w:val="fr-FR"/>
        </w:rPr>
        <w:t>1</w:t>
      </w:r>
      <w:r w:rsidR="00FE4BD4" w:rsidRPr="00C73365">
        <w:rPr>
          <w:rFonts w:asciiTheme="minorHAnsi" w:hAnsiTheme="minorHAnsi" w:cstheme="minorHAnsi"/>
          <w:lang w:val="fr-FR"/>
        </w:rPr>
        <w:t>0 000 titres.</w:t>
      </w:r>
    </w:p>
    <w:p w14:paraId="33E8268A" w14:textId="77777777" w:rsidR="00D11919" w:rsidRPr="00C73365" w:rsidRDefault="00D11919" w:rsidP="004572A0">
      <w:pPr>
        <w:pStyle w:val="Corpsdetexte"/>
        <w:rPr>
          <w:rFonts w:asciiTheme="minorHAnsi" w:hAnsiTheme="minorHAnsi" w:cstheme="minorHAnsi"/>
          <w:lang w:val="fr-FR"/>
        </w:rPr>
      </w:pP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Augmentation de capital réalisée avec suppression du droit préférentiel de souscription par placement privé dans la limite de 20% du capital social par an conformément aux dispositions de l’article L. 225-136 (1° et 3°) du code de commerce.</w:t>
      </w:r>
    </w:p>
    <w:p w14:paraId="6C1B5D3D" w14:textId="77777777" w:rsidR="00D11919" w:rsidRPr="00C73365" w:rsidRDefault="00D11919" w:rsidP="004572A0">
      <w:pPr>
        <w:rPr>
          <w:rFonts w:asciiTheme="minorHAnsi" w:hAnsiTheme="minorHAnsi" w:cstheme="minorHAnsi"/>
          <w:lang w:val="fr-FR"/>
        </w:rPr>
      </w:pPr>
      <w:r w:rsidRPr="00C73365">
        <w:rPr>
          <w:rFonts w:asciiTheme="minorHAnsi" w:hAnsiTheme="minorHAnsi" w:cstheme="minorHAnsi"/>
          <w:vertAlign w:val="superscript"/>
          <w:lang w:val="fr-FR"/>
        </w:rPr>
        <w:t>[2]</w:t>
      </w:r>
      <w:r w:rsidRPr="00C73365">
        <w:rPr>
          <w:rFonts w:asciiTheme="minorHAnsi" w:hAnsiTheme="minorHAnsi" w:cstheme="minorHAnsi"/>
          <w:lang w:val="fr-FR"/>
        </w:rPr>
        <w:t xml:space="preserve"> Dans ce cas, 970 000 nouveaux titres seraient émis.</w:t>
      </w:r>
    </w:p>
    <w:p w14:paraId="70D4D695" w14:textId="77777777" w:rsidR="00D11919" w:rsidRPr="00C73365" w:rsidRDefault="00D11919" w:rsidP="004572A0">
      <w:pPr>
        <w:rPr>
          <w:rFonts w:asciiTheme="minorHAnsi" w:hAnsiTheme="minorHAnsi" w:cstheme="minorHAnsi"/>
          <w:lang w:val="fr-FR"/>
        </w:rPr>
      </w:pPr>
      <w:r w:rsidRPr="00C73365">
        <w:rPr>
          <w:rFonts w:asciiTheme="minorHAnsi" w:hAnsiTheme="minorHAnsi" w:cstheme="minorHAnsi"/>
          <w:vertAlign w:val="superscript"/>
          <w:lang w:val="fr-FR"/>
        </w:rPr>
        <w:t>[3]</w:t>
      </w:r>
      <w:r w:rsidRPr="00C73365">
        <w:rPr>
          <w:rFonts w:asciiTheme="minorHAnsi" w:hAnsiTheme="minorHAnsi" w:cstheme="minorHAnsi"/>
          <w:lang w:val="fr-FR"/>
        </w:rPr>
        <w:t xml:space="preserve"> Sur la base indicative de la moyenne des cours des vingt dernières séances de l’action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14:paraId="303901D9" w14:textId="77777777" w:rsidR="00D11919" w:rsidRPr="00C73365" w:rsidRDefault="00D11919" w:rsidP="004572A0">
      <w:pPr>
        <w:rPr>
          <w:rFonts w:asciiTheme="minorHAnsi" w:hAnsiTheme="minorHAnsi" w:cstheme="minorHAnsi"/>
          <w:lang w:val="fr-FR"/>
        </w:rPr>
      </w:pPr>
      <w:r w:rsidRPr="00C73365">
        <w:rPr>
          <w:rFonts w:asciiTheme="minorHAnsi" w:hAnsiTheme="minorHAnsi" w:cstheme="minorHAnsi"/>
          <w:vertAlign w:val="superscript"/>
          <w:lang w:val="fr-FR"/>
        </w:rPr>
        <w:t>[4]</w:t>
      </w:r>
      <w:r w:rsidRPr="00C73365">
        <w:rPr>
          <w:rFonts w:asciiTheme="minorHAnsi" w:hAnsiTheme="minorHAnsi" w:cstheme="minorHAnsi"/>
          <w:lang w:val="fr-FR"/>
        </w:rPr>
        <w:t xml:space="preserve"> Sur la base des 9 741 489 actions composant le capital social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 31 juillet 2017.</w:t>
      </w:r>
    </w:p>
    <w:p w14:paraId="1608B515" w14:textId="77777777" w:rsidR="00F46C7B" w:rsidRPr="00C73365" w:rsidRDefault="00F46C7B" w:rsidP="004572A0">
      <w:pPr>
        <w:rPr>
          <w:rFonts w:asciiTheme="minorHAnsi" w:hAnsiTheme="minorHAnsi" w:cstheme="minorHAnsi"/>
          <w:b/>
          <w:lang w:val="fr-FR"/>
        </w:rPr>
      </w:pPr>
      <w:r w:rsidRPr="00C73365">
        <w:rPr>
          <w:rFonts w:asciiTheme="minorHAnsi" w:hAnsiTheme="minorHAnsi" w:cstheme="minorHAnsi"/>
          <w:b/>
          <w:lang w:val="fr-FR"/>
        </w:rPr>
        <w:t>Introduction de la Société sur le marché Euronext Paris</w:t>
      </w:r>
      <w:r w:rsidR="00CD5D3D" w:rsidRPr="00C73365">
        <w:rPr>
          <w:rFonts w:asciiTheme="minorHAnsi" w:hAnsiTheme="minorHAnsi" w:cstheme="minorHAnsi"/>
          <w:b/>
          <w:lang w:val="fr-FR"/>
        </w:rPr>
        <w:t xml:space="preserve"> </w:t>
      </w:r>
      <w:r w:rsidRPr="00C73365">
        <w:rPr>
          <w:rFonts w:asciiTheme="minorHAnsi" w:hAnsiTheme="minorHAnsi" w:cstheme="minorHAnsi"/>
          <w:b/>
          <w:lang w:val="fr-FR"/>
        </w:rPr>
        <w:t>:</w:t>
      </w:r>
    </w:p>
    <w:p w14:paraId="67179289" w14:textId="77777777" w:rsidR="003D4F94" w:rsidRPr="00C73365" w:rsidRDefault="003D4F94" w:rsidP="003D4F94">
      <w:pPr>
        <w:pStyle w:val="Paragraphedeliste"/>
        <w:ind w:left="0"/>
        <w:rPr>
          <w:rFonts w:asciiTheme="minorHAnsi" w:hAnsiTheme="minorHAnsi" w:cstheme="minorHAnsi"/>
          <w:szCs w:val="22"/>
          <w:lang w:val="fr-FR"/>
        </w:rPr>
      </w:pPr>
      <w:r w:rsidRPr="00C73365">
        <w:rPr>
          <w:rFonts w:asciiTheme="minorHAnsi" w:hAnsiTheme="minorHAnsi" w:cstheme="minorHAnsi"/>
          <w:szCs w:val="22"/>
          <w:lang w:val="fr-FR"/>
        </w:rPr>
        <w:t>La société a été introduite en bourse en juin 2015 où elle a pu lever près de 58 M€.</w:t>
      </w:r>
    </w:p>
    <w:p w14:paraId="0E5D7C8C" w14:textId="77777777" w:rsidR="00F46C7B" w:rsidRPr="00C73365" w:rsidRDefault="00F46C7B" w:rsidP="007A1897">
      <w:pPr>
        <w:pStyle w:val="ConmainL1"/>
        <w:numPr>
          <w:ilvl w:val="0"/>
          <w:numId w:val="9"/>
        </w:numPr>
        <w:spacing w:after="120"/>
        <w:rPr>
          <w:rFonts w:asciiTheme="minorHAnsi" w:hAnsiTheme="minorHAnsi" w:cstheme="minorHAnsi"/>
          <w:sz w:val="22"/>
          <w:lang w:val="fr-FR"/>
        </w:rPr>
      </w:pPr>
      <w:bookmarkStart w:id="689" w:name="_Toc406257026"/>
      <w:bookmarkStart w:id="690" w:name="_Toc462673257"/>
      <w:bookmarkStart w:id="691" w:name="_Toc467835604"/>
      <w:bookmarkStart w:id="692" w:name="_Toc510548430"/>
      <w:r w:rsidRPr="00C73365">
        <w:rPr>
          <w:rFonts w:asciiTheme="minorHAnsi" w:hAnsiTheme="minorHAnsi" w:cstheme="minorHAnsi"/>
          <w:lang w:val="fr-FR"/>
        </w:rPr>
        <w:lastRenderedPageBreak/>
        <w:t>INVENTIONS, BREVETS, LICENCES, MARQUES ET NOMS DE DOMAINE</w:t>
      </w:r>
      <w:bookmarkEnd w:id="689"/>
      <w:bookmarkEnd w:id="690"/>
      <w:bookmarkEnd w:id="691"/>
      <w:bookmarkEnd w:id="692"/>
    </w:p>
    <w:p w14:paraId="337FB41E" w14:textId="6F565088"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693" w:name="_Toc406257027"/>
      <w:bookmarkStart w:id="694" w:name="_Toc462673258"/>
      <w:bookmarkStart w:id="695" w:name="_Toc467835605"/>
      <w:bookmarkStart w:id="696" w:name="_Toc510548431"/>
      <w:r w:rsidRPr="00C73365">
        <w:rPr>
          <w:rFonts w:asciiTheme="minorHAnsi" w:hAnsiTheme="minorHAnsi" w:cstheme="minorHAnsi"/>
          <w:sz w:val="22"/>
          <w:szCs w:val="22"/>
          <w:lang w:val="fr-FR"/>
        </w:rPr>
        <w:t>Politique d’innovation</w:t>
      </w:r>
      <w:bookmarkEnd w:id="693"/>
      <w:bookmarkEnd w:id="694"/>
      <w:bookmarkEnd w:id="695"/>
      <w:bookmarkEnd w:id="696"/>
    </w:p>
    <w:p w14:paraId="452DB1A6" w14:textId="77777777" w:rsidR="00F46C7B" w:rsidRPr="00C73365" w:rsidRDefault="00F46C7B" w:rsidP="004572A0">
      <w:pPr>
        <w:pStyle w:val="Corpsdetexte"/>
        <w:rPr>
          <w:rFonts w:asciiTheme="minorHAnsi" w:hAnsiTheme="minorHAnsi" w:cstheme="minorHAnsi"/>
          <w:lang w:val="fr-FR"/>
        </w:rPr>
      </w:pPr>
      <w:bookmarkStart w:id="697" w:name="_Toc460340987"/>
      <w:bookmarkStart w:id="698" w:name="_Toc460340988"/>
      <w:bookmarkStart w:id="699" w:name="_Toc460340989"/>
      <w:bookmarkStart w:id="700" w:name="_Toc460340990"/>
      <w:bookmarkStart w:id="701" w:name="_Toc460340991"/>
      <w:bookmarkStart w:id="702" w:name="_Toc460340992"/>
      <w:bookmarkStart w:id="703" w:name="_Toc460340993"/>
      <w:bookmarkStart w:id="704" w:name="_Toc460340994"/>
      <w:bookmarkStart w:id="705" w:name="_Toc460340995"/>
      <w:bookmarkStart w:id="706" w:name="_Toc460340996"/>
      <w:bookmarkStart w:id="707" w:name="_Toc460340997"/>
      <w:bookmarkStart w:id="708" w:name="_Toc460340998"/>
      <w:bookmarkStart w:id="709" w:name="_Toc460340999"/>
      <w:bookmarkStart w:id="710" w:name="_Toc460341000"/>
      <w:bookmarkStart w:id="711" w:name="_Toc460341001"/>
      <w:bookmarkStart w:id="712" w:name="_Toc460341002"/>
      <w:bookmarkStart w:id="713" w:name="_Toc460341003"/>
      <w:bookmarkStart w:id="714" w:name="_Toc460341004"/>
      <w:bookmarkStart w:id="715" w:name="_Toc460341005"/>
      <w:bookmarkStart w:id="716" w:name="_Toc460341006"/>
      <w:bookmarkStart w:id="717" w:name="_Toc406257028"/>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sidRPr="00C73365">
        <w:rPr>
          <w:rFonts w:asciiTheme="minorHAnsi" w:hAnsiTheme="minorHAnsi" w:cstheme="minorHAnsi"/>
          <w:lang w:val="fr-FR"/>
        </w:rPr>
        <w:t>La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Société</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activité</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et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développement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(R&amp;D)</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ayant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pour</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objectif</w:t>
      </w:r>
      <w:r w:rsidRPr="00C73365">
        <w:rPr>
          <w:rFonts w:asciiTheme="minorHAnsi" w:hAnsiTheme="minorHAnsi" w:cstheme="minorHAnsi"/>
          <w:spacing w:val="4"/>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développer des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produits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innovants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en</w:t>
      </w:r>
      <w:r w:rsidRPr="00C73365">
        <w:rPr>
          <w:rFonts w:asciiTheme="minorHAnsi" w:hAnsiTheme="minorHAnsi" w:cstheme="minorHAnsi"/>
          <w:spacing w:val="4"/>
          <w:lang w:val="fr-FR"/>
        </w:rPr>
        <w:t xml:space="preserve"> </w:t>
      </w:r>
      <w:r w:rsidRPr="00C73365">
        <w:rPr>
          <w:rFonts w:asciiTheme="minorHAnsi" w:hAnsiTheme="minorHAnsi" w:cstheme="minorHAnsi"/>
          <w:lang w:val="fr-FR"/>
        </w:rPr>
        <w:t>se</w:t>
      </w:r>
      <w:r w:rsidRPr="00C73365">
        <w:rPr>
          <w:rFonts w:asciiTheme="minorHAnsi" w:hAnsiTheme="minorHAnsi" w:cstheme="minorHAnsi"/>
          <w:spacing w:val="8"/>
          <w:lang w:val="fr-FR"/>
        </w:rPr>
        <w:t xml:space="preserve"> </w:t>
      </w:r>
      <w:r w:rsidRPr="00C73365">
        <w:rPr>
          <w:rFonts w:asciiTheme="minorHAnsi" w:hAnsiTheme="minorHAnsi" w:cstheme="minorHAnsi"/>
          <w:spacing w:val="-2"/>
          <w:lang w:val="fr-FR"/>
        </w:rPr>
        <w:t>basant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sur</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ses</w:t>
      </w:r>
      <w:r w:rsidRPr="00C73365">
        <w:rPr>
          <w:rFonts w:asciiTheme="minorHAnsi" w:hAnsiTheme="minorHAnsi" w:cstheme="minorHAnsi"/>
          <w:spacing w:val="6"/>
          <w:lang w:val="fr-FR"/>
        </w:rPr>
        <w:t xml:space="preserve"> </w:t>
      </w:r>
      <w:r w:rsidR="003D4F94" w:rsidRPr="00C73365">
        <w:rPr>
          <w:rFonts w:asciiTheme="minorHAnsi" w:hAnsiTheme="minorHAnsi" w:cstheme="minorHAnsi"/>
          <w:spacing w:val="6"/>
          <w:lang w:val="fr-FR"/>
        </w:rPr>
        <w:t>trois</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plateformes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technologiques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dénommées « Antivirale»</w:t>
      </w:r>
      <w:r w:rsidR="003D4F94" w:rsidRPr="00C73365">
        <w:rPr>
          <w:rFonts w:asciiTheme="minorHAnsi" w:hAnsiTheme="minorHAnsi" w:cstheme="minorHAnsi"/>
          <w:lang w:val="fr-FR"/>
        </w:rPr>
        <w:t xml:space="preserve">, </w:t>
      </w:r>
      <w:r w:rsidRPr="00C73365">
        <w:rPr>
          <w:rFonts w:asciiTheme="minorHAnsi" w:hAnsiTheme="minorHAnsi" w:cstheme="minorHAnsi"/>
          <w:lang w:val="fr-FR"/>
        </w:rPr>
        <w:t xml:space="preserve">« Stimulations Immunitaires » </w:t>
      </w:r>
      <w:r w:rsidR="003D4F94" w:rsidRPr="00C73365">
        <w:rPr>
          <w:rFonts w:asciiTheme="minorHAnsi" w:hAnsiTheme="minorHAnsi" w:cstheme="minorHAnsi"/>
          <w:lang w:val="fr-FR"/>
        </w:rPr>
        <w:t xml:space="preserve"> et « Anticorps Polyclonaux » </w:t>
      </w:r>
      <w:r w:rsidRPr="00C73365">
        <w:rPr>
          <w:rFonts w:asciiTheme="minorHAnsi" w:hAnsiTheme="minorHAnsi" w:cstheme="minorHAnsi"/>
          <w:lang w:val="fr-FR"/>
        </w:rPr>
        <w:t>pour déterminer l’activité biologique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 ces nouveaux candidats-médicaments afin de les rendre les plus performants et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permettre</w:t>
      </w:r>
      <w:r w:rsidRPr="00C73365">
        <w:rPr>
          <w:rFonts w:asciiTheme="minorHAnsi" w:hAnsiTheme="minorHAnsi" w:cstheme="minorHAnsi"/>
          <w:spacing w:val="6"/>
          <w:lang w:val="fr-FR"/>
        </w:rPr>
        <w:t xml:space="preserve"> de les </w:t>
      </w:r>
      <w:r w:rsidRPr="00C73365">
        <w:rPr>
          <w:rFonts w:asciiTheme="minorHAnsi" w:hAnsiTheme="minorHAnsi" w:cstheme="minorHAnsi"/>
          <w:lang w:val="fr-FR"/>
        </w:rPr>
        <w:t>utiliser dans de multiples indications.</w:t>
      </w:r>
      <w:r w:rsidR="005329D2" w:rsidRPr="00C73365">
        <w:rPr>
          <w:rFonts w:asciiTheme="minorHAnsi" w:hAnsiTheme="minorHAnsi" w:cstheme="minorHAnsi"/>
          <w:lang w:val="fr-FR"/>
        </w:rPr>
        <w:t xml:space="preserve"> </w:t>
      </w:r>
    </w:p>
    <w:p w14:paraId="0505037A" w14:textId="77777777" w:rsidR="00F46C7B" w:rsidRPr="00C73365" w:rsidRDefault="005329D2" w:rsidP="004572A0">
      <w:pPr>
        <w:pStyle w:val="Corpsdetexte"/>
        <w:rPr>
          <w:rFonts w:asciiTheme="minorHAnsi" w:hAnsiTheme="minorHAnsi" w:cstheme="minorHAnsi"/>
          <w:lang w:val="fr-FR"/>
        </w:rPr>
      </w:pPr>
      <w:r w:rsidRPr="00C73365">
        <w:rPr>
          <w:rFonts w:asciiTheme="minorHAnsi" w:hAnsiTheme="minorHAnsi" w:cstheme="minorHAnsi"/>
          <w:lang w:val="fr-FR"/>
        </w:rPr>
        <w:t>Depuis son origine, l</w:t>
      </w:r>
      <w:r w:rsidR="00F46C7B" w:rsidRPr="00C73365">
        <w:rPr>
          <w:rFonts w:asciiTheme="minorHAnsi" w:hAnsiTheme="minorHAnsi" w:cstheme="minorHAnsi"/>
          <w:lang w:val="fr-FR"/>
        </w:rPr>
        <w:t>a Société a</w:t>
      </w:r>
      <w:r w:rsidR="003D4F94" w:rsidRPr="00C73365">
        <w:rPr>
          <w:rFonts w:asciiTheme="minorHAnsi" w:hAnsiTheme="minorHAnsi" w:cstheme="minorHAnsi"/>
          <w:lang w:val="fr-FR"/>
        </w:rPr>
        <w:t xml:space="preserve"> de plus </w:t>
      </w:r>
      <w:r w:rsidR="00F46C7B" w:rsidRPr="00C73365">
        <w:rPr>
          <w:rFonts w:asciiTheme="minorHAnsi" w:hAnsiTheme="minorHAnsi" w:cstheme="minorHAnsi"/>
          <w:lang w:val="fr-FR"/>
        </w:rPr>
        <w:t>conclu des accords de licences exclusives avec des institutions académiques et des centres de recherche de premiers plans à la fois pour développer ses</w:t>
      </w:r>
      <w:r w:rsidR="003D4F94" w:rsidRPr="00C73365">
        <w:rPr>
          <w:rFonts w:asciiTheme="minorHAnsi" w:hAnsiTheme="minorHAnsi" w:cstheme="minorHAnsi"/>
          <w:lang w:val="fr-FR"/>
        </w:rPr>
        <w:t xml:space="preserve"> trois </w:t>
      </w:r>
      <w:r w:rsidR="00F46C7B" w:rsidRPr="00C73365">
        <w:rPr>
          <w:rFonts w:asciiTheme="minorHAnsi" w:hAnsiTheme="minorHAnsi" w:cstheme="minorHAnsi"/>
          <w:lang w:val="fr-FR"/>
        </w:rPr>
        <w:t xml:space="preserve">plateformes technologiques (accords avec le CNRS, l’Institut Curie et l’Université Montpellier 2 concernant la plateforme « Antivirale », accords avec Scripps Research Institute, l’Université de Chicago et l’Université de Brigham Young concernant la plateforme « Adjuvants») et pour permettre à la Société de compléter son portefeuille de </w:t>
      </w:r>
      <w:r w:rsidR="00F46C7B" w:rsidRPr="00C73365">
        <w:rPr>
          <w:rFonts w:asciiTheme="minorHAnsi" w:hAnsiTheme="minorHAnsi" w:cstheme="minorHAnsi"/>
          <w:spacing w:val="-1"/>
          <w:lang w:val="fr-FR"/>
        </w:rPr>
        <w:t xml:space="preserve">candidats-médicaments </w:t>
      </w:r>
      <w:r w:rsidR="00F46C7B" w:rsidRPr="00C73365">
        <w:rPr>
          <w:rFonts w:asciiTheme="minorHAnsi" w:hAnsiTheme="minorHAnsi" w:cstheme="minorHAnsi"/>
          <w:lang w:val="fr-FR"/>
        </w:rPr>
        <w:t>en phases précliniques et cliniques (accords avec Heber Biotec représentant le CIGB portant sur des brevets couvrant le développement d’un vaccin thérapeutique contre l’hépatite B chronique).</w:t>
      </w:r>
    </w:p>
    <w:p w14:paraId="2C630E7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Avant tout engagement dans un projet, et tout au long de la vie du projet, une phase d</w:t>
      </w:r>
      <w:r w:rsidR="004572A0" w:rsidRPr="00C73365">
        <w:rPr>
          <w:rFonts w:asciiTheme="minorHAnsi" w:hAnsiTheme="minorHAnsi" w:cstheme="minorHAnsi"/>
          <w:lang w:val="fr-FR"/>
        </w:rPr>
        <w:t>’</w:t>
      </w:r>
      <w:r w:rsidRPr="00C73365">
        <w:rPr>
          <w:rFonts w:asciiTheme="minorHAnsi" w:hAnsiTheme="minorHAnsi" w:cstheme="minorHAnsi"/>
          <w:lang w:val="fr-FR"/>
        </w:rPr>
        <w:t>investigation est menée en interne, en liens étroits avec des cabinets de conseil en propriété industrielle, des conseils en « </w:t>
      </w:r>
      <w:r w:rsidRPr="00C73365">
        <w:rPr>
          <w:rFonts w:asciiTheme="minorHAnsi" w:hAnsiTheme="minorHAnsi" w:cstheme="minorHAnsi"/>
          <w:i/>
          <w:lang w:val="fr-FR"/>
        </w:rPr>
        <w:t>business development</w:t>
      </w:r>
      <w:r w:rsidRPr="00C73365">
        <w:rPr>
          <w:rFonts w:asciiTheme="minorHAnsi" w:hAnsiTheme="minorHAnsi" w:cstheme="minorHAnsi"/>
          <w:lang w:val="fr-FR"/>
        </w:rPr>
        <w:t> » et marketing, afin d</w:t>
      </w:r>
      <w:r w:rsidR="004572A0" w:rsidRPr="00C73365">
        <w:rPr>
          <w:rFonts w:asciiTheme="minorHAnsi" w:hAnsiTheme="minorHAnsi" w:cstheme="minorHAnsi"/>
          <w:lang w:val="fr-FR"/>
        </w:rPr>
        <w:t>’</w:t>
      </w:r>
      <w:r w:rsidRPr="00C73365">
        <w:rPr>
          <w:rFonts w:asciiTheme="minorHAnsi" w:hAnsiTheme="minorHAnsi" w:cstheme="minorHAnsi"/>
          <w:lang w:val="fr-FR"/>
        </w:rPr>
        <w:t>évaluer respectivement :</w:t>
      </w:r>
    </w:p>
    <w:p w14:paraId="6F2E3548" w14:textId="77777777" w:rsidR="00F46C7B" w:rsidRPr="00C73365" w:rsidRDefault="00F46C7B" w:rsidP="004572A0">
      <w:pPr>
        <w:pStyle w:val="Listepuces2"/>
        <w:numPr>
          <w:ilvl w:val="0"/>
          <w:numId w:val="44"/>
        </w:numPr>
        <w:rPr>
          <w:rFonts w:asciiTheme="minorHAnsi" w:hAnsiTheme="minorHAnsi" w:cstheme="minorHAnsi"/>
          <w:spacing w:val="-2"/>
        </w:rPr>
      </w:pPr>
      <w:r w:rsidRPr="00C73365">
        <w:rPr>
          <w:rFonts w:asciiTheme="minorHAnsi" w:hAnsiTheme="minorHAnsi" w:cstheme="minorHAnsi"/>
        </w:rPr>
        <w:t>le besoin médical</w:t>
      </w:r>
      <w:r w:rsidRPr="00C73365">
        <w:rPr>
          <w:rFonts w:asciiTheme="minorHAnsi" w:hAnsiTheme="minorHAnsi" w:cstheme="minorHAnsi"/>
          <w:spacing w:val="-2"/>
        </w:rPr>
        <w:t> ;</w:t>
      </w:r>
    </w:p>
    <w:p w14:paraId="5ABEED63" w14:textId="77777777" w:rsidR="00F46C7B" w:rsidRPr="00C73365" w:rsidRDefault="00F46C7B" w:rsidP="004572A0">
      <w:pPr>
        <w:pStyle w:val="Listepuces2"/>
        <w:numPr>
          <w:ilvl w:val="0"/>
          <w:numId w:val="44"/>
        </w:numPr>
        <w:rPr>
          <w:rFonts w:asciiTheme="minorHAnsi" w:hAnsiTheme="minorHAnsi" w:cstheme="minorHAnsi"/>
        </w:rPr>
      </w:pPr>
      <w:r w:rsidRPr="00C73365">
        <w:rPr>
          <w:rFonts w:asciiTheme="minorHAnsi" w:hAnsiTheme="minorHAnsi" w:cstheme="minorHAnsi"/>
        </w:rPr>
        <w:t>le marché ;</w:t>
      </w:r>
    </w:p>
    <w:p w14:paraId="69A5CDE6" w14:textId="77777777" w:rsidR="00F46C7B" w:rsidRPr="00C73365" w:rsidRDefault="00F46C7B" w:rsidP="004572A0">
      <w:pPr>
        <w:pStyle w:val="Listepuces2"/>
        <w:numPr>
          <w:ilvl w:val="0"/>
          <w:numId w:val="44"/>
        </w:numPr>
        <w:rPr>
          <w:rFonts w:asciiTheme="minorHAnsi" w:hAnsiTheme="minorHAnsi" w:cstheme="minorHAnsi"/>
        </w:rPr>
      </w:pPr>
      <w:r w:rsidRPr="00C73365">
        <w:rPr>
          <w:rFonts w:asciiTheme="minorHAnsi" w:hAnsiTheme="minorHAnsi" w:cstheme="minorHAnsi"/>
        </w:rPr>
        <w:t>l</w:t>
      </w:r>
      <w:r w:rsidR="004572A0" w:rsidRPr="00C73365">
        <w:rPr>
          <w:rFonts w:asciiTheme="minorHAnsi" w:hAnsiTheme="minorHAnsi" w:cstheme="minorHAnsi"/>
        </w:rPr>
        <w:t>’</w:t>
      </w:r>
      <w:r w:rsidRPr="00C73365">
        <w:rPr>
          <w:rFonts w:asciiTheme="minorHAnsi" w:hAnsiTheme="minorHAnsi" w:cstheme="minorHAnsi"/>
        </w:rPr>
        <w:t>environnement concurrentiel ;</w:t>
      </w:r>
    </w:p>
    <w:p w14:paraId="18D8CFB7" w14:textId="77777777" w:rsidR="00F46C7B" w:rsidRPr="00E66FAB" w:rsidRDefault="00F46C7B" w:rsidP="004572A0">
      <w:pPr>
        <w:pStyle w:val="Listepuces2"/>
        <w:numPr>
          <w:ilvl w:val="0"/>
          <w:numId w:val="44"/>
        </w:numPr>
        <w:rPr>
          <w:rFonts w:asciiTheme="minorHAnsi" w:hAnsiTheme="minorHAnsi" w:cstheme="minorHAnsi"/>
          <w:lang w:val="fr-FR"/>
        </w:rPr>
      </w:pPr>
      <w:r w:rsidRPr="00E66FAB">
        <w:rPr>
          <w:rFonts w:asciiTheme="minorHAnsi" w:hAnsiTheme="minorHAnsi" w:cstheme="minorHAnsi"/>
          <w:lang w:val="fr-FR"/>
        </w:rPr>
        <w:t>l</w:t>
      </w:r>
      <w:r w:rsidR="004572A0" w:rsidRPr="00E66FAB">
        <w:rPr>
          <w:rFonts w:asciiTheme="minorHAnsi" w:hAnsiTheme="minorHAnsi" w:cstheme="minorHAnsi"/>
          <w:lang w:val="fr-FR"/>
        </w:rPr>
        <w:t>’</w:t>
      </w:r>
      <w:r w:rsidRPr="00E66FAB">
        <w:rPr>
          <w:rFonts w:asciiTheme="minorHAnsi" w:hAnsiTheme="minorHAnsi" w:cstheme="minorHAnsi"/>
          <w:lang w:val="fr-FR"/>
        </w:rPr>
        <w:t>état de</w:t>
      </w:r>
      <w:r w:rsidRPr="00E66FAB">
        <w:rPr>
          <w:rFonts w:asciiTheme="minorHAnsi" w:hAnsiTheme="minorHAnsi" w:cstheme="minorHAnsi"/>
          <w:spacing w:val="-2"/>
          <w:lang w:val="fr-FR"/>
        </w:rPr>
        <w:t xml:space="preserve"> </w:t>
      </w:r>
      <w:r w:rsidRPr="00E66FAB">
        <w:rPr>
          <w:rFonts w:asciiTheme="minorHAnsi" w:hAnsiTheme="minorHAnsi" w:cstheme="minorHAnsi"/>
          <w:lang w:val="fr-FR"/>
        </w:rPr>
        <w:t>l</w:t>
      </w:r>
      <w:r w:rsidR="004572A0" w:rsidRPr="00E66FAB">
        <w:rPr>
          <w:rFonts w:asciiTheme="minorHAnsi" w:hAnsiTheme="minorHAnsi" w:cstheme="minorHAnsi"/>
          <w:lang w:val="fr-FR"/>
        </w:rPr>
        <w:t>’</w:t>
      </w:r>
      <w:r w:rsidRPr="00E66FAB">
        <w:rPr>
          <w:rFonts w:asciiTheme="minorHAnsi" w:hAnsiTheme="minorHAnsi" w:cstheme="minorHAnsi"/>
          <w:lang w:val="fr-FR"/>
        </w:rPr>
        <w:t>art et de la</w:t>
      </w:r>
      <w:r w:rsidRPr="00E66FAB">
        <w:rPr>
          <w:rFonts w:asciiTheme="minorHAnsi" w:hAnsiTheme="minorHAnsi" w:cstheme="minorHAnsi"/>
          <w:spacing w:val="-3"/>
          <w:lang w:val="fr-FR"/>
        </w:rPr>
        <w:t xml:space="preserve"> </w:t>
      </w:r>
      <w:r w:rsidRPr="00E66FAB">
        <w:rPr>
          <w:rFonts w:asciiTheme="minorHAnsi" w:hAnsiTheme="minorHAnsi" w:cstheme="minorHAnsi"/>
          <w:lang w:val="fr-FR"/>
        </w:rPr>
        <w:t>propriété intellectuelle</w:t>
      </w:r>
      <w:r w:rsidRPr="00E66FAB">
        <w:rPr>
          <w:rFonts w:asciiTheme="minorHAnsi" w:hAnsiTheme="minorHAnsi" w:cstheme="minorHAnsi"/>
          <w:spacing w:val="-2"/>
          <w:lang w:val="fr-FR"/>
        </w:rPr>
        <w:t xml:space="preserve"> </w:t>
      </w:r>
      <w:r w:rsidRPr="00E66FAB">
        <w:rPr>
          <w:rFonts w:asciiTheme="minorHAnsi" w:hAnsiTheme="minorHAnsi" w:cstheme="minorHAnsi"/>
          <w:lang w:val="fr-FR"/>
        </w:rPr>
        <w:t>;</w:t>
      </w:r>
      <w:r w:rsidRPr="00E66FAB">
        <w:rPr>
          <w:rFonts w:asciiTheme="minorHAnsi" w:hAnsiTheme="minorHAnsi" w:cstheme="minorHAnsi"/>
          <w:spacing w:val="-2"/>
          <w:lang w:val="fr-FR"/>
        </w:rPr>
        <w:t xml:space="preserve"> </w:t>
      </w:r>
    </w:p>
    <w:p w14:paraId="50A56D2E" w14:textId="77777777" w:rsidR="00F46C7B" w:rsidRPr="00C73365" w:rsidRDefault="00F46C7B" w:rsidP="004572A0">
      <w:pPr>
        <w:pStyle w:val="Listepuces2"/>
        <w:numPr>
          <w:ilvl w:val="0"/>
          <w:numId w:val="44"/>
        </w:numPr>
        <w:rPr>
          <w:rFonts w:asciiTheme="minorHAnsi" w:hAnsiTheme="minorHAnsi" w:cstheme="minorHAnsi"/>
        </w:rPr>
      </w:pPr>
      <w:r w:rsidRPr="00C73365">
        <w:rPr>
          <w:rFonts w:asciiTheme="minorHAnsi" w:hAnsiTheme="minorHAnsi" w:cstheme="minorHAnsi"/>
        </w:rPr>
        <w:t>la faisabilité du projet.</w:t>
      </w:r>
    </w:p>
    <w:p w14:paraId="755A656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Selon les conclusions de cette phase d’investigation/suivi de projet, le comité de direction décide ou non de la réalisation et/ou continuation du projet. Ce comité est constitué des responsables des différents départements (R&amp;D, Qualité, Production, Affaires Réglementaires, Commerciale, et Business Development) afin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appréhender le </w:t>
      </w:r>
      <w:r w:rsidRPr="00C73365">
        <w:rPr>
          <w:rFonts w:asciiTheme="minorHAnsi" w:hAnsiTheme="minorHAnsi" w:cstheme="minorHAnsi"/>
          <w:spacing w:val="-1"/>
          <w:lang w:val="fr-FR"/>
        </w:rPr>
        <w:t xml:space="preserve">candidat-médicament </w:t>
      </w:r>
      <w:r w:rsidRPr="00C73365">
        <w:rPr>
          <w:rFonts w:asciiTheme="minorHAnsi" w:hAnsiTheme="minorHAnsi" w:cstheme="minorHAnsi"/>
          <w:lang w:val="fr-FR"/>
        </w:rPr>
        <w:t xml:space="preserve">dans tous les aspects de son développement scientifique, clinique, industriel et commercial. </w:t>
      </w:r>
    </w:p>
    <w:p w14:paraId="27F155F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Les inventions développées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transversales et couvrent différents domaines scientifiques comme </w:t>
      </w:r>
      <w:r w:rsidR="00463B44" w:rsidRPr="00C73365">
        <w:rPr>
          <w:rFonts w:asciiTheme="minorHAnsi" w:hAnsiTheme="minorHAnsi" w:cstheme="minorHAnsi"/>
          <w:lang w:val="fr-FR"/>
        </w:rPr>
        <w:t>la chimie</w:t>
      </w:r>
      <w:r w:rsidRPr="00C73365">
        <w:rPr>
          <w:rFonts w:asciiTheme="minorHAnsi" w:hAnsiTheme="minorHAnsi" w:cstheme="minorHAnsi"/>
          <w:lang w:val="fr-FR"/>
        </w:rPr>
        <w:t xml:space="preserve">, la virologie, l’immunologie, la biologie moléculaire, la biologie cellulaire. Pour faire face à ces défis, trois équipes d’experts ont été constituées dans les différentes activités de développement de ses </w:t>
      </w:r>
      <w:r w:rsidRPr="00C73365">
        <w:rPr>
          <w:rFonts w:asciiTheme="minorHAnsi" w:hAnsiTheme="minorHAnsi" w:cstheme="minorHAnsi"/>
          <w:spacing w:val="-1"/>
          <w:lang w:val="fr-FR"/>
        </w:rPr>
        <w:t xml:space="preserve">candidats-médicaments </w:t>
      </w:r>
      <w:r w:rsidRPr="00C73365">
        <w:rPr>
          <w:rFonts w:asciiTheme="minorHAnsi" w:hAnsiTheme="minorHAnsi" w:cstheme="minorHAnsi"/>
          <w:lang w:val="fr-FR"/>
        </w:rPr>
        <w:t>(virologie, chimie médicinale, immunologie etc ).</w:t>
      </w:r>
    </w:p>
    <w:p w14:paraId="707BE96D"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coordination de ces différentes équipes est assurée lors de réunions de travail régulières par projet. Un responsable projet coordonne les différentes étapes de développement de chaque </w:t>
      </w:r>
      <w:r w:rsidRPr="00C73365">
        <w:rPr>
          <w:rFonts w:asciiTheme="minorHAnsi" w:hAnsiTheme="minorHAnsi" w:cstheme="minorHAnsi"/>
          <w:spacing w:val="-1"/>
          <w:lang w:val="fr-FR"/>
        </w:rPr>
        <w:t xml:space="preserve">candidat-médicament </w:t>
      </w:r>
      <w:r w:rsidRPr="00C73365">
        <w:rPr>
          <w:rFonts w:asciiTheme="minorHAnsi" w:hAnsiTheme="minorHAnsi" w:cstheme="minorHAnsi"/>
          <w:lang w:val="fr-FR"/>
        </w:rPr>
        <w:t>(R&amp;D, Préclinique, Production et Clinique) pour s’assurer que le projet avance sans retard au sein des différentes équipes de la Société et auprès des prestataires externes.</w:t>
      </w:r>
    </w:p>
    <w:p w14:paraId="5CB6EEB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recrutement des cadres et des techniciens, la formation du personnel ainsi que les méthodes de travail obéissant aux Bonnes Pratiques de Laboratoire sont orientés en fonction des innovations de la Société.</w:t>
      </w:r>
    </w:p>
    <w:p w14:paraId="70F1911D"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stratégie de gestion de la propriété intellectuelle développée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vise à constituer une véritable barrière à l’intrusion de sociétés tierces dans son univers propriétaire tant du point de vue des produits développés que du point de vue géographique. Ainsi, les plateformes technologiques et les candidats-médicaments qui en découlent sont protégées par des brevets sur les marchés clefs de la Société, à savoir les principaux pays européens, les Etats-Unis, le Canada, le Japon, l’Australie, le Brésil, la Chine et Hong-Kong, la Corée du Sud, l’Inde, la Russie, le Mexique, l’Argentine, et l’Afrique du Sud.</w:t>
      </w:r>
    </w:p>
    <w:p w14:paraId="7E58F82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politique d’innovation de la Société est soutenue par une veille scientifique et technologique sur toutes les indications dans le domaine des maladies infectieuses et/ou chronique.</w:t>
      </w:r>
    </w:p>
    <w:p w14:paraId="3635ACE4" w14:textId="77777777"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718" w:name="_Toc462673259"/>
      <w:bookmarkStart w:id="719" w:name="_Toc510548432"/>
      <w:r w:rsidRPr="00C73365">
        <w:rPr>
          <w:rFonts w:asciiTheme="minorHAnsi" w:hAnsiTheme="minorHAnsi" w:cstheme="minorHAnsi"/>
          <w:sz w:val="22"/>
          <w:szCs w:val="22"/>
          <w:lang w:val="fr-FR"/>
        </w:rPr>
        <w:lastRenderedPageBreak/>
        <w:t>Brevets et demandes de brevets</w:t>
      </w:r>
      <w:bookmarkEnd w:id="717"/>
      <w:bookmarkEnd w:id="718"/>
      <w:bookmarkEnd w:id="719"/>
    </w:p>
    <w:p w14:paraId="443678E0" w14:textId="77777777" w:rsidR="00F46C7B" w:rsidRPr="00C73365" w:rsidRDefault="00F46C7B" w:rsidP="00434C49">
      <w:pPr>
        <w:pStyle w:val="ConmainL3"/>
        <w:keepLines/>
        <w:numPr>
          <w:ilvl w:val="2"/>
          <w:numId w:val="96"/>
        </w:numPr>
        <w:spacing w:after="120"/>
        <w:ind w:left="1276" w:hanging="556"/>
        <w:rPr>
          <w:rFonts w:asciiTheme="minorHAnsi" w:hAnsiTheme="minorHAnsi" w:cstheme="minorHAnsi"/>
          <w:lang w:val="fr-FR"/>
        </w:rPr>
      </w:pPr>
      <w:r w:rsidRPr="00C73365">
        <w:rPr>
          <w:rFonts w:asciiTheme="minorHAnsi" w:hAnsiTheme="minorHAnsi" w:cstheme="minorHAnsi"/>
          <w:b/>
          <w:color w:val="7030A0"/>
          <w:lang w:val="fr-FR"/>
        </w:rPr>
        <w:t>Politique de protection de la propriété industrielle</w:t>
      </w:r>
    </w:p>
    <w:p w14:paraId="78C7FF3D" w14:textId="77777777" w:rsidR="00F46C7B" w:rsidRPr="00C73365" w:rsidRDefault="00F46C7B" w:rsidP="004572A0">
      <w:pPr>
        <w:pStyle w:val="Corpsdetexte"/>
        <w:rPr>
          <w:rFonts w:asciiTheme="minorHAnsi" w:hAnsiTheme="minorHAnsi" w:cstheme="minorHAnsi"/>
          <w:spacing w:val="1"/>
          <w:lang w:val="fr-FR"/>
        </w:rPr>
      </w:pPr>
      <w:r w:rsidRPr="00C73365">
        <w:rPr>
          <w:rFonts w:asciiTheme="minorHAnsi" w:hAnsiTheme="minorHAnsi" w:cstheme="minorHAnsi"/>
          <w:lang w:val="fr-FR"/>
        </w:rPr>
        <w:t>Le</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succès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Société</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 xml:space="preserve">dépend </w:t>
      </w:r>
      <w:r w:rsidRPr="00C73365">
        <w:rPr>
          <w:rFonts w:asciiTheme="minorHAnsi" w:hAnsiTheme="minorHAnsi" w:cstheme="minorHAnsi"/>
          <w:spacing w:val="-2"/>
          <w:lang w:val="fr-FR"/>
        </w:rPr>
        <w:t>de</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sa</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capacité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5"/>
          <w:lang w:val="fr-FR"/>
        </w:rPr>
        <w:t xml:space="preserve"> déposer et </w:t>
      </w:r>
      <w:r w:rsidRPr="00C73365">
        <w:rPr>
          <w:rFonts w:asciiTheme="minorHAnsi" w:hAnsiTheme="minorHAnsi" w:cstheme="minorHAnsi"/>
          <w:lang w:val="fr-FR"/>
        </w:rPr>
        <w:t>protéger</w:t>
      </w:r>
      <w:r w:rsidRPr="00C73365">
        <w:rPr>
          <w:rFonts w:asciiTheme="minorHAnsi" w:hAnsiTheme="minorHAnsi" w:cstheme="minorHAnsi"/>
          <w:spacing w:val="8"/>
          <w:lang w:val="fr-FR"/>
        </w:rPr>
        <w:t xml:space="preserve"> correctement </w:t>
      </w:r>
      <w:r w:rsidRPr="00C73365">
        <w:rPr>
          <w:rFonts w:asciiTheme="minorHAnsi" w:hAnsiTheme="minorHAnsi" w:cstheme="minorHAnsi"/>
          <w:lang w:val="fr-FR"/>
        </w:rPr>
        <w:t>ses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inventions,</w:t>
      </w:r>
      <w:r w:rsidRPr="00C73365">
        <w:rPr>
          <w:rFonts w:asciiTheme="minorHAnsi" w:hAnsiTheme="minorHAnsi" w:cstheme="minorHAnsi"/>
          <w:spacing w:val="55"/>
          <w:lang w:val="fr-FR"/>
        </w:rPr>
        <w:t xml:space="preserve"> </w:t>
      </w:r>
      <w:r w:rsidRPr="00C73365">
        <w:rPr>
          <w:rFonts w:asciiTheme="minorHAnsi" w:hAnsiTheme="minorHAnsi" w:cstheme="minorHAnsi"/>
          <w:lang w:val="fr-FR"/>
        </w:rPr>
        <w:t>notamment</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par</w:t>
      </w:r>
      <w:r w:rsidRPr="00C73365">
        <w:rPr>
          <w:rFonts w:asciiTheme="minorHAnsi" w:hAnsiTheme="minorHAnsi" w:cstheme="minorHAnsi"/>
          <w:spacing w:val="13"/>
          <w:lang w:val="fr-FR"/>
        </w:rPr>
        <w:t xml:space="preserve"> </w:t>
      </w:r>
      <w:r w:rsidRPr="00C73365">
        <w:rPr>
          <w:rFonts w:asciiTheme="minorHAnsi" w:hAnsiTheme="minorHAnsi" w:cstheme="minorHAnsi"/>
          <w:lang w:val="fr-FR"/>
        </w:rPr>
        <w:t>l’obtention</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et</w:t>
      </w:r>
      <w:r w:rsidRPr="00C73365">
        <w:rPr>
          <w:rFonts w:asciiTheme="minorHAnsi" w:hAnsiTheme="minorHAnsi" w:cstheme="minorHAnsi"/>
          <w:spacing w:val="13"/>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maintien</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en</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vigueur</w:t>
      </w:r>
      <w:r w:rsidRPr="00C73365">
        <w:rPr>
          <w:rFonts w:asciiTheme="minorHAnsi" w:hAnsiTheme="minorHAnsi" w:cstheme="minorHAnsi"/>
          <w:spacing w:val="1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brevets</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dans les zones géographiques couvertes.</w:t>
      </w:r>
      <w:r w:rsidRPr="00C73365">
        <w:rPr>
          <w:rFonts w:asciiTheme="minorHAnsi" w:hAnsiTheme="minorHAnsi" w:cstheme="minorHAnsi"/>
          <w:spacing w:val="53"/>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politique</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active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est</w:t>
      </w:r>
      <w:r w:rsidRPr="00C73365">
        <w:rPr>
          <w:rFonts w:asciiTheme="minorHAnsi" w:hAnsiTheme="minorHAnsi" w:cstheme="minorHAnsi"/>
          <w:spacing w:val="30"/>
          <w:lang w:val="fr-FR"/>
        </w:rPr>
        <w:t xml:space="preserve"> </w:t>
      </w:r>
      <w:r w:rsidRPr="00C73365">
        <w:rPr>
          <w:rFonts w:asciiTheme="minorHAnsi" w:hAnsiTheme="minorHAnsi" w:cstheme="minorHAnsi"/>
          <w:lang w:val="fr-FR"/>
        </w:rPr>
        <w:t>donc</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poursuivie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pour,</w:t>
      </w:r>
      <w:r w:rsidRPr="00C73365">
        <w:rPr>
          <w:rFonts w:asciiTheme="minorHAnsi" w:hAnsiTheme="minorHAnsi" w:cstheme="minorHAnsi"/>
          <w:spacing w:val="26"/>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fois,</w:t>
      </w:r>
      <w:r w:rsidRPr="00C73365">
        <w:rPr>
          <w:rFonts w:asciiTheme="minorHAnsi" w:hAnsiTheme="minorHAnsi" w:cstheme="minorHAnsi"/>
          <w:spacing w:val="31"/>
          <w:lang w:val="fr-FR"/>
        </w:rPr>
        <w:t xml:space="preserve"> </w:t>
      </w:r>
      <w:r w:rsidRPr="00C73365">
        <w:rPr>
          <w:rFonts w:asciiTheme="minorHAnsi" w:hAnsiTheme="minorHAnsi" w:cstheme="minorHAnsi"/>
          <w:lang w:val="fr-FR"/>
        </w:rPr>
        <w:t>protéger</w:t>
      </w:r>
      <w:r w:rsidRPr="00C73365">
        <w:rPr>
          <w:rFonts w:asciiTheme="minorHAnsi" w:hAnsiTheme="minorHAnsi" w:cstheme="minorHAnsi"/>
          <w:spacing w:val="30"/>
          <w:lang w:val="fr-FR"/>
        </w:rPr>
        <w:t xml:space="preserve"> </w:t>
      </w:r>
      <w:r w:rsidRPr="00C73365">
        <w:rPr>
          <w:rFonts w:asciiTheme="minorHAnsi" w:hAnsiTheme="minorHAnsi" w:cstheme="minorHAnsi"/>
          <w:lang w:val="fr-FR"/>
        </w:rPr>
        <w:t>les</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candidats-médicaments en</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cours</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49"/>
          <w:lang w:val="fr-FR"/>
        </w:rPr>
        <w:t xml:space="preserve"> </w:t>
      </w:r>
      <w:r w:rsidRPr="00C73365">
        <w:rPr>
          <w:rFonts w:asciiTheme="minorHAnsi" w:hAnsiTheme="minorHAnsi" w:cstheme="minorHAnsi"/>
          <w:lang w:val="fr-FR"/>
        </w:rPr>
        <w:t>développement</w:t>
      </w:r>
      <w:r w:rsidRPr="00C73365">
        <w:rPr>
          <w:rFonts w:asciiTheme="minorHAnsi" w:hAnsiTheme="minorHAnsi" w:cstheme="minorHAnsi"/>
          <w:spacing w:val="1"/>
          <w:lang w:val="fr-FR"/>
        </w:rPr>
        <w:t xml:space="preserve"> </w:t>
      </w:r>
      <w:r w:rsidRPr="00C73365">
        <w:rPr>
          <w:rFonts w:asciiTheme="minorHAnsi" w:hAnsiTheme="minorHAnsi" w:cstheme="minorHAnsi"/>
          <w:lang w:val="fr-FR"/>
        </w:rPr>
        <w:t>clinique, mais</w:t>
      </w:r>
      <w:r w:rsidRPr="00C73365">
        <w:rPr>
          <w:rFonts w:asciiTheme="minorHAnsi" w:hAnsiTheme="minorHAnsi" w:cstheme="minorHAnsi"/>
          <w:spacing w:val="53"/>
          <w:lang w:val="fr-FR"/>
        </w:rPr>
        <w:t xml:space="preserve"> </w:t>
      </w:r>
      <w:r w:rsidRPr="00C73365">
        <w:rPr>
          <w:rFonts w:asciiTheme="minorHAnsi" w:hAnsiTheme="minorHAnsi" w:cstheme="minorHAnsi"/>
          <w:lang w:val="fr-FR"/>
        </w:rPr>
        <w:t>également</w:t>
      </w:r>
      <w:r w:rsidRPr="00C73365">
        <w:rPr>
          <w:rFonts w:asciiTheme="minorHAnsi" w:hAnsiTheme="minorHAnsi" w:cstheme="minorHAnsi"/>
          <w:spacing w:val="1"/>
          <w:lang w:val="fr-FR"/>
        </w:rPr>
        <w:t xml:space="preserve"> </w:t>
      </w:r>
      <w:r w:rsidRPr="00C73365">
        <w:rPr>
          <w:rFonts w:asciiTheme="minorHAnsi" w:hAnsiTheme="minorHAnsi" w:cstheme="minorHAnsi"/>
          <w:lang w:val="fr-FR"/>
        </w:rPr>
        <w:t>protéger</w:t>
      </w:r>
      <w:r w:rsidRPr="00C73365">
        <w:rPr>
          <w:rFonts w:asciiTheme="minorHAnsi" w:hAnsiTheme="minorHAnsi" w:cstheme="minorHAnsi"/>
          <w:spacing w:val="1"/>
          <w:lang w:val="fr-FR"/>
        </w:rPr>
        <w:t xml:space="preserve"> ses plateformes pour toute nouvelle molécule ayant une activité thérapeutique sur une indication particulière, mais également utilisable en diagnostic ou dans un autre domaine.</w:t>
      </w:r>
    </w:p>
    <w:p w14:paraId="2B97CD8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Conformément à sa stratégie visant à protéger ses technologies et ses </w:t>
      </w:r>
      <w:r w:rsidRPr="00C73365">
        <w:rPr>
          <w:rFonts w:asciiTheme="minorHAnsi" w:hAnsiTheme="minorHAnsi" w:cstheme="minorHAnsi"/>
          <w:spacing w:val="-1"/>
          <w:lang w:val="fr-FR"/>
        </w:rPr>
        <w:t xml:space="preserve">candidats-médicaments </w:t>
      </w:r>
      <w:r w:rsidRPr="00C73365">
        <w:rPr>
          <w:rFonts w:asciiTheme="minorHAnsi" w:hAnsiTheme="minorHAnsi" w:cstheme="minorHAnsi"/>
          <w:lang w:val="fr-FR"/>
        </w:rPr>
        <w:t xml:space="preserve">en développement,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déposé et continue de déposer de nombreuses demandes de brevet pour couvrir :</w:t>
      </w:r>
    </w:p>
    <w:p w14:paraId="79B3C1ED" w14:textId="77777777" w:rsidR="00F46C7B" w:rsidRPr="00C73365" w:rsidRDefault="00F46C7B" w:rsidP="004572A0">
      <w:pPr>
        <w:pStyle w:val="Listepuces2"/>
        <w:numPr>
          <w:ilvl w:val="0"/>
          <w:numId w:val="45"/>
        </w:numPr>
        <w:rPr>
          <w:rFonts w:asciiTheme="minorHAnsi" w:hAnsiTheme="minorHAnsi" w:cstheme="minorHAnsi"/>
        </w:rPr>
      </w:pPr>
      <w:r w:rsidRPr="00C73365">
        <w:rPr>
          <w:rFonts w:asciiTheme="minorHAnsi" w:hAnsiTheme="minorHAnsi" w:cstheme="minorHAnsi"/>
        </w:rPr>
        <w:t>l’ensemble de ses technologies ;</w:t>
      </w:r>
    </w:p>
    <w:p w14:paraId="002388CD" w14:textId="77777777" w:rsidR="00F46C7B" w:rsidRPr="00E66FAB" w:rsidRDefault="00F46C7B" w:rsidP="004572A0">
      <w:pPr>
        <w:pStyle w:val="Listepuces2"/>
        <w:numPr>
          <w:ilvl w:val="0"/>
          <w:numId w:val="45"/>
        </w:numPr>
        <w:rPr>
          <w:rFonts w:asciiTheme="minorHAnsi" w:hAnsiTheme="minorHAnsi" w:cstheme="minorHAnsi"/>
          <w:lang w:val="fr-FR"/>
        </w:rPr>
      </w:pPr>
      <w:r w:rsidRPr="00E66FAB">
        <w:rPr>
          <w:rFonts w:asciiTheme="minorHAnsi" w:hAnsiTheme="minorHAnsi" w:cstheme="minorHAnsi"/>
          <w:lang w:val="fr-FR"/>
        </w:rPr>
        <w:t>les familles de produit sur un ensemble d’indications ;</w:t>
      </w:r>
    </w:p>
    <w:p w14:paraId="6E43E2EE" w14:textId="77777777" w:rsidR="00F46C7B" w:rsidRPr="00E66FAB" w:rsidRDefault="00F46C7B" w:rsidP="004572A0">
      <w:pPr>
        <w:pStyle w:val="Listepuces2"/>
        <w:numPr>
          <w:ilvl w:val="0"/>
          <w:numId w:val="45"/>
        </w:numPr>
        <w:rPr>
          <w:rFonts w:asciiTheme="minorHAnsi" w:hAnsiTheme="minorHAnsi" w:cstheme="minorHAnsi"/>
          <w:lang w:val="fr-FR"/>
        </w:rPr>
      </w:pPr>
      <w:r w:rsidRPr="00E66FAB">
        <w:rPr>
          <w:rFonts w:asciiTheme="minorHAnsi" w:hAnsiTheme="minorHAnsi" w:cstheme="minorHAnsi"/>
          <w:lang w:val="fr-FR"/>
        </w:rPr>
        <w:t>l’utilisation de famille de produits ayant démontré une activité dans une indication particulière, ou utilisable pour du diagnostic ;</w:t>
      </w:r>
    </w:p>
    <w:p w14:paraId="3D65C916" w14:textId="77777777" w:rsidR="00F46C7B" w:rsidRPr="00E66FAB" w:rsidRDefault="00F46C7B" w:rsidP="004572A0">
      <w:pPr>
        <w:pStyle w:val="Listepuces2"/>
        <w:numPr>
          <w:ilvl w:val="0"/>
          <w:numId w:val="45"/>
        </w:numPr>
        <w:rPr>
          <w:rFonts w:asciiTheme="minorHAnsi" w:hAnsiTheme="minorHAnsi" w:cstheme="minorHAnsi"/>
          <w:lang w:val="fr-FR"/>
        </w:rPr>
      </w:pPr>
      <w:r w:rsidRPr="00E66FAB">
        <w:rPr>
          <w:rFonts w:asciiTheme="minorHAnsi" w:hAnsiTheme="minorHAnsi" w:cstheme="minorHAnsi"/>
          <w:lang w:val="fr-FR"/>
        </w:rPr>
        <w:t>le procédé de fabrication si celui-ci est innovant.</w:t>
      </w:r>
    </w:p>
    <w:p w14:paraId="04E02631" w14:textId="77777777" w:rsidR="00F46C7B"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dispose en outre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un important savoir-faire dans son domaine d’activité. Dans ce cadre,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protège sa technologie, son savoir-faire et ses différentes données confidentielles non brevetables en recourant à des engagements de confidentialité avec ses employés, ses consultants et ses cocontractants.</w:t>
      </w:r>
    </w:p>
    <w:p w14:paraId="2625C712"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Afin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assurer et de dater les connaissances qu’elle acquiert et se protéger au mieux de toute action judiciaire notamment en Europe et aux Etats-Unis dans ce domaine,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dispose d’une structure qualité qui gère certaines études dans le cadre des Bonnes Pratiques de Laboratoires. L’ensemble des projets est suivi a minima par des cahiers de laboratoires (expertises chimie et antivirale) et géré selon l’ensemble des procédures de Bonnes Pratiques de Laboratoires conforme aux normes internationales (expertise vaccin).</w:t>
      </w:r>
    </w:p>
    <w:p w14:paraId="1252C9E5" w14:textId="77777777" w:rsidR="00F46C7B" w:rsidRPr="00C73365" w:rsidRDefault="00F46C7B" w:rsidP="00434C49">
      <w:pPr>
        <w:pStyle w:val="ConmainL3"/>
        <w:keepLines/>
        <w:numPr>
          <w:ilvl w:val="2"/>
          <w:numId w:val="96"/>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Brevets et demandes de brevet gérés ou cogérés par la Société</w:t>
      </w:r>
    </w:p>
    <w:p w14:paraId="0D180D31" w14:textId="77777777" w:rsidR="00F46C7B" w:rsidRPr="00C73365" w:rsidRDefault="00F46C7B">
      <w:pPr>
        <w:pStyle w:val="Paragraphedeliste"/>
        <w:widowControl w:val="0"/>
        <w:ind w:left="491"/>
        <w:rPr>
          <w:rFonts w:asciiTheme="minorHAnsi" w:hAnsiTheme="minorHAnsi" w:cstheme="minorHAnsi"/>
          <w:szCs w:val="20"/>
          <w:lang w:val="fr-FR"/>
        </w:rPr>
      </w:pPr>
      <w:r w:rsidRPr="00C73365">
        <w:rPr>
          <w:rFonts w:asciiTheme="minorHAnsi" w:hAnsiTheme="minorHAnsi" w:cstheme="minorHAnsi"/>
          <w:szCs w:val="20"/>
          <w:lang w:val="fr-FR"/>
        </w:rPr>
        <w:t>Les inventions</w:t>
      </w:r>
      <w:r w:rsidRPr="00C73365">
        <w:rPr>
          <w:rFonts w:asciiTheme="minorHAnsi" w:hAnsiTheme="minorHAnsi" w:cstheme="minorHAnsi"/>
          <w:spacing w:val="-2"/>
          <w:szCs w:val="20"/>
          <w:lang w:val="fr-FR"/>
        </w:rPr>
        <w:t xml:space="preserve"> </w:t>
      </w:r>
      <w:r w:rsidRPr="00C73365">
        <w:rPr>
          <w:rFonts w:asciiTheme="minorHAnsi" w:hAnsiTheme="minorHAnsi" w:cstheme="minorHAnsi"/>
          <w:szCs w:val="20"/>
          <w:lang w:val="fr-FR"/>
        </w:rPr>
        <w:t>objets</w:t>
      </w:r>
      <w:r w:rsidRPr="00C73365">
        <w:rPr>
          <w:rFonts w:asciiTheme="minorHAnsi" w:hAnsiTheme="minorHAnsi" w:cstheme="minorHAnsi"/>
          <w:spacing w:val="-2"/>
          <w:szCs w:val="20"/>
          <w:lang w:val="fr-FR"/>
        </w:rPr>
        <w:t xml:space="preserve"> </w:t>
      </w:r>
      <w:r w:rsidRPr="00C73365">
        <w:rPr>
          <w:rFonts w:asciiTheme="minorHAnsi" w:hAnsiTheme="minorHAnsi" w:cstheme="minorHAnsi"/>
          <w:szCs w:val="20"/>
          <w:lang w:val="fr-FR"/>
        </w:rPr>
        <w:t>des brevets ou des demandes de brevet</w:t>
      </w:r>
      <w:r w:rsidRPr="00C73365">
        <w:rPr>
          <w:rFonts w:asciiTheme="minorHAnsi" w:hAnsiTheme="minorHAnsi" w:cstheme="minorHAnsi"/>
          <w:spacing w:val="-2"/>
          <w:szCs w:val="20"/>
          <w:lang w:val="fr-FR"/>
        </w:rPr>
        <w:t xml:space="preserv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ou des brevets ou demandes de brevet concédés en licence à titre exclusif à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dont la propriété intellectuelle est gérée ou cogérée par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concernent</w:t>
      </w:r>
      <w:r w:rsidRPr="00C73365">
        <w:rPr>
          <w:rFonts w:asciiTheme="minorHAnsi" w:hAnsiTheme="minorHAnsi" w:cstheme="minorHAnsi"/>
          <w:spacing w:val="-2"/>
          <w:szCs w:val="20"/>
          <w:lang w:val="fr-FR"/>
        </w:rPr>
        <w:t xml:space="preserve"> </w:t>
      </w:r>
      <w:r w:rsidR="00520BE2" w:rsidRPr="00C73365">
        <w:rPr>
          <w:rFonts w:asciiTheme="minorHAnsi" w:hAnsiTheme="minorHAnsi" w:cstheme="minorHAnsi"/>
          <w:szCs w:val="20"/>
          <w:lang w:val="fr-FR"/>
        </w:rPr>
        <w:t xml:space="preserve">trois </w:t>
      </w:r>
      <w:r w:rsidRPr="00C73365">
        <w:rPr>
          <w:rFonts w:asciiTheme="minorHAnsi" w:hAnsiTheme="minorHAnsi" w:cstheme="minorHAnsi"/>
          <w:szCs w:val="20"/>
          <w:lang w:val="fr-FR"/>
        </w:rPr>
        <w:t>plateformes technologiques :</w:t>
      </w:r>
    </w:p>
    <w:p w14:paraId="6EBED0B6" w14:textId="77777777" w:rsidR="00F46C7B" w:rsidRPr="00E66FAB" w:rsidRDefault="00F46C7B" w:rsidP="004572A0">
      <w:pPr>
        <w:pStyle w:val="Listepuces3"/>
        <w:numPr>
          <w:ilvl w:val="0"/>
          <w:numId w:val="46"/>
        </w:numPr>
        <w:rPr>
          <w:rFonts w:asciiTheme="minorHAnsi" w:hAnsiTheme="minorHAnsi" w:cstheme="minorHAnsi"/>
          <w:lang w:val="fr-FR"/>
        </w:rPr>
      </w:pPr>
      <w:r w:rsidRPr="00E66FAB">
        <w:rPr>
          <w:rFonts w:asciiTheme="minorHAnsi" w:hAnsiTheme="minorHAnsi" w:cstheme="minorHAnsi"/>
          <w:lang w:val="fr-FR"/>
        </w:rPr>
        <w:t xml:space="preserve">la Plateforme « Antivirale » ayant permis de développer ABX464, </w:t>
      </w:r>
    </w:p>
    <w:p w14:paraId="2959D400" w14:textId="77777777" w:rsidR="00F46C7B" w:rsidRPr="00E66FAB" w:rsidRDefault="00F46C7B" w:rsidP="004572A0">
      <w:pPr>
        <w:pStyle w:val="Listepuces3"/>
        <w:numPr>
          <w:ilvl w:val="0"/>
          <w:numId w:val="46"/>
        </w:numPr>
        <w:rPr>
          <w:rFonts w:asciiTheme="minorHAnsi" w:hAnsiTheme="minorHAnsi" w:cstheme="minorHAnsi"/>
          <w:lang w:val="fr-FR"/>
        </w:rPr>
      </w:pPr>
      <w:r w:rsidRPr="00E66FAB">
        <w:rPr>
          <w:rFonts w:asciiTheme="minorHAnsi" w:hAnsiTheme="minorHAnsi" w:cstheme="minorHAnsi"/>
          <w:lang w:val="fr-FR"/>
        </w:rPr>
        <w:t>la Plateforme « Stimulation Immunitaire» ayant permis de développer ABX196.</w:t>
      </w:r>
    </w:p>
    <w:p w14:paraId="7626BD78" w14:textId="77777777" w:rsidR="00520BE2" w:rsidRPr="00C73365" w:rsidRDefault="00DE1B9F" w:rsidP="00B170BA">
      <w:pPr>
        <w:pStyle w:val="Paragraphedeliste"/>
        <w:numPr>
          <w:ilvl w:val="0"/>
          <w:numId w:val="46"/>
        </w:numPr>
        <w:rPr>
          <w:rFonts w:asciiTheme="minorHAnsi" w:hAnsiTheme="minorHAnsi" w:cstheme="minorHAnsi"/>
          <w:szCs w:val="20"/>
          <w:lang w:val="fr-FR"/>
        </w:rPr>
      </w:pPr>
      <w:r w:rsidRPr="00C73365">
        <w:rPr>
          <w:rFonts w:asciiTheme="minorHAnsi" w:hAnsiTheme="minorHAnsi" w:cstheme="minorHAnsi"/>
          <w:szCs w:val="20"/>
          <w:lang w:val="fr-FR"/>
        </w:rPr>
        <w:t xml:space="preserve">la </w:t>
      </w:r>
      <w:r w:rsidR="00520BE2" w:rsidRPr="00C73365">
        <w:rPr>
          <w:rFonts w:asciiTheme="minorHAnsi" w:hAnsiTheme="minorHAnsi" w:cstheme="minorHAnsi"/>
          <w:szCs w:val="20"/>
          <w:lang w:val="fr-FR"/>
        </w:rPr>
        <w:t>Plateforme « Anticorps Polyclonaux » pour usage dans la prévention et / ou le traitement de la maladie due au virus Ebola.</w:t>
      </w:r>
    </w:p>
    <w:p w14:paraId="473F8AA5" w14:textId="77777777"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Plateforme « Antivirale »</w:t>
      </w:r>
    </w:p>
    <w:p w14:paraId="6BB6C510" w14:textId="77777777" w:rsidR="00F46C7B" w:rsidRPr="00C73365" w:rsidRDefault="00F46C7B" w:rsidP="00A96CCA">
      <w:pPr>
        <w:pStyle w:val="ConmainL3"/>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La plateforme « Antivirale » protège un ensemble de molécules qui traitent les maladies associées à une perturbation de l’épissage de l’ARNm (WO2005/023255, WO2008/101935) ou molécules inhibant cet épissage (WO2009/087238). Cette plateforme a donné lieu à la recherche de nouveaux composés pour traiter un grand nombre de maladies, de dysfonctionnement du système immunitaire ou de rétrovirus.</w:t>
      </w:r>
    </w:p>
    <w:p w14:paraId="5DB2F0F2" w14:textId="77777777" w:rsidR="00F46C7B" w:rsidRPr="00C73365" w:rsidRDefault="00EF089C" w:rsidP="00A96CCA">
      <w:pPr>
        <w:pStyle w:val="ConmainL3"/>
        <w:keepNext w:val="0"/>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s’est ainsi dotée de molécules contre la progeria (WO2010/143170), le VIH (WO2010/143169, WO2012/080953), ou certaines maladies induites par des rétrovirus. </w:t>
      </w: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possède également des composés utilisables contre le cancer (WO2010/143168 et WO2014/049578) pour le traitement de maladies inflammatoires, ou encore des composés affectant l’expression de la protéine P53 (WO2012/131656). Cette plateforme a également pu mettre en évidence des composés utilisables comme biomarqueurs (WO2013/132412 et WO2014/111892). </w:t>
      </w:r>
    </w:p>
    <w:p w14:paraId="34D250C0" w14:textId="77777777" w:rsidR="00F46C7B" w:rsidRPr="00C73365" w:rsidRDefault="00EF089C" w:rsidP="00A96CCA">
      <w:pPr>
        <w:pStyle w:val="ConmainL3"/>
        <w:keepNext w:val="0"/>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a commencé le développement clinique de son composé ABX464 chez les sujets sains et les sujets infectés par le VIH. </w:t>
      </w:r>
    </w:p>
    <w:p w14:paraId="0370B19E"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Cette plateforme « Antivirale » est protégée par </w:t>
      </w:r>
      <w:r w:rsidR="006F52A2" w:rsidRPr="00C73365">
        <w:rPr>
          <w:rFonts w:asciiTheme="minorHAnsi" w:hAnsiTheme="minorHAnsi" w:cstheme="minorHAnsi"/>
          <w:lang w:val="fr-FR"/>
        </w:rPr>
        <w:t xml:space="preserve">20 </w:t>
      </w:r>
      <w:r w:rsidRPr="00C73365">
        <w:rPr>
          <w:rFonts w:asciiTheme="minorHAnsi" w:hAnsiTheme="minorHAnsi" w:cstheme="minorHAnsi"/>
          <w:lang w:val="fr-FR"/>
        </w:rPr>
        <w:t xml:space="preserve">familles de brevets détenus en copropriété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des centres de recherches français (tableaux 1 à </w:t>
      </w:r>
      <w:r w:rsidR="006F52A2" w:rsidRPr="00C73365">
        <w:rPr>
          <w:rFonts w:asciiTheme="minorHAnsi" w:hAnsiTheme="minorHAnsi" w:cstheme="minorHAnsi"/>
          <w:lang w:val="fr-FR"/>
        </w:rPr>
        <w:t>16</w:t>
      </w:r>
      <w:r w:rsidRPr="00C73365">
        <w:rPr>
          <w:rFonts w:asciiTheme="minorHAnsi" w:hAnsiTheme="minorHAnsi" w:cstheme="minorHAnsi"/>
          <w:lang w:val="fr-FR"/>
        </w:rPr>
        <w:t xml:space="preserve">), ou concédés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 cadre d’accord de licence (tableaux </w:t>
      </w:r>
      <w:r w:rsidR="006F52A2" w:rsidRPr="00C73365">
        <w:rPr>
          <w:rFonts w:asciiTheme="minorHAnsi" w:hAnsiTheme="minorHAnsi" w:cstheme="minorHAnsi"/>
          <w:lang w:val="fr-FR"/>
        </w:rPr>
        <w:t xml:space="preserve">17 </w:t>
      </w:r>
      <w:r w:rsidRPr="00C73365">
        <w:rPr>
          <w:rFonts w:asciiTheme="minorHAnsi" w:hAnsiTheme="minorHAnsi" w:cstheme="minorHAnsi"/>
          <w:lang w:val="fr-FR"/>
        </w:rPr>
        <w:t xml:space="preserve">à </w:t>
      </w:r>
      <w:r w:rsidR="006F52A2" w:rsidRPr="00C73365">
        <w:rPr>
          <w:rFonts w:asciiTheme="minorHAnsi" w:hAnsiTheme="minorHAnsi" w:cstheme="minorHAnsi"/>
          <w:lang w:val="fr-FR"/>
        </w:rPr>
        <w:t>20</w:t>
      </w:r>
      <w:r w:rsidRPr="00C73365">
        <w:rPr>
          <w:rFonts w:asciiTheme="minorHAnsi" w:hAnsiTheme="minorHAnsi" w:cstheme="minorHAnsi"/>
          <w:lang w:val="fr-FR"/>
        </w:rPr>
        <w:t>). Les informations principales sont décrites dans les tableaux ci-dessous :</w:t>
      </w:r>
    </w:p>
    <w:p w14:paraId="155AA20A" w14:textId="77777777" w:rsidR="00F46C7B" w:rsidRPr="00C73365" w:rsidRDefault="00F46C7B" w:rsidP="004572A0">
      <w:pPr>
        <w:pStyle w:val="Corpsdetexte"/>
        <w:rPr>
          <w:rFonts w:asciiTheme="minorHAnsi" w:hAnsiTheme="minorHAnsi" w:cstheme="minorHAnsi"/>
          <w:b/>
          <w:sz w:val="18"/>
          <w:lang w:val="fr-FR"/>
        </w:rPr>
      </w:pPr>
      <w:r w:rsidRPr="00C73365">
        <w:rPr>
          <w:rFonts w:asciiTheme="minorHAnsi" w:hAnsiTheme="minorHAnsi" w:cstheme="minorHAnsi"/>
          <w:b/>
          <w:lang w:val="fr-FR"/>
        </w:rPr>
        <w:lastRenderedPageBreak/>
        <w:t>Brevets de la plateforme « Antivirale </w:t>
      </w:r>
      <w:r w:rsidR="00FE25E7" w:rsidRPr="00C73365">
        <w:rPr>
          <w:rFonts w:asciiTheme="minorHAnsi" w:hAnsiTheme="minorHAnsi" w:cstheme="minorHAnsi"/>
          <w:b/>
          <w:lang w:val="fr-FR"/>
        </w:rPr>
        <w:t>» détenus</w:t>
      </w:r>
      <w:r w:rsidRPr="00C73365">
        <w:rPr>
          <w:rFonts w:asciiTheme="minorHAnsi" w:hAnsiTheme="minorHAnsi" w:cstheme="minorHAnsi"/>
          <w:b/>
          <w:lang w:val="fr-FR"/>
        </w:rPr>
        <w:t xml:space="preserve"> en copropriété par </w:t>
      </w:r>
      <w:r w:rsidR="00EF089C" w:rsidRPr="00C73365">
        <w:rPr>
          <w:rFonts w:asciiTheme="minorHAnsi" w:hAnsiTheme="minorHAnsi" w:cstheme="minorHAnsi"/>
          <w:b/>
          <w:lang w:val="fr-FR"/>
        </w:rPr>
        <w:t>ABIVAX</w:t>
      </w:r>
    </w:p>
    <w:p w14:paraId="5107107B" w14:textId="77777777" w:rsidR="00F46C7B" w:rsidRPr="00C73365" w:rsidRDefault="00F46C7B"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1 :</w:t>
      </w:r>
    </w:p>
    <w:p w14:paraId="17101707" w14:textId="77777777" w:rsidR="00F46C7B" w:rsidRPr="00C73365" w:rsidRDefault="006F52A2">
      <w:pPr>
        <w:rPr>
          <w:rFonts w:asciiTheme="minorHAnsi" w:hAnsiTheme="minorHAnsi" w:cstheme="minorHAnsi"/>
          <w:sz w:val="16"/>
          <w:szCs w:val="16"/>
          <w:lang w:val="fr-FR"/>
        </w:rPr>
      </w:pPr>
      <w:r w:rsidRPr="00C73365">
        <w:rPr>
          <w:rFonts w:asciiTheme="minorHAnsi" w:hAnsiTheme="minorHAnsi" w:cstheme="minorHAnsi"/>
          <w:noProof/>
          <w:lang w:val="fr-FR" w:eastAsia="fr-FR"/>
        </w:rPr>
        <w:drawing>
          <wp:inline distT="0" distB="0" distL="0" distR="0" wp14:anchorId="0F180C25" wp14:editId="28969E37">
            <wp:extent cx="6120765" cy="7174865"/>
            <wp:effectExtent l="0" t="0" r="0" b="698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7174865"/>
                    </a:xfrm>
                    <a:prstGeom prst="rect">
                      <a:avLst/>
                    </a:prstGeom>
                    <a:noFill/>
                    <a:ln>
                      <a:noFill/>
                    </a:ln>
                  </pic:spPr>
                </pic:pic>
              </a:graphicData>
            </a:graphic>
          </wp:inline>
        </w:drawing>
      </w:r>
    </w:p>
    <w:p w14:paraId="5F5020F0" w14:textId="77777777" w:rsidR="00F46C7B" w:rsidRPr="00C73365" w:rsidRDefault="00F46C7B">
      <w:pPr>
        <w:rPr>
          <w:rFonts w:asciiTheme="minorHAnsi" w:hAnsiTheme="minorHAnsi" w:cstheme="minorHAnsi"/>
          <w:sz w:val="16"/>
          <w:szCs w:val="16"/>
          <w:lang w:val="fr-FR"/>
        </w:rPr>
      </w:pPr>
    </w:p>
    <w:p w14:paraId="200C7646" w14:textId="77777777" w:rsidR="00F55E2F" w:rsidRPr="00C73365" w:rsidRDefault="00F55E2F">
      <w:pPr>
        <w:rPr>
          <w:rFonts w:asciiTheme="minorHAnsi" w:hAnsiTheme="minorHAnsi" w:cstheme="minorHAnsi"/>
          <w:sz w:val="16"/>
          <w:szCs w:val="16"/>
          <w:lang w:val="fr-FR"/>
        </w:rPr>
      </w:pPr>
    </w:p>
    <w:p w14:paraId="1922222A" w14:textId="77777777" w:rsidR="00F55E2F" w:rsidRPr="00C73365" w:rsidRDefault="00F55E2F">
      <w:pPr>
        <w:rPr>
          <w:rFonts w:asciiTheme="minorHAnsi" w:hAnsiTheme="minorHAnsi" w:cstheme="minorHAnsi"/>
          <w:sz w:val="16"/>
          <w:szCs w:val="16"/>
          <w:lang w:val="fr-FR"/>
        </w:rPr>
      </w:pPr>
    </w:p>
    <w:p w14:paraId="4D856AB7" w14:textId="77777777" w:rsidR="00F55E2F" w:rsidRPr="00C73365" w:rsidRDefault="00F55E2F">
      <w:pPr>
        <w:rPr>
          <w:rFonts w:asciiTheme="minorHAnsi" w:hAnsiTheme="minorHAnsi" w:cstheme="minorHAnsi"/>
          <w:sz w:val="16"/>
          <w:szCs w:val="16"/>
          <w:lang w:val="fr-FR"/>
        </w:rPr>
      </w:pPr>
    </w:p>
    <w:p w14:paraId="125BD6EF" w14:textId="77777777" w:rsidR="00F55E2F" w:rsidRPr="00C73365" w:rsidRDefault="00F55E2F">
      <w:pPr>
        <w:rPr>
          <w:rFonts w:asciiTheme="minorHAnsi" w:hAnsiTheme="minorHAnsi" w:cstheme="minorHAnsi"/>
          <w:sz w:val="16"/>
          <w:szCs w:val="16"/>
          <w:lang w:val="fr-FR"/>
        </w:rPr>
      </w:pPr>
    </w:p>
    <w:p w14:paraId="68514A3D" w14:textId="77777777" w:rsidR="00F55E2F" w:rsidRPr="00C73365" w:rsidRDefault="00F55E2F">
      <w:pPr>
        <w:rPr>
          <w:rFonts w:asciiTheme="minorHAnsi" w:hAnsiTheme="minorHAnsi" w:cstheme="minorHAnsi"/>
          <w:sz w:val="16"/>
          <w:szCs w:val="16"/>
          <w:lang w:val="fr-FR"/>
        </w:rPr>
      </w:pPr>
    </w:p>
    <w:p w14:paraId="119A07F0" w14:textId="77777777" w:rsidR="00F55E2F" w:rsidRPr="00C73365" w:rsidRDefault="00F55E2F">
      <w:pPr>
        <w:rPr>
          <w:rFonts w:asciiTheme="minorHAnsi" w:hAnsiTheme="minorHAnsi" w:cstheme="minorHAnsi"/>
          <w:sz w:val="16"/>
          <w:szCs w:val="16"/>
          <w:lang w:val="fr-FR"/>
        </w:rPr>
      </w:pPr>
    </w:p>
    <w:p w14:paraId="263C8203" w14:textId="77777777" w:rsidR="00F55E2F" w:rsidRPr="00C73365" w:rsidRDefault="00F55E2F">
      <w:pPr>
        <w:rPr>
          <w:rFonts w:asciiTheme="minorHAnsi" w:hAnsiTheme="minorHAnsi" w:cstheme="minorHAnsi"/>
          <w:sz w:val="16"/>
          <w:szCs w:val="16"/>
          <w:lang w:val="fr-FR"/>
        </w:rPr>
      </w:pPr>
    </w:p>
    <w:p w14:paraId="7A546475" w14:textId="77777777" w:rsidR="00F46C7B" w:rsidRPr="00C73365" w:rsidRDefault="00F46C7B"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2 :</w:t>
      </w:r>
    </w:p>
    <w:p w14:paraId="129EE5A0" w14:textId="77777777"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3540755B" wp14:editId="04E2E194">
            <wp:extent cx="6120765" cy="4051935"/>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2587" cy="4059761"/>
                    </a:xfrm>
                    <a:prstGeom prst="rect">
                      <a:avLst/>
                    </a:prstGeom>
                    <a:noFill/>
                    <a:ln>
                      <a:noFill/>
                    </a:ln>
                  </pic:spPr>
                </pic:pic>
              </a:graphicData>
            </a:graphic>
          </wp:inline>
        </w:drawing>
      </w:r>
    </w:p>
    <w:p w14:paraId="74DBEE2F" w14:textId="77777777" w:rsidR="009F3FF0" w:rsidRPr="00C73365" w:rsidRDefault="009F3FF0">
      <w:pPr>
        <w:rPr>
          <w:rFonts w:asciiTheme="minorHAnsi" w:hAnsiTheme="minorHAnsi" w:cstheme="minorHAnsi"/>
          <w:lang w:val="fr-FR"/>
        </w:rPr>
      </w:pPr>
    </w:p>
    <w:p w14:paraId="344D70B8" w14:textId="77777777" w:rsidR="00F46C7B" w:rsidRPr="00C73365" w:rsidRDefault="00F46C7B" w:rsidP="00B170BA">
      <w:pPr>
        <w:pStyle w:val="Paragraphedeliste"/>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t>Tableau 3 :</w:t>
      </w:r>
    </w:p>
    <w:p w14:paraId="19EA0F33" w14:textId="77777777" w:rsidR="00D1179F"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0EF4A31D" wp14:editId="5A2259CA">
            <wp:extent cx="6120765" cy="200279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2002790"/>
                    </a:xfrm>
                    <a:prstGeom prst="rect">
                      <a:avLst/>
                    </a:prstGeom>
                    <a:noFill/>
                    <a:ln>
                      <a:noFill/>
                    </a:ln>
                  </pic:spPr>
                </pic:pic>
              </a:graphicData>
            </a:graphic>
          </wp:inline>
        </w:drawing>
      </w:r>
    </w:p>
    <w:p w14:paraId="4355CE86" w14:textId="77777777" w:rsidR="00F46C7B" w:rsidRDefault="00F46C7B">
      <w:pPr>
        <w:rPr>
          <w:rFonts w:asciiTheme="minorHAnsi" w:hAnsiTheme="minorHAnsi" w:cstheme="minorHAnsi"/>
          <w:lang w:val="fr-FR"/>
        </w:rPr>
      </w:pPr>
    </w:p>
    <w:p w14:paraId="17B88B49" w14:textId="77777777" w:rsidR="00670C89" w:rsidRDefault="00670C89">
      <w:pPr>
        <w:rPr>
          <w:rFonts w:asciiTheme="minorHAnsi" w:hAnsiTheme="minorHAnsi" w:cstheme="minorHAnsi"/>
          <w:lang w:val="fr-FR"/>
        </w:rPr>
      </w:pPr>
    </w:p>
    <w:p w14:paraId="1DC43EDF" w14:textId="77777777" w:rsidR="00670C89" w:rsidRDefault="00670C89">
      <w:pPr>
        <w:rPr>
          <w:rFonts w:asciiTheme="minorHAnsi" w:hAnsiTheme="minorHAnsi" w:cstheme="minorHAnsi"/>
          <w:lang w:val="fr-FR"/>
        </w:rPr>
      </w:pPr>
    </w:p>
    <w:p w14:paraId="0CACB234" w14:textId="77777777" w:rsidR="00670C89" w:rsidRDefault="00670C89">
      <w:pPr>
        <w:rPr>
          <w:rFonts w:asciiTheme="minorHAnsi" w:hAnsiTheme="minorHAnsi" w:cstheme="minorHAnsi"/>
          <w:lang w:val="fr-FR"/>
        </w:rPr>
      </w:pPr>
    </w:p>
    <w:p w14:paraId="583D296A" w14:textId="77777777" w:rsidR="00670C89" w:rsidRDefault="00670C89">
      <w:pPr>
        <w:rPr>
          <w:rFonts w:asciiTheme="minorHAnsi" w:hAnsiTheme="minorHAnsi" w:cstheme="minorHAnsi"/>
          <w:lang w:val="fr-FR"/>
        </w:rPr>
      </w:pPr>
    </w:p>
    <w:p w14:paraId="3D6AAE03" w14:textId="77777777" w:rsidR="00670C89" w:rsidRDefault="00670C89">
      <w:pPr>
        <w:rPr>
          <w:rFonts w:asciiTheme="minorHAnsi" w:hAnsiTheme="minorHAnsi" w:cstheme="minorHAnsi"/>
          <w:lang w:val="fr-FR"/>
        </w:rPr>
      </w:pPr>
    </w:p>
    <w:p w14:paraId="40A26F26" w14:textId="77777777" w:rsidR="00670C89" w:rsidRDefault="00670C89">
      <w:pPr>
        <w:rPr>
          <w:rFonts w:asciiTheme="minorHAnsi" w:hAnsiTheme="minorHAnsi" w:cstheme="minorHAnsi"/>
          <w:lang w:val="fr-FR"/>
        </w:rPr>
      </w:pPr>
    </w:p>
    <w:p w14:paraId="328ED847" w14:textId="77777777" w:rsidR="00670C89" w:rsidRDefault="00670C89">
      <w:pPr>
        <w:rPr>
          <w:rFonts w:asciiTheme="minorHAnsi" w:hAnsiTheme="minorHAnsi" w:cstheme="minorHAnsi"/>
          <w:lang w:val="fr-FR"/>
        </w:rPr>
      </w:pPr>
    </w:p>
    <w:p w14:paraId="2D0BDC9C" w14:textId="77777777" w:rsidR="00670C89" w:rsidRPr="00C73365" w:rsidRDefault="00670C89">
      <w:pPr>
        <w:rPr>
          <w:rFonts w:asciiTheme="minorHAnsi" w:hAnsiTheme="minorHAnsi" w:cstheme="minorHAnsi"/>
          <w:lang w:val="fr-FR"/>
        </w:rPr>
      </w:pPr>
    </w:p>
    <w:p w14:paraId="4DE0D0F5" w14:textId="77777777" w:rsidR="00F46C7B" w:rsidRPr="00C73365" w:rsidRDefault="00F46C7B"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4 :</w:t>
      </w:r>
    </w:p>
    <w:p w14:paraId="44BD1E85" w14:textId="77777777" w:rsidR="006F52A2"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72DB7472" wp14:editId="680F1FFD">
            <wp:extent cx="6120765" cy="4016375"/>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4016375"/>
                    </a:xfrm>
                    <a:prstGeom prst="rect">
                      <a:avLst/>
                    </a:prstGeom>
                    <a:noFill/>
                    <a:ln>
                      <a:noFill/>
                    </a:ln>
                  </pic:spPr>
                </pic:pic>
              </a:graphicData>
            </a:graphic>
          </wp:inline>
        </w:drawing>
      </w:r>
    </w:p>
    <w:p w14:paraId="2648B427" w14:textId="77777777" w:rsidR="00F46C7B" w:rsidRPr="00C73365" w:rsidRDefault="00F46C7B">
      <w:pPr>
        <w:rPr>
          <w:rFonts w:asciiTheme="minorHAnsi" w:hAnsiTheme="minorHAnsi" w:cstheme="minorHAnsi"/>
          <w:lang w:val="fr-FR"/>
        </w:rPr>
      </w:pPr>
    </w:p>
    <w:p w14:paraId="4E33FBDB" w14:textId="77777777" w:rsidR="00F46C7B" w:rsidRPr="00C73365" w:rsidRDefault="00F46C7B"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5 :</w:t>
      </w:r>
    </w:p>
    <w:p w14:paraId="3B51E989" w14:textId="77777777"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74B2060" wp14:editId="0825D932">
            <wp:extent cx="5829300" cy="2032000"/>
            <wp:effectExtent l="0" t="0" r="0" b="635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2315" cy="2033051"/>
                    </a:xfrm>
                    <a:prstGeom prst="rect">
                      <a:avLst/>
                    </a:prstGeom>
                    <a:noFill/>
                    <a:ln>
                      <a:noFill/>
                    </a:ln>
                  </pic:spPr>
                </pic:pic>
              </a:graphicData>
            </a:graphic>
          </wp:inline>
        </w:drawing>
      </w:r>
    </w:p>
    <w:p w14:paraId="5078F29A" w14:textId="77777777" w:rsidR="00F46C7B" w:rsidRPr="00C73365" w:rsidRDefault="00F46C7B">
      <w:pPr>
        <w:pStyle w:val="Paragraphedeliste"/>
        <w:rPr>
          <w:rFonts w:asciiTheme="minorHAnsi" w:hAnsiTheme="minorHAnsi" w:cstheme="minorHAnsi"/>
          <w:lang w:val="fr-FR"/>
        </w:rPr>
      </w:pPr>
    </w:p>
    <w:p w14:paraId="4AFFE2E0" w14:textId="77777777" w:rsidR="00F46C7B" w:rsidRPr="00C73365" w:rsidRDefault="00F46C7B"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6 :</w:t>
      </w:r>
    </w:p>
    <w:p w14:paraId="55AF788D" w14:textId="77777777"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F0A103B" wp14:editId="301D82B3">
            <wp:extent cx="5905500" cy="750517"/>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9564" cy="752304"/>
                    </a:xfrm>
                    <a:prstGeom prst="rect">
                      <a:avLst/>
                    </a:prstGeom>
                    <a:noFill/>
                    <a:ln>
                      <a:noFill/>
                    </a:ln>
                  </pic:spPr>
                </pic:pic>
              </a:graphicData>
            </a:graphic>
          </wp:inline>
        </w:drawing>
      </w:r>
    </w:p>
    <w:p w14:paraId="47B09682" w14:textId="77777777" w:rsidR="00F46C7B" w:rsidRPr="00C73365" w:rsidRDefault="00F46C7B">
      <w:pPr>
        <w:rPr>
          <w:rFonts w:asciiTheme="minorHAnsi" w:hAnsiTheme="minorHAnsi" w:cstheme="minorHAnsi"/>
          <w:lang w:val="fr-FR"/>
        </w:rPr>
      </w:pPr>
    </w:p>
    <w:p w14:paraId="5C8AD889" w14:textId="77777777" w:rsidR="00F46C7B" w:rsidRPr="00C73365" w:rsidRDefault="00F46C7B"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7 :</w:t>
      </w:r>
    </w:p>
    <w:p w14:paraId="55A1DB68" w14:textId="77777777"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772BC9A4" wp14:editId="65E396C1">
            <wp:extent cx="5539740" cy="1149443"/>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6825" cy="1150913"/>
                    </a:xfrm>
                    <a:prstGeom prst="rect">
                      <a:avLst/>
                    </a:prstGeom>
                    <a:noFill/>
                    <a:ln>
                      <a:noFill/>
                    </a:ln>
                  </pic:spPr>
                </pic:pic>
              </a:graphicData>
            </a:graphic>
          </wp:inline>
        </w:drawing>
      </w:r>
    </w:p>
    <w:p w14:paraId="3D6B043E" w14:textId="77777777" w:rsidR="00F46C7B" w:rsidRPr="00C73365" w:rsidRDefault="00F46C7B" w:rsidP="00B170BA">
      <w:pPr>
        <w:pStyle w:val="Paragraphedeliste"/>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t>Tableau 8 :</w:t>
      </w:r>
    </w:p>
    <w:p w14:paraId="4D8E81BC" w14:textId="77777777" w:rsidR="00F46C7B" w:rsidRPr="00C73365" w:rsidRDefault="001061C2">
      <w:pPr>
        <w:pStyle w:val="Paragraphedeliste"/>
        <w:ind w:hanging="708"/>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71B65D1" wp14:editId="211DFEDC">
            <wp:extent cx="6120765" cy="520192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5201920"/>
                    </a:xfrm>
                    <a:prstGeom prst="rect">
                      <a:avLst/>
                    </a:prstGeom>
                    <a:noFill/>
                    <a:ln>
                      <a:noFill/>
                    </a:ln>
                  </pic:spPr>
                </pic:pic>
              </a:graphicData>
            </a:graphic>
          </wp:inline>
        </w:drawing>
      </w:r>
    </w:p>
    <w:p w14:paraId="6F13E083" w14:textId="77777777" w:rsidR="00F46C7B" w:rsidRPr="00C73365" w:rsidRDefault="00F46C7B">
      <w:pPr>
        <w:pStyle w:val="Paragraphedeliste"/>
        <w:ind w:hanging="708"/>
        <w:rPr>
          <w:rFonts w:asciiTheme="minorHAnsi" w:hAnsiTheme="minorHAnsi" w:cstheme="minorHAnsi"/>
          <w:lang w:val="fr-FR"/>
        </w:rPr>
      </w:pPr>
    </w:p>
    <w:p w14:paraId="6898EBE9" w14:textId="77777777" w:rsidR="00F46C7B" w:rsidRPr="00C73365" w:rsidRDefault="00F46C7B" w:rsidP="00B170BA">
      <w:pPr>
        <w:pStyle w:val="Paragraphedeliste"/>
        <w:keepNext/>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9 :</w:t>
      </w:r>
    </w:p>
    <w:p w14:paraId="4D9F4041" w14:textId="77777777" w:rsidR="00F46C7B"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6C70209" wp14:editId="6BA5CB04">
            <wp:extent cx="6120765" cy="28213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821305"/>
                    </a:xfrm>
                    <a:prstGeom prst="rect">
                      <a:avLst/>
                    </a:prstGeom>
                    <a:noFill/>
                    <a:ln>
                      <a:noFill/>
                    </a:ln>
                  </pic:spPr>
                </pic:pic>
              </a:graphicData>
            </a:graphic>
          </wp:inline>
        </w:drawing>
      </w:r>
    </w:p>
    <w:p w14:paraId="7170EC0E" w14:textId="77777777" w:rsidR="00F46C7B" w:rsidRPr="00C73365" w:rsidRDefault="00F46C7B"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10 :</w:t>
      </w:r>
    </w:p>
    <w:p w14:paraId="141CCB40" w14:textId="77777777" w:rsidR="00F46C7B"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526A37B0" wp14:editId="4FE72FAE">
            <wp:extent cx="6120765" cy="23495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2349500"/>
                    </a:xfrm>
                    <a:prstGeom prst="rect">
                      <a:avLst/>
                    </a:prstGeom>
                    <a:noFill/>
                    <a:ln>
                      <a:noFill/>
                    </a:ln>
                  </pic:spPr>
                </pic:pic>
              </a:graphicData>
            </a:graphic>
          </wp:inline>
        </w:drawing>
      </w:r>
    </w:p>
    <w:p w14:paraId="2FAE1AF6" w14:textId="77777777" w:rsidR="00F46C7B" w:rsidRPr="00C73365" w:rsidRDefault="00F46C7B">
      <w:pPr>
        <w:pStyle w:val="Paragraphedeliste"/>
        <w:rPr>
          <w:rFonts w:asciiTheme="minorHAnsi" w:hAnsiTheme="minorHAnsi" w:cstheme="minorHAnsi"/>
          <w:lang w:val="fr-FR"/>
        </w:rPr>
      </w:pPr>
    </w:p>
    <w:p w14:paraId="454D187F" w14:textId="77777777" w:rsidR="009F3FF0" w:rsidRPr="00C73365" w:rsidRDefault="009F3FF0"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11 :</w:t>
      </w:r>
    </w:p>
    <w:p w14:paraId="39B1A4C4" w14:textId="77777777" w:rsidR="009F3FF0"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731D10C2" wp14:editId="3D18C78E">
            <wp:extent cx="6120765" cy="873760"/>
            <wp:effectExtent l="0" t="0" r="0" b="25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873760"/>
                    </a:xfrm>
                    <a:prstGeom prst="rect">
                      <a:avLst/>
                    </a:prstGeom>
                    <a:noFill/>
                    <a:ln>
                      <a:noFill/>
                    </a:ln>
                  </pic:spPr>
                </pic:pic>
              </a:graphicData>
            </a:graphic>
          </wp:inline>
        </w:drawing>
      </w:r>
    </w:p>
    <w:p w14:paraId="6F0ACADE" w14:textId="77777777" w:rsidR="009F3FF0" w:rsidRPr="00C73365" w:rsidRDefault="009F3FF0">
      <w:pPr>
        <w:rPr>
          <w:rFonts w:asciiTheme="minorHAnsi" w:hAnsiTheme="minorHAnsi" w:cstheme="minorHAnsi"/>
          <w:lang w:val="fr-FR"/>
        </w:rPr>
      </w:pPr>
    </w:p>
    <w:p w14:paraId="0C15946C" w14:textId="77777777" w:rsidR="009F3FF0" w:rsidRPr="00C73365" w:rsidRDefault="009F3FF0"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12 :</w:t>
      </w:r>
    </w:p>
    <w:p w14:paraId="32EBAAC2" w14:textId="77777777" w:rsidR="009F3FF0" w:rsidRPr="00C73365" w:rsidRDefault="001061C2">
      <w:pPr>
        <w:pStyle w:val="Paragraphedeliste"/>
        <w:ind w:left="0"/>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7AAC6DC5" wp14:editId="43FC20F1">
            <wp:extent cx="6120765" cy="2620645"/>
            <wp:effectExtent l="0" t="0" r="0"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2620645"/>
                    </a:xfrm>
                    <a:prstGeom prst="rect">
                      <a:avLst/>
                    </a:prstGeom>
                    <a:noFill/>
                    <a:ln>
                      <a:noFill/>
                    </a:ln>
                  </pic:spPr>
                </pic:pic>
              </a:graphicData>
            </a:graphic>
          </wp:inline>
        </w:drawing>
      </w:r>
    </w:p>
    <w:p w14:paraId="16029ECF" w14:textId="77777777" w:rsidR="009F3FF0" w:rsidRPr="00C73365" w:rsidRDefault="009F3FF0">
      <w:pPr>
        <w:widowControl w:val="0"/>
        <w:rPr>
          <w:rFonts w:asciiTheme="minorHAnsi" w:hAnsiTheme="minorHAnsi" w:cstheme="minorHAnsi"/>
          <w:szCs w:val="22"/>
          <w:lang w:val="fr-FR"/>
        </w:rPr>
      </w:pPr>
    </w:p>
    <w:p w14:paraId="7D9325DD" w14:textId="77777777" w:rsidR="009F3FF0" w:rsidRPr="00C73365" w:rsidRDefault="009F3FF0"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13 :</w:t>
      </w:r>
    </w:p>
    <w:p w14:paraId="1120981B" w14:textId="77777777" w:rsidR="009F3FF0" w:rsidRPr="00C73365" w:rsidRDefault="001061C2">
      <w:pPr>
        <w:widowControl w:val="0"/>
        <w:rPr>
          <w:rFonts w:asciiTheme="minorHAnsi" w:hAnsiTheme="minorHAnsi" w:cstheme="minorHAnsi"/>
          <w:szCs w:val="22"/>
          <w:lang w:val="fr-FR"/>
        </w:rPr>
      </w:pPr>
      <w:r w:rsidRPr="00C73365">
        <w:rPr>
          <w:rFonts w:asciiTheme="minorHAnsi" w:hAnsiTheme="minorHAnsi" w:cstheme="minorHAnsi"/>
          <w:noProof/>
          <w:lang w:val="fr-FR" w:eastAsia="fr-FR"/>
        </w:rPr>
        <w:drawing>
          <wp:inline distT="0" distB="0" distL="0" distR="0" wp14:anchorId="3A88997D" wp14:editId="25752561">
            <wp:extent cx="6120765" cy="969010"/>
            <wp:effectExtent l="0" t="0" r="0" b="254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969010"/>
                    </a:xfrm>
                    <a:prstGeom prst="rect">
                      <a:avLst/>
                    </a:prstGeom>
                    <a:noFill/>
                    <a:ln>
                      <a:noFill/>
                    </a:ln>
                  </pic:spPr>
                </pic:pic>
              </a:graphicData>
            </a:graphic>
          </wp:inline>
        </w:drawing>
      </w:r>
    </w:p>
    <w:p w14:paraId="2A78115C" w14:textId="77777777" w:rsidR="009F3FF0" w:rsidRPr="00C73365" w:rsidRDefault="009F3FF0">
      <w:pPr>
        <w:widowControl w:val="0"/>
        <w:rPr>
          <w:rFonts w:asciiTheme="minorHAnsi" w:hAnsiTheme="minorHAnsi" w:cstheme="minorHAnsi"/>
          <w:szCs w:val="22"/>
          <w:lang w:val="fr-FR"/>
        </w:rPr>
      </w:pPr>
    </w:p>
    <w:p w14:paraId="5B3ED02F" w14:textId="77777777" w:rsidR="001061C2" w:rsidRPr="00C73365" w:rsidRDefault="001061C2">
      <w:pPr>
        <w:widowControl w:val="0"/>
        <w:rPr>
          <w:rFonts w:asciiTheme="minorHAnsi" w:hAnsiTheme="minorHAnsi" w:cstheme="minorHAnsi"/>
          <w:szCs w:val="22"/>
          <w:lang w:val="fr-FR"/>
        </w:rPr>
      </w:pPr>
    </w:p>
    <w:p w14:paraId="13C58C25" w14:textId="77777777" w:rsidR="009F3FF0" w:rsidRPr="00C73365" w:rsidRDefault="009F3FF0"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14 :</w:t>
      </w:r>
    </w:p>
    <w:p w14:paraId="1C9E1E97" w14:textId="77777777" w:rsidR="009F3FF0" w:rsidRPr="00C73365" w:rsidRDefault="001061C2">
      <w:pPr>
        <w:widowControl w:val="0"/>
        <w:rPr>
          <w:rFonts w:asciiTheme="minorHAnsi" w:hAnsiTheme="minorHAnsi" w:cstheme="minorHAnsi"/>
          <w:szCs w:val="22"/>
          <w:lang w:val="fr-FR"/>
        </w:rPr>
      </w:pPr>
      <w:r w:rsidRPr="00C73365">
        <w:rPr>
          <w:rFonts w:asciiTheme="minorHAnsi" w:hAnsiTheme="minorHAnsi" w:cstheme="minorHAnsi"/>
          <w:noProof/>
          <w:lang w:val="fr-FR" w:eastAsia="fr-FR"/>
        </w:rPr>
        <w:drawing>
          <wp:inline distT="0" distB="0" distL="0" distR="0" wp14:anchorId="1A27D355" wp14:editId="04E3163C">
            <wp:extent cx="6120765" cy="1922780"/>
            <wp:effectExtent l="0" t="0" r="0"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1922780"/>
                    </a:xfrm>
                    <a:prstGeom prst="rect">
                      <a:avLst/>
                    </a:prstGeom>
                    <a:noFill/>
                    <a:ln>
                      <a:noFill/>
                    </a:ln>
                  </pic:spPr>
                </pic:pic>
              </a:graphicData>
            </a:graphic>
          </wp:inline>
        </w:drawing>
      </w:r>
    </w:p>
    <w:p w14:paraId="790854B4" w14:textId="77777777" w:rsidR="00D1179F" w:rsidRPr="00C73365" w:rsidRDefault="00D1179F">
      <w:pPr>
        <w:widowControl w:val="0"/>
        <w:rPr>
          <w:rFonts w:asciiTheme="minorHAnsi" w:hAnsiTheme="minorHAnsi" w:cstheme="minorHAnsi"/>
          <w:b/>
          <w:color w:val="7030A0"/>
          <w:szCs w:val="22"/>
          <w:lang w:val="fr-FR"/>
        </w:rPr>
      </w:pPr>
    </w:p>
    <w:p w14:paraId="4FA67307" w14:textId="77777777" w:rsidR="00D1179F" w:rsidRPr="00C73365" w:rsidRDefault="00D1179F"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15 :</w:t>
      </w:r>
    </w:p>
    <w:p w14:paraId="3F97B447" w14:textId="77777777"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6D8B1AC" wp14:editId="1224DDF7">
            <wp:extent cx="6120765" cy="82359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823595"/>
                    </a:xfrm>
                    <a:prstGeom prst="rect">
                      <a:avLst/>
                    </a:prstGeom>
                    <a:noFill/>
                    <a:ln>
                      <a:noFill/>
                    </a:ln>
                  </pic:spPr>
                </pic:pic>
              </a:graphicData>
            </a:graphic>
          </wp:inline>
        </w:drawing>
      </w:r>
    </w:p>
    <w:p w14:paraId="39EBCE60" w14:textId="77777777" w:rsidR="00D1179F" w:rsidRPr="00C73365" w:rsidRDefault="00D1179F">
      <w:pPr>
        <w:rPr>
          <w:rFonts w:asciiTheme="minorHAnsi" w:hAnsiTheme="minorHAnsi" w:cstheme="minorHAnsi"/>
          <w:lang w:val="fr-FR"/>
        </w:rPr>
      </w:pPr>
    </w:p>
    <w:p w14:paraId="265916C3" w14:textId="77777777" w:rsidR="00D1179F" w:rsidRPr="00C73365" w:rsidRDefault="00D1179F"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16:</w:t>
      </w:r>
    </w:p>
    <w:p w14:paraId="42CB012B" w14:textId="77777777"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2B641556" wp14:editId="39935E75">
            <wp:extent cx="6120765" cy="1023620"/>
            <wp:effectExtent l="0" t="0" r="0"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1023620"/>
                    </a:xfrm>
                    <a:prstGeom prst="rect">
                      <a:avLst/>
                    </a:prstGeom>
                    <a:noFill/>
                    <a:ln>
                      <a:noFill/>
                    </a:ln>
                  </pic:spPr>
                </pic:pic>
              </a:graphicData>
            </a:graphic>
          </wp:inline>
        </w:drawing>
      </w:r>
    </w:p>
    <w:p w14:paraId="00F8AFA8" w14:textId="77777777" w:rsidR="00D1179F" w:rsidRPr="00C73365" w:rsidRDefault="001061C2"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Brevets de la plateforme « Antivirale »  licenciés à </w:t>
      </w:r>
      <w:r w:rsidR="00EF089C" w:rsidRPr="00C73365">
        <w:rPr>
          <w:rFonts w:asciiTheme="minorHAnsi" w:hAnsiTheme="minorHAnsi" w:cstheme="minorHAnsi"/>
          <w:b/>
          <w:lang w:val="fr-FR"/>
        </w:rPr>
        <w:t>ABIVAX</w:t>
      </w:r>
      <w:r w:rsidRPr="00C73365">
        <w:rPr>
          <w:rFonts w:asciiTheme="minorHAnsi" w:hAnsiTheme="minorHAnsi" w:cstheme="minorHAnsi"/>
          <w:b/>
          <w:lang w:val="fr-FR"/>
        </w:rPr>
        <w:t> :</w:t>
      </w:r>
    </w:p>
    <w:p w14:paraId="5F777C1F" w14:textId="77777777" w:rsidR="00D1179F" w:rsidRPr="00C73365" w:rsidRDefault="00D1179F"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17 : </w:t>
      </w:r>
    </w:p>
    <w:p w14:paraId="05E1A508" w14:textId="77777777" w:rsidR="00D1179F" w:rsidRPr="00C73365" w:rsidRDefault="001061C2">
      <w:pPr>
        <w:pStyle w:val="Paragraphedeliste"/>
        <w:ind w:left="0"/>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59B7CA7" wp14:editId="1909FDD1">
            <wp:extent cx="5935980" cy="1353593"/>
            <wp:effectExtent l="0" t="0" r="762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7710" cy="1356268"/>
                    </a:xfrm>
                    <a:prstGeom prst="rect">
                      <a:avLst/>
                    </a:prstGeom>
                    <a:noFill/>
                    <a:ln>
                      <a:noFill/>
                    </a:ln>
                  </pic:spPr>
                </pic:pic>
              </a:graphicData>
            </a:graphic>
          </wp:inline>
        </w:drawing>
      </w:r>
    </w:p>
    <w:p w14:paraId="3C84D4D6" w14:textId="77777777" w:rsidR="00D1179F" w:rsidRPr="00C73365" w:rsidRDefault="00D1179F"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Tableau 18:</w:t>
      </w:r>
    </w:p>
    <w:p w14:paraId="4EE5E0AB" w14:textId="77777777"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F5B0B07" wp14:editId="52C2C5B0">
            <wp:extent cx="5958840" cy="1860167"/>
            <wp:effectExtent l="0" t="0" r="3810" b="698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3399" cy="1861590"/>
                    </a:xfrm>
                    <a:prstGeom prst="rect">
                      <a:avLst/>
                    </a:prstGeom>
                    <a:noFill/>
                    <a:ln>
                      <a:noFill/>
                    </a:ln>
                  </pic:spPr>
                </pic:pic>
              </a:graphicData>
            </a:graphic>
          </wp:inline>
        </w:drawing>
      </w:r>
    </w:p>
    <w:p w14:paraId="63E8F289" w14:textId="77777777" w:rsidR="001061C2" w:rsidRPr="00C73365" w:rsidRDefault="001061C2"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19 : </w:t>
      </w:r>
    </w:p>
    <w:p w14:paraId="7AAD599E" w14:textId="77777777" w:rsidR="001061C2" w:rsidRPr="00C73365" w:rsidRDefault="001061C2">
      <w:pPr>
        <w:pStyle w:val="Paragraphedeliste"/>
        <w:ind w:left="0"/>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526C8FB" wp14:editId="0BF90912">
            <wp:extent cx="6120765" cy="3424485"/>
            <wp:effectExtent l="0" t="0" r="0" b="508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3424485"/>
                    </a:xfrm>
                    <a:prstGeom prst="rect">
                      <a:avLst/>
                    </a:prstGeom>
                    <a:noFill/>
                    <a:ln>
                      <a:noFill/>
                    </a:ln>
                  </pic:spPr>
                </pic:pic>
              </a:graphicData>
            </a:graphic>
          </wp:inline>
        </w:drawing>
      </w:r>
    </w:p>
    <w:p w14:paraId="6753F928" w14:textId="77777777" w:rsidR="001061C2" w:rsidRPr="00C73365" w:rsidRDefault="001061C2">
      <w:pPr>
        <w:pStyle w:val="Paragraphedeliste"/>
        <w:ind w:left="0"/>
        <w:rPr>
          <w:rFonts w:asciiTheme="minorHAnsi" w:hAnsiTheme="minorHAnsi" w:cstheme="minorHAnsi"/>
          <w:lang w:val="fr-FR"/>
        </w:rPr>
      </w:pPr>
    </w:p>
    <w:p w14:paraId="1B8A6FFD" w14:textId="77777777" w:rsidR="001061C2" w:rsidRPr="00C73365" w:rsidRDefault="001061C2"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20:</w:t>
      </w:r>
    </w:p>
    <w:p w14:paraId="28F70B70" w14:textId="77777777" w:rsidR="001061C2"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BDDC0BE" wp14:editId="3538249F">
            <wp:extent cx="6120765" cy="1394199"/>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1394199"/>
                    </a:xfrm>
                    <a:prstGeom prst="rect">
                      <a:avLst/>
                    </a:prstGeom>
                    <a:noFill/>
                    <a:ln>
                      <a:noFill/>
                    </a:ln>
                  </pic:spPr>
                </pic:pic>
              </a:graphicData>
            </a:graphic>
          </wp:inline>
        </w:drawing>
      </w:r>
    </w:p>
    <w:p w14:paraId="287E88F4" w14:textId="77777777" w:rsidR="00D1179F" w:rsidRPr="00C73365" w:rsidRDefault="00D1179F">
      <w:pPr>
        <w:widowControl w:val="0"/>
        <w:rPr>
          <w:rFonts w:asciiTheme="minorHAnsi" w:hAnsiTheme="minorHAnsi" w:cstheme="minorHAnsi"/>
          <w:b/>
          <w:color w:val="7030A0"/>
          <w:lang w:val="fr-FR"/>
        </w:rPr>
      </w:pPr>
    </w:p>
    <w:p w14:paraId="1958B423" w14:textId="77777777"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Plateforme « Stimulation Immunitaire »</w:t>
      </w:r>
    </w:p>
    <w:p w14:paraId="7B035EBB" w14:textId="77777777" w:rsidR="001061C2" w:rsidRPr="00C73365" w:rsidRDefault="001061C2"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plateforme « Stimulations Immunitaires.» possède une large gamme de molécules détenues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(WO2004/094444), qui permettent d’activer les cellules iNKT (WO2004/094444, WO2009/101475), d’activer le système immunitaire en induisant une stimulation de la réponse anticorps et cytotoxique d’intérêt et de les utiliser comme adjuvants dans des vaccins pour de multiples indications, en oncologie et en maladies infectieuses (WO2009/101475) </w:t>
      </w:r>
    </w:p>
    <w:p w14:paraId="4B5618BB" w14:textId="77777777" w:rsidR="001061C2" w:rsidRPr="00C73365" w:rsidRDefault="001061C2"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Plusieurs composés sont utilisables contre les maladies auto-immunes (WO2004/094444) ou pour cibler de manière spécifique l’antigène, lié de manière covalente aux molécules de la Société (WO2009/060086). </w:t>
      </w:r>
    </w:p>
    <w:p w14:paraId="40FF8DE2" w14:textId="0F5BEE4D" w:rsidR="001061C2" w:rsidRPr="00C73365" w:rsidRDefault="001061C2" w:rsidP="00A96CCA">
      <w:pPr>
        <w:pStyle w:val="Default"/>
        <w:spacing w:after="120"/>
        <w:jc w:val="both"/>
        <w:rPr>
          <w:rFonts w:asciiTheme="minorHAnsi" w:hAnsiTheme="minorHAnsi" w:cstheme="minorHAnsi"/>
          <w:color w:val="000000" w:themeColor="text1"/>
          <w:sz w:val="20"/>
          <w:szCs w:val="20"/>
          <w:lang w:val="fr-FR"/>
        </w:rPr>
      </w:pPr>
      <w:r w:rsidRPr="00C73365">
        <w:rPr>
          <w:rFonts w:asciiTheme="minorHAnsi" w:hAnsiTheme="minorHAnsi" w:cstheme="minorHAnsi"/>
          <w:color w:val="000000" w:themeColor="text1"/>
          <w:sz w:val="20"/>
          <w:szCs w:val="20"/>
          <w:lang w:val="fr-FR"/>
        </w:rPr>
        <w:t xml:space="preserve">Le 14 </w:t>
      </w:r>
      <w:r w:rsidR="006B119E" w:rsidRPr="00C73365">
        <w:rPr>
          <w:rFonts w:asciiTheme="minorHAnsi" w:hAnsiTheme="minorHAnsi" w:cstheme="minorHAnsi"/>
          <w:color w:val="000000" w:themeColor="text1"/>
          <w:sz w:val="20"/>
          <w:szCs w:val="20"/>
          <w:lang w:val="fr-FR"/>
        </w:rPr>
        <w:t>septembre</w:t>
      </w:r>
      <w:r w:rsidRPr="00C73365">
        <w:rPr>
          <w:rFonts w:asciiTheme="minorHAnsi" w:hAnsiTheme="minorHAnsi" w:cstheme="minorHAnsi"/>
          <w:color w:val="000000" w:themeColor="text1"/>
          <w:sz w:val="20"/>
          <w:szCs w:val="20"/>
          <w:lang w:val="fr-FR"/>
        </w:rPr>
        <w:t xml:space="preserve"> 2016, </w:t>
      </w:r>
      <w:r w:rsidR="00EF089C" w:rsidRPr="00C73365">
        <w:rPr>
          <w:rFonts w:asciiTheme="minorHAnsi" w:hAnsiTheme="minorHAnsi" w:cstheme="minorHAnsi"/>
          <w:color w:val="000000" w:themeColor="text1"/>
          <w:sz w:val="20"/>
          <w:szCs w:val="20"/>
          <w:lang w:val="fr-FR"/>
        </w:rPr>
        <w:t>ABIVAX</w:t>
      </w:r>
      <w:r w:rsidRPr="00C73365">
        <w:rPr>
          <w:rFonts w:asciiTheme="minorHAnsi" w:hAnsiTheme="minorHAnsi" w:cstheme="minorHAnsi"/>
          <w:color w:val="000000" w:themeColor="text1"/>
          <w:sz w:val="20"/>
          <w:szCs w:val="20"/>
          <w:lang w:val="fr-FR"/>
        </w:rPr>
        <w:t xml:space="preserve"> a déposé une demande de brevet européen intitulé « </w:t>
      </w:r>
      <w:r w:rsidR="00434C49">
        <w:rPr>
          <w:rFonts w:asciiTheme="minorHAnsi" w:hAnsiTheme="minorHAnsi" w:cstheme="minorHAnsi"/>
          <w:color w:val="000000" w:themeColor="text1"/>
          <w:sz w:val="20"/>
          <w:szCs w:val="20"/>
          <w:lang w:val="fr-FR"/>
        </w:rPr>
        <w:t>ABX</w:t>
      </w:r>
      <w:r w:rsidRPr="00C73365">
        <w:rPr>
          <w:rFonts w:asciiTheme="minorHAnsi" w:hAnsiTheme="minorHAnsi" w:cstheme="minorHAnsi"/>
          <w:color w:val="000000" w:themeColor="text1"/>
          <w:sz w:val="20"/>
          <w:szCs w:val="20"/>
          <w:lang w:val="fr-FR"/>
        </w:rPr>
        <w:t>96 FOR USE IN THE TREATMENT OF CANCER».</w:t>
      </w:r>
    </w:p>
    <w:p w14:paraId="26F2E9AD" w14:textId="77777777" w:rsidR="001061C2" w:rsidRPr="00C73365" w:rsidRDefault="001061C2" w:rsidP="00A96CCA">
      <w:pPr>
        <w:pStyle w:val="Default"/>
        <w:spacing w:after="120"/>
        <w:jc w:val="both"/>
        <w:rPr>
          <w:rFonts w:asciiTheme="minorHAnsi" w:hAnsiTheme="minorHAnsi" w:cstheme="minorHAnsi"/>
          <w:color w:val="000000" w:themeColor="text1"/>
          <w:sz w:val="20"/>
          <w:szCs w:val="20"/>
          <w:lang w:val="fr-FR"/>
        </w:rPr>
      </w:pPr>
      <w:r w:rsidRPr="00C73365">
        <w:rPr>
          <w:rFonts w:asciiTheme="minorHAnsi" w:hAnsiTheme="minorHAnsi" w:cstheme="minorHAnsi"/>
          <w:color w:val="000000" w:themeColor="text1"/>
          <w:sz w:val="20"/>
          <w:szCs w:val="20"/>
          <w:lang w:val="fr-FR"/>
        </w:rPr>
        <w:t xml:space="preserve">Le 11 août 2017, </w:t>
      </w:r>
      <w:r w:rsidR="00EF089C" w:rsidRPr="00C73365">
        <w:rPr>
          <w:rFonts w:asciiTheme="minorHAnsi" w:hAnsiTheme="minorHAnsi" w:cstheme="minorHAnsi"/>
          <w:color w:val="000000" w:themeColor="text1"/>
          <w:sz w:val="20"/>
          <w:szCs w:val="20"/>
          <w:lang w:val="fr-FR"/>
        </w:rPr>
        <w:t>ABIVAX</w:t>
      </w:r>
      <w:r w:rsidRPr="00C73365">
        <w:rPr>
          <w:rFonts w:asciiTheme="minorHAnsi" w:hAnsiTheme="minorHAnsi" w:cstheme="minorHAnsi"/>
          <w:color w:val="000000" w:themeColor="text1"/>
          <w:sz w:val="20"/>
          <w:szCs w:val="20"/>
          <w:lang w:val="fr-FR"/>
        </w:rPr>
        <w:t xml:space="preserve"> a déposé une demande de brevet européen intitulé « ABX196 AND BLADDER CANCER ».</w:t>
      </w:r>
    </w:p>
    <w:p w14:paraId="4FFB4BC4" w14:textId="77777777" w:rsidR="001061C2" w:rsidRPr="00C73365" w:rsidRDefault="001061C2"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procédé de fabrication des composés « Lead » de la Société, dont ABX196, a également été protégé (WO 2004/094444, WO2014/067995). </w:t>
      </w:r>
    </w:p>
    <w:p w14:paraId="769687B3" w14:textId="77777777" w:rsidR="001061C2"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1061C2" w:rsidRPr="00C73365">
        <w:rPr>
          <w:rFonts w:asciiTheme="minorHAnsi" w:hAnsiTheme="minorHAnsi" w:cstheme="minorHAnsi"/>
          <w:lang w:val="fr-FR"/>
        </w:rPr>
        <w:t xml:space="preserve"> a démontré l’activité de </w:t>
      </w:r>
      <w:r w:rsidR="00E32CFE" w:rsidRPr="00C73365">
        <w:rPr>
          <w:rFonts w:asciiTheme="minorHAnsi" w:hAnsiTheme="minorHAnsi" w:cstheme="minorHAnsi"/>
          <w:lang w:val="fr-FR"/>
        </w:rPr>
        <w:t>ABX196</w:t>
      </w:r>
      <w:r w:rsidR="001061C2" w:rsidRPr="00C73365">
        <w:rPr>
          <w:rFonts w:asciiTheme="minorHAnsi" w:hAnsiTheme="minorHAnsi" w:cstheme="minorHAnsi"/>
          <w:lang w:val="fr-FR"/>
        </w:rPr>
        <w:t xml:space="preserve"> chez l’humain lors d’un essai clinique dans le contexte d’un vaccin prophylactique contre l’hépatite B (publication dans Vaccine 2014 Oct 21;32(46):6138-45).</w:t>
      </w:r>
    </w:p>
    <w:p w14:paraId="07E0D4A5" w14:textId="77777777" w:rsidR="001061C2" w:rsidRPr="00C73365" w:rsidRDefault="001061C2"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Cette plateforme « Stimulation Immunitaire » est protégée par 5 familles de brevets au total dont 4 détenues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(tableaux 21 à 24) et 1 concédée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 cadre d’accords de licences avec des instituts de recherches basés aux Etats Unis (tableau 25). Les informations principales sont décrites dans les tableaux ci-dessous :</w:t>
      </w:r>
    </w:p>
    <w:p w14:paraId="574A5FBC" w14:textId="77777777" w:rsidR="00F46C7B" w:rsidRPr="00C73365" w:rsidRDefault="00F46C7B" w:rsidP="004572A0">
      <w:pPr>
        <w:pStyle w:val="Corpsdetexte"/>
        <w:rPr>
          <w:rFonts w:asciiTheme="minorHAnsi" w:hAnsiTheme="minorHAnsi" w:cstheme="minorHAnsi"/>
          <w:b/>
          <w:sz w:val="18"/>
          <w:lang w:val="fr-FR"/>
        </w:rPr>
      </w:pPr>
      <w:r w:rsidRPr="00C73365">
        <w:rPr>
          <w:rFonts w:asciiTheme="minorHAnsi" w:hAnsiTheme="minorHAnsi" w:cstheme="minorHAnsi"/>
          <w:b/>
          <w:lang w:val="fr-FR"/>
        </w:rPr>
        <w:t xml:space="preserve">Brevets de la plateforme « Stimulation Immunitaire» détenus par </w:t>
      </w:r>
      <w:r w:rsidR="00EF089C" w:rsidRPr="00C73365">
        <w:rPr>
          <w:rFonts w:asciiTheme="minorHAnsi" w:hAnsiTheme="minorHAnsi" w:cstheme="minorHAnsi"/>
          <w:b/>
          <w:lang w:val="fr-FR"/>
        </w:rPr>
        <w:t>ABIVAX</w:t>
      </w:r>
    </w:p>
    <w:p w14:paraId="5B478610" w14:textId="77777777" w:rsidR="00F46C7B" w:rsidRPr="00C73365" w:rsidRDefault="00F46C7B"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21 </w:t>
      </w:r>
      <w:r w:rsidRPr="00C73365">
        <w:rPr>
          <w:rFonts w:asciiTheme="minorHAnsi" w:hAnsiTheme="minorHAnsi" w:cstheme="minorHAnsi"/>
          <w:lang w:val="fr-FR"/>
        </w:rPr>
        <w:t>:</w:t>
      </w:r>
    </w:p>
    <w:p w14:paraId="61EEFAB0" w14:textId="77777777" w:rsidR="001061C2"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45E1BB4F" wp14:editId="7FDB8D7A">
            <wp:extent cx="6120765" cy="28536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765" cy="2853690"/>
                    </a:xfrm>
                    <a:prstGeom prst="rect">
                      <a:avLst/>
                    </a:prstGeom>
                  </pic:spPr>
                </pic:pic>
              </a:graphicData>
            </a:graphic>
          </wp:inline>
        </w:drawing>
      </w:r>
    </w:p>
    <w:p w14:paraId="28141AD7" w14:textId="77777777" w:rsidR="00CA2636" w:rsidRPr="00C73365" w:rsidRDefault="00CA2636">
      <w:pPr>
        <w:rPr>
          <w:rFonts w:asciiTheme="minorHAnsi" w:hAnsiTheme="minorHAnsi" w:cstheme="minorHAnsi"/>
          <w:lang w:val="fr-FR"/>
        </w:rPr>
      </w:pPr>
    </w:p>
    <w:p w14:paraId="265668F9" w14:textId="77777777" w:rsidR="00F46C7B" w:rsidRPr="00C73365" w:rsidRDefault="00F46C7B" w:rsidP="00B170BA">
      <w:pPr>
        <w:pStyle w:val="Paragraphedeliste"/>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 xml:space="preserve">Tableau </w:t>
      </w:r>
      <w:r w:rsidR="001061C2" w:rsidRPr="00C73365">
        <w:rPr>
          <w:rFonts w:asciiTheme="minorHAnsi" w:hAnsiTheme="minorHAnsi" w:cstheme="minorHAnsi"/>
          <w:lang w:val="fr-FR"/>
        </w:rPr>
        <w:t>22 </w:t>
      </w:r>
      <w:r w:rsidRPr="00C73365">
        <w:rPr>
          <w:rFonts w:asciiTheme="minorHAnsi" w:hAnsiTheme="minorHAnsi" w:cstheme="minorHAnsi"/>
          <w:lang w:val="fr-FR"/>
        </w:rPr>
        <w:t>:</w:t>
      </w:r>
    </w:p>
    <w:p w14:paraId="5C05DB24" w14:textId="77777777" w:rsidR="00F46C7B"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4CF81F9" wp14:editId="47BA02A6">
            <wp:extent cx="4686300" cy="3726579"/>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93782" cy="3732529"/>
                    </a:xfrm>
                    <a:prstGeom prst="rect">
                      <a:avLst/>
                    </a:prstGeom>
                  </pic:spPr>
                </pic:pic>
              </a:graphicData>
            </a:graphic>
          </wp:inline>
        </w:drawing>
      </w:r>
    </w:p>
    <w:p w14:paraId="67B4E73E" w14:textId="77777777" w:rsidR="00F46C7B" w:rsidRPr="00C73365" w:rsidRDefault="00F46C7B"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23 </w:t>
      </w:r>
      <w:r w:rsidRPr="00C73365">
        <w:rPr>
          <w:rFonts w:asciiTheme="minorHAnsi" w:hAnsiTheme="minorHAnsi" w:cstheme="minorHAnsi"/>
          <w:lang w:val="fr-FR"/>
        </w:rPr>
        <w:t>:</w:t>
      </w:r>
    </w:p>
    <w:p w14:paraId="22181655" w14:textId="77777777" w:rsidR="00F46C7B" w:rsidRPr="00C73365" w:rsidRDefault="00464BF8">
      <w:pPr>
        <w:rPr>
          <w:rFonts w:asciiTheme="minorHAnsi" w:hAnsiTheme="minorHAnsi" w:cstheme="minorHAnsi"/>
          <w:i/>
          <w:sz w:val="18"/>
          <w:szCs w:val="18"/>
          <w:lang w:val="fr-FR"/>
        </w:rPr>
      </w:pPr>
      <w:r w:rsidRPr="00C73365">
        <w:rPr>
          <w:rFonts w:asciiTheme="minorHAnsi" w:hAnsiTheme="minorHAnsi" w:cstheme="minorHAnsi"/>
          <w:noProof/>
          <w:lang w:val="fr-FR" w:eastAsia="fr-FR"/>
        </w:rPr>
        <w:lastRenderedPageBreak/>
        <w:drawing>
          <wp:inline distT="0" distB="0" distL="0" distR="0" wp14:anchorId="4604884D" wp14:editId="36EDBE53">
            <wp:extent cx="4683936" cy="5638800"/>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84670" cy="5639684"/>
                    </a:xfrm>
                    <a:prstGeom prst="rect">
                      <a:avLst/>
                    </a:prstGeom>
                  </pic:spPr>
                </pic:pic>
              </a:graphicData>
            </a:graphic>
          </wp:inline>
        </w:drawing>
      </w:r>
    </w:p>
    <w:p w14:paraId="111D886F" w14:textId="77777777" w:rsidR="00D1179F" w:rsidRPr="00C73365" w:rsidRDefault="00D1179F">
      <w:pPr>
        <w:rPr>
          <w:rFonts w:asciiTheme="minorHAnsi" w:hAnsiTheme="minorHAnsi" w:cstheme="minorHAnsi"/>
          <w:lang w:val="fr-FR"/>
        </w:rPr>
      </w:pPr>
    </w:p>
    <w:p w14:paraId="3507BDBA" w14:textId="77777777" w:rsidR="00CA2636" w:rsidRPr="00C73365" w:rsidRDefault="00CA2636" w:rsidP="00B170BA">
      <w:pPr>
        <w:pStyle w:val="Paragraphedeliste"/>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24</w:t>
      </w:r>
    </w:p>
    <w:p w14:paraId="05065347" w14:textId="77777777" w:rsidR="00CA2636"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59AB5383" wp14:editId="1CAFAEDF">
            <wp:extent cx="4937760" cy="87802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56440" cy="881351"/>
                    </a:xfrm>
                    <a:prstGeom prst="rect">
                      <a:avLst/>
                    </a:prstGeom>
                  </pic:spPr>
                </pic:pic>
              </a:graphicData>
            </a:graphic>
          </wp:inline>
        </w:drawing>
      </w:r>
    </w:p>
    <w:p w14:paraId="5EB581F0" w14:textId="77777777" w:rsidR="003B3C7C" w:rsidRPr="00C73365" w:rsidRDefault="003B3C7C">
      <w:pPr>
        <w:widowControl w:val="0"/>
        <w:rPr>
          <w:rFonts w:asciiTheme="minorHAnsi" w:hAnsiTheme="minorHAnsi" w:cstheme="minorHAnsi"/>
          <w:b/>
          <w:color w:val="7030A0"/>
          <w:szCs w:val="22"/>
          <w:lang w:val="fr-FR"/>
        </w:rPr>
      </w:pPr>
    </w:p>
    <w:p w14:paraId="7446C866" w14:textId="77777777" w:rsidR="00F46C7B" w:rsidRPr="00C73365" w:rsidRDefault="00F46C7B" w:rsidP="004572A0">
      <w:pPr>
        <w:pStyle w:val="Corpsdetexte"/>
        <w:rPr>
          <w:rFonts w:asciiTheme="minorHAnsi" w:hAnsiTheme="minorHAnsi" w:cstheme="minorHAnsi"/>
          <w:b/>
          <w:sz w:val="18"/>
          <w:lang w:val="fr-FR"/>
        </w:rPr>
      </w:pPr>
      <w:r w:rsidRPr="00C73365">
        <w:rPr>
          <w:rFonts w:asciiTheme="minorHAnsi" w:hAnsiTheme="minorHAnsi" w:cstheme="minorHAnsi"/>
          <w:b/>
          <w:lang w:val="fr-FR"/>
        </w:rPr>
        <w:t xml:space="preserve">Brevets de la plateforme « Stimulation Immunitaire» licenciés à </w:t>
      </w:r>
      <w:r w:rsidR="00EF089C" w:rsidRPr="00C73365">
        <w:rPr>
          <w:rFonts w:asciiTheme="minorHAnsi" w:hAnsiTheme="minorHAnsi" w:cstheme="minorHAnsi"/>
          <w:b/>
          <w:lang w:val="fr-FR"/>
        </w:rPr>
        <w:t>ABIVAX</w:t>
      </w:r>
    </w:p>
    <w:p w14:paraId="5A82E6B1" w14:textId="77777777" w:rsidR="00F46C7B" w:rsidRPr="00C73365" w:rsidRDefault="00F46C7B" w:rsidP="00B170BA">
      <w:pPr>
        <w:pStyle w:val="Paragraphedeliste"/>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25 </w:t>
      </w:r>
      <w:r w:rsidRPr="00C73365">
        <w:rPr>
          <w:rFonts w:asciiTheme="minorHAnsi" w:hAnsiTheme="minorHAnsi" w:cstheme="minorHAnsi"/>
          <w:lang w:val="fr-FR"/>
        </w:rPr>
        <w:t>:</w:t>
      </w:r>
    </w:p>
    <w:p w14:paraId="6AD8F508" w14:textId="77777777" w:rsidR="00F46C7B"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AD4522B" wp14:editId="5E60F517">
            <wp:extent cx="6120765" cy="651510"/>
            <wp:effectExtent l="0" t="0" r="0" b="0"/>
            <wp:docPr id="2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651510"/>
                    </a:xfrm>
                    <a:prstGeom prst="rect">
                      <a:avLst/>
                    </a:prstGeom>
                    <a:noFill/>
                    <a:ln>
                      <a:noFill/>
                    </a:ln>
                  </pic:spPr>
                </pic:pic>
              </a:graphicData>
            </a:graphic>
          </wp:inline>
        </w:drawing>
      </w:r>
    </w:p>
    <w:p w14:paraId="203D20DB" w14:textId="77777777" w:rsidR="00F46C7B" w:rsidRPr="00C73365" w:rsidRDefault="00F46C7B" w:rsidP="00434C49">
      <w:pPr>
        <w:pStyle w:val="ConmainL3"/>
        <w:numPr>
          <w:ilvl w:val="3"/>
          <w:numId w:val="96"/>
        </w:numPr>
        <w:spacing w:after="120"/>
        <w:rPr>
          <w:rFonts w:asciiTheme="minorHAnsi" w:hAnsiTheme="minorHAnsi" w:cstheme="minorHAnsi"/>
          <w:b/>
          <w:color w:val="7030A0"/>
          <w:lang w:val="fr-FR"/>
        </w:rPr>
      </w:pPr>
      <w:r w:rsidRPr="00C73365">
        <w:rPr>
          <w:rFonts w:asciiTheme="minorHAnsi" w:hAnsiTheme="minorHAnsi" w:cstheme="minorHAnsi"/>
          <w:i/>
          <w:lang w:val="fr-FR"/>
        </w:rPr>
        <w:lastRenderedPageBreak/>
        <w:t>Plateforme « Anticorps Polyclonaux »</w:t>
      </w:r>
    </w:p>
    <w:p w14:paraId="6422293A" w14:textId="77777777" w:rsidR="00F46C7B" w:rsidRPr="00C73365" w:rsidRDefault="00F46C7B"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color w:val="000000" w:themeColor="text1"/>
          <w:lang w:val="fr-FR"/>
        </w:rPr>
        <w:t xml:space="preserve">Le 7 Juin 2016, </w:t>
      </w:r>
      <w:r w:rsidR="00EF089C" w:rsidRPr="00C73365">
        <w:rPr>
          <w:rFonts w:asciiTheme="minorHAnsi" w:hAnsiTheme="minorHAnsi" w:cstheme="minorHAnsi"/>
          <w:color w:val="000000" w:themeColor="text1"/>
          <w:lang w:val="fr-FR"/>
        </w:rPr>
        <w:t>ABIVAX</w:t>
      </w:r>
      <w:r w:rsidRPr="00C73365">
        <w:rPr>
          <w:rFonts w:asciiTheme="minorHAnsi" w:hAnsiTheme="minorHAnsi" w:cstheme="minorHAnsi"/>
          <w:color w:val="000000" w:themeColor="text1"/>
          <w:lang w:val="fr-FR"/>
        </w:rPr>
        <w:t xml:space="preserve"> a déposé une demande de brevet européen intitulé « Anticorps Polyclonaux » pour usage dans la prévention et / ou le traitement de la maladie due au virus Ebola.</w:t>
      </w:r>
    </w:p>
    <w:p w14:paraId="0D9494B4" w14:textId="77777777" w:rsidR="00CA2636" w:rsidRPr="00C73365" w:rsidRDefault="00CA2636"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color w:val="000000" w:themeColor="text1"/>
          <w:lang w:val="fr-FR"/>
        </w:rPr>
        <w:t xml:space="preserve">Le 29 décembre 2016, </w:t>
      </w:r>
      <w:r w:rsidR="00EF089C" w:rsidRPr="00C73365">
        <w:rPr>
          <w:rFonts w:asciiTheme="minorHAnsi" w:hAnsiTheme="minorHAnsi" w:cstheme="minorHAnsi"/>
          <w:color w:val="000000" w:themeColor="text1"/>
          <w:lang w:val="fr-FR"/>
        </w:rPr>
        <w:t>ABIVAX</w:t>
      </w:r>
      <w:r w:rsidRPr="00C73365">
        <w:rPr>
          <w:rFonts w:asciiTheme="minorHAnsi" w:hAnsiTheme="minorHAnsi" w:cstheme="minorHAnsi"/>
          <w:color w:val="000000" w:themeColor="text1"/>
          <w:lang w:val="fr-FR"/>
        </w:rPr>
        <w:t xml:space="preserve"> a déposé une demande de brevet européen intitulé « Anticorps Polyclonaux et leur utilisation ».</w:t>
      </w:r>
    </w:p>
    <w:p w14:paraId="18196FD2" w14:textId="77777777" w:rsidR="00CA2636" w:rsidRPr="00C73365" w:rsidRDefault="00CA2636" w:rsidP="00B170BA">
      <w:pPr>
        <w:pStyle w:val="Paragraphedeliste"/>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26 </w:t>
      </w:r>
      <w:r w:rsidRPr="00C73365">
        <w:rPr>
          <w:rFonts w:asciiTheme="minorHAnsi" w:hAnsiTheme="minorHAnsi" w:cstheme="minorHAnsi"/>
          <w:lang w:val="fr-FR"/>
        </w:rPr>
        <w:t>:</w:t>
      </w:r>
    </w:p>
    <w:p w14:paraId="22E38822" w14:textId="77777777" w:rsidR="00CA2636" w:rsidRPr="00C73365" w:rsidRDefault="00464BF8"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noProof/>
          <w:color w:val="000000" w:themeColor="text1"/>
          <w:lang w:val="fr-FR" w:eastAsia="fr-FR"/>
        </w:rPr>
        <w:drawing>
          <wp:inline distT="0" distB="0" distL="0" distR="0" wp14:anchorId="48A75968" wp14:editId="571DD3C1">
            <wp:extent cx="6120765" cy="95313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765" cy="953135"/>
                    </a:xfrm>
                    <a:prstGeom prst="rect">
                      <a:avLst/>
                    </a:prstGeom>
                  </pic:spPr>
                </pic:pic>
              </a:graphicData>
            </a:graphic>
          </wp:inline>
        </w:drawing>
      </w:r>
    </w:p>
    <w:p w14:paraId="0DEA46B6" w14:textId="77777777" w:rsidR="00CA2636" w:rsidRPr="00C73365" w:rsidRDefault="00CA2636" w:rsidP="00B170BA">
      <w:pPr>
        <w:pStyle w:val="Paragraphedeliste"/>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27 </w:t>
      </w:r>
      <w:r w:rsidRPr="00C73365">
        <w:rPr>
          <w:rFonts w:asciiTheme="minorHAnsi" w:hAnsiTheme="minorHAnsi" w:cstheme="minorHAnsi"/>
          <w:lang w:val="fr-FR"/>
        </w:rPr>
        <w:t>:</w:t>
      </w:r>
    </w:p>
    <w:p w14:paraId="6FA77D18" w14:textId="77777777" w:rsidR="00CA2636" w:rsidRPr="00C73365" w:rsidRDefault="00464BF8" w:rsidP="00A96CCA">
      <w:pPr>
        <w:pStyle w:val="ConmainL3"/>
        <w:keepLines/>
        <w:tabs>
          <w:tab w:val="clear" w:pos="360"/>
        </w:tabs>
        <w:spacing w:after="120"/>
        <w:outlineLvl w:val="9"/>
        <w:rPr>
          <w:rFonts w:asciiTheme="minorHAnsi" w:hAnsiTheme="minorHAnsi" w:cstheme="minorHAnsi"/>
          <w:b/>
          <w:color w:val="7030A0"/>
          <w:lang w:val="fr-FR"/>
        </w:rPr>
      </w:pPr>
      <w:r w:rsidRPr="00C73365">
        <w:rPr>
          <w:rFonts w:asciiTheme="minorHAnsi" w:hAnsiTheme="minorHAnsi" w:cstheme="minorHAnsi"/>
          <w:b/>
          <w:noProof/>
          <w:color w:val="7030A0"/>
          <w:lang w:val="fr-FR" w:eastAsia="fr-FR"/>
        </w:rPr>
        <w:drawing>
          <wp:inline distT="0" distB="0" distL="0" distR="0" wp14:anchorId="2E517F50" wp14:editId="078DDEA2">
            <wp:extent cx="6120765" cy="61849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765" cy="618490"/>
                    </a:xfrm>
                    <a:prstGeom prst="rect">
                      <a:avLst/>
                    </a:prstGeom>
                  </pic:spPr>
                </pic:pic>
              </a:graphicData>
            </a:graphic>
          </wp:inline>
        </w:drawing>
      </w:r>
    </w:p>
    <w:p w14:paraId="0776FEC7" w14:textId="77777777" w:rsidR="00F46C7B" w:rsidRPr="00C73365" w:rsidRDefault="00F46C7B">
      <w:pPr>
        <w:pStyle w:val="Paragraphedeliste"/>
        <w:widowControl w:val="0"/>
        <w:ind w:left="1080"/>
        <w:rPr>
          <w:rFonts w:asciiTheme="minorHAnsi" w:hAnsiTheme="minorHAnsi" w:cstheme="minorHAnsi"/>
          <w:sz w:val="22"/>
          <w:szCs w:val="22"/>
          <w:lang w:val="fr-FR"/>
        </w:rPr>
      </w:pPr>
    </w:p>
    <w:p w14:paraId="7B18D1E9" w14:textId="77777777"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Synthèse sur la protection des technologies et candidats-médicaments d’</w:t>
      </w:r>
      <w:r w:rsidR="00EF089C" w:rsidRPr="00C73365">
        <w:rPr>
          <w:rFonts w:asciiTheme="minorHAnsi" w:hAnsiTheme="minorHAnsi" w:cstheme="minorHAnsi"/>
          <w:i/>
          <w:lang w:val="fr-FR"/>
        </w:rPr>
        <w:t>ABIVAX</w:t>
      </w:r>
    </w:p>
    <w:p w14:paraId="0239CBA3"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60"/>
          <w:lang w:val="fr-FR"/>
        </w:rPr>
        <w:t xml:space="preserve"> </w:t>
      </w:r>
      <w:r w:rsidRPr="00C73365">
        <w:rPr>
          <w:rFonts w:asciiTheme="minorHAnsi" w:hAnsiTheme="minorHAnsi" w:cstheme="minorHAnsi"/>
          <w:lang w:val="fr-FR"/>
        </w:rPr>
        <w:t>portefeuille de brevets de la Société sera amené à être</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complété par</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de nouvelles</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demandes de brevet déposées</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 xml:space="preserve">par </w:t>
      </w:r>
      <w:r w:rsidR="00EF089C" w:rsidRPr="00C73365">
        <w:rPr>
          <w:rFonts w:asciiTheme="minorHAnsi" w:hAnsiTheme="minorHAnsi" w:cstheme="minorHAnsi"/>
          <w:lang w:val="fr-FR"/>
        </w:rPr>
        <w:t>ABIVAX</w:t>
      </w:r>
      <w:r w:rsidRPr="00C73365">
        <w:rPr>
          <w:rFonts w:asciiTheme="minorHAnsi" w:hAnsiTheme="minorHAnsi" w:cstheme="minorHAnsi"/>
          <w:lang w:val="fr-FR"/>
        </w:rPr>
        <w:t>, en fonction des nouvelles molécules issues de ses plateformes technologiques, et de ses futurs accords de licences et de co-développement.</w:t>
      </w:r>
    </w:p>
    <w:p w14:paraId="7E45E695"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Il</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n’y</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pas</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certitude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qu’une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demande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particulière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donnera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lieu</w:t>
      </w:r>
      <w:r w:rsidRPr="00C73365">
        <w:rPr>
          <w:rFonts w:asciiTheme="minorHAnsi" w:hAnsiTheme="minorHAnsi" w:cstheme="minorHAnsi"/>
          <w:spacing w:val="20"/>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un</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brevet,</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ni</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que</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portée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d</w:t>
      </w:r>
      <w:r w:rsidR="004572A0" w:rsidRPr="00C73365">
        <w:rPr>
          <w:rFonts w:asciiTheme="minorHAnsi" w:hAnsiTheme="minorHAnsi" w:cstheme="minorHAnsi"/>
          <w:lang w:val="fr-FR"/>
        </w:rPr>
        <w:t>’</w:t>
      </w:r>
      <w:r w:rsidRPr="00C73365">
        <w:rPr>
          <w:rFonts w:asciiTheme="minorHAnsi" w:hAnsiTheme="minorHAnsi" w:cstheme="minorHAnsi"/>
          <w:lang w:val="fr-FR"/>
        </w:rPr>
        <w:t>un</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brevet</w:t>
      </w:r>
      <w:r w:rsidRPr="00C73365">
        <w:rPr>
          <w:rFonts w:asciiTheme="minorHAnsi" w:hAnsiTheme="minorHAnsi" w:cstheme="minorHAnsi"/>
          <w:spacing w:val="68"/>
          <w:lang w:val="fr-FR"/>
        </w:rPr>
        <w:t xml:space="preserve"> </w:t>
      </w:r>
      <w:r w:rsidRPr="00C73365">
        <w:rPr>
          <w:rFonts w:asciiTheme="minorHAnsi" w:hAnsiTheme="minorHAnsi" w:cstheme="minorHAnsi"/>
          <w:lang w:val="fr-FR"/>
        </w:rPr>
        <w:t xml:space="preserve">accordé </w:t>
      </w:r>
      <w:r w:rsidRPr="00C73365">
        <w:rPr>
          <w:rFonts w:asciiTheme="minorHAnsi" w:hAnsiTheme="minorHAnsi" w:cstheme="minorHAnsi"/>
          <w:spacing w:val="-2"/>
          <w:lang w:val="fr-FR"/>
        </w:rPr>
        <w:t>confèrera</w:t>
      </w:r>
      <w:r w:rsidRPr="00C73365">
        <w:rPr>
          <w:rFonts w:asciiTheme="minorHAnsi" w:hAnsiTheme="minorHAnsi" w:cstheme="minorHAnsi"/>
          <w:lang w:val="fr-FR"/>
        </w:rPr>
        <w:t xml:space="preserve"> à la Société un avantage compétitif ou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il ne sera pas contesté ou </w:t>
      </w:r>
      <w:r w:rsidRPr="00C73365">
        <w:rPr>
          <w:rFonts w:asciiTheme="minorHAnsi" w:hAnsiTheme="minorHAnsi" w:cstheme="minorHAnsi"/>
          <w:spacing w:val="-2"/>
          <w:lang w:val="fr-FR"/>
        </w:rPr>
        <w:t xml:space="preserve">contourné. </w:t>
      </w:r>
    </w:p>
    <w:p w14:paraId="5AABCF13"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On ne peut également exclure des modifications de la législation ou de la réglementation sur les brevets qui pourraient éventuellement avoir une incidence sur le portefeuille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futur. Cependant, la Société estime que le spectre de couverture des candidats-médicaments de la Société, des différentes indications ainsi que des procédés de fabrication est très large, et devrait ainsi assurer une position concurrentielle de premier rang à la Société.</w:t>
      </w:r>
    </w:p>
    <w:p w14:paraId="0C3400DE" w14:textId="77777777" w:rsidR="00F46C7B" w:rsidRPr="006A05A6" w:rsidRDefault="00F46C7B" w:rsidP="004572A0">
      <w:pPr>
        <w:pStyle w:val="Corpsdetexte"/>
        <w:rPr>
          <w:rFonts w:asciiTheme="minorHAnsi" w:hAnsiTheme="minorHAnsi" w:cstheme="minorHAnsi"/>
          <w:lang w:val="fr-FR"/>
        </w:rPr>
      </w:pPr>
      <w:r w:rsidRPr="006A05A6">
        <w:rPr>
          <w:rFonts w:asciiTheme="minorHAnsi" w:hAnsiTheme="minorHAnsi" w:cstheme="minorHAnsi"/>
          <w:lang w:val="fr-FR"/>
        </w:rPr>
        <w:t xml:space="preserve">Le tableau ci-dessous détaille le nombre de brevets accordés ainsi que les demandes : </w:t>
      </w:r>
      <w:r w:rsidRPr="006A05A6">
        <w:rPr>
          <w:rFonts w:asciiTheme="minorHAnsi" w:hAnsiTheme="minorHAnsi" w:cstheme="minorHAnsi"/>
          <w:lang w:val="fr-FR"/>
        </w:rPr>
        <w:tab/>
      </w:r>
    </w:p>
    <w:tbl>
      <w:tblPr>
        <w:tblW w:w="7737" w:type="dxa"/>
        <w:tblCellMar>
          <w:left w:w="70" w:type="dxa"/>
          <w:right w:w="70" w:type="dxa"/>
        </w:tblCellMar>
        <w:tblLook w:val="04A0" w:firstRow="1" w:lastRow="0" w:firstColumn="1" w:lastColumn="0" w:noHBand="0" w:noVBand="1"/>
      </w:tblPr>
      <w:tblGrid>
        <w:gridCol w:w="3466"/>
        <w:gridCol w:w="214"/>
        <w:gridCol w:w="1134"/>
        <w:gridCol w:w="214"/>
        <w:gridCol w:w="1134"/>
        <w:gridCol w:w="214"/>
        <w:gridCol w:w="1361"/>
      </w:tblGrid>
      <w:tr w:rsidR="00F46C7B" w:rsidRPr="0030056F" w14:paraId="2457768D" w14:textId="77777777" w:rsidTr="006A05A6">
        <w:trPr>
          <w:trHeight w:val="314"/>
        </w:trPr>
        <w:tc>
          <w:tcPr>
            <w:tcW w:w="3466" w:type="dxa"/>
            <w:tcBorders>
              <w:top w:val="single" w:sz="12" w:space="0" w:color="7030A0"/>
              <w:left w:val="nil"/>
              <w:bottom w:val="single" w:sz="8" w:space="0" w:color="7030A0"/>
              <w:right w:val="nil"/>
            </w:tcBorders>
            <w:shd w:val="clear" w:color="auto" w:fill="auto"/>
            <w:vAlign w:val="center"/>
            <w:hideMark/>
          </w:tcPr>
          <w:p w14:paraId="42120CE1" w14:textId="77777777" w:rsidR="00F46C7B" w:rsidRPr="006A05A6" w:rsidRDefault="00F46C7B">
            <w:pP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Technologie</w:t>
            </w:r>
          </w:p>
        </w:tc>
        <w:tc>
          <w:tcPr>
            <w:tcW w:w="214" w:type="dxa"/>
            <w:tcBorders>
              <w:top w:val="nil"/>
              <w:left w:val="nil"/>
              <w:bottom w:val="nil"/>
              <w:right w:val="nil"/>
            </w:tcBorders>
            <w:shd w:val="clear" w:color="auto" w:fill="auto"/>
            <w:vAlign w:val="center"/>
            <w:hideMark/>
          </w:tcPr>
          <w:p w14:paraId="4984F179" w14:textId="77777777" w:rsidR="00F46C7B" w:rsidRPr="006A05A6" w:rsidRDefault="00F46C7B">
            <w:pPr>
              <w:rPr>
                <w:rFonts w:asciiTheme="minorHAnsi" w:hAnsiTheme="minorHAnsi" w:cstheme="minorHAnsi"/>
                <w:b/>
                <w:bCs/>
                <w:color w:val="000000"/>
                <w:szCs w:val="20"/>
                <w:lang w:val="fr-FR" w:eastAsia="fr-FR"/>
              </w:rPr>
            </w:pPr>
          </w:p>
        </w:tc>
        <w:tc>
          <w:tcPr>
            <w:tcW w:w="1134" w:type="dxa"/>
            <w:tcBorders>
              <w:top w:val="single" w:sz="12" w:space="0" w:color="7030A0"/>
              <w:left w:val="nil"/>
              <w:bottom w:val="single" w:sz="8" w:space="0" w:color="7030A0"/>
              <w:right w:val="nil"/>
            </w:tcBorders>
            <w:shd w:val="clear" w:color="auto" w:fill="auto"/>
            <w:vAlign w:val="center"/>
            <w:hideMark/>
          </w:tcPr>
          <w:p w14:paraId="0C3091B7" w14:textId="77777777"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Familles</w:t>
            </w:r>
          </w:p>
        </w:tc>
        <w:tc>
          <w:tcPr>
            <w:tcW w:w="214" w:type="dxa"/>
            <w:tcBorders>
              <w:top w:val="nil"/>
              <w:left w:val="nil"/>
              <w:bottom w:val="nil"/>
              <w:right w:val="nil"/>
            </w:tcBorders>
            <w:shd w:val="clear" w:color="auto" w:fill="auto"/>
            <w:vAlign w:val="center"/>
            <w:hideMark/>
          </w:tcPr>
          <w:p w14:paraId="3E52DC64" w14:textId="77777777" w:rsidR="00F46C7B" w:rsidRPr="006A05A6" w:rsidRDefault="00F46C7B">
            <w:pPr>
              <w:jc w:val="center"/>
              <w:rPr>
                <w:rFonts w:asciiTheme="minorHAnsi" w:hAnsiTheme="minorHAnsi" w:cstheme="minorHAnsi"/>
                <w:b/>
                <w:bCs/>
                <w:color w:val="000000"/>
                <w:szCs w:val="20"/>
                <w:lang w:val="fr-FR" w:eastAsia="fr-FR"/>
              </w:rPr>
            </w:pPr>
          </w:p>
        </w:tc>
        <w:tc>
          <w:tcPr>
            <w:tcW w:w="1134" w:type="dxa"/>
            <w:tcBorders>
              <w:top w:val="single" w:sz="12" w:space="0" w:color="7030A0"/>
              <w:left w:val="nil"/>
              <w:bottom w:val="single" w:sz="8" w:space="0" w:color="7030A0"/>
              <w:right w:val="nil"/>
            </w:tcBorders>
            <w:shd w:val="clear" w:color="auto" w:fill="auto"/>
            <w:vAlign w:val="center"/>
            <w:hideMark/>
          </w:tcPr>
          <w:p w14:paraId="0BDDCA0A" w14:textId="77777777"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 xml:space="preserve">Brevets </w:t>
            </w:r>
          </w:p>
          <w:p w14:paraId="569C8FB6" w14:textId="77777777"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délivrés</w:t>
            </w:r>
          </w:p>
        </w:tc>
        <w:tc>
          <w:tcPr>
            <w:tcW w:w="214" w:type="dxa"/>
            <w:tcBorders>
              <w:top w:val="nil"/>
              <w:left w:val="nil"/>
              <w:bottom w:val="nil"/>
              <w:right w:val="nil"/>
            </w:tcBorders>
            <w:shd w:val="clear" w:color="auto" w:fill="auto"/>
            <w:vAlign w:val="center"/>
            <w:hideMark/>
          </w:tcPr>
          <w:p w14:paraId="4F422E28" w14:textId="77777777" w:rsidR="00F46C7B" w:rsidRPr="006A05A6" w:rsidRDefault="00F46C7B">
            <w:pPr>
              <w:jc w:val="center"/>
              <w:rPr>
                <w:rFonts w:asciiTheme="minorHAnsi" w:hAnsiTheme="minorHAnsi" w:cstheme="minorHAnsi"/>
                <w:b/>
                <w:bCs/>
                <w:color w:val="000000"/>
                <w:szCs w:val="20"/>
                <w:lang w:val="fr-FR" w:eastAsia="fr-FR"/>
              </w:rPr>
            </w:pPr>
          </w:p>
        </w:tc>
        <w:tc>
          <w:tcPr>
            <w:tcW w:w="1361" w:type="dxa"/>
            <w:tcBorders>
              <w:top w:val="single" w:sz="12" w:space="0" w:color="7030A0"/>
              <w:left w:val="nil"/>
              <w:bottom w:val="single" w:sz="8" w:space="0" w:color="7030A0"/>
              <w:right w:val="nil"/>
            </w:tcBorders>
            <w:shd w:val="clear" w:color="auto" w:fill="auto"/>
            <w:vAlign w:val="center"/>
            <w:hideMark/>
          </w:tcPr>
          <w:p w14:paraId="38F183BB" w14:textId="77777777"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Demandes de brevets en cours d’examen</w:t>
            </w:r>
          </w:p>
        </w:tc>
      </w:tr>
      <w:tr w:rsidR="00F46C7B" w:rsidRPr="006A05A6" w14:paraId="1102D58F" w14:textId="77777777" w:rsidTr="00670C89">
        <w:trPr>
          <w:trHeight w:val="133"/>
        </w:trPr>
        <w:tc>
          <w:tcPr>
            <w:tcW w:w="3466" w:type="dxa"/>
            <w:tcBorders>
              <w:top w:val="nil"/>
              <w:left w:val="nil"/>
              <w:bottom w:val="nil"/>
              <w:right w:val="nil"/>
            </w:tcBorders>
            <w:shd w:val="clear" w:color="auto" w:fill="auto"/>
            <w:noWrap/>
            <w:vAlign w:val="bottom"/>
            <w:hideMark/>
          </w:tcPr>
          <w:p w14:paraId="4A6BBBFD" w14:textId="77777777"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Antivirale »</w:t>
            </w:r>
          </w:p>
        </w:tc>
        <w:tc>
          <w:tcPr>
            <w:tcW w:w="214" w:type="dxa"/>
            <w:tcBorders>
              <w:top w:val="nil"/>
              <w:left w:val="nil"/>
              <w:bottom w:val="nil"/>
              <w:right w:val="nil"/>
            </w:tcBorders>
            <w:shd w:val="clear" w:color="auto" w:fill="auto"/>
            <w:noWrap/>
            <w:vAlign w:val="bottom"/>
            <w:hideMark/>
          </w:tcPr>
          <w:p w14:paraId="2217BEAA" w14:textId="77777777"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bottom w:val="nil"/>
              <w:right w:val="nil"/>
            </w:tcBorders>
            <w:shd w:val="clear" w:color="auto" w:fill="auto"/>
            <w:noWrap/>
            <w:vAlign w:val="bottom"/>
            <w:hideMark/>
          </w:tcPr>
          <w:p w14:paraId="03FA4CDD" w14:textId="77777777" w:rsidR="00F46C7B" w:rsidRPr="006A05A6" w:rsidRDefault="001061C2">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20</w:t>
            </w:r>
          </w:p>
        </w:tc>
        <w:tc>
          <w:tcPr>
            <w:tcW w:w="214" w:type="dxa"/>
            <w:tcBorders>
              <w:top w:val="nil"/>
              <w:left w:val="nil"/>
              <w:bottom w:val="nil"/>
              <w:right w:val="nil"/>
            </w:tcBorders>
            <w:shd w:val="clear" w:color="auto" w:fill="auto"/>
            <w:noWrap/>
            <w:vAlign w:val="bottom"/>
            <w:hideMark/>
          </w:tcPr>
          <w:p w14:paraId="34636A3E" w14:textId="77777777"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bottom w:val="nil"/>
              <w:right w:val="nil"/>
            </w:tcBorders>
            <w:shd w:val="clear" w:color="auto" w:fill="auto"/>
            <w:noWrap/>
            <w:vAlign w:val="bottom"/>
            <w:hideMark/>
          </w:tcPr>
          <w:p w14:paraId="64EF8997" w14:textId="77777777" w:rsidR="00F46C7B" w:rsidRPr="005A55E9" w:rsidRDefault="001061C2">
            <w:pPr>
              <w:jc w:val="center"/>
              <w:rPr>
                <w:rFonts w:asciiTheme="minorHAnsi" w:hAnsiTheme="minorHAnsi" w:cstheme="minorHAnsi"/>
                <w:color w:val="000000"/>
                <w:szCs w:val="20"/>
                <w:highlight w:val="yellow"/>
                <w:lang w:val="fr-FR" w:eastAsia="fr-FR"/>
              </w:rPr>
            </w:pPr>
            <w:r w:rsidRPr="005A55E9">
              <w:rPr>
                <w:rFonts w:asciiTheme="minorHAnsi" w:hAnsiTheme="minorHAnsi" w:cstheme="minorHAnsi"/>
                <w:color w:val="000000"/>
                <w:szCs w:val="20"/>
                <w:highlight w:val="yellow"/>
                <w:lang w:val="fr-FR" w:eastAsia="fr-FR"/>
              </w:rPr>
              <w:t>121</w:t>
            </w:r>
          </w:p>
        </w:tc>
        <w:tc>
          <w:tcPr>
            <w:tcW w:w="214" w:type="dxa"/>
            <w:tcBorders>
              <w:top w:val="nil"/>
              <w:left w:val="nil"/>
              <w:bottom w:val="nil"/>
              <w:right w:val="nil"/>
            </w:tcBorders>
            <w:shd w:val="clear" w:color="auto" w:fill="auto"/>
            <w:noWrap/>
            <w:vAlign w:val="bottom"/>
            <w:hideMark/>
          </w:tcPr>
          <w:p w14:paraId="547E411E" w14:textId="77777777"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bottom w:val="nil"/>
              <w:right w:val="nil"/>
            </w:tcBorders>
            <w:shd w:val="clear" w:color="auto" w:fill="auto"/>
            <w:noWrap/>
            <w:vAlign w:val="bottom"/>
            <w:hideMark/>
          </w:tcPr>
          <w:p w14:paraId="0A94FEE2" w14:textId="77777777" w:rsidR="00F46C7B" w:rsidRPr="00670C89" w:rsidRDefault="001061C2">
            <w:pPr>
              <w:jc w:val="center"/>
              <w:rPr>
                <w:rFonts w:asciiTheme="minorHAnsi" w:hAnsiTheme="minorHAnsi" w:cstheme="minorHAnsi"/>
                <w:color w:val="000000"/>
                <w:szCs w:val="20"/>
                <w:lang w:val="fr-FR" w:eastAsia="fr-FR"/>
              </w:rPr>
            </w:pPr>
            <w:r w:rsidRPr="005A55E9">
              <w:rPr>
                <w:rFonts w:asciiTheme="minorHAnsi" w:hAnsiTheme="minorHAnsi" w:cstheme="minorHAnsi"/>
                <w:color w:val="000000"/>
                <w:szCs w:val="20"/>
                <w:highlight w:val="yellow"/>
                <w:lang w:val="fr-FR" w:eastAsia="fr-FR"/>
              </w:rPr>
              <w:t>118</w:t>
            </w:r>
          </w:p>
        </w:tc>
      </w:tr>
      <w:tr w:rsidR="00F46C7B" w:rsidRPr="006A05A6" w14:paraId="5360FBF6" w14:textId="77777777" w:rsidTr="00670C89">
        <w:trPr>
          <w:trHeight w:val="133"/>
        </w:trPr>
        <w:tc>
          <w:tcPr>
            <w:tcW w:w="3466" w:type="dxa"/>
            <w:tcBorders>
              <w:top w:val="nil"/>
              <w:left w:val="nil"/>
              <w:right w:val="nil"/>
            </w:tcBorders>
            <w:shd w:val="clear" w:color="auto" w:fill="auto"/>
            <w:noWrap/>
            <w:vAlign w:val="bottom"/>
            <w:hideMark/>
          </w:tcPr>
          <w:p w14:paraId="34C77DEE" w14:textId="77777777"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Stimulation Immunitaire »</w:t>
            </w:r>
          </w:p>
        </w:tc>
        <w:tc>
          <w:tcPr>
            <w:tcW w:w="214" w:type="dxa"/>
            <w:tcBorders>
              <w:top w:val="nil"/>
              <w:left w:val="nil"/>
              <w:bottom w:val="nil"/>
              <w:right w:val="nil"/>
            </w:tcBorders>
            <w:shd w:val="clear" w:color="auto" w:fill="auto"/>
            <w:noWrap/>
            <w:vAlign w:val="bottom"/>
            <w:hideMark/>
          </w:tcPr>
          <w:p w14:paraId="6436E907" w14:textId="77777777"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right w:val="nil"/>
            </w:tcBorders>
            <w:shd w:val="clear" w:color="auto" w:fill="auto"/>
            <w:noWrap/>
            <w:vAlign w:val="bottom"/>
            <w:hideMark/>
          </w:tcPr>
          <w:p w14:paraId="29969C05" w14:textId="77777777" w:rsidR="00F46C7B" w:rsidRPr="006A05A6" w:rsidRDefault="006A05A6">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5</w:t>
            </w:r>
          </w:p>
        </w:tc>
        <w:tc>
          <w:tcPr>
            <w:tcW w:w="214" w:type="dxa"/>
            <w:tcBorders>
              <w:top w:val="nil"/>
              <w:left w:val="nil"/>
              <w:bottom w:val="nil"/>
              <w:right w:val="nil"/>
            </w:tcBorders>
            <w:shd w:val="clear" w:color="auto" w:fill="auto"/>
            <w:noWrap/>
            <w:vAlign w:val="bottom"/>
            <w:hideMark/>
          </w:tcPr>
          <w:p w14:paraId="11EC2391" w14:textId="77777777"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right w:val="nil"/>
            </w:tcBorders>
            <w:shd w:val="clear" w:color="auto" w:fill="auto"/>
            <w:noWrap/>
            <w:vAlign w:val="bottom"/>
            <w:hideMark/>
          </w:tcPr>
          <w:p w14:paraId="2B1D2A8C" w14:textId="77777777" w:rsidR="00F46C7B" w:rsidRPr="005A55E9" w:rsidRDefault="00464BF8">
            <w:pPr>
              <w:jc w:val="center"/>
              <w:rPr>
                <w:rFonts w:asciiTheme="minorHAnsi" w:hAnsiTheme="minorHAnsi" w:cstheme="minorHAnsi"/>
                <w:color w:val="000000"/>
                <w:szCs w:val="20"/>
                <w:highlight w:val="yellow"/>
                <w:lang w:val="fr-FR" w:eastAsia="fr-FR"/>
              </w:rPr>
            </w:pPr>
            <w:r w:rsidRPr="005A55E9">
              <w:rPr>
                <w:rFonts w:asciiTheme="minorHAnsi" w:hAnsiTheme="minorHAnsi" w:cstheme="minorHAnsi"/>
                <w:color w:val="000000"/>
                <w:szCs w:val="20"/>
                <w:highlight w:val="yellow"/>
                <w:lang w:val="fr-FR" w:eastAsia="fr-FR"/>
              </w:rPr>
              <w:t>96</w:t>
            </w:r>
          </w:p>
        </w:tc>
        <w:tc>
          <w:tcPr>
            <w:tcW w:w="214" w:type="dxa"/>
            <w:tcBorders>
              <w:top w:val="nil"/>
              <w:left w:val="nil"/>
              <w:bottom w:val="nil"/>
              <w:right w:val="nil"/>
            </w:tcBorders>
            <w:shd w:val="clear" w:color="auto" w:fill="auto"/>
            <w:noWrap/>
            <w:vAlign w:val="bottom"/>
            <w:hideMark/>
          </w:tcPr>
          <w:p w14:paraId="18F61188" w14:textId="77777777"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right w:val="nil"/>
            </w:tcBorders>
            <w:shd w:val="clear" w:color="auto" w:fill="auto"/>
            <w:noWrap/>
            <w:vAlign w:val="bottom"/>
            <w:hideMark/>
          </w:tcPr>
          <w:p w14:paraId="330B4BA0" w14:textId="77777777" w:rsidR="00F46C7B" w:rsidRPr="00670C89" w:rsidRDefault="00464BF8">
            <w:pPr>
              <w:jc w:val="center"/>
              <w:rPr>
                <w:rFonts w:asciiTheme="minorHAnsi" w:hAnsiTheme="minorHAnsi" w:cstheme="minorHAnsi"/>
                <w:color w:val="000000"/>
                <w:szCs w:val="20"/>
                <w:lang w:val="fr-FR" w:eastAsia="fr-FR"/>
              </w:rPr>
            </w:pPr>
            <w:r w:rsidRPr="00670C89">
              <w:rPr>
                <w:rFonts w:asciiTheme="minorHAnsi" w:hAnsiTheme="minorHAnsi" w:cstheme="minorHAnsi"/>
                <w:color w:val="000000"/>
                <w:szCs w:val="20"/>
                <w:lang w:val="fr-FR" w:eastAsia="fr-FR"/>
              </w:rPr>
              <w:t>1</w:t>
            </w:r>
            <w:r w:rsidR="006A05A6" w:rsidRPr="00670C89">
              <w:rPr>
                <w:rFonts w:asciiTheme="minorHAnsi" w:hAnsiTheme="minorHAnsi" w:cstheme="minorHAnsi"/>
                <w:color w:val="000000"/>
                <w:szCs w:val="20"/>
                <w:lang w:val="fr-FR" w:eastAsia="fr-FR"/>
              </w:rPr>
              <w:t>4</w:t>
            </w:r>
          </w:p>
        </w:tc>
      </w:tr>
      <w:tr w:rsidR="00F46C7B" w:rsidRPr="006A05A6" w14:paraId="0F8F85D6" w14:textId="77777777" w:rsidTr="006A05A6">
        <w:trPr>
          <w:trHeight w:val="133"/>
        </w:trPr>
        <w:tc>
          <w:tcPr>
            <w:tcW w:w="3466" w:type="dxa"/>
            <w:tcBorders>
              <w:top w:val="nil"/>
              <w:left w:val="nil"/>
              <w:bottom w:val="single" w:sz="4" w:space="0" w:color="7030A0"/>
              <w:right w:val="nil"/>
            </w:tcBorders>
            <w:shd w:val="clear" w:color="auto" w:fill="auto"/>
            <w:noWrap/>
            <w:vAlign w:val="center"/>
          </w:tcPr>
          <w:p w14:paraId="4AAEE71B" w14:textId="77777777"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Anticorps Polyclonaux »</w:t>
            </w:r>
          </w:p>
        </w:tc>
        <w:tc>
          <w:tcPr>
            <w:tcW w:w="214" w:type="dxa"/>
            <w:tcBorders>
              <w:top w:val="nil"/>
              <w:left w:val="nil"/>
              <w:bottom w:val="nil"/>
              <w:right w:val="nil"/>
            </w:tcBorders>
            <w:shd w:val="clear" w:color="auto" w:fill="auto"/>
            <w:noWrap/>
            <w:vAlign w:val="center"/>
          </w:tcPr>
          <w:p w14:paraId="32E4CF60" w14:textId="77777777"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bottom w:val="single" w:sz="4" w:space="0" w:color="7030A0"/>
              <w:right w:val="nil"/>
            </w:tcBorders>
            <w:shd w:val="clear" w:color="auto" w:fill="auto"/>
            <w:vAlign w:val="center"/>
          </w:tcPr>
          <w:p w14:paraId="0EF4642E" w14:textId="77777777" w:rsidR="00F46C7B" w:rsidRPr="006A05A6" w:rsidRDefault="00F46C7B">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1</w:t>
            </w:r>
          </w:p>
        </w:tc>
        <w:tc>
          <w:tcPr>
            <w:tcW w:w="214" w:type="dxa"/>
            <w:tcBorders>
              <w:top w:val="nil"/>
              <w:left w:val="nil"/>
              <w:bottom w:val="nil"/>
              <w:right w:val="nil"/>
            </w:tcBorders>
            <w:shd w:val="clear" w:color="auto" w:fill="auto"/>
            <w:vAlign w:val="center"/>
          </w:tcPr>
          <w:p w14:paraId="50B3E511" w14:textId="77777777"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bottom w:val="single" w:sz="4" w:space="0" w:color="7030A0"/>
              <w:right w:val="nil"/>
            </w:tcBorders>
            <w:shd w:val="clear" w:color="auto" w:fill="auto"/>
            <w:vAlign w:val="center"/>
          </w:tcPr>
          <w:p w14:paraId="2067AB66" w14:textId="77777777" w:rsidR="00F46C7B" w:rsidRPr="00670C89" w:rsidRDefault="00F46C7B">
            <w:pPr>
              <w:jc w:val="center"/>
              <w:rPr>
                <w:rFonts w:asciiTheme="minorHAnsi" w:hAnsiTheme="minorHAnsi" w:cstheme="minorHAnsi"/>
                <w:color w:val="000000"/>
                <w:szCs w:val="20"/>
                <w:lang w:val="fr-FR" w:eastAsia="fr-FR"/>
              </w:rPr>
            </w:pPr>
          </w:p>
        </w:tc>
        <w:tc>
          <w:tcPr>
            <w:tcW w:w="214" w:type="dxa"/>
            <w:tcBorders>
              <w:top w:val="nil"/>
              <w:left w:val="nil"/>
              <w:bottom w:val="nil"/>
              <w:right w:val="nil"/>
            </w:tcBorders>
            <w:shd w:val="clear" w:color="auto" w:fill="auto"/>
            <w:vAlign w:val="center"/>
          </w:tcPr>
          <w:p w14:paraId="442722F3" w14:textId="77777777"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bottom w:val="single" w:sz="4" w:space="0" w:color="7030A0"/>
              <w:right w:val="nil"/>
            </w:tcBorders>
            <w:shd w:val="clear" w:color="auto" w:fill="auto"/>
            <w:vAlign w:val="center"/>
          </w:tcPr>
          <w:p w14:paraId="2C749547" w14:textId="77777777" w:rsidR="00F46C7B" w:rsidRPr="00670C89" w:rsidRDefault="00F46C7B">
            <w:pPr>
              <w:jc w:val="center"/>
              <w:rPr>
                <w:rFonts w:asciiTheme="minorHAnsi" w:hAnsiTheme="minorHAnsi" w:cstheme="minorHAnsi"/>
                <w:color w:val="000000"/>
                <w:szCs w:val="20"/>
                <w:lang w:val="fr-FR" w:eastAsia="fr-FR"/>
              </w:rPr>
            </w:pPr>
            <w:r w:rsidRPr="00670C89">
              <w:rPr>
                <w:rFonts w:asciiTheme="minorHAnsi" w:hAnsiTheme="minorHAnsi" w:cstheme="minorHAnsi"/>
                <w:color w:val="000000"/>
                <w:szCs w:val="20"/>
                <w:lang w:val="fr-FR" w:eastAsia="fr-FR"/>
              </w:rPr>
              <w:t>1</w:t>
            </w:r>
          </w:p>
        </w:tc>
      </w:tr>
      <w:tr w:rsidR="00F46C7B" w:rsidRPr="00C73365" w14:paraId="296B193A" w14:textId="77777777" w:rsidTr="006A05A6">
        <w:trPr>
          <w:trHeight w:val="397"/>
        </w:trPr>
        <w:tc>
          <w:tcPr>
            <w:tcW w:w="3466" w:type="dxa"/>
            <w:tcBorders>
              <w:top w:val="single" w:sz="4" w:space="0" w:color="7030A0"/>
              <w:left w:val="nil"/>
              <w:bottom w:val="single" w:sz="8" w:space="0" w:color="7030A0"/>
              <w:right w:val="nil"/>
            </w:tcBorders>
            <w:shd w:val="clear" w:color="auto" w:fill="auto"/>
            <w:noWrap/>
            <w:vAlign w:val="center"/>
            <w:hideMark/>
          </w:tcPr>
          <w:p w14:paraId="100E0955" w14:textId="77777777" w:rsidR="00F46C7B" w:rsidRPr="006A05A6" w:rsidRDefault="00F46C7B">
            <w:pPr>
              <w:rPr>
                <w:rFonts w:asciiTheme="minorHAnsi" w:hAnsiTheme="minorHAnsi" w:cstheme="minorHAnsi"/>
                <w:b/>
                <w:bCs/>
                <w:color w:val="7030A0"/>
                <w:szCs w:val="20"/>
                <w:lang w:val="fr-FR" w:eastAsia="fr-FR"/>
              </w:rPr>
            </w:pPr>
            <w:r w:rsidRPr="006A05A6">
              <w:rPr>
                <w:rFonts w:asciiTheme="minorHAnsi" w:hAnsiTheme="minorHAnsi" w:cstheme="minorHAnsi"/>
                <w:b/>
                <w:bCs/>
                <w:color w:val="7030A0"/>
                <w:szCs w:val="20"/>
                <w:lang w:val="fr-FR" w:eastAsia="fr-FR"/>
              </w:rPr>
              <w:t>TOTAL</w:t>
            </w:r>
          </w:p>
        </w:tc>
        <w:tc>
          <w:tcPr>
            <w:tcW w:w="214" w:type="dxa"/>
            <w:tcBorders>
              <w:top w:val="nil"/>
              <w:left w:val="nil"/>
              <w:bottom w:val="nil"/>
              <w:right w:val="nil"/>
            </w:tcBorders>
            <w:shd w:val="clear" w:color="auto" w:fill="auto"/>
            <w:vAlign w:val="center"/>
            <w:hideMark/>
          </w:tcPr>
          <w:p w14:paraId="0588CA43" w14:textId="77777777" w:rsidR="00F46C7B" w:rsidRPr="006A05A6" w:rsidRDefault="00F46C7B">
            <w:pPr>
              <w:rPr>
                <w:rFonts w:asciiTheme="minorHAnsi" w:hAnsiTheme="minorHAnsi" w:cstheme="minorHAnsi"/>
                <w:b/>
                <w:bCs/>
                <w:color w:val="7030A0"/>
                <w:szCs w:val="20"/>
                <w:lang w:val="fr-FR" w:eastAsia="fr-FR"/>
              </w:rPr>
            </w:pPr>
          </w:p>
        </w:tc>
        <w:tc>
          <w:tcPr>
            <w:tcW w:w="1134" w:type="dxa"/>
            <w:tcBorders>
              <w:top w:val="single" w:sz="4" w:space="0" w:color="7030A0"/>
              <w:left w:val="nil"/>
              <w:bottom w:val="single" w:sz="8" w:space="0" w:color="7030A0"/>
              <w:right w:val="nil"/>
            </w:tcBorders>
            <w:shd w:val="clear" w:color="auto" w:fill="auto"/>
            <w:vAlign w:val="center"/>
            <w:hideMark/>
          </w:tcPr>
          <w:p w14:paraId="6BC431A5" w14:textId="27208E25" w:rsidR="00F46C7B" w:rsidRPr="006A05A6" w:rsidRDefault="001061C2">
            <w:pPr>
              <w:jc w:val="center"/>
              <w:rPr>
                <w:rFonts w:asciiTheme="minorHAnsi" w:hAnsiTheme="minorHAnsi" w:cstheme="minorHAnsi"/>
                <w:b/>
                <w:bCs/>
                <w:color w:val="7030A0"/>
                <w:szCs w:val="20"/>
                <w:lang w:val="fr-FR" w:eastAsia="fr-FR"/>
              </w:rPr>
            </w:pPr>
            <w:r w:rsidRPr="006A05A6">
              <w:rPr>
                <w:rFonts w:asciiTheme="minorHAnsi" w:hAnsiTheme="minorHAnsi" w:cstheme="minorHAnsi"/>
                <w:b/>
                <w:bCs/>
                <w:color w:val="7030A0"/>
                <w:szCs w:val="20"/>
                <w:lang w:val="fr-FR" w:eastAsia="fr-FR"/>
              </w:rPr>
              <w:t>2</w:t>
            </w:r>
            <w:r w:rsidR="00294ACE">
              <w:rPr>
                <w:rFonts w:asciiTheme="minorHAnsi" w:hAnsiTheme="minorHAnsi" w:cstheme="minorHAnsi"/>
                <w:b/>
                <w:bCs/>
                <w:color w:val="7030A0"/>
                <w:szCs w:val="20"/>
                <w:lang w:val="fr-FR" w:eastAsia="fr-FR"/>
              </w:rPr>
              <w:t>6</w:t>
            </w:r>
          </w:p>
        </w:tc>
        <w:tc>
          <w:tcPr>
            <w:tcW w:w="214" w:type="dxa"/>
            <w:tcBorders>
              <w:top w:val="nil"/>
              <w:left w:val="nil"/>
              <w:bottom w:val="nil"/>
              <w:right w:val="nil"/>
            </w:tcBorders>
            <w:shd w:val="clear" w:color="auto" w:fill="auto"/>
            <w:vAlign w:val="center"/>
            <w:hideMark/>
          </w:tcPr>
          <w:p w14:paraId="60B187D1" w14:textId="77777777" w:rsidR="00F46C7B" w:rsidRPr="006A05A6" w:rsidRDefault="00F46C7B">
            <w:pPr>
              <w:jc w:val="center"/>
              <w:rPr>
                <w:rFonts w:asciiTheme="minorHAnsi" w:hAnsiTheme="minorHAnsi" w:cstheme="minorHAnsi"/>
                <w:b/>
                <w:bCs/>
                <w:color w:val="7030A0"/>
                <w:szCs w:val="20"/>
                <w:lang w:val="fr-FR" w:eastAsia="fr-FR"/>
              </w:rPr>
            </w:pPr>
          </w:p>
        </w:tc>
        <w:tc>
          <w:tcPr>
            <w:tcW w:w="1134" w:type="dxa"/>
            <w:tcBorders>
              <w:top w:val="single" w:sz="4" w:space="0" w:color="7030A0"/>
              <w:left w:val="nil"/>
              <w:bottom w:val="single" w:sz="8" w:space="0" w:color="7030A0"/>
              <w:right w:val="nil"/>
            </w:tcBorders>
            <w:shd w:val="clear" w:color="auto" w:fill="auto"/>
            <w:vAlign w:val="center"/>
            <w:hideMark/>
          </w:tcPr>
          <w:p w14:paraId="15B446F4" w14:textId="77777777" w:rsidR="00463B44" w:rsidRPr="00670C89" w:rsidRDefault="001061C2">
            <w:pPr>
              <w:jc w:val="center"/>
              <w:rPr>
                <w:rFonts w:asciiTheme="minorHAnsi" w:hAnsiTheme="minorHAnsi" w:cstheme="minorHAnsi"/>
                <w:b/>
                <w:bCs/>
                <w:color w:val="7030A0"/>
                <w:szCs w:val="20"/>
                <w:lang w:val="fr-FR" w:eastAsia="fr-FR"/>
              </w:rPr>
            </w:pPr>
            <w:r w:rsidRPr="00670C89">
              <w:rPr>
                <w:rFonts w:asciiTheme="minorHAnsi" w:hAnsiTheme="minorHAnsi" w:cstheme="minorHAnsi"/>
                <w:b/>
                <w:bCs/>
                <w:color w:val="7030A0"/>
                <w:szCs w:val="20"/>
                <w:lang w:val="fr-FR" w:eastAsia="fr-FR"/>
              </w:rPr>
              <w:t>2</w:t>
            </w:r>
            <w:r w:rsidR="00463B44" w:rsidRPr="00670C89">
              <w:rPr>
                <w:rFonts w:asciiTheme="minorHAnsi" w:hAnsiTheme="minorHAnsi" w:cstheme="minorHAnsi"/>
                <w:b/>
                <w:bCs/>
                <w:color w:val="7030A0"/>
                <w:szCs w:val="20"/>
                <w:lang w:val="fr-FR" w:eastAsia="fr-FR"/>
              </w:rPr>
              <w:t>17</w:t>
            </w:r>
          </w:p>
        </w:tc>
        <w:tc>
          <w:tcPr>
            <w:tcW w:w="214" w:type="dxa"/>
            <w:tcBorders>
              <w:top w:val="nil"/>
              <w:left w:val="nil"/>
              <w:bottom w:val="nil"/>
              <w:right w:val="nil"/>
            </w:tcBorders>
            <w:shd w:val="clear" w:color="auto" w:fill="auto"/>
            <w:vAlign w:val="center"/>
            <w:hideMark/>
          </w:tcPr>
          <w:p w14:paraId="4012B2F1" w14:textId="77777777" w:rsidR="00F46C7B" w:rsidRPr="00670C89" w:rsidRDefault="00F46C7B">
            <w:pPr>
              <w:jc w:val="center"/>
              <w:rPr>
                <w:rFonts w:asciiTheme="minorHAnsi" w:hAnsiTheme="minorHAnsi" w:cstheme="minorHAnsi"/>
                <w:b/>
                <w:bCs/>
                <w:color w:val="7030A0"/>
                <w:szCs w:val="20"/>
                <w:lang w:val="fr-FR" w:eastAsia="fr-FR"/>
              </w:rPr>
            </w:pPr>
          </w:p>
        </w:tc>
        <w:tc>
          <w:tcPr>
            <w:tcW w:w="1361" w:type="dxa"/>
            <w:tcBorders>
              <w:top w:val="single" w:sz="4" w:space="0" w:color="7030A0"/>
              <w:left w:val="nil"/>
              <w:bottom w:val="single" w:sz="8" w:space="0" w:color="7030A0"/>
              <w:right w:val="nil"/>
            </w:tcBorders>
            <w:shd w:val="clear" w:color="auto" w:fill="auto"/>
            <w:vAlign w:val="center"/>
            <w:hideMark/>
          </w:tcPr>
          <w:p w14:paraId="28679926" w14:textId="5D104303" w:rsidR="00F46C7B" w:rsidRPr="00670C89" w:rsidRDefault="001061C2">
            <w:pPr>
              <w:jc w:val="center"/>
              <w:rPr>
                <w:rFonts w:asciiTheme="minorHAnsi" w:hAnsiTheme="minorHAnsi" w:cstheme="minorHAnsi"/>
                <w:b/>
                <w:bCs/>
                <w:color w:val="7030A0"/>
                <w:szCs w:val="20"/>
                <w:lang w:val="fr-FR" w:eastAsia="fr-FR"/>
              </w:rPr>
            </w:pPr>
            <w:r w:rsidRPr="00670C89">
              <w:rPr>
                <w:rFonts w:asciiTheme="minorHAnsi" w:hAnsiTheme="minorHAnsi" w:cstheme="minorHAnsi"/>
                <w:b/>
                <w:bCs/>
                <w:color w:val="7030A0"/>
                <w:szCs w:val="20"/>
                <w:lang w:val="fr-FR" w:eastAsia="fr-FR"/>
              </w:rPr>
              <w:t>13</w:t>
            </w:r>
            <w:r w:rsidR="00294ACE">
              <w:rPr>
                <w:rFonts w:asciiTheme="minorHAnsi" w:hAnsiTheme="minorHAnsi" w:cstheme="minorHAnsi"/>
                <w:b/>
                <w:bCs/>
                <w:color w:val="7030A0"/>
                <w:szCs w:val="20"/>
                <w:lang w:val="fr-FR" w:eastAsia="fr-FR"/>
              </w:rPr>
              <w:t>3</w:t>
            </w:r>
          </w:p>
        </w:tc>
      </w:tr>
    </w:tbl>
    <w:p w14:paraId="0CB3986C" w14:textId="77777777" w:rsidR="00F46C7B" w:rsidRDefault="00F46C7B">
      <w:pPr>
        <w:keepNext/>
        <w:rPr>
          <w:rFonts w:asciiTheme="minorHAnsi" w:hAnsiTheme="minorHAnsi" w:cstheme="minorHAnsi"/>
          <w:szCs w:val="22"/>
          <w:lang w:val="fr-FR"/>
        </w:rPr>
      </w:pPr>
    </w:p>
    <w:p w14:paraId="74310023" w14:textId="77777777" w:rsidR="00670C89" w:rsidRPr="00C73365" w:rsidRDefault="00670C89">
      <w:pPr>
        <w:keepNext/>
        <w:rPr>
          <w:rFonts w:asciiTheme="minorHAnsi" w:hAnsiTheme="minorHAnsi" w:cstheme="minorHAnsi"/>
          <w:szCs w:val="22"/>
          <w:lang w:val="fr-FR"/>
        </w:rPr>
      </w:pPr>
    </w:p>
    <w:p w14:paraId="60EB0C3F" w14:textId="77777777"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Litiges</w:t>
      </w:r>
    </w:p>
    <w:p w14:paraId="3441C2C0"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lang w:val="fr-FR"/>
        </w:rPr>
        <w:t xml:space="preserve">A ce jour, aucun litige portant sur des droits de propriété intellectuelle détenus ou co-détenus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ou pour lesquels des licences ont été obtenues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été dirigé par ou à l’encontre de la Société devant des tribunaux. </w:t>
      </w:r>
    </w:p>
    <w:p w14:paraId="59D90EDF" w14:textId="77777777" w:rsidR="00F46C7B" w:rsidRPr="00C73365" w:rsidRDefault="00F46C7B" w:rsidP="00434C49">
      <w:pPr>
        <w:pStyle w:val="ConmainL2"/>
        <w:keepLines/>
        <w:numPr>
          <w:ilvl w:val="1"/>
          <w:numId w:val="96"/>
        </w:numPr>
        <w:spacing w:after="120"/>
        <w:rPr>
          <w:rFonts w:asciiTheme="minorHAnsi" w:hAnsiTheme="minorHAnsi" w:cstheme="minorHAnsi"/>
          <w:sz w:val="22"/>
          <w:lang w:val="fr-FR"/>
        </w:rPr>
      </w:pPr>
      <w:bookmarkStart w:id="720" w:name="_Toc406257029"/>
      <w:bookmarkStart w:id="721" w:name="_Toc462673260"/>
      <w:bookmarkStart w:id="722" w:name="_Toc467835607"/>
      <w:bookmarkStart w:id="723" w:name="_Toc510548433"/>
      <w:r w:rsidRPr="00C73365">
        <w:rPr>
          <w:rFonts w:asciiTheme="minorHAnsi" w:hAnsiTheme="minorHAnsi" w:cstheme="minorHAnsi"/>
          <w:sz w:val="22"/>
          <w:lang w:val="fr-FR"/>
        </w:rPr>
        <w:lastRenderedPageBreak/>
        <w:t>Contrats de collaboration, de recherches, de prestations de service et de licences accordés par la Société ou concédés à cette dernière</w:t>
      </w:r>
      <w:bookmarkEnd w:id="720"/>
      <w:bookmarkEnd w:id="721"/>
      <w:bookmarkEnd w:id="722"/>
      <w:bookmarkEnd w:id="723"/>
    </w:p>
    <w:p w14:paraId="771C7A05" w14:textId="77777777"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Contrat de collaboration, recherche et développement, de licence et d’option de licence avec la plateforme « Antivirale » (Produits ABX464 – ABX1094 et ABX1102)</w:t>
      </w:r>
    </w:p>
    <w:p w14:paraId="1A81F912" w14:textId="77777777" w:rsidR="00F46C7B" w:rsidRPr="00C73365" w:rsidRDefault="00F46C7B" w:rsidP="00434C49">
      <w:pPr>
        <w:pStyle w:val="ConmainL3"/>
        <w:keepLines/>
        <w:numPr>
          <w:ilvl w:val="2"/>
          <w:numId w:val="96"/>
        </w:numPr>
        <w:spacing w:after="120"/>
        <w:rPr>
          <w:rFonts w:asciiTheme="minorHAnsi" w:hAnsiTheme="minorHAnsi" w:cstheme="minorHAnsi"/>
          <w:lang w:val="fr-FR"/>
        </w:rPr>
      </w:pPr>
      <w:r w:rsidRPr="00C73365">
        <w:rPr>
          <w:rFonts w:asciiTheme="minorHAnsi" w:hAnsiTheme="minorHAnsi" w:cstheme="minorHAnsi"/>
          <w:lang w:val="fr-FR"/>
        </w:rPr>
        <w:t>Contrat de licence exclusive avec le Centre National de la Recherche Scientifique (CNRS), L’Université de Montpellier 2 Sciences et Techniques et l’Institut Curie</w:t>
      </w:r>
      <w:r w:rsidRPr="00C73365">
        <w:rPr>
          <w:rFonts w:asciiTheme="minorHAnsi" w:hAnsiTheme="minorHAnsi" w:cstheme="minorHAnsi"/>
          <w:b/>
          <w:lang w:val="fr-FR"/>
        </w:rPr>
        <w:t> </w:t>
      </w:r>
      <w:r w:rsidRPr="00C73365">
        <w:rPr>
          <w:rFonts w:asciiTheme="minorHAnsi" w:hAnsiTheme="minorHAnsi" w:cstheme="minorHAnsi"/>
          <w:lang w:val="fr-FR"/>
        </w:rPr>
        <w:t>:</w:t>
      </w:r>
    </w:p>
    <w:p w14:paraId="073CE6B5"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4"/>
          <w:lang w:val="fr-FR"/>
        </w:rPr>
        <w:t xml:space="preserve"> </w:t>
      </w:r>
      <w:r w:rsidRPr="00C73365">
        <w:rPr>
          <w:rFonts w:asciiTheme="minorHAnsi" w:hAnsiTheme="minorHAnsi" w:cstheme="minorHAnsi"/>
          <w:spacing w:val="-2"/>
          <w:lang w:val="fr-FR"/>
        </w:rPr>
        <w:t>décembre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2008,</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Centre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National</w:t>
      </w:r>
      <w:r w:rsidRPr="00C73365">
        <w:rPr>
          <w:rFonts w:asciiTheme="minorHAnsi" w:hAnsiTheme="minorHAnsi" w:cstheme="minorHAnsi"/>
          <w:spacing w:val="54"/>
          <w:lang w:val="fr-FR"/>
        </w:rPr>
        <w:t xml:space="preserve"> </w:t>
      </w:r>
      <w:r w:rsidRPr="00C73365">
        <w:rPr>
          <w:rFonts w:asciiTheme="minorHAnsi" w:hAnsiTheme="minorHAnsi" w:cstheme="minorHAnsi"/>
          <w:lang w:val="fr-FR"/>
        </w:rPr>
        <w:t>de la</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Scientifique</w:t>
      </w:r>
      <w:r w:rsidRPr="00C73365">
        <w:rPr>
          <w:rFonts w:asciiTheme="minorHAnsi" w:hAnsiTheme="minorHAnsi" w:cstheme="minorHAnsi"/>
          <w:spacing w:val="7"/>
          <w:lang w:val="fr-FR"/>
        </w:rPr>
        <w:t xml:space="preserve"> </w:t>
      </w:r>
      <w:r w:rsidRPr="00C73365">
        <w:rPr>
          <w:rFonts w:asciiTheme="minorHAnsi" w:hAnsiTheme="minorHAnsi" w:cstheme="minorHAnsi"/>
          <w:lang w:val="fr-FR"/>
        </w:rPr>
        <w:t>(CNRS), l’Université de Montpellier 2 Sciences et Techniques et</w:t>
      </w:r>
      <w:r w:rsidRPr="00C73365">
        <w:rPr>
          <w:rFonts w:asciiTheme="minorHAnsi" w:hAnsiTheme="minorHAnsi" w:cstheme="minorHAnsi"/>
          <w:spacing w:val="9"/>
          <w:lang w:val="fr-FR"/>
        </w:rPr>
        <w:t xml:space="preserve"> l’Institut Curie ont accordé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 xml:space="preserve">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65"/>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licences</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exclusives</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dans le domaine de la santé humaine et vétérinaire sur leur technologie et produits relatifs à l’utilisation de produits de synthèse modifiant l’épissage de l’ARNm, pour la recherche, le diagnostic, la prévention et le traitement de toute indication possible.</w:t>
      </w:r>
    </w:p>
    <w:p w14:paraId="466B65F3"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Ces accords de licence donnent accès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aux brevets et demandes de brevets détaillés dans les tableaux 12 à 14 présentés ci-dessus.</w:t>
      </w:r>
    </w:p>
    <w:p w14:paraId="2132FDF6"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 ces</w:t>
      </w:r>
      <w:r w:rsidRPr="00C73365">
        <w:rPr>
          <w:rFonts w:asciiTheme="minorHAnsi" w:hAnsiTheme="minorHAnsi" w:cstheme="minorHAnsi"/>
          <w:spacing w:val="3"/>
          <w:lang w:val="fr-FR"/>
        </w:rPr>
        <w:t xml:space="preserve"> accords,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C73365">
        <w:rPr>
          <w:rFonts w:asciiTheme="minorHAnsi" w:hAnsiTheme="minorHAnsi" w:cstheme="minorHAnsi"/>
          <w:lang w:val="fr-FR"/>
        </w:rPr>
        <w:t>verser aux concédants :</w:t>
      </w:r>
    </w:p>
    <w:p w14:paraId="3C45824F" w14:textId="77777777" w:rsidR="00F46C7B" w:rsidRPr="00E66FAB" w:rsidRDefault="00F46C7B" w:rsidP="004572A0">
      <w:pPr>
        <w:pStyle w:val="Listepuces2"/>
        <w:numPr>
          <w:ilvl w:val="0"/>
          <w:numId w:val="43"/>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14:paraId="51A4F687" w14:textId="77777777" w:rsidR="00F46C7B" w:rsidRPr="00E66FAB" w:rsidRDefault="00F46C7B" w:rsidP="004572A0">
      <w:pPr>
        <w:pStyle w:val="Listepuces2"/>
        <w:numPr>
          <w:ilvl w:val="0"/>
          <w:numId w:val="43"/>
        </w:numPr>
        <w:rPr>
          <w:rFonts w:asciiTheme="minorHAnsi" w:hAnsiTheme="minorHAnsi" w:cstheme="minorHAnsi"/>
          <w:lang w:val="fr-FR"/>
        </w:rPr>
      </w:pPr>
      <w:r w:rsidRPr="00E66FAB">
        <w:rPr>
          <w:rFonts w:asciiTheme="minorHAnsi" w:hAnsiTheme="minorHAnsi" w:cstheme="minorHAnsi"/>
          <w:lang w:val="fr-FR"/>
        </w:rPr>
        <w:t>des royalties selon le montant des ventes nettes et le type de produit.</w:t>
      </w:r>
    </w:p>
    <w:p w14:paraId="40926D1D"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contrat se terminera à la date d’expiration du dernier brevet en vigueur.</w:t>
      </w:r>
    </w:p>
    <w:p w14:paraId="4C70C3BB" w14:textId="77777777"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licence exclusive avec le Centre National de la Recherche Scientifique (CNRS)</w:t>
      </w:r>
      <w:r w:rsidR="00805E46" w:rsidRPr="00C73365">
        <w:rPr>
          <w:rFonts w:asciiTheme="minorHAnsi" w:hAnsiTheme="minorHAnsi" w:cstheme="minorHAnsi"/>
          <w:lang w:val="fr-FR"/>
        </w:rPr>
        <w:t xml:space="preserve"> </w:t>
      </w:r>
      <w:r w:rsidRPr="00C73365">
        <w:rPr>
          <w:rFonts w:asciiTheme="minorHAnsi" w:hAnsiTheme="minorHAnsi" w:cstheme="minorHAnsi"/>
          <w:lang w:val="fr-FR"/>
        </w:rPr>
        <w:t>:</w:t>
      </w:r>
    </w:p>
    <w:p w14:paraId="1D11C0BE" w14:textId="77777777" w:rsidR="00F46C7B" w:rsidRPr="00C73365" w:rsidRDefault="00F46C7B" w:rsidP="004572A0">
      <w:pPr>
        <w:pStyle w:val="Corpsdetexte"/>
        <w:rPr>
          <w:rFonts w:asciiTheme="minorHAnsi" w:hAnsiTheme="minorHAnsi" w:cstheme="minorHAnsi"/>
          <w:szCs w:val="22"/>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4"/>
          <w:lang w:val="fr-FR"/>
        </w:rPr>
        <w:t xml:space="preserve"> </w:t>
      </w:r>
      <w:r w:rsidRPr="00C73365">
        <w:rPr>
          <w:rFonts w:asciiTheme="minorHAnsi" w:hAnsiTheme="minorHAnsi" w:cstheme="minorHAnsi"/>
          <w:spacing w:val="-2"/>
          <w:lang w:val="fr-FR"/>
        </w:rPr>
        <w:t>décembre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2008,</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Centre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National</w:t>
      </w:r>
      <w:r w:rsidRPr="00C73365">
        <w:rPr>
          <w:rFonts w:asciiTheme="minorHAnsi" w:hAnsiTheme="minorHAnsi" w:cstheme="minorHAnsi"/>
          <w:spacing w:val="54"/>
          <w:lang w:val="fr-FR"/>
        </w:rPr>
        <w:t xml:space="preserve"> </w:t>
      </w:r>
      <w:r w:rsidRPr="00C73365">
        <w:rPr>
          <w:rFonts w:asciiTheme="minorHAnsi" w:hAnsiTheme="minorHAnsi" w:cstheme="minorHAnsi"/>
          <w:lang w:val="fr-FR"/>
        </w:rPr>
        <w:t>de la</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Scientifique</w:t>
      </w:r>
      <w:r w:rsidRPr="00C73365">
        <w:rPr>
          <w:rFonts w:asciiTheme="minorHAnsi" w:hAnsiTheme="minorHAnsi" w:cstheme="minorHAnsi"/>
          <w:spacing w:val="7"/>
          <w:lang w:val="fr-FR"/>
        </w:rPr>
        <w:t xml:space="preserve"> </w:t>
      </w:r>
      <w:r w:rsidRPr="00C73365">
        <w:rPr>
          <w:rFonts w:asciiTheme="minorHAnsi" w:hAnsiTheme="minorHAnsi" w:cstheme="minorHAnsi"/>
          <w:lang w:val="fr-FR"/>
        </w:rPr>
        <w:t xml:space="preserve">(CNRS) </w:t>
      </w:r>
      <w:r w:rsidR="00805E46" w:rsidRPr="00C73365">
        <w:rPr>
          <w:rFonts w:asciiTheme="minorHAnsi" w:hAnsiTheme="minorHAnsi" w:cstheme="minorHAnsi"/>
          <w:spacing w:val="9"/>
          <w:lang w:val="fr-FR"/>
        </w:rPr>
        <w:t xml:space="preserve">a </w:t>
      </w:r>
      <w:r w:rsidRPr="00C73365">
        <w:rPr>
          <w:rFonts w:asciiTheme="minorHAnsi" w:hAnsiTheme="minorHAnsi" w:cstheme="minorHAnsi"/>
          <w:spacing w:val="9"/>
          <w:lang w:val="fr-FR"/>
        </w:rPr>
        <w:t>accordé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 xml:space="preserve">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65"/>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exclusive</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 xml:space="preserve">dans le domaine de la santé humaine et vétérinaire sur leur technologie et produits relatifs à l’utilisation de produits de synthèse pour la prévention et le traitement de cancers. </w:t>
      </w:r>
      <w:r w:rsidRPr="00C73365">
        <w:rPr>
          <w:rFonts w:asciiTheme="minorHAnsi" w:hAnsiTheme="minorHAnsi" w:cstheme="minorHAnsi"/>
          <w:szCs w:val="22"/>
          <w:lang w:val="fr-FR"/>
        </w:rPr>
        <w:t>Cet accord de licence nous donne accès aux brevets et demandes de brevets détaillés dans le tableau 15 présenté ci-dessus.</w:t>
      </w:r>
    </w:p>
    <w:p w14:paraId="4D1BEA6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3"/>
          <w:lang w:val="fr-FR"/>
        </w:rPr>
        <w:t xml:space="preserve"> l’accord,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C73365">
        <w:rPr>
          <w:rFonts w:asciiTheme="minorHAnsi" w:hAnsiTheme="minorHAnsi" w:cstheme="minorHAnsi"/>
          <w:lang w:val="fr-FR"/>
        </w:rPr>
        <w:t>verser au concédant</w:t>
      </w:r>
      <w:r w:rsidR="00805E46" w:rsidRPr="00C73365">
        <w:rPr>
          <w:rFonts w:asciiTheme="minorHAnsi" w:hAnsiTheme="minorHAnsi" w:cstheme="minorHAnsi"/>
          <w:lang w:val="fr-FR"/>
        </w:rPr>
        <w:t xml:space="preserve"> </w:t>
      </w:r>
      <w:r w:rsidRPr="00C73365">
        <w:rPr>
          <w:rFonts w:asciiTheme="minorHAnsi" w:hAnsiTheme="minorHAnsi" w:cstheme="minorHAnsi"/>
          <w:lang w:val="fr-FR"/>
        </w:rPr>
        <w:t>:</w:t>
      </w:r>
    </w:p>
    <w:p w14:paraId="42FC3FCB" w14:textId="77777777" w:rsidR="00F46C7B" w:rsidRPr="00E66FAB" w:rsidRDefault="00F46C7B" w:rsidP="004572A0">
      <w:pPr>
        <w:pStyle w:val="Listepuces2"/>
        <w:numPr>
          <w:ilvl w:val="0"/>
          <w:numId w:val="43"/>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14:paraId="6228286F" w14:textId="77777777" w:rsidR="00F46C7B" w:rsidRPr="00E66FAB" w:rsidRDefault="00F46C7B" w:rsidP="004572A0">
      <w:pPr>
        <w:pStyle w:val="Listepuces2"/>
        <w:numPr>
          <w:ilvl w:val="0"/>
          <w:numId w:val="43"/>
        </w:numPr>
        <w:rPr>
          <w:rFonts w:asciiTheme="minorHAnsi" w:hAnsiTheme="minorHAnsi" w:cstheme="minorHAnsi"/>
          <w:lang w:val="fr-FR"/>
        </w:rPr>
      </w:pPr>
      <w:r w:rsidRPr="00E66FAB">
        <w:rPr>
          <w:rFonts w:asciiTheme="minorHAnsi" w:hAnsiTheme="minorHAnsi" w:cstheme="minorHAnsi"/>
          <w:lang w:val="fr-FR"/>
        </w:rPr>
        <w:t>des royalties selon le montant des ventes nettes et le type de produit.</w:t>
      </w:r>
    </w:p>
    <w:p w14:paraId="39A4146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contrat se terminera à la date d’expiration du dernier brevet en vigueur.</w:t>
      </w:r>
    </w:p>
    <w:p w14:paraId="66B054DD" w14:textId="77777777" w:rsidR="00F46C7B" w:rsidRPr="00C73365" w:rsidRDefault="00F46C7B" w:rsidP="00434C49">
      <w:pPr>
        <w:pStyle w:val="ConmainL3"/>
        <w:keepLines/>
        <w:numPr>
          <w:ilvl w:val="3"/>
          <w:numId w:val="96"/>
        </w:numPr>
        <w:spacing w:after="120"/>
        <w:rPr>
          <w:rFonts w:asciiTheme="minorHAnsi" w:hAnsiTheme="minorHAnsi" w:cstheme="minorHAnsi"/>
          <w:lang w:val="fr-FR"/>
          <w14:props3d w14:extrusionH="0" w14:contourW="0" w14:prstMaterial="matte"/>
        </w:rPr>
      </w:pPr>
      <w:r w:rsidRPr="00C73365">
        <w:rPr>
          <w:rFonts w:asciiTheme="minorHAnsi" w:hAnsiTheme="minorHAnsi" w:cstheme="minorHAnsi"/>
          <w:lang w:val="fr-FR"/>
          <w14:props3d w14:extrusionH="0" w14:contourW="0" w14:prstMaterial="matte"/>
        </w:rPr>
        <w:t>Contrat cadre de collaboration de recherche portant création d’un laboratoire coopératif</w:t>
      </w:r>
    </w:p>
    <w:p w14:paraId="15B4962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11 décembre 2008,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Centre National de la Recherche Scientifique (CNRS) et l’Université de Montpellier 2 Sciences et Techniques ont conclu, pour une durée de deux ans, un contrat cadre de collaboration de recherche afin de réaliser un programme de recherche commun dans les domaines du criblage et développement de composés anti-VIH et antiviraux, anti-cancer et anti-métastases et de composés ciblant certaines maladies génétiques. La durée et le contenu des programmes de recherche ont été modifiés par des avenants successifs (le contrat est en vigueur jusqu’au 31 décembre </w:t>
      </w:r>
      <w:r w:rsidR="004801C8" w:rsidRPr="00C73365">
        <w:rPr>
          <w:rFonts w:asciiTheme="minorHAnsi" w:hAnsiTheme="minorHAnsi" w:cstheme="minorHAnsi"/>
          <w:lang w:val="fr-FR"/>
        </w:rPr>
        <w:t xml:space="preserve">2021). </w:t>
      </w:r>
      <w:r w:rsidRPr="00C73365">
        <w:rPr>
          <w:rFonts w:asciiTheme="minorHAnsi" w:hAnsiTheme="minorHAnsi" w:cstheme="minorHAnsi"/>
          <w:lang w:val="fr-FR"/>
        </w:rPr>
        <w:t>La Société possède déjà certains droits d’exploitation exclusive dans les domaines de l’épissage alternatif et de l’invasion métastatique des cancers (se référer aux paragraphes 11.3.1.1 et 11.3.1.2).</w:t>
      </w:r>
    </w:p>
    <w:p w14:paraId="4BF01C6C" w14:textId="77777777" w:rsidR="00F46C7B"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s’engage à payer au CNRS des frais de fonctionnement sous condition de franchissement d’étape ainsi que des frais de recherche externes et autres frais de gestion. </w:t>
      </w:r>
    </w:p>
    <w:p w14:paraId="557F2A0F"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Chaque partie conserve la propriété de ses droits de propriété intellectuelle acquis préalablement. Les parties sont copropriétaires des résultats issus de la recherche au prorata de leurs apports inventifs, matériels, humains et financiers.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décide si ces résultats doivent faire l’objet d’un dépôt de brevet et prend en charge les frais afférents.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un droit d’exploitation exclusif et mondial des résultats de la recherche et/ou des brevets en découlant, en contrepartie du versement d’une rémunération aux autres parties. </w:t>
      </w:r>
    </w:p>
    <w:p w14:paraId="0A7D5E97" w14:textId="77777777"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lastRenderedPageBreak/>
        <w:t>Contrat de collaboration de recherche avec le Centre National de la Recherche Scientifique (CNRS), l’Université de Montpellier 2 Sciences et Techniques et l’Institut Curie </w:t>
      </w:r>
    </w:p>
    <w:p w14:paraId="06A271DE"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Concomitamment au contrat cadre de collaboration de recherche portant création du laboratoire coopératif, les parties ont signé une convention financière définissant les modalités financières d’exploitation des brevets et ont souhaité poursuivre leurs recherches dans le cadre d’un nouveau contrat de collaboration, qui confie au CNRS et à l’Institut Curie la conception et la synthèse d’une série de dérivés chimiques, qui seront testés par le laboratoire coopératif afin de valider les molécules revendiquées dans les brevets. Ce contrat a été signé le 15 avril 2009 pour une durée d’un an. La durée et les moyens affectés au programme ont été modifiés par des avenants successifs (le contrat en cours d’extension est en vigueur jusqu’au 30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w:t>
      </w:r>
      <w:r w:rsidR="00104DAD" w:rsidRPr="00C73365">
        <w:rPr>
          <w:rFonts w:asciiTheme="minorHAnsi" w:hAnsiTheme="minorHAnsi" w:cstheme="minorHAnsi"/>
          <w:lang w:val="fr-FR"/>
        </w:rPr>
        <w:t>2018</w:t>
      </w:r>
      <w:r w:rsidRPr="00C73365">
        <w:rPr>
          <w:rFonts w:asciiTheme="minorHAnsi" w:hAnsiTheme="minorHAnsi" w:cstheme="minorHAnsi"/>
          <w:lang w:val="fr-FR"/>
        </w:rPr>
        <w:t>).</w:t>
      </w:r>
    </w:p>
    <w:p w14:paraId="20F70F2B"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En contrepartie de la réalisation du programme par le CNRS et l’Institut Curie,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s’engage à payer un montant global forfaitaire. </w:t>
      </w:r>
    </w:p>
    <w:p w14:paraId="410D9CF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Chaque partie conserve la propriété de ses droits de propriété intellectuels acquis préalablement. Les parties sont copropriétaires des résultats issus de la recherche au prorata de leurs apports inventifs, matériels, humains et financiers.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décide si ces résultats doivent faire l’objet d’un dépôt de brevet et prend en charge les frais afférents.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un droit d’exploitation exclusif et mondial des résultats de la recherche et/ou des brevets en découlant, en contrepartie du versement d’une rémunération aux autres parties.</w:t>
      </w:r>
    </w:p>
    <w:p w14:paraId="424BA05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Les travaux menés conjointement par </w:t>
      </w:r>
      <w:r w:rsidR="00EF089C" w:rsidRPr="00C73365">
        <w:rPr>
          <w:rFonts w:asciiTheme="minorHAnsi" w:hAnsiTheme="minorHAnsi" w:cstheme="minorHAnsi"/>
          <w:lang w:val="fr-FR"/>
        </w:rPr>
        <w:t>ABIVAX</w:t>
      </w:r>
      <w:r w:rsidRPr="00C73365">
        <w:rPr>
          <w:rFonts w:asciiTheme="minorHAnsi" w:hAnsiTheme="minorHAnsi" w:cstheme="minorHAnsi"/>
          <w:lang w:val="fr-FR"/>
        </w:rPr>
        <w:t>, le CNRS, l’Université de Montpellier 2 Sciences et Techniques et l’Institut Curie  ont aboutis aux brevets et demandes de brevets détaillés dans les tableaux 1 à 1</w:t>
      </w:r>
      <w:r w:rsidR="00161528" w:rsidRPr="00C73365">
        <w:rPr>
          <w:rFonts w:asciiTheme="minorHAnsi" w:hAnsiTheme="minorHAnsi" w:cstheme="minorHAnsi"/>
          <w:lang w:val="fr-FR"/>
        </w:rPr>
        <w:t>4</w:t>
      </w:r>
      <w:r w:rsidRPr="00C73365">
        <w:rPr>
          <w:rFonts w:asciiTheme="minorHAnsi" w:hAnsiTheme="minorHAnsi" w:cstheme="minorHAnsi"/>
          <w:lang w:val="fr-FR"/>
        </w:rPr>
        <w:t xml:space="preserve"> présenté ci-dessus.</w:t>
      </w:r>
    </w:p>
    <w:p w14:paraId="6A535065" w14:textId="77777777"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recherche et développement et d’option de licence avec le Centre National de la Recherche Scientifique (CNRS), l’Université de Montpellier 2 Sciences et Techniques et la société Theradiag</w:t>
      </w:r>
    </w:p>
    <w:p w14:paraId="19401945"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25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2013,</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le CNRS, l’Université de Montpellier 2 et les sociétés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Theradiag ont mis en place un projet collaboratif dénommé CaReNA afin d’effectuer ensemble des programmes de recherche et développement dans les domaines de l’obésité, du VIH et du HTLV-1. </w:t>
      </w:r>
    </w:p>
    <w:p w14:paraId="4B163918"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Ce contrat est en vigueur jusqu’au 9 Février 2017 et n’implique aucun flux financier entre les parties, chacune supportant le financement nécessaire à sa part du projet. </w:t>
      </w:r>
    </w:p>
    <w:p w14:paraId="2E991D12" w14:textId="77777777" w:rsidR="00F46C7B"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jouira du droit d’exploitation exclusif et mondial des résultats propres du CNRS et de l’Université de Montpellier 2 ainsi que des quotes-parts des résultats communs dont ils sont propriétaires. En outre, la société Theradiag concède à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une option de licence exclusive et mondiale d’exploitation de ses résultats propres ainsi que de la quote-part des résultats communs dont elle est propriétaire. Cette option pourra être levée par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durant toute la durée du contrat et dans un délai de deux ans après son expiration ou sa résiliation. Les conditions financières des licences exclusives mondiales sont négociées entre Theradiag et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si cette dernière lève l’option.</w:t>
      </w:r>
    </w:p>
    <w:p w14:paraId="42FCFCBA" w14:textId="77777777"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de licence exclusive avec « The Scripps Research Institute, University of Chicago and Brigham Young University » avec la plateforme « Stimulation Immunitaire » (Produit </w:t>
      </w:r>
      <w:r w:rsidR="00E32CFE" w:rsidRPr="00C73365">
        <w:rPr>
          <w:rFonts w:asciiTheme="minorHAnsi" w:hAnsiTheme="minorHAnsi" w:cstheme="minorHAnsi"/>
          <w:b/>
          <w:color w:val="7030A0"/>
          <w:lang w:val="fr-FR"/>
        </w:rPr>
        <w:t>ABX196</w:t>
      </w:r>
      <w:r w:rsidRPr="00C73365">
        <w:rPr>
          <w:rFonts w:asciiTheme="minorHAnsi" w:hAnsiTheme="minorHAnsi" w:cstheme="minorHAnsi"/>
          <w:b/>
          <w:color w:val="7030A0"/>
          <w:lang w:val="fr-FR"/>
        </w:rPr>
        <w:t xml:space="preserve">) </w:t>
      </w:r>
    </w:p>
    <w:p w14:paraId="7E78467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11</w:t>
      </w:r>
      <w:r w:rsidRPr="00C73365">
        <w:rPr>
          <w:rFonts w:asciiTheme="minorHAnsi" w:hAnsiTheme="minorHAnsi" w:cstheme="minorHAnsi"/>
          <w:spacing w:val="35"/>
          <w:lang w:val="fr-FR"/>
        </w:rPr>
        <w:t xml:space="preserve"> </w:t>
      </w:r>
      <w:r w:rsidRPr="00C73365">
        <w:rPr>
          <w:rFonts w:asciiTheme="minorHAnsi" w:hAnsiTheme="minorHAnsi" w:cstheme="minorHAnsi"/>
          <w:lang w:val="fr-FR"/>
        </w:rPr>
        <w:t>novembre</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2006,</w:t>
      </w:r>
      <w:r w:rsidRPr="00C73365">
        <w:rPr>
          <w:rFonts w:asciiTheme="minorHAnsi" w:hAnsiTheme="minorHAnsi" w:cstheme="minorHAnsi"/>
          <w:spacing w:val="36"/>
          <w:lang w:val="fr-FR"/>
        </w:rPr>
        <w:t xml:space="preserve"> </w:t>
      </w:r>
      <w:r w:rsidRPr="00C73365">
        <w:rPr>
          <w:rFonts w:asciiTheme="minorHAnsi" w:hAnsiTheme="minorHAnsi" w:cstheme="minorHAnsi"/>
          <w:i/>
          <w:lang w:val="fr-FR"/>
        </w:rPr>
        <w:t xml:space="preserve">The Scripps Research Institute </w:t>
      </w:r>
      <w:r w:rsidRPr="00C73365">
        <w:rPr>
          <w:rFonts w:asciiTheme="minorHAnsi" w:hAnsiTheme="minorHAnsi" w:cstheme="minorHAnsi"/>
          <w:lang w:val="fr-FR"/>
        </w:rPr>
        <w:t>(La Jolla, Californie,</w:t>
      </w:r>
      <w:r w:rsidRPr="00C73365">
        <w:rPr>
          <w:rFonts w:asciiTheme="minorHAnsi" w:hAnsiTheme="minorHAnsi" w:cstheme="minorHAnsi"/>
          <w:i/>
          <w:lang w:val="fr-FR"/>
        </w:rPr>
        <w:t xml:space="preserve"> </w:t>
      </w:r>
      <w:r w:rsidRPr="00C73365">
        <w:rPr>
          <w:rFonts w:asciiTheme="minorHAnsi" w:hAnsiTheme="minorHAnsi" w:cstheme="minorHAnsi"/>
          <w:lang w:val="fr-FR"/>
        </w:rPr>
        <w:t>Etats-Unis</w:t>
      </w:r>
      <w:r w:rsidRPr="00C73365">
        <w:rPr>
          <w:rFonts w:asciiTheme="minorHAnsi" w:hAnsiTheme="minorHAnsi" w:cstheme="minorHAnsi"/>
          <w:i/>
          <w:lang w:val="fr-FR"/>
        </w:rPr>
        <w:t xml:space="preserve">), </w:t>
      </w:r>
      <w:r w:rsidRPr="00C73365">
        <w:rPr>
          <w:rFonts w:asciiTheme="minorHAnsi" w:hAnsiTheme="minorHAnsi" w:cstheme="minorHAnsi"/>
          <w:lang w:val="fr-FR"/>
        </w:rPr>
        <w:t>en accord avec</w:t>
      </w:r>
      <w:r w:rsidRPr="00C73365">
        <w:rPr>
          <w:rFonts w:asciiTheme="minorHAnsi" w:hAnsiTheme="minorHAnsi" w:cstheme="minorHAnsi"/>
          <w:i/>
          <w:lang w:val="fr-FR"/>
        </w:rPr>
        <w:t xml:space="preserve"> l’University of Chicago </w:t>
      </w:r>
      <w:r w:rsidRPr="00C73365">
        <w:rPr>
          <w:rFonts w:asciiTheme="minorHAnsi" w:hAnsiTheme="minorHAnsi" w:cstheme="minorHAnsi"/>
          <w:lang w:val="fr-FR"/>
        </w:rPr>
        <w:t>(Chicago,</w:t>
      </w:r>
      <w:r w:rsidRPr="00C73365">
        <w:rPr>
          <w:rFonts w:asciiTheme="minorHAnsi" w:hAnsiTheme="minorHAnsi" w:cstheme="minorHAnsi"/>
          <w:spacing w:val="36"/>
          <w:lang w:val="fr-FR"/>
        </w:rPr>
        <w:t xml:space="preserve"> Illinois, </w:t>
      </w:r>
      <w:r w:rsidRPr="00C73365">
        <w:rPr>
          <w:rFonts w:asciiTheme="minorHAnsi" w:hAnsiTheme="minorHAnsi" w:cstheme="minorHAnsi"/>
          <w:lang w:val="fr-FR"/>
        </w:rPr>
        <w:t xml:space="preserve">Etats-Unis) et </w:t>
      </w:r>
      <w:r w:rsidRPr="00C73365">
        <w:rPr>
          <w:rFonts w:asciiTheme="minorHAnsi" w:hAnsiTheme="minorHAnsi" w:cstheme="minorHAnsi"/>
          <w:i/>
          <w:lang w:val="fr-FR"/>
        </w:rPr>
        <w:t>Brigham Young University</w:t>
      </w:r>
      <w:r w:rsidRPr="00C73365">
        <w:rPr>
          <w:rFonts w:asciiTheme="minorHAnsi" w:hAnsiTheme="minorHAnsi" w:cstheme="minorHAnsi"/>
          <w:lang w:val="fr-FR"/>
        </w:rPr>
        <w:t xml:space="preserve"> (Provo, Utah, Etats-Unis)</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39"/>
          <w:lang w:val="fr-FR"/>
        </w:rPr>
        <w:t xml:space="preserve"> </w:t>
      </w:r>
      <w:r w:rsidRPr="00C73365">
        <w:rPr>
          <w:rFonts w:asciiTheme="minorHAnsi" w:hAnsiTheme="minorHAnsi" w:cstheme="minorHAnsi"/>
          <w:lang w:val="fr-FR"/>
        </w:rPr>
        <w:t>accordé</w:t>
      </w:r>
      <w:r w:rsidRPr="00C73365">
        <w:rPr>
          <w:rFonts w:asciiTheme="minorHAnsi" w:hAnsiTheme="minorHAnsi" w:cstheme="minorHAnsi"/>
          <w:spacing w:val="25"/>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24"/>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24"/>
          <w:lang w:val="fr-FR"/>
        </w:rPr>
        <w:t xml:space="preserve"> </w:t>
      </w:r>
      <w:r w:rsidRPr="00C73365">
        <w:rPr>
          <w:rFonts w:asciiTheme="minorHAnsi" w:hAnsiTheme="minorHAnsi" w:cstheme="minorHAnsi"/>
          <w:lang w:val="fr-FR"/>
        </w:rPr>
        <w:t>licence exclusive dans le domaine de la santé humaine et vétérinaire sur sa technologie et ses produits relatifs à l’utilisation des agonistes iNKT pour la recherche, le diagnostic, la prévention et le traitement de toutes indications possibles.</w:t>
      </w:r>
    </w:p>
    <w:p w14:paraId="6733DD0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Cet accord de licence nous donne accès aux brevets et demandes de brevets détaillés dans les tableaux </w:t>
      </w:r>
      <w:r w:rsidR="003B3C7C" w:rsidRPr="00C73365">
        <w:rPr>
          <w:rFonts w:asciiTheme="minorHAnsi" w:hAnsiTheme="minorHAnsi" w:cstheme="minorHAnsi"/>
          <w:lang w:val="fr-FR"/>
        </w:rPr>
        <w:t xml:space="preserve">19 </w:t>
      </w:r>
      <w:r w:rsidRPr="00C73365">
        <w:rPr>
          <w:rFonts w:asciiTheme="minorHAnsi" w:hAnsiTheme="minorHAnsi" w:cstheme="minorHAnsi"/>
          <w:lang w:val="fr-FR"/>
        </w:rPr>
        <w:t xml:space="preserve">à </w:t>
      </w:r>
      <w:r w:rsidR="003B3C7C" w:rsidRPr="00C73365">
        <w:rPr>
          <w:rFonts w:asciiTheme="minorHAnsi" w:hAnsiTheme="minorHAnsi" w:cstheme="minorHAnsi"/>
          <w:lang w:val="fr-FR"/>
        </w:rPr>
        <w:t xml:space="preserve">23 </w:t>
      </w:r>
      <w:r w:rsidRPr="00C73365">
        <w:rPr>
          <w:rFonts w:asciiTheme="minorHAnsi" w:hAnsiTheme="minorHAnsi" w:cstheme="minorHAnsi"/>
          <w:lang w:val="fr-FR"/>
        </w:rPr>
        <w:t>présentés ci-dessus.</w:t>
      </w:r>
    </w:p>
    <w:p w14:paraId="1478017E" w14:textId="72F1B338" w:rsidR="00F46C7B" w:rsidRPr="000E78ED" w:rsidRDefault="00F46C7B" w:rsidP="000E78ED">
      <w:pPr>
        <w:pStyle w:val="Corpsdetexte"/>
        <w:rPr>
          <w:rFonts w:asciiTheme="minorHAnsi" w:hAnsiTheme="minorHAnsi" w:cstheme="minorHAnsi"/>
          <w:spacing w:val="3"/>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3"/>
          <w:lang w:val="fr-FR"/>
        </w:rPr>
        <w:t xml:space="preserve"> l’accord,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4E53D0">
        <w:rPr>
          <w:rFonts w:asciiTheme="minorHAnsi" w:hAnsiTheme="minorHAnsi" w:cstheme="minorHAnsi"/>
          <w:spacing w:val="-1"/>
          <w:lang w:val="fr-FR"/>
        </w:rPr>
        <w:t xml:space="preserve">verser à </w:t>
      </w:r>
      <w:r w:rsidRPr="004E53D0">
        <w:rPr>
          <w:rFonts w:asciiTheme="minorHAnsi" w:hAnsiTheme="minorHAnsi" w:cstheme="minorHAnsi"/>
          <w:lang w:val="fr-FR"/>
        </w:rPr>
        <w:t>The Scripps Research Institute :</w:t>
      </w:r>
    </w:p>
    <w:p w14:paraId="5ADDFF96" w14:textId="77777777" w:rsidR="00F46C7B" w:rsidRPr="00E66FAB" w:rsidRDefault="00F46C7B" w:rsidP="004572A0">
      <w:pPr>
        <w:pStyle w:val="Listepuces3"/>
        <w:numPr>
          <w:ilvl w:val="0"/>
          <w:numId w:val="32"/>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14:paraId="11A2FBE8" w14:textId="77777777" w:rsidR="00F46C7B" w:rsidRPr="00E66FAB" w:rsidRDefault="00F46C7B" w:rsidP="004572A0">
      <w:pPr>
        <w:pStyle w:val="Listepuces3"/>
        <w:numPr>
          <w:ilvl w:val="0"/>
          <w:numId w:val="32"/>
        </w:numPr>
        <w:rPr>
          <w:rFonts w:asciiTheme="minorHAnsi" w:hAnsiTheme="minorHAnsi" w:cstheme="minorHAnsi"/>
          <w:lang w:val="fr-FR"/>
        </w:rPr>
      </w:pPr>
      <w:r w:rsidRPr="00E66FAB">
        <w:rPr>
          <w:rFonts w:asciiTheme="minorHAnsi" w:hAnsiTheme="minorHAnsi" w:cstheme="minorHAnsi"/>
          <w:lang w:val="fr-FR"/>
        </w:rPr>
        <w:lastRenderedPageBreak/>
        <w:t>des royalties pour  les vaccins, les tests de diagnostic et les produits thérapeutiques, selon le montant des ventes nettes.</w:t>
      </w:r>
    </w:p>
    <w:p w14:paraId="34A6A1AA" w14:textId="77777777" w:rsidR="00F46C7B" w:rsidRPr="00E66FAB" w:rsidRDefault="00F46C7B" w:rsidP="004572A0">
      <w:pPr>
        <w:pStyle w:val="Listepuces2"/>
        <w:numPr>
          <w:ilvl w:val="0"/>
          <w:numId w:val="35"/>
        </w:numPr>
        <w:rPr>
          <w:rFonts w:asciiTheme="minorHAnsi" w:hAnsiTheme="minorHAnsi" w:cstheme="minorHAnsi"/>
          <w:lang w:val="fr-FR"/>
        </w:rPr>
      </w:pPr>
      <w:r w:rsidRPr="00E66FAB">
        <w:rPr>
          <w:rFonts w:asciiTheme="minorHAnsi" w:hAnsiTheme="minorHAnsi" w:cstheme="minorHAnsi"/>
          <w:lang w:val="fr-FR"/>
        </w:rPr>
        <w:t xml:space="preserve">accorder à </w:t>
      </w:r>
      <w:r w:rsidRPr="00E66FAB">
        <w:rPr>
          <w:rFonts w:asciiTheme="minorHAnsi" w:hAnsiTheme="minorHAnsi" w:cstheme="minorHAnsi"/>
          <w:i/>
          <w:lang w:val="fr-FR"/>
        </w:rPr>
        <w:t xml:space="preserve">The Scripps Research Institute l’University of Chicago </w:t>
      </w:r>
      <w:r w:rsidRPr="00E66FAB">
        <w:rPr>
          <w:rFonts w:asciiTheme="minorHAnsi" w:hAnsiTheme="minorHAnsi" w:cstheme="minorHAnsi"/>
          <w:lang w:val="fr-FR"/>
        </w:rPr>
        <w:t xml:space="preserve">et </w:t>
      </w:r>
      <w:r w:rsidRPr="00E66FAB">
        <w:rPr>
          <w:rFonts w:asciiTheme="minorHAnsi" w:hAnsiTheme="minorHAnsi" w:cstheme="minorHAnsi"/>
          <w:i/>
          <w:lang w:val="fr-FR"/>
        </w:rPr>
        <w:t>Brigham Young University</w:t>
      </w:r>
      <w:r w:rsidRPr="00E66FAB">
        <w:rPr>
          <w:rFonts w:asciiTheme="minorHAnsi" w:hAnsiTheme="minorHAnsi" w:cstheme="minorHAnsi"/>
          <w:lang w:val="fr-FR"/>
        </w:rPr>
        <w:t>, une participation au capital de la Société (à la date du présent document de référence, ces trois institutions académiques détiennent 1,41% du capital non dilué de la Société).</w:t>
      </w:r>
    </w:p>
    <w:p w14:paraId="7794BAF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contrat prendra fin à l’échéance du dernier brevet en vigueur dans le dernier pays et / ou 10 ans après la dernière commercialisation du produit / service / processus issus du savoir-faire ou du matériel concédé.</w:t>
      </w:r>
    </w:p>
    <w:p w14:paraId="1FD494A2" w14:textId="77777777"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Contrats de licence concédés par </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à des tiers</w:t>
      </w:r>
    </w:p>
    <w:p w14:paraId="3956BFAD"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16 Juin 2016,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concédé à Theradiag une licence exclusive d’utilisation de la technologie en vue du développement des applications du brevet « MIR 124 » (ref : WO2014/111892) et ses applications dans le domaine théranostique. Les conditions d’exploitation des résultats éventuels de ce développement feront l’objet d’un contrat séparé à une date ultérieure.</w:t>
      </w:r>
    </w:p>
    <w:p w14:paraId="50042BD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contrat reste en vigueur sauf en cas de résiliation anticipée jusqu’à la plus lointaine des trois échéances suivantes :</w:t>
      </w:r>
    </w:p>
    <w:p w14:paraId="4B1372DC" w14:textId="77777777" w:rsidR="00F46C7B" w:rsidRPr="00E66FAB" w:rsidRDefault="00F46C7B" w:rsidP="004572A0">
      <w:pPr>
        <w:pStyle w:val="Listepuces2"/>
        <w:numPr>
          <w:ilvl w:val="0"/>
          <w:numId w:val="35"/>
        </w:numPr>
        <w:rPr>
          <w:rFonts w:asciiTheme="minorHAnsi" w:hAnsiTheme="minorHAnsi" w:cstheme="minorHAnsi"/>
          <w:lang w:val="fr-FR"/>
        </w:rPr>
      </w:pPr>
      <w:r w:rsidRPr="00E66FAB">
        <w:rPr>
          <w:rFonts w:asciiTheme="minorHAnsi" w:hAnsiTheme="minorHAnsi" w:cstheme="minorHAnsi"/>
          <w:lang w:val="fr-FR"/>
        </w:rPr>
        <w:t>L’expiration ou l’invalidation du dernier Brevet</w:t>
      </w:r>
    </w:p>
    <w:p w14:paraId="442A36E4" w14:textId="77777777" w:rsidR="00F46C7B" w:rsidRPr="00E66FAB" w:rsidRDefault="00F46C7B" w:rsidP="004572A0">
      <w:pPr>
        <w:pStyle w:val="Listepuces2"/>
        <w:numPr>
          <w:ilvl w:val="0"/>
          <w:numId w:val="35"/>
        </w:numPr>
        <w:rPr>
          <w:rFonts w:asciiTheme="minorHAnsi" w:hAnsiTheme="minorHAnsi" w:cstheme="minorHAnsi"/>
          <w:lang w:val="fr-FR"/>
        </w:rPr>
      </w:pPr>
      <w:r w:rsidRPr="00E66FAB">
        <w:rPr>
          <w:rFonts w:asciiTheme="minorHAnsi" w:hAnsiTheme="minorHAnsi" w:cstheme="minorHAnsi"/>
          <w:lang w:val="fr-FR"/>
        </w:rPr>
        <w:t>L’expiration de la protection conférée au dernier Brevet ou Produit par les Certificats Complémentaire de Protection</w:t>
      </w:r>
    </w:p>
    <w:p w14:paraId="2288A1EC" w14:textId="77777777" w:rsidR="00F46C7B" w:rsidRPr="00E66FAB" w:rsidRDefault="00F46C7B" w:rsidP="004572A0">
      <w:pPr>
        <w:pStyle w:val="Listepuces2"/>
        <w:numPr>
          <w:ilvl w:val="0"/>
          <w:numId w:val="35"/>
        </w:numPr>
        <w:rPr>
          <w:rFonts w:asciiTheme="minorHAnsi" w:hAnsiTheme="minorHAnsi" w:cstheme="minorHAnsi"/>
          <w:lang w:val="fr-FR"/>
        </w:rPr>
      </w:pPr>
      <w:r w:rsidRPr="00E66FAB">
        <w:rPr>
          <w:rFonts w:asciiTheme="minorHAnsi" w:hAnsiTheme="minorHAnsi" w:cstheme="minorHAnsi"/>
          <w:lang w:val="fr-FR"/>
        </w:rPr>
        <w:t>L’expiration de la période du « market exclusivity » conférée par l’obtention d’une AMM orpheline et/ou d’un PUMA (« </w:t>
      </w:r>
      <w:r w:rsidRPr="00E66FAB">
        <w:rPr>
          <w:rFonts w:asciiTheme="minorHAnsi" w:hAnsiTheme="minorHAnsi" w:cstheme="minorHAnsi"/>
          <w:shd w:val="clear" w:color="auto" w:fill="FFFFFF"/>
          <w:lang w:val="fr-FR"/>
        </w:rPr>
        <w:t>paediatric-use marketing authorisation » – autorisation de commercialisation pour usage pédiatrique</w:t>
      </w:r>
      <w:r w:rsidRPr="00E66FAB">
        <w:rPr>
          <w:rFonts w:asciiTheme="minorHAnsi" w:hAnsiTheme="minorHAnsi" w:cstheme="minorHAnsi"/>
          <w:lang w:val="fr-FR"/>
        </w:rPr>
        <w:t>),  ou toute autre réglementation équivalente.</w:t>
      </w:r>
    </w:p>
    <w:p w14:paraId="6EB88D15" w14:textId="77777777" w:rsidR="00F46C7B" w:rsidRPr="00C73365" w:rsidRDefault="00F46C7B">
      <w:pPr>
        <w:rPr>
          <w:rFonts w:asciiTheme="minorHAnsi" w:hAnsiTheme="minorHAnsi" w:cstheme="minorHAnsi"/>
          <w:spacing w:val="-1"/>
          <w:szCs w:val="20"/>
          <w:lang w:val="fr-FR"/>
        </w:rPr>
      </w:pPr>
    </w:p>
    <w:p w14:paraId="3909613B" w14:textId="77777777"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724" w:name="_Toc461441239"/>
      <w:bookmarkStart w:id="725" w:name="_Toc461441240"/>
      <w:bookmarkStart w:id="726" w:name="_Toc406257030"/>
      <w:bookmarkStart w:id="727" w:name="_Toc462673261"/>
      <w:bookmarkStart w:id="728" w:name="_Toc467835608"/>
      <w:bookmarkStart w:id="729" w:name="_Toc510548434"/>
      <w:bookmarkEnd w:id="724"/>
      <w:bookmarkEnd w:id="725"/>
      <w:r w:rsidRPr="00C73365">
        <w:rPr>
          <w:rFonts w:asciiTheme="minorHAnsi" w:hAnsiTheme="minorHAnsi" w:cstheme="minorHAnsi"/>
          <w:sz w:val="22"/>
          <w:szCs w:val="22"/>
          <w:lang w:val="fr-FR"/>
        </w:rPr>
        <w:t>Marques, demandes de marque et noms de domaine</w:t>
      </w:r>
      <w:bookmarkEnd w:id="726"/>
      <w:bookmarkEnd w:id="727"/>
      <w:bookmarkEnd w:id="728"/>
      <w:bookmarkEnd w:id="729"/>
    </w:p>
    <w:p w14:paraId="37E3DEFD" w14:textId="77777777"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bookmarkStart w:id="730" w:name="_Toc290245350"/>
      <w:bookmarkStart w:id="731" w:name="_Toc290293275"/>
      <w:bookmarkStart w:id="732" w:name="_Toc290294909"/>
      <w:bookmarkStart w:id="733" w:name="_Toc291712677"/>
      <w:bookmarkStart w:id="734" w:name="_Toc292267516"/>
      <w:bookmarkStart w:id="735" w:name="_Toc292876436"/>
      <w:bookmarkStart w:id="736" w:name="_Toc293328270"/>
      <w:bookmarkStart w:id="737" w:name="_Toc299090657"/>
      <w:bookmarkStart w:id="738" w:name="_Toc299092955"/>
      <w:bookmarkStart w:id="739" w:name="_Toc299094440"/>
      <w:r w:rsidRPr="00C73365">
        <w:rPr>
          <w:rFonts w:asciiTheme="minorHAnsi" w:hAnsiTheme="minorHAnsi" w:cstheme="minorHAnsi"/>
          <w:b/>
          <w:color w:val="7030A0"/>
          <w:lang w:val="fr-FR"/>
        </w:rPr>
        <w:t>Marques</w:t>
      </w:r>
    </w:p>
    <w:p w14:paraId="3BEE5F7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a déposé les marques suivantes :</w:t>
      </w:r>
    </w:p>
    <w:tbl>
      <w:tblPr>
        <w:tblW w:w="9485" w:type="dxa"/>
        <w:tblInd w:w="70" w:type="dxa"/>
        <w:tblCellMar>
          <w:left w:w="70" w:type="dxa"/>
          <w:right w:w="70" w:type="dxa"/>
        </w:tblCellMar>
        <w:tblLook w:val="04A0" w:firstRow="1" w:lastRow="0" w:firstColumn="1" w:lastColumn="0" w:noHBand="0" w:noVBand="1"/>
      </w:tblPr>
      <w:tblGrid>
        <w:gridCol w:w="1270"/>
        <w:gridCol w:w="1270"/>
        <w:gridCol w:w="3135"/>
        <w:gridCol w:w="1270"/>
        <w:gridCol w:w="1270"/>
        <w:gridCol w:w="1270"/>
      </w:tblGrid>
      <w:tr w:rsidR="00FE1605" w:rsidRPr="00C73365" w14:paraId="4BBD8FB1" w14:textId="77777777" w:rsidTr="00981866">
        <w:trPr>
          <w:trHeight w:val="87"/>
        </w:trPr>
        <w:tc>
          <w:tcPr>
            <w:tcW w:w="1270" w:type="dxa"/>
            <w:tcBorders>
              <w:top w:val="single" w:sz="12" w:space="0" w:color="7030A0"/>
              <w:left w:val="nil"/>
              <w:bottom w:val="single" w:sz="8" w:space="0" w:color="7030A0"/>
              <w:right w:val="nil"/>
            </w:tcBorders>
            <w:shd w:val="clear" w:color="auto" w:fill="auto"/>
            <w:vAlign w:val="center"/>
            <w:hideMark/>
          </w:tcPr>
          <w:p w14:paraId="42D1EE24" w14:textId="77777777"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Marque</w:t>
            </w:r>
          </w:p>
        </w:tc>
        <w:tc>
          <w:tcPr>
            <w:tcW w:w="1270" w:type="dxa"/>
            <w:tcBorders>
              <w:top w:val="single" w:sz="12" w:space="0" w:color="7030A0"/>
              <w:left w:val="nil"/>
              <w:bottom w:val="single" w:sz="8" w:space="0" w:color="7030A0"/>
              <w:right w:val="nil"/>
            </w:tcBorders>
            <w:shd w:val="clear" w:color="auto" w:fill="auto"/>
            <w:vAlign w:val="center"/>
            <w:hideMark/>
          </w:tcPr>
          <w:p w14:paraId="0AA9A99B" w14:textId="77777777"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Numéro</w:t>
            </w:r>
          </w:p>
        </w:tc>
        <w:tc>
          <w:tcPr>
            <w:tcW w:w="3135" w:type="dxa"/>
            <w:tcBorders>
              <w:top w:val="single" w:sz="12" w:space="0" w:color="7030A0"/>
              <w:left w:val="nil"/>
              <w:bottom w:val="single" w:sz="8" w:space="0" w:color="7030A0"/>
              <w:right w:val="nil"/>
            </w:tcBorders>
            <w:shd w:val="clear" w:color="auto" w:fill="auto"/>
            <w:vAlign w:val="center"/>
            <w:hideMark/>
          </w:tcPr>
          <w:p w14:paraId="29DC6093" w14:textId="77777777"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Statut</w:t>
            </w:r>
          </w:p>
        </w:tc>
        <w:tc>
          <w:tcPr>
            <w:tcW w:w="1270" w:type="dxa"/>
            <w:tcBorders>
              <w:top w:val="single" w:sz="12" w:space="0" w:color="7030A0"/>
              <w:left w:val="nil"/>
              <w:bottom w:val="single" w:sz="8" w:space="0" w:color="7030A0"/>
              <w:right w:val="nil"/>
            </w:tcBorders>
            <w:shd w:val="clear" w:color="auto" w:fill="auto"/>
            <w:vAlign w:val="center"/>
            <w:hideMark/>
          </w:tcPr>
          <w:p w14:paraId="0671A2E6" w14:textId="77777777"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 dépôt</w:t>
            </w:r>
          </w:p>
        </w:tc>
        <w:tc>
          <w:tcPr>
            <w:tcW w:w="1270" w:type="dxa"/>
            <w:tcBorders>
              <w:top w:val="single" w:sz="12" w:space="0" w:color="7030A0"/>
              <w:left w:val="nil"/>
              <w:bottom w:val="single" w:sz="8" w:space="0" w:color="7030A0"/>
              <w:right w:val="nil"/>
            </w:tcBorders>
            <w:shd w:val="clear" w:color="auto" w:fill="auto"/>
            <w:vAlign w:val="center"/>
            <w:hideMark/>
          </w:tcPr>
          <w:p w14:paraId="50830D92" w14:textId="77777777"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Territoire</w:t>
            </w:r>
          </w:p>
        </w:tc>
        <w:tc>
          <w:tcPr>
            <w:tcW w:w="1270" w:type="dxa"/>
            <w:tcBorders>
              <w:top w:val="single" w:sz="12" w:space="0" w:color="7030A0"/>
              <w:left w:val="nil"/>
              <w:bottom w:val="single" w:sz="8" w:space="0" w:color="7030A0"/>
              <w:right w:val="nil"/>
            </w:tcBorders>
            <w:shd w:val="clear" w:color="auto" w:fill="auto"/>
            <w:vAlign w:val="center"/>
            <w:hideMark/>
          </w:tcPr>
          <w:p w14:paraId="4EAC86D6" w14:textId="77777777"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Classe</w:t>
            </w:r>
          </w:p>
        </w:tc>
      </w:tr>
      <w:tr w:rsidR="00FE1605" w:rsidRPr="00C73365" w14:paraId="064D97C8" w14:textId="77777777" w:rsidTr="00981866">
        <w:trPr>
          <w:trHeight w:val="224"/>
        </w:trPr>
        <w:tc>
          <w:tcPr>
            <w:tcW w:w="1270" w:type="dxa"/>
            <w:vMerge w:val="restart"/>
            <w:tcBorders>
              <w:top w:val="nil"/>
              <w:left w:val="nil"/>
              <w:bottom w:val="single" w:sz="8" w:space="0" w:color="7030A0"/>
              <w:right w:val="nil"/>
            </w:tcBorders>
            <w:shd w:val="clear" w:color="auto" w:fill="auto"/>
            <w:vAlign w:val="center"/>
            <w:hideMark/>
          </w:tcPr>
          <w:p w14:paraId="423E4BDF" w14:textId="77777777" w:rsidR="00FE1605"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vMerge w:val="restart"/>
            <w:tcBorders>
              <w:top w:val="nil"/>
              <w:left w:val="nil"/>
              <w:bottom w:val="single" w:sz="8" w:space="0" w:color="7030A0"/>
              <w:right w:val="nil"/>
            </w:tcBorders>
            <w:shd w:val="clear" w:color="auto" w:fill="auto"/>
            <w:noWrap/>
            <w:vAlign w:val="center"/>
            <w:hideMark/>
          </w:tcPr>
          <w:p w14:paraId="6AF18A4B" w14:textId="77777777"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1 732 388</w:t>
            </w:r>
          </w:p>
        </w:tc>
        <w:tc>
          <w:tcPr>
            <w:tcW w:w="3135" w:type="dxa"/>
            <w:tcBorders>
              <w:top w:val="nil"/>
              <w:left w:val="nil"/>
              <w:bottom w:val="nil"/>
              <w:right w:val="nil"/>
            </w:tcBorders>
            <w:shd w:val="clear" w:color="auto" w:fill="auto"/>
            <w:vAlign w:val="center"/>
            <w:hideMark/>
          </w:tcPr>
          <w:p w14:paraId="4F5348BF" w14:textId="77777777"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Déposée</w:t>
            </w:r>
          </w:p>
        </w:tc>
        <w:tc>
          <w:tcPr>
            <w:tcW w:w="1270" w:type="dxa"/>
            <w:vMerge w:val="restart"/>
            <w:tcBorders>
              <w:top w:val="nil"/>
              <w:left w:val="nil"/>
              <w:bottom w:val="single" w:sz="8" w:space="0" w:color="7030A0"/>
              <w:right w:val="nil"/>
            </w:tcBorders>
            <w:shd w:val="clear" w:color="auto" w:fill="auto"/>
            <w:vAlign w:val="center"/>
            <w:hideMark/>
          </w:tcPr>
          <w:p w14:paraId="491A97A2" w14:textId="77777777"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11-juin-15</w:t>
            </w:r>
          </w:p>
        </w:tc>
        <w:tc>
          <w:tcPr>
            <w:tcW w:w="1270" w:type="dxa"/>
            <w:vMerge w:val="restart"/>
            <w:tcBorders>
              <w:top w:val="nil"/>
              <w:left w:val="nil"/>
              <w:bottom w:val="single" w:sz="8" w:space="0" w:color="7030A0"/>
              <w:right w:val="nil"/>
            </w:tcBorders>
            <w:shd w:val="clear" w:color="auto" w:fill="auto"/>
            <w:vAlign w:val="center"/>
            <w:hideMark/>
          </w:tcPr>
          <w:p w14:paraId="1C38104C" w14:textId="77777777"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Canada</w:t>
            </w:r>
          </w:p>
        </w:tc>
        <w:tc>
          <w:tcPr>
            <w:tcW w:w="1270" w:type="dxa"/>
            <w:vMerge w:val="restart"/>
            <w:tcBorders>
              <w:top w:val="nil"/>
              <w:left w:val="nil"/>
              <w:bottom w:val="single" w:sz="8" w:space="0" w:color="7030A0"/>
              <w:right w:val="nil"/>
            </w:tcBorders>
            <w:shd w:val="clear" w:color="auto" w:fill="auto"/>
            <w:vAlign w:val="center"/>
            <w:hideMark/>
          </w:tcPr>
          <w:p w14:paraId="2DD60369" w14:textId="77777777"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FE1605" w:rsidRPr="0030056F" w14:paraId="365FD8B6" w14:textId="77777777" w:rsidTr="00C50FC3">
        <w:trPr>
          <w:trHeight w:val="438"/>
        </w:trPr>
        <w:tc>
          <w:tcPr>
            <w:tcW w:w="1270" w:type="dxa"/>
            <w:vMerge/>
            <w:tcBorders>
              <w:top w:val="nil"/>
              <w:left w:val="nil"/>
              <w:bottom w:val="single" w:sz="8" w:space="0" w:color="7030A0"/>
              <w:right w:val="nil"/>
            </w:tcBorders>
            <w:vAlign w:val="center"/>
            <w:hideMark/>
          </w:tcPr>
          <w:p w14:paraId="69C495D1" w14:textId="77777777"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14:paraId="35B45BAD" w14:textId="77777777" w:rsidR="00FE1605" w:rsidRPr="00C73365" w:rsidRDefault="00FE1605">
            <w:pPr>
              <w:rPr>
                <w:rFonts w:asciiTheme="minorHAnsi" w:hAnsiTheme="minorHAnsi" w:cstheme="minorHAnsi"/>
                <w:color w:val="000000"/>
                <w:szCs w:val="20"/>
                <w:lang w:val="fr-FR" w:eastAsia="fr-FR"/>
              </w:rPr>
            </w:pPr>
          </w:p>
        </w:tc>
        <w:tc>
          <w:tcPr>
            <w:tcW w:w="3135" w:type="dxa"/>
            <w:tcBorders>
              <w:top w:val="nil"/>
              <w:left w:val="nil"/>
              <w:bottom w:val="single" w:sz="8" w:space="0" w:color="7030A0"/>
              <w:right w:val="nil"/>
            </w:tcBorders>
            <w:shd w:val="clear" w:color="auto" w:fill="auto"/>
            <w:vAlign w:val="center"/>
            <w:hideMark/>
          </w:tcPr>
          <w:p w14:paraId="632DD323" w14:textId="77777777"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Déclaration d’usage à produire au plus tard le 11 juin 2018</w:t>
            </w:r>
          </w:p>
        </w:tc>
        <w:tc>
          <w:tcPr>
            <w:tcW w:w="1270" w:type="dxa"/>
            <w:vMerge/>
            <w:tcBorders>
              <w:top w:val="nil"/>
              <w:left w:val="nil"/>
              <w:bottom w:val="single" w:sz="8" w:space="0" w:color="7030A0"/>
              <w:right w:val="nil"/>
            </w:tcBorders>
            <w:vAlign w:val="center"/>
            <w:hideMark/>
          </w:tcPr>
          <w:p w14:paraId="7009D701" w14:textId="77777777"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14:paraId="448A33C7" w14:textId="77777777"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14:paraId="04F14139" w14:textId="77777777" w:rsidR="00FE1605" w:rsidRPr="00C73365" w:rsidRDefault="00FE1605">
            <w:pPr>
              <w:rPr>
                <w:rFonts w:asciiTheme="minorHAnsi" w:hAnsiTheme="minorHAnsi" w:cstheme="minorHAnsi"/>
                <w:color w:val="000000"/>
                <w:szCs w:val="20"/>
                <w:lang w:val="fr-FR" w:eastAsia="fr-FR"/>
              </w:rPr>
            </w:pPr>
          </w:p>
        </w:tc>
      </w:tr>
      <w:tr w:rsidR="0041326F" w:rsidRPr="00C73365" w14:paraId="55EB5ECC" w14:textId="77777777" w:rsidTr="00C50FC3">
        <w:trPr>
          <w:trHeight w:val="488"/>
        </w:trPr>
        <w:tc>
          <w:tcPr>
            <w:tcW w:w="1270" w:type="dxa"/>
            <w:tcBorders>
              <w:top w:val="single" w:sz="8" w:space="0" w:color="7030A0"/>
              <w:left w:val="nil"/>
              <w:bottom w:val="single" w:sz="4" w:space="0" w:color="7030A0"/>
              <w:right w:val="nil"/>
            </w:tcBorders>
            <w:shd w:val="clear" w:color="auto" w:fill="auto"/>
            <w:vAlign w:val="center"/>
            <w:hideMark/>
          </w:tcPr>
          <w:p w14:paraId="16099004" w14:textId="77777777" w:rsidR="0041326F"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single" w:sz="8" w:space="0" w:color="7030A0"/>
              <w:left w:val="nil"/>
              <w:bottom w:val="single" w:sz="4" w:space="0" w:color="7030A0"/>
              <w:right w:val="nil"/>
            </w:tcBorders>
            <w:shd w:val="clear" w:color="auto" w:fill="auto"/>
            <w:noWrap/>
            <w:vAlign w:val="center"/>
            <w:hideMark/>
          </w:tcPr>
          <w:p w14:paraId="07E6B163" w14:textId="77777777"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013957212</w:t>
            </w:r>
          </w:p>
        </w:tc>
        <w:tc>
          <w:tcPr>
            <w:tcW w:w="3135" w:type="dxa"/>
            <w:tcBorders>
              <w:top w:val="single" w:sz="8" w:space="0" w:color="7030A0"/>
              <w:left w:val="nil"/>
              <w:bottom w:val="single" w:sz="4" w:space="0" w:color="7030A0"/>
              <w:right w:val="nil"/>
            </w:tcBorders>
            <w:shd w:val="clear" w:color="auto" w:fill="auto"/>
            <w:vAlign w:val="center"/>
            <w:hideMark/>
          </w:tcPr>
          <w:p w14:paraId="382FE4D4" w14:textId="77777777" w:rsidR="0041326F" w:rsidRPr="00C73365" w:rsidRDefault="0041326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single" w:sz="8" w:space="0" w:color="7030A0"/>
              <w:left w:val="nil"/>
              <w:bottom w:val="single" w:sz="4" w:space="0" w:color="7030A0"/>
              <w:right w:val="nil"/>
            </w:tcBorders>
            <w:shd w:val="clear" w:color="auto" w:fill="auto"/>
            <w:vAlign w:val="center"/>
            <w:hideMark/>
          </w:tcPr>
          <w:p w14:paraId="206A65E5" w14:textId="77777777"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16-avr-15</w:t>
            </w:r>
          </w:p>
        </w:tc>
        <w:tc>
          <w:tcPr>
            <w:tcW w:w="1270" w:type="dxa"/>
            <w:tcBorders>
              <w:top w:val="single" w:sz="8" w:space="0" w:color="7030A0"/>
              <w:left w:val="nil"/>
              <w:bottom w:val="single" w:sz="4" w:space="0" w:color="7030A0"/>
              <w:right w:val="nil"/>
            </w:tcBorders>
            <w:shd w:val="clear" w:color="auto" w:fill="auto"/>
            <w:vAlign w:val="center"/>
            <w:hideMark/>
          </w:tcPr>
          <w:p w14:paraId="2CD3C39B" w14:textId="77777777"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UE</w:t>
            </w:r>
          </w:p>
        </w:tc>
        <w:tc>
          <w:tcPr>
            <w:tcW w:w="1270" w:type="dxa"/>
            <w:tcBorders>
              <w:top w:val="single" w:sz="8" w:space="0" w:color="7030A0"/>
              <w:left w:val="nil"/>
              <w:bottom w:val="single" w:sz="4" w:space="0" w:color="7030A0"/>
              <w:right w:val="nil"/>
            </w:tcBorders>
            <w:shd w:val="clear" w:color="auto" w:fill="auto"/>
            <w:vAlign w:val="center"/>
            <w:hideMark/>
          </w:tcPr>
          <w:p w14:paraId="5303DABD" w14:textId="77777777"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FE1605" w:rsidRPr="00C73365" w14:paraId="74A72198" w14:textId="77777777" w:rsidTr="00C50FC3">
        <w:trPr>
          <w:trHeight w:val="233"/>
        </w:trPr>
        <w:tc>
          <w:tcPr>
            <w:tcW w:w="1270" w:type="dxa"/>
            <w:tcBorders>
              <w:top w:val="single" w:sz="4" w:space="0" w:color="7030A0"/>
              <w:left w:val="nil"/>
              <w:bottom w:val="single" w:sz="8" w:space="0" w:color="7030A0"/>
              <w:right w:val="nil"/>
            </w:tcBorders>
            <w:shd w:val="clear" w:color="auto" w:fill="auto"/>
            <w:vAlign w:val="center"/>
            <w:hideMark/>
          </w:tcPr>
          <w:p w14:paraId="41A0A5A8" w14:textId="77777777" w:rsidR="00FE1605"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single" w:sz="4" w:space="0" w:color="7030A0"/>
              <w:left w:val="nil"/>
              <w:bottom w:val="single" w:sz="8" w:space="0" w:color="7030A0"/>
              <w:right w:val="nil"/>
            </w:tcBorders>
            <w:shd w:val="clear" w:color="auto" w:fill="auto"/>
            <w:noWrap/>
            <w:vAlign w:val="center"/>
            <w:hideMark/>
          </w:tcPr>
          <w:p w14:paraId="4AFFE6F0" w14:textId="77777777"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4 698 349</w:t>
            </w:r>
          </w:p>
        </w:tc>
        <w:tc>
          <w:tcPr>
            <w:tcW w:w="3135" w:type="dxa"/>
            <w:tcBorders>
              <w:top w:val="single" w:sz="4" w:space="0" w:color="7030A0"/>
              <w:left w:val="nil"/>
              <w:bottom w:val="single" w:sz="8" w:space="0" w:color="7030A0"/>
              <w:right w:val="nil"/>
            </w:tcBorders>
            <w:shd w:val="clear" w:color="auto" w:fill="auto"/>
            <w:vAlign w:val="center"/>
            <w:hideMark/>
          </w:tcPr>
          <w:p w14:paraId="564B54E9" w14:textId="77777777"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single" w:sz="4" w:space="0" w:color="7030A0"/>
              <w:left w:val="nil"/>
              <w:bottom w:val="single" w:sz="8" w:space="0" w:color="7030A0"/>
              <w:right w:val="nil"/>
            </w:tcBorders>
            <w:shd w:val="clear" w:color="auto" w:fill="auto"/>
            <w:vAlign w:val="center"/>
            <w:hideMark/>
          </w:tcPr>
          <w:p w14:paraId="230552AD" w14:textId="77777777"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10-mars-15</w:t>
            </w:r>
          </w:p>
        </w:tc>
        <w:tc>
          <w:tcPr>
            <w:tcW w:w="1270" w:type="dxa"/>
            <w:tcBorders>
              <w:top w:val="single" w:sz="4" w:space="0" w:color="7030A0"/>
              <w:left w:val="nil"/>
              <w:bottom w:val="single" w:sz="8" w:space="0" w:color="7030A0"/>
              <w:right w:val="nil"/>
            </w:tcBorders>
            <w:shd w:val="clear" w:color="auto" w:fill="auto"/>
            <w:vAlign w:val="center"/>
            <w:hideMark/>
          </w:tcPr>
          <w:p w14:paraId="1E417D22" w14:textId="77777777"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Etats-Unis</w:t>
            </w:r>
          </w:p>
        </w:tc>
        <w:tc>
          <w:tcPr>
            <w:tcW w:w="1270" w:type="dxa"/>
            <w:tcBorders>
              <w:top w:val="single" w:sz="4" w:space="0" w:color="7030A0"/>
              <w:left w:val="nil"/>
              <w:bottom w:val="single" w:sz="8" w:space="0" w:color="7030A0"/>
              <w:right w:val="nil"/>
            </w:tcBorders>
            <w:shd w:val="clear" w:color="auto" w:fill="auto"/>
            <w:vAlign w:val="center"/>
            <w:hideMark/>
          </w:tcPr>
          <w:p w14:paraId="516A435D" w14:textId="77777777"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14:paraId="06E94571" w14:textId="77777777" w:rsidTr="00981866">
        <w:trPr>
          <w:trHeight w:val="233"/>
        </w:trPr>
        <w:tc>
          <w:tcPr>
            <w:tcW w:w="1270" w:type="dxa"/>
            <w:tcBorders>
              <w:top w:val="nil"/>
              <w:left w:val="nil"/>
              <w:bottom w:val="single" w:sz="8" w:space="0" w:color="7030A0"/>
              <w:right w:val="nil"/>
            </w:tcBorders>
            <w:shd w:val="clear" w:color="auto" w:fill="auto"/>
            <w:vAlign w:val="center"/>
            <w:hideMark/>
          </w:tcPr>
          <w:p w14:paraId="4AC0CA1E" w14:textId="77777777"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14:paraId="6116AB27"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13 4 043 749</w:t>
            </w:r>
          </w:p>
        </w:tc>
        <w:tc>
          <w:tcPr>
            <w:tcW w:w="3135" w:type="dxa"/>
            <w:tcBorders>
              <w:top w:val="nil"/>
              <w:left w:val="nil"/>
              <w:bottom w:val="single" w:sz="8" w:space="0" w:color="7030A0"/>
              <w:right w:val="nil"/>
            </w:tcBorders>
            <w:shd w:val="clear" w:color="auto" w:fill="auto"/>
            <w:vAlign w:val="center"/>
            <w:hideMark/>
          </w:tcPr>
          <w:p w14:paraId="3DB0D13B" w14:textId="77777777" w:rsidR="00536E1C" w:rsidRPr="00C73365" w:rsidRDefault="00536E1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14:paraId="4357AB03"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30-oct-13</w:t>
            </w:r>
          </w:p>
        </w:tc>
        <w:tc>
          <w:tcPr>
            <w:tcW w:w="1270" w:type="dxa"/>
            <w:tcBorders>
              <w:top w:val="nil"/>
              <w:left w:val="nil"/>
              <w:bottom w:val="single" w:sz="8" w:space="0" w:color="7030A0"/>
              <w:right w:val="nil"/>
            </w:tcBorders>
            <w:shd w:val="clear" w:color="auto" w:fill="auto"/>
            <w:vAlign w:val="center"/>
            <w:hideMark/>
          </w:tcPr>
          <w:p w14:paraId="15485F1E"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France</w:t>
            </w:r>
          </w:p>
        </w:tc>
        <w:tc>
          <w:tcPr>
            <w:tcW w:w="1270" w:type="dxa"/>
            <w:tcBorders>
              <w:top w:val="nil"/>
              <w:left w:val="nil"/>
              <w:bottom w:val="single" w:sz="8" w:space="0" w:color="7030A0"/>
              <w:right w:val="nil"/>
            </w:tcBorders>
            <w:shd w:val="clear" w:color="auto" w:fill="auto"/>
            <w:vAlign w:val="center"/>
            <w:hideMark/>
          </w:tcPr>
          <w:p w14:paraId="1475D140"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14:paraId="35C512CC" w14:textId="77777777" w:rsidTr="00C50FC3">
        <w:trPr>
          <w:trHeight w:val="233"/>
        </w:trPr>
        <w:tc>
          <w:tcPr>
            <w:tcW w:w="1270" w:type="dxa"/>
            <w:tcBorders>
              <w:top w:val="nil"/>
              <w:left w:val="nil"/>
              <w:bottom w:val="single" w:sz="8" w:space="0" w:color="7030A0"/>
              <w:right w:val="nil"/>
            </w:tcBorders>
            <w:shd w:val="clear" w:color="auto" w:fill="auto"/>
            <w:vAlign w:val="center"/>
            <w:hideMark/>
          </w:tcPr>
          <w:p w14:paraId="3E19B493" w14:textId="77777777"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14:paraId="7B3151E7"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1 260 622</w:t>
            </w:r>
          </w:p>
        </w:tc>
        <w:tc>
          <w:tcPr>
            <w:tcW w:w="3135" w:type="dxa"/>
            <w:tcBorders>
              <w:top w:val="nil"/>
              <w:left w:val="nil"/>
              <w:bottom w:val="single" w:sz="8" w:space="0" w:color="7030A0"/>
              <w:right w:val="nil"/>
            </w:tcBorders>
            <w:shd w:val="clear" w:color="auto" w:fill="auto"/>
            <w:vAlign w:val="center"/>
            <w:hideMark/>
          </w:tcPr>
          <w:p w14:paraId="2E1FF757" w14:textId="77777777" w:rsidR="00536E1C" w:rsidRPr="00C73365" w:rsidRDefault="00536E1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14:paraId="1B609827"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07-mai-15</w:t>
            </w:r>
          </w:p>
        </w:tc>
        <w:tc>
          <w:tcPr>
            <w:tcW w:w="1270" w:type="dxa"/>
            <w:tcBorders>
              <w:top w:val="nil"/>
              <w:left w:val="nil"/>
              <w:bottom w:val="single" w:sz="8" w:space="0" w:color="7030A0"/>
              <w:right w:val="nil"/>
            </w:tcBorders>
            <w:shd w:val="clear" w:color="auto" w:fill="auto"/>
            <w:vAlign w:val="center"/>
            <w:hideMark/>
          </w:tcPr>
          <w:p w14:paraId="63B9D7F3"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Cuba</w:t>
            </w:r>
          </w:p>
        </w:tc>
        <w:tc>
          <w:tcPr>
            <w:tcW w:w="1270" w:type="dxa"/>
            <w:tcBorders>
              <w:top w:val="nil"/>
              <w:left w:val="nil"/>
              <w:bottom w:val="single" w:sz="8" w:space="0" w:color="7030A0"/>
              <w:right w:val="nil"/>
            </w:tcBorders>
            <w:shd w:val="clear" w:color="auto" w:fill="auto"/>
            <w:vAlign w:val="center"/>
            <w:hideMark/>
          </w:tcPr>
          <w:p w14:paraId="6B9E5F90"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41326F" w:rsidRPr="00C73365" w14:paraId="02814915" w14:textId="77777777" w:rsidTr="00C50FC3">
        <w:trPr>
          <w:trHeight w:val="362"/>
        </w:trPr>
        <w:tc>
          <w:tcPr>
            <w:tcW w:w="1270" w:type="dxa"/>
            <w:tcBorders>
              <w:top w:val="nil"/>
              <w:left w:val="nil"/>
              <w:bottom w:val="single" w:sz="8" w:space="0" w:color="7030A0"/>
              <w:right w:val="nil"/>
            </w:tcBorders>
            <w:shd w:val="clear" w:color="auto" w:fill="auto"/>
            <w:vAlign w:val="center"/>
            <w:hideMark/>
          </w:tcPr>
          <w:p w14:paraId="646EDCC5" w14:textId="77777777" w:rsidR="0041326F"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14:paraId="0C186868" w14:textId="77777777"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2984677</w:t>
            </w:r>
          </w:p>
        </w:tc>
        <w:tc>
          <w:tcPr>
            <w:tcW w:w="3135" w:type="dxa"/>
            <w:tcBorders>
              <w:top w:val="single" w:sz="8" w:space="0" w:color="7030A0"/>
              <w:left w:val="nil"/>
              <w:bottom w:val="single" w:sz="4" w:space="0" w:color="7030A0"/>
              <w:right w:val="nil"/>
            </w:tcBorders>
            <w:shd w:val="clear" w:color="auto" w:fill="auto"/>
            <w:vAlign w:val="center"/>
          </w:tcPr>
          <w:p w14:paraId="1F6A1468" w14:textId="77777777" w:rsidR="0041326F" w:rsidRPr="00C73365" w:rsidRDefault="0041326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14:paraId="439D9D38" w14:textId="77777777"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12-juin-15</w:t>
            </w:r>
          </w:p>
        </w:tc>
        <w:tc>
          <w:tcPr>
            <w:tcW w:w="1270" w:type="dxa"/>
            <w:tcBorders>
              <w:top w:val="nil"/>
              <w:left w:val="nil"/>
              <w:bottom w:val="single" w:sz="8" w:space="0" w:color="7030A0"/>
              <w:right w:val="nil"/>
            </w:tcBorders>
            <w:shd w:val="clear" w:color="auto" w:fill="auto"/>
            <w:vAlign w:val="center"/>
            <w:hideMark/>
          </w:tcPr>
          <w:p w14:paraId="10A5331B" w14:textId="77777777"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Inde</w:t>
            </w:r>
          </w:p>
        </w:tc>
        <w:tc>
          <w:tcPr>
            <w:tcW w:w="1270" w:type="dxa"/>
            <w:tcBorders>
              <w:top w:val="nil"/>
              <w:left w:val="nil"/>
              <w:bottom w:val="single" w:sz="8" w:space="0" w:color="7030A0"/>
              <w:right w:val="nil"/>
            </w:tcBorders>
            <w:shd w:val="clear" w:color="auto" w:fill="auto"/>
            <w:vAlign w:val="center"/>
            <w:hideMark/>
          </w:tcPr>
          <w:p w14:paraId="2CA64A68" w14:textId="77777777"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14:paraId="4323357F" w14:textId="77777777" w:rsidTr="00C50FC3">
        <w:trPr>
          <w:trHeight w:val="102"/>
        </w:trPr>
        <w:tc>
          <w:tcPr>
            <w:tcW w:w="1270" w:type="dxa"/>
            <w:vMerge w:val="restart"/>
            <w:tcBorders>
              <w:top w:val="nil"/>
              <w:left w:val="nil"/>
              <w:bottom w:val="single" w:sz="8" w:space="0" w:color="7030A0"/>
              <w:right w:val="nil"/>
            </w:tcBorders>
            <w:shd w:val="clear" w:color="auto" w:fill="auto"/>
            <w:vAlign w:val="center"/>
            <w:hideMark/>
          </w:tcPr>
          <w:p w14:paraId="34DD612D" w14:textId="77777777"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vMerge w:val="restart"/>
            <w:tcBorders>
              <w:top w:val="nil"/>
              <w:left w:val="nil"/>
              <w:bottom w:val="single" w:sz="8" w:space="0" w:color="7030A0"/>
              <w:right w:val="nil"/>
            </w:tcBorders>
            <w:shd w:val="clear" w:color="auto" w:fill="auto"/>
            <w:noWrap/>
            <w:vAlign w:val="center"/>
            <w:hideMark/>
          </w:tcPr>
          <w:p w14:paraId="2BE5DE2F"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2015-15483</w:t>
            </w:r>
          </w:p>
        </w:tc>
        <w:tc>
          <w:tcPr>
            <w:tcW w:w="3135" w:type="dxa"/>
            <w:tcBorders>
              <w:top w:val="single" w:sz="4" w:space="0" w:color="7030A0"/>
              <w:left w:val="nil"/>
              <w:bottom w:val="nil"/>
              <w:right w:val="nil"/>
            </w:tcBorders>
            <w:shd w:val="clear" w:color="auto" w:fill="auto"/>
            <w:vAlign w:val="center"/>
            <w:hideMark/>
          </w:tcPr>
          <w:p w14:paraId="2C896B98" w14:textId="77777777" w:rsidR="00536E1C" w:rsidRPr="00C73365" w:rsidRDefault="001972D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Demande publiée le 20 décembre 2017</w:t>
            </w:r>
          </w:p>
        </w:tc>
        <w:tc>
          <w:tcPr>
            <w:tcW w:w="1270" w:type="dxa"/>
            <w:vMerge w:val="restart"/>
            <w:tcBorders>
              <w:top w:val="nil"/>
              <w:left w:val="nil"/>
              <w:bottom w:val="single" w:sz="8" w:space="0" w:color="7030A0"/>
              <w:right w:val="nil"/>
            </w:tcBorders>
            <w:shd w:val="clear" w:color="auto" w:fill="auto"/>
            <w:vAlign w:val="center"/>
            <w:hideMark/>
          </w:tcPr>
          <w:p w14:paraId="2EF17ABD"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12-juin-15</w:t>
            </w:r>
          </w:p>
        </w:tc>
        <w:tc>
          <w:tcPr>
            <w:tcW w:w="1270" w:type="dxa"/>
            <w:vMerge w:val="restart"/>
            <w:tcBorders>
              <w:top w:val="nil"/>
              <w:left w:val="nil"/>
              <w:bottom w:val="single" w:sz="8" w:space="0" w:color="7030A0"/>
              <w:right w:val="nil"/>
            </w:tcBorders>
            <w:shd w:val="clear" w:color="auto" w:fill="auto"/>
            <w:vAlign w:val="center"/>
            <w:hideMark/>
          </w:tcPr>
          <w:p w14:paraId="00FE7A4F"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Afrique du Sud</w:t>
            </w:r>
          </w:p>
        </w:tc>
        <w:tc>
          <w:tcPr>
            <w:tcW w:w="1270" w:type="dxa"/>
            <w:vMerge w:val="restart"/>
            <w:tcBorders>
              <w:top w:val="nil"/>
              <w:left w:val="nil"/>
              <w:bottom w:val="single" w:sz="8" w:space="0" w:color="7030A0"/>
              <w:right w:val="nil"/>
            </w:tcBorders>
            <w:shd w:val="clear" w:color="auto" w:fill="auto"/>
            <w:vAlign w:val="center"/>
            <w:hideMark/>
          </w:tcPr>
          <w:p w14:paraId="3DA6CD6A" w14:textId="77777777"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14:paraId="4F9C8663" w14:textId="77777777" w:rsidTr="00981866">
        <w:trPr>
          <w:trHeight w:val="438"/>
        </w:trPr>
        <w:tc>
          <w:tcPr>
            <w:tcW w:w="1270" w:type="dxa"/>
            <w:vMerge/>
            <w:tcBorders>
              <w:top w:val="nil"/>
              <w:left w:val="nil"/>
              <w:bottom w:val="single" w:sz="8" w:space="0" w:color="7030A0"/>
              <w:right w:val="nil"/>
            </w:tcBorders>
            <w:vAlign w:val="center"/>
            <w:hideMark/>
          </w:tcPr>
          <w:p w14:paraId="38C83436" w14:textId="77777777"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14:paraId="7387C4BF" w14:textId="77777777" w:rsidR="00536E1C" w:rsidRPr="00C73365" w:rsidRDefault="00536E1C">
            <w:pPr>
              <w:rPr>
                <w:rFonts w:asciiTheme="minorHAnsi" w:hAnsiTheme="minorHAnsi" w:cstheme="minorHAnsi"/>
                <w:color w:val="000000"/>
                <w:szCs w:val="20"/>
                <w:lang w:val="fr-FR" w:eastAsia="fr-FR"/>
              </w:rPr>
            </w:pPr>
          </w:p>
        </w:tc>
        <w:tc>
          <w:tcPr>
            <w:tcW w:w="3135" w:type="dxa"/>
            <w:tcBorders>
              <w:top w:val="nil"/>
              <w:left w:val="nil"/>
              <w:bottom w:val="single" w:sz="8" w:space="0" w:color="7030A0"/>
              <w:right w:val="nil"/>
            </w:tcBorders>
            <w:shd w:val="clear" w:color="auto" w:fill="auto"/>
            <w:vAlign w:val="center"/>
            <w:hideMark/>
          </w:tcPr>
          <w:p w14:paraId="3A93B804" w14:textId="77777777" w:rsidR="00536E1C" w:rsidRPr="00C73365" w:rsidRDefault="001972D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Délai d’opposition au 20 mars 2018</w:t>
            </w:r>
          </w:p>
        </w:tc>
        <w:tc>
          <w:tcPr>
            <w:tcW w:w="1270" w:type="dxa"/>
            <w:vMerge/>
            <w:tcBorders>
              <w:top w:val="nil"/>
              <w:left w:val="nil"/>
              <w:bottom w:val="single" w:sz="8" w:space="0" w:color="7030A0"/>
              <w:right w:val="nil"/>
            </w:tcBorders>
            <w:vAlign w:val="center"/>
            <w:hideMark/>
          </w:tcPr>
          <w:p w14:paraId="50074932" w14:textId="77777777"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14:paraId="428FD18A" w14:textId="77777777"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14:paraId="226674D3" w14:textId="77777777" w:rsidR="00536E1C" w:rsidRPr="00C73365" w:rsidRDefault="00536E1C">
            <w:pPr>
              <w:rPr>
                <w:rFonts w:asciiTheme="minorHAnsi" w:hAnsiTheme="minorHAnsi" w:cstheme="minorHAnsi"/>
                <w:color w:val="000000"/>
                <w:szCs w:val="20"/>
                <w:lang w:val="fr-FR" w:eastAsia="fr-FR"/>
              </w:rPr>
            </w:pPr>
          </w:p>
        </w:tc>
      </w:tr>
    </w:tbl>
    <w:p w14:paraId="42DC659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n’a pas jugé pertinent de déposer des marques protégeant la dénomination de ses plateformes technologiques ou de ses produits en cours de développement clinique.</w:t>
      </w:r>
    </w:p>
    <w:p w14:paraId="1C326C0F"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A la date du présent document de référence, il n</w:t>
      </w:r>
      <w:r w:rsidR="004572A0" w:rsidRPr="00C73365">
        <w:rPr>
          <w:rFonts w:asciiTheme="minorHAnsi" w:hAnsiTheme="minorHAnsi" w:cstheme="minorHAnsi"/>
          <w:lang w:val="fr-FR"/>
        </w:rPr>
        <w:t>’</w:t>
      </w:r>
      <w:r w:rsidRPr="00C73365">
        <w:rPr>
          <w:rFonts w:asciiTheme="minorHAnsi" w:hAnsiTheme="minorHAnsi" w:cstheme="minorHAnsi"/>
          <w:lang w:val="fr-FR"/>
        </w:rPr>
        <w:t>existe aucun litige relatif aux marques ni aucune procédure d</w:t>
      </w:r>
      <w:r w:rsidR="004572A0" w:rsidRPr="00C73365">
        <w:rPr>
          <w:rFonts w:asciiTheme="minorHAnsi" w:hAnsiTheme="minorHAnsi" w:cstheme="minorHAnsi"/>
          <w:lang w:val="fr-FR"/>
        </w:rPr>
        <w:t>’</w:t>
      </w:r>
      <w:r w:rsidRPr="00C73365">
        <w:rPr>
          <w:rFonts w:asciiTheme="minorHAnsi" w:hAnsiTheme="minorHAnsi" w:cstheme="minorHAnsi"/>
          <w:lang w:val="fr-FR"/>
        </w:rPr>
        <w:t>opposition qui aurait été intentée par un tiers à l</w:t>
      </w:r>
      <w:r w:rsidR="004572A0" w:rsidRPr="00C73365">
        <w:rPr>
          <w:rFonts w:asciiTheme="minorHAnsi" w:hAnsiTheme="minorHAnsi" w:cstheme="minorHAnsi"/>
          <w:lang w:val="fr-FR"/>
        </w:rPr>
        <w:t>’</w:t>
      </w:r>
      <w:r w:rsidRPr="00C73365">
        <w:rPr>
          <w:rFonts w:asciiTheme="minorHAnsi" w:hAnsiTheme="minorHAnsi" w:cstheme="minorHAnsi"/>
          <w:lang w:val="fr-FR"/>
        </w:rPr>
        <w:t>encontre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une marque de la Société. </w:t>
      </w:r>
    </w:p>
    <w:p w14:paraId="55684E3E" w14:textId="77777777"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Noms de domaine</w:t>
      </w:r>
      <w:bookmarkEnd w:id="730"/>
      <w:bookmarkEnd w:id="731"/>
      <w:bookmarkEnd w:id="732"/>
      <w:bookmarkEnd w:id="733"/>
      <w:bookmarkEnd w:id="734"/>
      <w:bookmarkEnd w:id="735"/>
      <w:bookmarkEnd w:id="736"/>
      <w:bookmarkEnd w:id="737"/>
      <w:bookmarkEnd w:id="738"/>
      <w:bookmarkEnd w:id="739"/>
      <w:r w:rsidRPr="00C73365">
        <w:rPr>
          <w:rFonts w:asciiTheme="minorHAnsi" w:hAnsiTheme="minorHAnsi" w:cstheme="minorHAnsi"/>
          <w:b/>
          <w:color w:val="7030A0"/>
          <w:lang w:val="fr-FR"/>
        </w:rPr>
        <w:t xml:space="preserve"> </w:t>
      </w:r>
    </w:p>
    <w:p w14:paraId="1D8E95B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exploite les noms de domaine suivants :</w:t>
      </w:r>
    </w:p>
    <w:tbl>
      <w:tblPr>
        <w:tblW w:w="7440" w:type="dxa"/>
        <w:tblCellMar>
          <w:left w:w="70" w:type="dxa"/>
          <w:right w:w="70" w:type="dxa"/>
        </w:tblCellMar>
        <w:tblLook w:val="04A0" w:firstRow="1" w:lastRow="0" w:firstColumn="1" w:lastColumn="0" w:noHBand="0" w:noVBand="1"/>
      </w:tblPr>
      <w:tblGrid>
        <w:gridCol w:w="2387"/>
        <w:gridCol w:w="164"/>
        <w:gridCol w:w="1671"/>
        <w:gridCol w:w="180"/>
        <w:gridCol w:w="1091"/>
        <w:gridCol w:w="164"/>
        <w:gridCol w:w="1783"/>
      </w:tblGrid>
      <w:tr w:rsidR="00F46C7B" w:rsidRPr="00C73365" w14:paraId="388F1B67" w14:textId="77777777" w:rsidTr="00981866">
        <w:trPr>
          <w:trHeight w:val="254"/>
        </w:trPr>
        <w:tc>
          <w:tcPr>
            <w:tcW w:w="2387" w:type="dxa"/>
            <w:tcBorders>
              <w:top w:val="single" w:sz="12" w:space="0" w:color="7030A0"/>
              <w:left w:val="nil"/>
              <w:bottom w:val="single" w:sz="8" w:space="0" w:color="7030A0"/>
              <w:right w:val="nil"/>
            </w:tcBorders>
            <w:shd w:val="clear" w:color="auto" w:fill="auto"/>
            <w:vAlign w:val="center"/>
            <w:hideMark/>
          </w:tcPr>
          <w:p w14:paraId="02124442" w14:textId="77777777"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 du domaine</w:t>
            </w:r>
          </w:p>
        </w:tc>
        <w:tc>
          <w:tcPr>
            <w:tcW w:w="164" w:type="dxa"/>
            <w:tcBorders>
              <w:top w:val="nil"/>
              <w:left w:val="nil"/>
              <w:bottom w:val="nil"/>
              <w:right w:val="nil"/>
            </w:tcBorders>
            <w:shd w:val="clear" w:color="auto" w:fill="auto"/>
            <w:vAlign w:val="center"/>
            <w:hideMark/>
          </w:tcPr>
          <w:p w14:paraId="11D142FD" w14:textId="77777777" w:rsidR="00F46C7B" w:rsidRPr="00C73365" w:rsidRDefault="00F46C7B">
            <w:pPr>
              <w:jc w:val="center"/>
              <w:rPr>
                <w:rFonts w:asciiTheme="minorHAnsi" w:hAnsiTheme="minorHAnsi" w:cstheme="minorHAnsi"/>
                <w:b/>
                <w:bCs/>
                <w:color w:val="000000"/>
                <w:szCs w:val="20"/>
                <w:lang w:val="fr-FR" w:eastAsia="fr-FR"/>
              </w:rPr>
            </w:pPr>
          </w:p>
        </w:tc>
        <w:tc>
          <w:tcPr>
            <w:tcW w:w="1671" w:type="dxa"/>
            <w:tcBorders>
              <w:top w:val="single" w:sz="12" w:space="0" w:color="7030A0"/>
              <w:left w:val="nil"/>
              <w:bottom w:val="single" w:sz="8" w:space="0" w:color="7030A0"/>
              <w:right w:val="nil"/>
            </w:tcBorders>
            <w:shd w:val="clear" w:color="auto" w:fill="auto"/>
            <w:vAlign w:val="center"/>
            <w:hideMark/>
          </w:tcPr>
          <w:p w14:paraId="2403A16E" w14:textId="77777777"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réservation</w:t>
            </w:r>
          </w:p>
        </w:tc>
        <w:tc>
          <w:tcPr>
            <w:tcW w:w="180" w:type="dxa"/>
            <w:tcBorders>
              <w:top w:val="nil"/>
              <w:left w:val="nil"/>
              <w:bottom w:val="nil"/>
              <w:right w:val="nil"/>
            </w:tcBorders>
            <w:shd w:val="clear" w:color="auto" w:fill="auto"/>
            <w:vAlign w:val="center"/>
            <w:hideMark/>
          </w:tcPr>
          <w:p w14:paraId="3A54C850" w14:textId="77777777" w:rsidR="00F46C7B" w:rsidRPr="00C73365" w:rsidRDefault="00F46C7B">
            <w:pPr>
              <w:jc w:val="center"/>
              <w:rPr>
                <w:rFonts w:asciiTheme="minorHAnsi" w:hAnsiTheme="minorHAnsi" w:cstheme="minorHAnsi"/>
                <w:b/>
                <w:bCs/>
                <w:color w:val="000000"/>
                <w:szCs w:val="20"/>
                <w:lang w:val="fr-FR" w:eastAsia="fr-FR"/>
              </w:rPr>
            </w:pPr>
          </w:p>
        </w:tc>
        <w:tc>
          <w:tcPr>
            <w:tcW w:w="1091" w:type="dxa"/>
            <w:tcBorders>
              <w:top w:val="single" w:sz="12" w:space="0" w:color="7030A0"/>
              <w:left w:val="nil"/>
              <w:bottom w:val="single" w:sz="8" w:space="0" w:color="7030A0"/>
              <w:right w:val="nil"/>
            </w:tcBorders>
            <w:shd w:val="clear" w:color="auto" w:fill="auto"/>
            <w:noWrap/>
            <w:vAlign w:val="center"/>
            <w:hideMark/>
          </w:tcPr>
          <w:p w14:paraId="61956640" w14:textId="77777777" w:rsidR="00F46C7B" w:rsidRPr="00C73365" w:rsidRDefault="00F46C7B">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Titulaire</w:t>
            </w:r>
          </w:p>
        </w:tc>
        <w:tc>
          <w:tcPr>
            <w:tcW w:w="164" w:type="dxa"/>
            <w:tcBorders>
              <w:top w:val="nil"/>
              <w:left w:val="nil"/>
              <w:bottom w:val="nil"/>
              <w:right w:val="nil"/>
            </w:tcBorders>
            <w:shd w:val="clear" w:color="auto" w:fill="auto"/>
            <w:vAlign w:val="center"/>
            <w:hideMark/>
          </w:tcPr>
          <w:p w14:paraId="3B808023" w14:textId="77777777" w:rsidR="00F46C7B" w:rsidRPr="00C73365" w:rsidRDefault="00F46C7B">
            <w:pPr>
              <w:jc w:val="right"/>
              <w:rPr>
                <w:rFonts w:asciiTheme="minorHAnsi" w:hAnsiTheme="minorHAnsi" w:cstheme="minorHAnsi"/>
                <w:b/>
                <w:bCs/>
                <w:color w:val="000000"/>
                <w:szCs w:val="20"/>
                <w:lang w:val="fr-FR" w:eastAsia="fr-FR"/>
              </w:rPr>
            </w:pPr>
          </w:p>
        </w:tc>
        <w:tc>
          <w:tcPr>
            <w:tcW w:w="1783" w:type="dxa"/>
            <w:tcBorders>
              <w:top w:val="single" w:sz="12" w:space="0" w:color="7030A0"/>
              <w:left w:val="nil"/>
              <w:bottom w:val="single" w:sz="8" w:space="0" w:color="7030A0"/>
              <w:right w:val="nil"/>
            </w:tcBorders>
            <w:shd w:val="clear" w:color="auto" w:fill="auto"/>
            <w:vAlign w:val="center"/>
            <w:hideMark/>
          </w:tcPr>
          <w:p w14:paraId="4BC0A537" w14:textId="77777777"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Renouvellement</w:t>
            </w:r>
          </w:p>
        </w:tc>
      </w:tr>
      <w:tr w:rsidR="00F46C7B" w:rsidRPr="00C73365" w14:paraId="3A03D873"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651B11E3"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.com</w:t>
            </w:r>
          </w:p>
        </w:tc>
        <w:tc>
          <w:tcPr>
            <w:tcW w:w="164" w:type="dxa"/>
            <w:tcBorders>
              <w:top w:val="nil"/>
              <w:left w:val="nil"/>
              <w:bottom w:val="nil"/>
              <w:right w:val="nil"/>
            </w:tcBorders>
            <w:shd w:val="clear" w:color="auto" w:fill="auto"/>
            <w:vAlign w:val="center"/>
            <w:hideMark/>
          </w:tcPr>
          <w:p w14:paraId="5A8A18A4"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noWrap/>
            <w:vAlign w:val="center"/>
            <w:hideMark/>
          </w:tcPr>
          <w:p w14:paraId="7EE029FC"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78B7A3A7"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380E284B"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122C8B02"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51DD8353"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5E82EDF3"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409390B0"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.fr</w:t>
            </w:r>
          </w:p>
        </w:tc>
        <w:tc>
          <w:tcPr>
            <w:tcW w:w="164" w:type="dxa"/>
            <w:tcBorders>
              <w:top w:val="nil"/>
              <w:left w:val="nil"/>
              <w:bottom w:val="nil"/>
              <w:right w:val="nil"/>
            </w:tcBorders>
            <w:shd w:val="clear" w:color="auto" w:fill="auto"/>
            <w:vAlign w:val="center"/>
            <w:hideMark/>
          </w:tcPr>
          <w:p w14:paraId="782292C4"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61655972"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08254827"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194DBC90"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5647A339"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154DA36B"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5B2534FA"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5FEF7850"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.eu</w:t>
            </w:r>
          </w:p>
        </w:tc>
        <w:tc>
          <w:tcPr>
            <w:tcW w:w="164" w:type="dxa"/>
            <w:tcBorders>
              <w:top w:val="nil"/>
              <w:left w:val="nil"/>
              <w:bottom w:val="nil"/>
              <w:right w:val="nil"/>
            </w:tcBorders>
            <w:shd w:val="clear" w:color="auto" w:fill="auto"/>
            <w:vAlign w:val="center"/>
            <w:hideMark/>
          </w:tcPr>
          <w:p w14:paraId="00E78AA1"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4DBDF5BD"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0B8936CC"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2A07D49A"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0973DD08"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3CF34184"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1F7BF294"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3D6E345C"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.org</w:t>
            </w:r>
          </w:p>
        </w:tc>
        <w:tc>
          <w:tcPr>
            <w:tcW w:w="164" w:type="dxa"/>
            <w:tcBorders>
              <w:top w:val="nil"/>
              <w:left w:val="nil"/>
              <w:bottom w:val="nil"/>
              <w:right w:val="nil"/>
            </w:tcBorders>
            <w:shd w:val="clear" w:color="auto" w:fill="auto"/>
            <w:vAlign w:val="center"/>
            <w:hideMark/>
          </w:tcPr>
          <w:p w14:paraId="47DB8995"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4C3A0301"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68920A16"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4599EE32"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3D53C5D6"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51D97C22"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7EB633C1"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7115E384"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-biologicals.com</w:t>
            </w:r>
          </w:p>
        </w:tc>
        <w:tc>
          <w:tcPr>
            <w:tcW w:w="164" w:type="dxa"/>
            <w:tcBorders>
              <w:top w:val="nil"/>
              <w:left w:val="nil"/>
              <w:bottom w:val="nil"/>
              <w:right w:val="nil"/>
            </w:tcBorders>
            <w:shd w:val="clear" w:color="auto" w:fill="auto"/>
            <w:vAlign w:val="center"/>
            <w:hideMark/>
          </w:tcPr>
          <w:p w14:paraId="6FC6314B"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215DEB48"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2B17E553"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4EC57585"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083A5D64"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421D7249"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660DA435"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2EEC8021"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-biologicals.fr</w:t>
            </w:r>
          </w:p>
        </w:tc>
        <w:tc>
          <w:tcPr>
            <w:tcW w:w="164" w:type="dxa"/>
            <w:tcBorders>
              <w:top w:val="nil"/>
              <w:left w:val="nil"/>
              <w:bottom w:val="nil"/>
              <w:right w:val="nil"/>
            </w:tcBorders>
            <w:shd w:val="clear" w:color="auto" w:fill="auto"/>
            <w:vAlign w:val="center"/>
            <w:hideMark/>
          </w:tcPr>
          <w:p w14:paraId="41FC4622"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061B5F85"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632C2AA2"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306C8755"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4E9092BB"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1B59FB62"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4C99BE14"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34617BA4"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-biologicals.eu</w:t>
            </w:r>
          </w:p>
        </w:tc>
        <w:tc>
          <w:tcPr>
            <w:tcW w:w="164" w:type="dxa"/>
            <w:tcBorders>
              <w:top w:val="nil"/>
              <w:left w:val="nil"/>
              <w:bottom w:val="nil"/>
              <w:right w:val="nil"/>
            </w:tcBorders>
            <w:shd w:val="clear" w:color="auto" w:fill="auto"/>
            <w:vAlign w:val="center"/>
            <w:hideMark/>
          </w:tcPr>
          <w:p w14:paraId="1AD11C1F"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6330870F"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57BA3452"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1D7620E2"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57D83194"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1BF2CC71"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573F1C8A"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411DD37E"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-biologicals.org</w:t>
            </w:r>
          </w:p>
        </w:tc>
        <w:tc>
          <w:tcPr>
            <w:tcW w:w="164" w:type="dxa"/>
            <w:tcBorders>
              <w:top w:val="nil"/>
              <w:left w:val="nil"/>
              <w:bottom w:val="nil"/>
              <w:right w:val="nil"/>
            </w:tcBorders>
            <w:shd w:val="clear" w:color="auto" w:fill="auto"/>
            <w:vAlign w:val="center"/>
            <w:hideMark/>
          </w:tcPr>
          <w:p w14:paraId="30475487"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3B828B05"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1A1C1FB4"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43F8EA8C"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3F4AD281"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347A69F1"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370233BE"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2B36B9BE"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-biologics.com</w:t>
            </w:r>
          </w:p>
        </w:tc>
        <w:tc>
          <w:tcPr>
            <w:tcW w:w="164" w:type="dxa"/>
            <w:tcBorders>
              <w:top w:val="nil"/>
              <w:left w:val="nil"/>
              <w:bottom w:val="nil"/>
              <w:right w:val="nil"/>
            </w:tcBorders>
            <w:shd w:val="clear" w:color="auto" w:fill="auto"/>
            <w:vAlign w:val="center"/>
            <w:hideMark/>
          </w:tcPr>
          <w:p w14:paraId="6D807F2B"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759B89F5"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6B086739"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3C6CF336"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3ABB420C"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3CE1A19F"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37DBADC9"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6A87D7D6"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-biologics.fr</w:t>
            </w:r>
          </w:p>
        </w:tc>
        <w:tc>
          <w:tcPr>
            <w:tcW w:w="164" w:type="dxa"/>
            <w:tcBorders>
              <w:top w:val="nil"/>
              <w:left w:val="nil"/>
              <w:bottom w:val="nil"/>
              <w:right w:val="nil"/>
            </w:tcBorders>
            <w:shd w:val="clear" w:color="auto" w:fill="auto"/>
            <w:vAlign w:val="center"/>
            <w:hideMark/>
          </w:tcPr>
          <w:p w14:paraId="78702872"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01CC9959"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2123AF98"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71141FE7"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2C18CEEA"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4EC6B35C"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3197D720" w14:textId="77777777" w:rsidTr="007C607C">
        <w:trPr>
          <w:trHeight w:val="247"/>
        </w:trPr>
        <w:tc>
          <w:tcPr>
            <w:tcW w:w="2387" w:type="dxa"/>
            <w:tcBorders>
              <w:top w:val="single" w:sz="8" w:space="0" w:color="7030A0"/>
              <w:left w:val="nil"/>
              <w:right w:val="nil"/>
            </w:tcBorders>
            <w:shd w:val="clear" w:color="auto" w:fill="auto"/>
            <w:vAlign w:val="center"/>
          </w:tcPr>
          <w:p w14:paraId="01A6B7F0"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-biologics.eu</w:t>
            </w:r>
          </w:p>
        </w:tc>
        <w:tc>
          <w:tcPr>
            <w:tcW w:w="164" w:type="dxa"/>
            <w:tcBorders>
              <w:left w:val="nil"/>
              <w:right w:val="nil"/>
            </w:tcBorders>
            <w:shd w:val="clear" w:color="auto" w:fill="auto"/>
            <w:vAlign w:val="center"/>
          </w:tcPr>
          <w:p w14:paraId="73EB2356"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14:paraId="1EB7A071"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0592DA5C"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14:paraId="6DCF9D96"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50DD7D1A"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14:paraId="5C1520CA"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5E0167CD" w14:textId="77777777" w:rsidTr="007C607C">
        <w:trPr>
          <w:trHeight w:val="247"/>
        </w:trPr>
        <w:tc>
          <w:tcPr>
            <w:tcW w:w="2387" w:type="dxa"/>
            <w:tcBorders>
              <w:top w:val="single" w:sz="8" w:space="0" w:color="7030A0"/>
              <w:left w:val="nil"/>
              <w:right w:val="nil"/>
            </w:tcBorders>
            <w:shd w:val="clear" w:color="auto" w:fill="auto"/>
            <w:vAlign w:val="center"/>
          </w:tcPr>
          <w:p w14:paraId="2924B620"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-biologics.org</w:t>
            </w:r>
          </w:p>
        </w:tc>
        <w:tc>
          <w:tcPr>
            <w:tcW w:w="164" w:type="dxa"/>
            <w:tcBorders>
              <w:left w:val="nil"/>
              <w:right w:val="nil"/>
            </w:tcBorders>
            <w:shd w:val="clear" w:color="auto" w:fill="auto"/>
            <w:vAlign w:val="center"/>
          </w:tcPr>
          <w:p w14:paraId="006BB8C1"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14:paraId="3F9B7065"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4933B9F2"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14:paraId="60714364"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7433424B"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14:paraId="6D8337D2"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20BB4AD6" w14:textId="77777777" w:rsidTr="007C607C">
        <w:trPr>
          <w:trHeight w:val="247"/>
        </w:trPr>
        <w:tc>
          <w:tcPr>
            <w:tcW w:w="2387" w:type="dxa"/>
            <w:tcBorders>
              <w:top w:val="single" w:sz="8" w:space="0" w:color="7030A0"/>
              <w:left w:val="nil"/>
              <w:right w:val="nil"/>
            </w:tcBorders>
            <w:shd w:val="clear" w:color="auto" w:fill="auto"/>
            <w:vAlign w:val="center"/>
          </w:tcPr>
          <w:p w14:paraId="76F80EB1"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-biotech.com</w:t>
            </w:r>
          </w:p>
        </w:tc>
        <w:tc>
          <w:tcPr>
            <w:tcW w:w="164" w:type="dxa"/>
            <w:tcBorders>
              <w:left w:val="nil"/>
              <w:right w:val="nil"/>
            </w:tcBorders>
            <w:shd w:val="clear" w:color="auto" w:fill="auto"/>
            <w:vAlign w:val="center"/>
          </w:tcPr>
          <w:p w14:paraId="255899BC"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14:paraId="530E7778"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6D0A1CF2"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14:paraId="38054E66"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3E9D7AD8"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14:paraId="3A7E7780"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7B2A49EB" w14:textId="77777777" w:rsidTr="007C607C">
        <w:trPr>
          <w:trHeight w:val="247"/>
        </w:trPr>
        <w:tc>
          <w:tcPr>
            <w:tcW w:w="2387" w:type="dxa"/>
            <w:tcBorders>
              <w:top w:val="single" w:sz="8" w:space="0" w:color="7030A0"/>
              <w:left w:val="nil"/>
              <w:right w:val="nil"/>
            </w:tcBorders>
            <w:shd w:val="clear" w:color="auto" w:fill="auto"/>
            <w:vAlign w:val="center"/>
          </w:tcPr>
          <w:p w14:paraId="4C32A558"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-biotech.fr</w:t>
            </w:r>
          </w:p>
        </w:tc>
        <w:tc>
          <w:tcPr>
            <w:tcW w:w="164" w:type="dxa"/>
            <w:tcBorders>
              <w:left w:val="nil"/>
              <w:right w:val="nil"/>
            </w:tcBorders>
            <w:shd w:val="clear" w:color="auto" w:fill="auto"/>
            <w:vAlign w:val="center"/>
          </w:tcPr>
          <w:p w14:paraId="4DFE0440"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14:paraId="24F5D894"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06826AA1"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14:paraId="54415331"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69215B2F"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14:paraId="3FB418DA"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2ACFA49F" w14:textId="77777777" w:rsidTr="007C607C">
        <w:trPr>
          <w:trHeight w:val="247"/>
        </w:trPr>
        <w:tc>
          <w:tcPr>
            <w:tcW w:w="2387" w:type="dxa"/>
            <w:tcBorders>
              <w:top w:val="single" w:sz="8" w:space="0" w:color="7030A0"/>
              <w:left w:val="nil"/>
              <w:right w:val="nil"/>
            </w:tcBorders>
            <w:shd w:val="clear" w:color="auto" w:fill="auto"/>
            <w:vAlign w:val="center"/>
          </w:tcPr>
          <w:p w14:paraId="2062BDB3"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-biotech.eu</w:t>
            </w:r>
          </w:p>
        </w:tc>
        <w:tc>
          <w:tcPr>
            <w:tcW w:w="164" w:type="dxa"/>
            <w:tcBorders>
              <w:left w:val="nil"/>
              <w:right w:val="nil"/>
            </w:tcBorders>
            <w:shd w:val="clear" w:color="auto" w:fill="auto"/>
            <w:vAlign w:val="center"/>
          </w:tcPr>
          <w:p w14:paraId="0714434A"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14:paraId="2F661765"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7A9C494A"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14:paraId="58B4A6A6"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256A176E"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14:paraId="7211AABA"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326CBB69" w14:textId="77777777"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14:paraId="7AEB35C2"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-biotech.org</w:t>
            </w:r>
          </w:p>
        </w:tc>
        <w:tc>
          <w:tcPr>
            <w:tcW w:w="164" w:type="dxa"/>
            <w:tcBorders>
              <w:left w:val="nil"/>
              <w:right w:val="nil"/>
            </w:tcBorders>
            <w:shd w:val="clear" w:color="auto" w:fill="auto"/>
            <w:vAlign w:val="center"/>
          </w:tcPr>
          <w:p w14:paraId="2C7A570D"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14:paraId="6C6A6610"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48DA5392"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14:paraId="7AC4E745"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6EE93D19"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14:paraId="04D9CBD1"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14:paraId="42B8C9AA" w14:textId="77777777"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14:paraId="105E849D" w14:textId="77777777"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-pharma.com</w:t>
            </w:r>
          </w:p>
        </w:tc>
        <w:tc>
          <w:tcPr>
            <w:tcW w:w="164" w:type="dxa"/>
            <w:tcBorders>
              <w:left w:val="nil"/>
              <w:right w:val="nil"/>
            </w:tcBorders>
            <w:shd w:val="clear" w:color="auto" w:fill="auto"/>
            <w:vAlign w:val="center"/>
          </w:tcPr>
          <w:p w14:paraId="151229DE" w14:textId="77777777"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14:paraId="74DCF147"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5B212382" w14:textId="77777777"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14:paraId="215C0FAA" w14:textId="77777777"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63D1B3A3" w14:textId="77777777"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14:paraId="7EE56DF8" w14:textId="77777777"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7FEADB67" w14:textId="77777777" w:rsidTr="007C607C">
        <w:trPr>
          <w:trHeight w:val="247"/>
        </w:trPr>
        <w:tc>
          <w:tcPr>
            <w:tcW w:w="2387" w:type="dxa"/>
            <w:tcBorders>
              <w:top w:val="single" w:sz="8" w:space="0" w:color="7030A0"/>
              <w:left w:val="nil"/>
              <w:bottom w:val="single" w:sz="4" w:space="0" w:color="7030A0"/>
              <w:right w:val="nil"/>
            </w:tcBorders>
            <w:shd w:val="clear" w:color="auto" w:fill="auto"/>
            <w:vAlign w:val="center"/>
          </w:tcPr>
          <w:p w14:paraId="461D614A"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-pharma.fr</w:t>
            </w:r>
          </w:p>
        </w:tc>
        <w:tc>
          <w:tcPr>
            <w:tcW w:w="164" w:type="dxa"/>
            <w:tcBorders>
              <w:left w:val="nil"/>
              <w:right w:val="nil"/>
            </w:tcBorders>
            <w:shd w:val="clear" w:color="auto" w:fill="auto"/>
            <w:vAlign w:val="center"/>
          </w:tcPr>
          <w:p w14:paraId="702A2840"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4" w:space="0" w:color="7030A0"/>
              <w:right w:val="nil"/>
            </w:tcBorders>
            <w:shd w:val="clear" w:color="auto" w:fill="auto"/>
            <w:vAlign w:val="center"/>
          </w:tcPr>
          <w:p w14:paraId="1C570D52"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52A6D62F"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4" w:space="0" w:color="7030A0"/>
              <w:right w:val="nil"/>
            </w:tcBorders>
            <w:shd w:val="clear" w:color="auto" w:fill="auto"/>
            <w:vAlign w:val="center"/>
          </w:tcPr>
          <w:p w14:paraId="6573A948"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213211B0"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4" w:space="0" w:color="7030A0"/>
              <w:right w:val="nil"/>
            </w:tcBorders>
            <w:shd w:val="clear" w:color="auto" w:fill="auto"/>
            <w:vAlign w:val="center"/>
          </w:tcPr>
          <w:p w14:paraId="18DD614F"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63369C7A" w14:textId="77777777" w:rsidTr="007C607C">
        <w:trPr>
          <w:trHeight w:val="247"/>
        </w:trPr>
        <w:tc>
          <w:tcPr>
            <w:tcW w:w="2387" w:type="dxa"/>
            <w:tcBorders>
              <w:top w:val="single" w:sz="4" w:space="0" w:color="7030A0"/>
              <w:left w:val="nil"/>
              <w:right w:val="nil"/>
            </w:tcBorders>
            <w:shd w:val="clear" w:color="auto" w:fill="auto"/>
            <w:vAlign w:val="center"/>
          </w:tcPr>
          <w:p w14:paraId="6FEFF819"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-pharma.eu</w:t>
            </w:r>
          </w:p>
        </w:tc>
        <w:tc>
          <w:tcPr>
            <w:tcW w:w="164" w:type="dxa"/>
            <w:tcBorders>
              <w:left w:val="nil"/>
              <w:right w:val="nil"/>
            </w:tcBorders>
            <w:shd w:val="clear" w:color="auto" w:fill="auto"/>
            <w:vAlign w:val="center"/>
          </w:tcPr>
          <w:p w14:paraId="640DD6AF"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single" w:sz="4" w:space="0" w:color="7030A0"/>
              <w:left w:val="nil"/>
              <w:right w:val="nil"/>
            </w:tcBorders>
            <w:shd w:val="clear" w:color="auto" w:fill="auto"/>
            <w:vAlign w:val="center"/>
          </w:tcPr>
          <w:p w14:paraId="01F1DE4E"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36EA0AF0"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4" w:space="0" w:color="7030A0"/>
              <w:left w:val="nil"/>
              <w:right w:val="nil"/>
            </w:tcBorders>
            <w:shd w:val="clear" w:color="auto" w:fill="auto"/>
            <w:vAlign w:val="center"/>
          </w:tcPr>
          <w:p w14:paraId="4BB2604C"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15251C8D"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4" w:space="0" w:color="7030A0"/>
              <w:left w:val="nil"/>
              <w:right w:val="nil"/>
            </w:tcBorders>
            <w:shd w:val="clear" w:color="auto" w:fill="auto"/>
            <w:vAlign w:val="center"/>
          </w:tcPr>
          <w:p w14:paraId="4BC51800"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1EB05BEF" w14:textId="77777777" w:rsidTr="007C607C">
        <w:trPr>
          <w:trHeight w:val="247"/>
        </w:trPr>
        <w:tc>
          <w:tcPr>
            <w:tcW w:w="2387" w:type="dxa"/>
            <w:tcBorders>
              <w:top w:val="single" w:sz="8" w:space="0" w:color="7030A0"/>
              <w:left w:val="nil"/>
              <w:right w:val="nil"/>
            </w:tcBorders>
            <w:shd w:val="clear" w:color="auto" w:fill="auto"/>
            <w:vAlign w:val="center"/>
          </w:tcPr>
          <w:p w14:paraId="411DE46A"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-pharma.org</w:t>
            </w:r>
          </w:p>
        </w:tc>
        <w:tc>
          <w:tcPr>
            <w:tcW w:w="164" w:type="dxa"/>
            <w:tcBorders>
              <w:left w:val="nil"/>
              <w:right w:val="nil"/>
            </w:tcBorders>
            <w:shd w:val="clear" w:color="auto" w:fill="auto"/>
            <w:vAlign w:val="center"/>
          </w:tcPr>
          <w:p w14:paraId="32D08628"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14:paraId="04B78999"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102656A0"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14:paraId="29D5F9C4"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10DB8C2E"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14:paraId="519D681F"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12373A7B" w14:textId="77777777" w:rsidTr="007C607C">
        <w:trPr>
          <w:trHeight w:val="247"/>
        </w:trPr>
        <w:tc>
          <w:tcPr>
            <w:tcW w:w="2387" w:type="dxa"/>
            <w:tcBorders>
              <w:top w:val="single" w:sz="8" w:space="0" w:color="7030A0"/>
              <w:left w:val="nil"/>
              <w:right w:val="nil"/>
            </w:tcBorders>
            <w:shd w:val="clear" w:color="auto" w:fill="auto"/>
            <w:vAlign w:val="center"/>
          </w:tcPr>
          <w:p w14:paraId="6EC39E29"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-vaccine.com</w:t>
            </w:r>
          </w:p>
        </w:tc>
        <w:tc>
          <w:tcPr>
            <w:tcW w:w="164" w:type="dxa"/>
            <w:tcBorders>
              <w:left w:val="nil"/>
              <w:right w:val="nil"/>
            </w:tcBorders>
            <w:shd w:val="clear" w:color="auto" w:fill="auto"/>
            <w:vAlign w:val="center"/>
          </w:tcPr>
          <w:p w14:paraId="61978FE4"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14:paraId="0E78078E"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2DC69161"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14:paraId="35C3F1F5"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392614ED"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14:paraId="04FDA889"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699EE7F0" w14:textId="77777777"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14:paraId="6BCB48B0"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-vaccine.fr</w:t>
            </w:r>
          </w:p>
        </w:tc>
        <w:tc>
          <w:tcPr>
            <w:tcW w:w="164" w:type="dxa"/>
            <w:tcBorders>
              <w:left w:val="nil"/>
              <w:right w:val="nil"/>
            </w:tcBorders>
            <w:shd w:val="clear" w:color="auto" w:fill="auto"/>
            <w:vAlign w:val="center"/>
          </w:tcPr>
          <w:p w14:paraId="70B07721"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14:paraId="3CD71C1C"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14:paraId="235E2009"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14:paraId="6CFFC625"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14:paraId="2B616138"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14:paraId="51DB6AD9"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13864310" w14:textId="77777777"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14:paraId="1034CB9D"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-vaccine.eu</w:t>
            </w:r>
          </w:p>
        </w:tc>
        <w:tc>
          <w:tcPr>
            <w:tcW w:w="164" w:type="dxa"/>
            <w:tcBorders>
              <w:left w:val="nil"/>
              <w:right w:val="nil"/>
            </w:tcBorders>
            <w:shd w:val="clear" w:color="auto" w:fill="auto"/>
            <w:vAlign w:val="center"/>
            <w:hideMark/>
          </w:tcPr>
          <w:p w14:paraId="54740F50"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14:paraId="037C62A2"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hideMark/>
          </w:tcPr>
          <w:p w14:paraId="55E089E9"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14:paraId="22179E2A"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hideMark/>
          </w:tcPr>
          <w:p w14:paraId="7F1B8805"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14:paraId="5E3E350E"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6AF3B7A2" w14:textId="77777777"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14:paraId="20C782A6"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-vaccine.org</w:t>
            </w:r>
          </w:p>
        </w:tc>
        <w:tc>
          <w:tcPr>
            <w:tcW w:w="164" w:type="dxa"/>
            <w:tcBorders>
              <w:top w:val="nil"/>
              <w:left w:val="nil"/>
              <w:right w:val="nil"/>
            </w:tcBorders>
            <w:shd w:val="clear" w:color="auto" w:fill="auto"/>
            <w:vAlign w:val="center"/>
            <w:hideMark/>
          </w:tcPr>
          <w:p w14:paraId="20EBD8DF"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14:paraId="12EBB031"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right w:val="nil"/>
            </w:tcBorders>
            <w:shd w:val="clear" w:color="auto" w:fill="auto"/>
            <w:vAlign w:val="center"/>
            <w:hideMark/>
          </w:tcPr>
          <w:p w14:paraId="76D2FEB8"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14:paraId="1782DE85"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right w:val="nil"/>
            </w:tcBorders>
            <w:shd w:val="clear" w:color="auto" w:fill="auto"/>
            <w:vAlign w:val="center"/>
            <w:hideMark/>
          </w:tcPr>
          <w:p w14:paraId="129F4998"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14:paraId="03D70551"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2C29ED48" w14:textId="77777777"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14:paraId="22D8BF6F"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-vaccines.com</w:t>
            </w:r>
          </w:p>
        </w:tc>
        <w:tc>
          <w:tcPr>
            <w:tcW w:w="164" w:type="dxa"/>
            <w:tcBorders>
              <w:left w:val="nil"/>
              <w:bottom w:val="nil"/>
              <w:right w:val="nil"/>
            </w:tcBorders>
            <w:shd w:val="clear" w:color="auto" w:fill="auto"/>
            <w:vAlign w:val="center"/>
            <w:hideMark/>
          </w:tcPr>
          <w:p w14:paraId="7034C948"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14:paraId="341AC5B2"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bottom w:val="nil"/>
              <w:right w:val="nil"/>
            </w:tcBorders>
            <w:shd w:val="clear" w:color="auto" w:fill="auto"/>
            <w:vAlign w:val="center"/>
            <w:hideMark/>
          </w:tcPr>
          <w:p w14:paraId="021EFEEE"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14:paraId="7A26ABF3"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bottom w:val="nil"/>
              <w:right w:val="nil"/>
            </w:tcBorders>
            <w:shd w:val="clear" w:color="auto" w:fill="auto"/>
            <w:vAlign w:val="center"/>
            <w:hideMark/>
          </w:tcPr>
          <w:p w14:paraId="389F9206"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14:paraId="5CB1CD9D"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090E47F1"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5F80B68D"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-vaccines.fr</w:t>
            </w:r>
          </w:p>
        </w:tc>
        <w:tc>
          <w:tcPr>
            <w:tcW w:w="164" w:type="dxa"/>
            <w:tcBorders>
              <w:top w:val="nil"/>
              <w:left w:val="nil"/>
              <w:bottom w:val="nil"/>
              <w:right w:val="nil"/>
            </w:tcBorders>
            <w:shd w:val="clear" w:color="auto" w:fill="auto"/>
            <w:vAlign w:val="center"/>
            <w:hideMark/>
          </w:tcPr>
          <w:p w14:paraId="67E81F6E"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4F0AA17E"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65E23324"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31D0DA26"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344DB720"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24771FDE"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560E72FA"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03EA9630"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-vaccines.eu</w:t>
            </w:r>
          </w:p>
        </w:tc>
        <w:tc>
          <w:tcPr>
            <w:tcW w:w="164" w:type="dxa"/>
            <w:tcBorders>
              <w:top w:val="nil"/>
              <w:left w:val="nil"/>
              <w:bottom w:val="nil"/>
              <w:right w:val="nil"/>
            </w:tcBorders>
            <w:shd w:val="clear" w:color="auto" w:fill="auto"/>
            <w:vAlign w:val="center"/>
            <w:hideMark/>
          </w:tcPr>
          <w:p w14:paraId="5990544D"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10FEF5E7"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202C4FEC"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5F02E2A1"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0CBD28C9"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4FD268E2"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7C1E47F7"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035DC89A"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-vaccines.org</w:t>
            </w:r>
          </w:p>
        </w:tc>
        <w:tc>
          <w:tcPr>
            <w:tcW w:w="164" w:type="dxa"/>
            <w:tcBorders>
              <w:top w:val="nil"/>
              <w:left w:val="nil"/>
              <w:bottom w:val="nil"/>
              <w:right w:val="nil"/>
            </w:tcBorders>
            <w:shd w:val="clear" w:color="auto" w:fill="auto"/>
            <w:vAlign w:val="center"/>
            <w:hideMark/>
          </w:tcPr>
          <w:p w14:paraId="3FE55F03"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5D7AD03A"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14:paraId="4B932E9D"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68702C4D"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32607C10"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3A842F7B"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4A52BA7D"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30BBB71B" w14:textId="77777777" w:rsidR="002524B0" w:rsidRPr="00C73365" w:rsidRDefault="00EF089C">
            <w:pPr>
              <w:rPr>
                <w:rFonts w:asciiTheme="minorHAnsi" w:hAnsiTheme="minorHAnsi" w:cstheme="minorHAnsi"/>
                <w:szCs w:val="20"/>
                <w:lang w:val="fr-FR" w:eastAsia="fr-FR"/>
              </w:rPr>
            </w:pPr>
            <w:r w:rsidRPr="00C73365">
              <w:rPr>
                <w:rFonts w:asciiTheme="minorHAnsi" w:hAnsiTheme="minorHAnsi" w:cstheme="minorHAnsi"/>
                <w:szCs w:val="20"/>
                <w:lang w:val="fr-FR" w:eastAsia="fr-FR"/>
              </w:rPr>
              <w:t>ABIVAX</w:t>
            </w:r>
            <w:r w:rsidR="002524B0" w:rsidRPr="00C73365">
              <w:rPr>
                <w:rFonts w:asciiTheme="minorHAnsi" w:hAnsiTheme="minorHAnsi" w:cstheme="minorHAnsi"/>
                <w:szCs w:val="20"/>
                <w:lang w:val="fr-FR" w:eastAsia="fr-FR"/>
              </w:rPr>
              <w:t>-antivirals.com</w:t>
            </w:r>
          </w:p>
        </w:tc>
        <w:tc>
          <w:tcPr>
            <w:tcW w:w="164" w:type="dxa"/>
            <w:tcBorders>
              <w:top w:val="nil"/>
              <w:left w:val="nil"/>
              <w:bottom w:val="nil"/>
              <w:right w:val="nil"/>
            </w:tcBorders>
            <w:shd w:val="clear" w:color="auto" w:fill="auto"/>
            <w:vAlign w:val="center"/>
            <w:hideMark/>
          </w:tcPr>
          <w:p w14:paraId="2C6C61B3" w14:textId="77777777" w:rsidR="002524B0" w:rsidRPr="00C73365" w:rsidRDefault="002524B0">
            <w:pPr>
              <w:rPr>
                <w:rFonts w:asciiTheme="minorHAnsi" w:hAnsiTheme="minorHAnsi" w:cstheme="minorHAnsi"/>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54ECD02A" w14:textId="77777777" w:rsidR="002524B0" w:rsidRPr="00C73365" w:rsidRDefault="002524B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04/11/2015</w:t>
            </w:r>
          </w:p>
        </w:tc>
        <w:tc>
          <w:tcPr>
            <w:tcW w:w="180" w:type="dxa"/>
            <w:tcBorders>
              <w:top w:val="nil"/>
              <w:left w:val="nil"/>
              <w:bottom w:val="nil"/>
              <w:right w:val="nil"/>
            </w:tcBorders>
            <w:shd w:val="clear" w:color="auto" w:fill="auto"/>
            <w:vAlign w:val="center"/>
            <w:hideMark/>
          </w:tcPr>
          <w:p w14:paraId="1BFAC7AE" w14:textId="77777777" w:rsidR="002524B0" w:rsidRPr="00C73365" w:rsidRDefault="002524B0">
            <w:pPr>
              <w:jc w:val="center"/>
              <w:rPr>
                <w:rFonts w:asciiTheme="minorHAnsi" w:hAnsiTheme="minorHAnsi" w:cstheme="minorHAnsi"/>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7ECB31AD" w14:textId="77777777" w:rsidR="002524B0" w:rsidRPr="00C73365" w:rsidRDefault="00EF089C">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ABIVAX</w:t>
            </w:r>
          </w:p>
        </w:tc>
        <w:tc>
          <w:tcPr>
            <w:tcW w:w="164" w:type="dxa"/>
            <w:tcBorders>
              <w:top w:val="nil"/>
              <w:left w:val="nil"/>
              <w:bottom w:val="nil"/>
              <w:right w:val="nil"/>
            </w:tcBorders>
            <w:shd w:val="clear" w:color="auto" w:fill="auto"/>
            <w:vAlign w:val="center"/>
            <w:hideMark/>
          </w:tcPr>
          <w:p w14:paraId="543DC763" w14:textId="77777777" w:rsidR="002524B0" w:rsidRPr="00C73365" w:rsidRDefault="002524B0">
            <w:pPr>
              <w:jc w:val="center"/>
              <w:rPr>
                <w:rFonts w:asciiTheme="minorHAnsi" w:hAnsiTheme="minorHAnsi" w:cstheme="minorHAnsi"/>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6116FF73" w14:textId="77777777" w:rsidR="002524B0" w:rsidRPr="00C73365" w:rsidRDefault="002524B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Automatique</w:t>
            </w:r>
          </w:p>
        </w:tc>
      </w:tr>
      <w:tr w:rsidR="002524B0" w:rsidRPr="00C73365" w14:paraId="181D0AC8"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62C933D6"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-antivirals.fr</w:t>
            </w:r>
          </w:p>
        </w:tc>
        <w:tc>
          <w:tcPr>
            <w:tcW w:w="164" w:type="dxa"/>
            <w:tcBorders>
              <w:top w:val="nil"/>
              <w:left w:val="nil"/>
              <w:bottom w:val="nil"/>
              <w:right w:val="nil"/>
            </w:tcBorders>
            <w:shd w:val="clear" w:color="auto" w:fill="auto"/>
            <w:vAlign w:val="center"/>
            <w:hideMark/>
          </w:tcPr>
          <w:p w14:paraId="5BD67E32"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4EB41BC1"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14:paraId="6E99A1EA"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16E56FF1"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7B04339C"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6B3CD750"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7A38403E"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2D3351BB"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-antivirals.eu</w:t>
            </w:r>
          </w:p>
        </w:tc>
        <w:tc>
          <w:tcPr>
            <w:tcW w:w="164" w:type="dxa"/>
            <w:tcBorders>
              <w:top w:val="nil"/>
              <w:left w:val="nil"/>
              <w:bottom w:val="nil"/>
              <w:right w:val="nil"/>
            </w:tcBorders>
            <w:shd w:val="clear" w:color="auto" w:fill="auto"/>
            <w:vAlign w:val="center"/>
            <w:hideMark/>
          </w:tcPr>
          <w:p w14:paraId="24D339D1"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565DDA52"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14:paraId="698D5BFF"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6F0F282A"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3384CDFE"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08DF5122"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14:paraId="100EFFE5" w14:textId="77777777" w:rsidTr="007C607C">
        <w:trPr>
          <w:trHeight w:val="247"/>
        </w:trPr>
        <w:tc>
          <w:tcPr>
            <w:tcW w:w="2387" w:type="dxa"/>
            <w:tcBorders>
              <w:top w:val="nil"/>
              <w:left w:val="nil"/>
              <w:bottom w:val="single" w:sz="8" w:space="0" w:color="7030A0"/>
              <w:right w:val="nil"/>
            </w:tcBorders>
            <w:shd w:val="clear" w:color="auto" w:fill="auto"/>
            <w:vAlign w:val="center"/>
            <w:hideMark/>
          </w:tcPr>
          <w:p w14:paraId="5B0581E2" w14:textId="77777777"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-antivirals.org</w:t>
            </w:r>
          </w:p>
        </w:tc>
        <w:tc>
          <w:tcPr>
            <w:tcW w:w="164" w:type="dxa"/>
            <w:tcBorders>
              <w:top w:val="nil"/>
              <w:left w:val="nil"/>
              <w:bottom w:val="nil"/>
              <w:right w:val="nil"/>
            </w:tcBorders>
            <w:shd w:val="clear" w:color="auto" w:fill="auto"/>
            <w:vAlign w:val="center"/>
            <w:hideMark/>
          </w:tcPr>
          <w:p w14:paraId="7D54A293" w14:textId="77777777"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14:paraId="32EDDBB0"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14:paraId="6A11B332" w14:textId="77777777"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14:paraId="44147136" w14:textId="77777777"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14:paraId="5F47FB9B" w14:textId="77777777"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14:paraId="678C6517" w14:textId="77777777"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bl>
    <w:p w14:paraId="2A7BB42F" w14:textId="77777777" w:rsidR="00AE4914" w:rsidRPr="00C73365" w:rsidRDefault="00AE4914">
      <w:pPr>
        <w:widowControl w:val="0"/>
        <w:rPr>
          <w:rFonts w:asciiTheme="minorHAnsi" w:hAnsiTheme="minorHAnsi" w:cstheme="minorHAnsi"/>
          <w:szCs w:val="22"/>
          <w:lang w:val="fr-FR"/>
        </w:rPr>
      </w:pPr>
    </w:p>
    <w:p w14:paraId="66BC2732" w14:textId="77777777" w:rsidR="00F46C7B"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est à la date d’enregistrement du présent document de référence réservataire de 32 noms de domaine.</w:t>
      </w:r>
    </w:p>
    <w:p w14:paraId="5B3884E0" w14:textId="77777777" w:rsidR="00F46C7B" w:rsidRPr="00C73365" w:rsidRDefault="00F46C7B" w:rsidP="00B31080">
      <w:pPr>
        <w:pStyle w:val="ConmainL1"/>
        <w:numPr>
          <w:ilvl w:val="0"/>
          <w:numId w:val="9"/>
        </w:numPr>
        <w:spacing w:after="120"/>
        <w:rPr>
          <w:rFonts w:asciiTheme="minorHAnsi" w:hAnsiTheme="minorHAnsi" w:cstheme="minorHAnsi"/>
          <w:lang w:val="fr-FR"/>
        </w:rPr>
      </w:pPr>
      <w:bookmarkStart w:id="740" w:name="_Toc462673262"/>
      <w:bookmarkStart w:id="741" w:name="_Toc467835609"/>
      <w:bookmarkStart w:id="742" w:name="_Toc510548435"/>
      <w:r w:rsidRPr="00C73365">
        <w:rPr>
          <w:rFonts w:asciiTheme="minorHAnsi" w:hAnsiTheme="minorHAnsi" w:cstheme="minorHAnsi"/>
          <w:lang w:val="fr-FR"/>
        </w:rPr>
        <w:lastRenderedPageBreak/>
        <w:t>TENDANCES</w:t>
      </w:r>
      <w:bookmarkEnd w:id="740"/>
      <w:bookmarkEnd w:id="741"/>
      <w:bookmarkEnd w:id="742"/>
    </w:p>
    <w:p w14:paraId="358A7CED" w14:textId="0B116ADA" w:rsidR="00876FB5" w:rsidRPr="00BE69CB" w:rsidRDefault="00F46C7B" w:rsidP="004572A0">
      <w:pPr>
        <w:pStyle w:val="ConmainL2"/>
        <w:numPr>
          <w:ilvl w:val="1"/>
          <w:numId w:val="9"/>
        </w:numPr>
        <w:spacing w:after="120"/>
        <w:rPr>
          <w:rFonts w:asciiTheme="minorHAnsi" w:hAnsiTheme="minorHAnsi" w:cstheme="minorHAnsi"/>
          <w:sz w:val="22"/>
          <w:szCs w:val="22"/>
          <w:lang w:val="fr-FR"/>
        </w:rPr>
      </w:pPr>
      <w:bookmarkStart w:id="743" w:name="_Toc462673263"/>
      <w:bookmarkStart w:id="744" w:name="_Toc510548436"/>
      <w:r w:rsidRPr="00C73365">
        <w:rPr>
          <w:rFonts w:asciiTheme="minorHAnsi" w:hAnsiTheme="minorHAnsi" w:cstheme="minorHAnsi"/>
          <w:sz w:val="22"/>
          <w:szCs w:val="22"/>
          <w:lang w:val="fr-FR"/>
        </w:rPr>
        <w:t xml:space="preserve">Perspectives </w:t>
      </w:r>
      <w:bookmarkEnd w:id="743"/>
      <w:r w:rsidR="006834D5" w:rsidRPr="00C73365">
        <w:rPr>
          <w:rFonts w:asciiTheme="minorHAnsi" w:hAnsiTheme="minorHAnsi" w:cstheme="minorHAnsi"/>
          <w:sz w:val="22"/>
          <w:szCs w:val="22"/>
          <w:lang w:val="fr-FR"/>
        </w:rPr>
        <w:t>201</w:t>
      </w:r>
      <w:r w:rsidR="003D20F8" w:rsidRPr="00C73365">
        <w:rPr>
          <w:rFonts w:asciiTheme="minorHAnsi" w:hAnsiTheme="minorHAnsi" w:cstheme="minorHAnsi"/>
          <w:sz w:val="22"/>
          <w:szCs w:val="22"/>
          <w:lang w:val="fr-FR"/>
        </w:rPr>
        <w:t>8</w:t>
      </w:r>
      <w:bookmarkEnd w:id="744"/>
    </w:p>
    <w:p w14:paraId="314B9BF9" w14:textId="77777777" w:rsidR="00BE69CB" w:rsidRDefault="00BE69CB" w:rsidP="003D46DA">
      <w:pPr>
        <w:rPr>
          <w:rFonts w:asciiTheme="minorHAnsi" w:hAnsiTheme="minorHAnsi" w:cstheme="minorHAnsi"/>
          <w:lang w:val="fr-FR"/>
        </w:rPr>
      </w:pPr>
    </w:p>
    <w:tbl>
      <w:tblPr>
        <w:tblStyle w:val="Grilledutableau3"/>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43"/>
        <w:gridCol w:w="7699"/>
      </w:tblGrid>
      <w:tr w:rsidR="00BE69CB" w:rsidRPr="0030056F" w14:paraId="481BDF3F" w14:textId="77777777" w:rsidTr="00D21169">
        <w:tc>
          <w:tcPr>
            <w:tcW w:w="1843" w:type="dxa"/>
            <w:shd w:val="clear" w:color="auto" w:fill="auto"/>
          </w:tcPr>
          <w:p w14:paraId="57C95D6E" w14:textId="77777777" w:rsidR="00BE69CB" w:rsidRPr="00C73365" w:rsidRDefault="00BE69CB" w:rsidP="00D21169">
            <w:pPr>
              <w:rPr>
                <w:rFonts w:asciiTheme="minorHAnsi" w:hAnsiTheme="minorHAnsi" w:cstheme="minorHAnsi"/>
                <w:b/>
                <w:lang w:val="fr-FR"/>
              </w:rPr>
            </w:pPr>
            <w:r w:rsidRPr="00C73365">
              <w:rPr>
                <w:rFonts w:asciiTheme="minorHAnsi" w:hAnsiTheme="minorHAnsi" w:cstheme="minorHAnsi"/>
                <w:b/>
                <w:lang w:val="fr-FR"/>
              </w:rPr>
              <w:t>Janvier 2018</w:t>
            </w:r>
          </w:p>
        </w:tc>
        <w:tc>
          <w:tcPr>
            <w:tcW w:w="7699" w:type="dxa"/>
            <w:shd w:val="clear" w:color="auto" w:fill="auto"/>
          </w:tcPr>
          <w:p w14:paraId="63123055" w14:textId="77777777"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 annonce l’extension de son étude ABX464 sur le long terme chez les patients atteints de rectocolite hémorragique</w:t>
            </w:r>
          </w:p>
          <w:p w14:paraId="4BD511E2" w14:textId="77777777"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 nomme le Docteur Carol L. Brosgart à son Conseil d’Administration</w:t>
            </w:r>
          </w:p>
        </w:tc>
      </w:tr>
      <w:tr w:rsidR="00BE69CB" w:rsidRPr="0030056F" w14:paraId="0D902CFA" w14:textId="77777777" w:rsidTr="00D21169">
        <w:tc>
          <w:tcPr>
            <w:tcW w:w="1843" w:type="dxa"/>
            <w:shd w:val="clear" w:color="auto" w:fill="auto"/>
          </w:tcPr>
          <w:p w14:paraId="70504D0C" w14:textId="77777777" w:rsidR="00BE69CB" w:rsidRPr="00C73365" w:rsidRDefault="00BE69CB" w:rsidP="00D21169">
            <w:pPr>
              <w:rPr>
                <w:rFonts w:asciiTheme="minorHAnsi" w:hAnsiTheme="minorHAnsi" w:cstheme="minorHAnsi"/>
                <w:b/>
                <w:lang w:val="fr-FR"/>
              </w:rPr>
            </w:pPr>
            <w:r>
              <w:rPr>
                <w:rFonts w:asciiTheme="minorHAnsi" w:hAnsiTheme="minorHAnsi" w:cstheme="minorHAnsi"/>
                <w:b/>
                <w:lang w:val="fr-FR"/>
              </w:rPr>
              <w:t>Avril 2018</w:t>
            </w:r>
          </w:p>
        </w:tc>
        <w:tc>
          <w:tcPr>
            <w:tcW w:w="7699" w:type="dxa"/>
            <w:shd w:val="clear" w:color="auto" w:fill="auto"/>
          </w:tcPr>
          <w:p w14:paraId="53A8CB68" w14:textId="77777777"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BE69CB">
              <w:rPr>
                <w:rFonts w:asciiTheme="minorHAnsi" w:hAnsiTheme="minorHAnsi" w:cstheme="minorHAnsi"/>
                <w:lang w:val="fr-FR"/>
              </w:rPr>
              <w:t>ABIVAX renforce son équipe de direction avec la nomination du Dr. Alexandra Pearce en tant que Vice-Présidente des affaires réglementaires</w:t>
            </w:r>
          </w:p>
        </w:tc>
      </w:tr>
    </w:tbl>
    <w:p w14:paraId="17EC1AB5" w14:textId="77777777" w:rsidR="00BE69CB" w:rsidRDefault="00BE69CB" w:rsidP="003D46DA">
      <w:pPr>
        <w:rPr>
          <w:rFonts w:asciiTheme="minorHAnsi" w:hAnsiTheme="minorHAnsi" w:cstheme="minorHAnsi"/>
          <w:lang w:val="fr-FR"/>
        </w:rPr>
      </w:pPr>
    </w:p>
    <w:p w14:paraId="1CE767B1" w14:textId="3CAB6FC8" w:rsidR="003D46DA" w:rsidRPr="00C73365" w:rsidRDefault="003D46DA" w:rsidP="003D46DA">
      <w:pPr>
        <w:rPr>
          <w:rFonts w:asciiTheme="minorHAnsi" w:hAnsiTheme="minorHAnsi" w:cstheme="minorHAnsi"/>
          <w:lang w:val="fr-FR"/>
        </w:rPr>
      </w:pPr>
      <w:r w:rsidRPr="00C73365">
        <w:rPr>
          <w:rFonts w:asciiTheme="minorHAnsi" w:hAnsiTheme="minorHAnsi" w:cstheme="minorHAnsi"/>
          <w:lang w:val="fr-FR"/>
        </w:rPr>
        <w:t xml:space="preserve">Depuis le début de l’exercice, la société n’a enregistré </w:t>
      </w:r>
      <w:r w:rsidR="004834A9" w:rsidRPr="00C73365">
        <w:rPr>
          <w:rFonts w:asciiTheme="minorHAnsi" w:hAnsiTheme="minorHAnsi" w:cstheme="minorHAnsi"/>
          <w:lang w:val="fr-FR"/>
        </w:rPr>
        <w:t>aucun résultat clinique ou pré-clinique</w:t>
      </w:r>
      <w:r w:rsidR="00BE69CB">
        <w:rPr>
          <w:rFonts w:asciiTheme="minorHAnsi" w:hAnsiTheme="minorHAnsi" w:cstheme="minorHAnsi"/>
          <w:lang w:val="fr-FR"/>
        </w:rPr>
        <w:t xml:space="preserve"> </w:t>
      </w:r>
      <w:r w:rsidRPr="00C73365">
        <w:rPr>
          <w:rFonts w:asciiTheme="minorHAnsi" w:hAnsiTheme="minorHAnsi" w:cstheme="minorHAnsi"/>
          <w:lang w:val="fr-FR"/>
        </w:rPr>
        <w:t>majeure. L’intégralité des programmes est en cours d’exécution et devant livrer leurs premiers résultats au cours de l’été 2018.</w:t>
      </w:r>
    </w:p>
    <w:p w14:paraId="7481B1BC" w14:textId="77777777" w:rsidR="00876FB5" w:rsidRPr="00C73365" w:rsidRDefault="00876FB5" w:rsidP="004B0B5C">
      <w:pPr>
        <w:spacing w:after="0"/>
        <w:rPr>
          <w:rFonts w:asciiTheme="minorHAnsi" w:hAnsiTheme="minorHAnsi" w:cstheme="minorHAnsi"/>
          <w:highlight w:val="lightGray"/>
          <w:lang w:val="fr-FR"/>
        </w:rPr>
      </w:pPr>
    </w:p>
    <w:p w14:paraId="2E8C8198" w14:textId="77777777" w:rsidR="003D46DA" w:rsidRPr="00C73365" w:rsidRDefault="00F46C7B" w:rsidP="003D46DA">
      <w:pPr>
        <w:pStyle w:val="ConmainL2"/>
        <w:numPr>
          <w:ilvl w:val="1"/>
          <w:numId w:val="9"/>
        </w:numPr>
        <w:spacing w:after="120"/>
        <w:rPr>
          <w:rFonts w:asciiTheme="minorHAnsi" w:hAnsiTheme="minorHAnsi" w:cstheme="minorHAnsi"/>
          <w:sz w:val="22"/>
          <w:szCs w:val="22"/>
          <w:lang w:val="fr-FR"/>
        </w:rPr>
      </w:pPr>
      <w:bookmarkStart w:id="745" w:name="_Toc462673264"/>
      <w:bookmarkStart w:id="746" w:name="_Toc467835613"/>
      <w:bookmarkStart w:id="747" w:name="_Toc510548437"/>
      <w:r w:rsidRPr="00C73365">
        <w:rPr>
          <w:rFonts w:asciiTheme="minorHAnsi" w:hAnsiTheme="minorHAnsi" w:cstheme="minorHAnsi"/>
          <w:sz w:val="22"/>
          <w:szCs w:val="22"/>
          <w:lang w:val="fr-FR"/>
        </w:rPr>
        <w:t>Tendance connue, incertitude, demande d’engagement ou évènement raisonnablement susceptible d’influer sur les perspectives de la Société</w:t>
      </w:r>
      <w:bookmarkEnd w:id="745"/>
      <w:bookmarkEnd w:id="746"/>
      <w:bookmarkEnd w:id="747"/>
    </w:p>
    <w:p w14:paraId="5F546747" w14:textId="77777777" w:rsidR="00876FB5" w:rsidRPr="00C73365" w:rsidRDefault="00876FB5" w:rsidP="004572A0">
      <w:pPr>
        <w:pStyle w:val="Corpsdetexte"/>
        <w:rPr>
          <w:rFonts w:asciiTheme="minorHAnsi" w:hAnsiTheme="minorHAnsi" w:cstheme="minorHAnsi"/>
          <w:lang w:val="fr-FR"/>
        </w:rPr>
      </w:pPr>
      <w:r w:rsidRPr="00C73365">
        <w:rPr>
          <w:rFonts w:asciiTheme="minorHAnsi" w:hAnsiTheme="minorHAnsi" w:cstheme="minorHAnsi"/>
          <w:lang w:val="fr-FR"/>
        </w:rPr>
        <w:t>En 2018, la société prévoit d’atteindre les objectifs suivants :</w:t>
      </w:r>
    </w:p>
    <w:p w14:paraId="440AFE70" w14:textId="77777777" w:rsidR="00876FB5" w:rsidRPr="00C73365" w:rsidRDefault="00876FB5" w:rsidP="004572A0">
      <w:pPr>
        <w:pStyle w:val="Corpsdetexte"/>
        <w:rPr>
          <w:rFonts w:asciiTheme="minorHAnsi" w:hAnsiTheme="minorHAnsi" w:cstheme="minorHAnsi"/>
          <w:lang w:val="fr-FR"/>
        </w:rPr>
      </w:pPr>
      <w:r w:rsidRPr="00C73365">
        <w:rPr>
          <w:rFonts w:asciiTheme="minorHAnsi" w:hAnsiTheme="minorHAnsi" w:cstheme="minorHAnsi"/>
          <w:lang w:val="fr-FR"/>
        </w:rPr>
        <w:t>Plateforme « Antivirale » :</w:t>
      </w:r>
    </w:p>
    <w:p w14:paraId="74CFDAE3" w14:textId="77777777" w:rsidR="00876FB5" w:rsidRPr="00C73365" w:rsidRDefault="00876FB5" w:rsidP="00434C49">
      <w:pPr>
        <w:pStyle w:val="Paragraphedeliste"/>
        <w:numPr>
          <w:ilvl w:val="0"/>
          <w:numId w:val="100"/>
        </w:numPr>
        <w:spacing w:after="0"/>
        <w:rPr>
          <w:rFonts w:asciiTheme="minorHAnsi" w:hAnsiTheme="minorHAnsi" w:cstheme="minorHAnsi"/>
          <w:lang w:val="fr-FR"/>
        </w:rPr>
      </w:pPr>
      <w:r w:rsidRPr="00C73365">
        <w:rPr>
          <w:rFonts w:asciiTheme="minorHAnsi" w:hAnsiTheme="minorHAnsi" w:cstheme="minorHAnsi"/>
          <w:lang w:val="fr-FR"/>
        </w:rPr>
        <w:t>Publication des premiers résultats de la 2</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cohorte de l’étude ABX464-005 mi-2018</w:t>
      </w:r>
    </w:p>
    <w:p w14:paraId="650D2C40" w14:textId="77777777" w:rsidR="00876FB5" w:rsidRPr="00C73365" w:rsidRDefault="00876FB5" w:rsidP="00434C49">
      <w:pPr>
        <w:pStyle w:val="Paragraphedeliste"/>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Dépôt d’une demande de nouveau médicament expérimental auprès de la Food and Drug</w:t>
      </w:r>
    </w:p>
    <w:p w14:paraId="456781C5" w14:textId="77777777" w:rsidR="00876FB5" w:rsidRPr="00C73365" w:rsidRDefault="00876FB5" w:rsidP="00434C49">
      <w:pPr>
        <w:pStyle w:val="Paragraphedeliste"/>
        <w:numPr>
          <w:ilvl w:val="0"/>
          <w:numId w:val="100"/>
        </w:numPr>
        <w:spacing w:after="0"/>
        <w:rPr>
          <w:rFonts w:asciiTheme="minorHAnsi" w:hAnsiTheme="minorHAnsi" w:cstheme="minorHAnsi"/>
          <w:lang w:val="fr-FR"/>
        </w:rPr>
      </w:pPr>
      <w:r w:rsidRPr="00C73365">
        <w:rPr>
          <w:rFonts w:asciiTheme="minorHAnsi" w:hAnsiTheme="minorHAnsi" w:cstheme="minorHAnsi"/>
          <w:lang w:val="fr-FR"/>
        </w:rPr>
        <w:t>Administration américaine pour la molécule ABX464 pour le VIH d’ici la fin du premier semestre 2018</w:t>
      </w:r>
    </w:p>
    <w:p w14:paraId="2EEA3956" w14:textId="77777777" w:rsidR="00876FB5" w:rsidRPr="00C73365" w:rsidRDefault="00876FB5" w:rsidP="00434C49">
      <w:pPr>
        <w:pStyle w:val="Paragraphedeliste"/>
        <w:numPr>
          <w:ilvl w:val="0"/>
          <w:numId w:val="100"/>
        </w:numPr>
        <w:spacing w:after="0"/>
        <w:rPr>
          <w:rFonts w:asciiTheme="minorHAnsi" w:hAnsiTheme="minorHAnsi" w:cstheme="minorHAnsi"/>
          <w:lang w:val="fr-FR"/>
        </w:rPr>
      </w:pPr>
      <w:r w:rsidRPr="00C73365">
        <w:rPr>
          <w:rFonts w:asciiTheme="minorHAnsi" w:hAnsiTheme="minorHAnsi" w:cstheme="minorHAnsi"/>
          <w:lang w:val="fr-FR"/>
        </w:rPr>
        <w:t>Inclusion du premier patient dans l’étude de phase IIb pour l’ABX464 dans le traitement du VIH au cours en fin d’année</w:t>
      </w:r>
    </w:p>
    <w:p w14:paraId="6AA658C1" w14:textId="77777777" w:rsidR="00876FB5" w:rsidRPr="00C73365" w:rsidRDefault="00876FB5" w:rsidP="00434C49">
      <w:pPr>
        <w:pStyle w:val="Paragraphedeliste"/>
        <w:numPr>
          <w:ilvl w:val="0"/>
          <w:numId w:val="100"/>
        </w:numPr>
        <w:spacing w:after="0"/>
        <w:rPr>
          <w:rFonts w:asciiTheme="minorHAnsi" w:hAnsiTheme="minorHAnsi" w:cstheme="minorHAnsi"/>
          <w:lang w:val="fr-FR"/>
        </w:rPr>
      </w:pPr>
      <w:r w:rsidRPr="00C73365">
        <w:rPr>
          <w:rFonts w:asciiTheme="minorHAnsi" w:hAnsiTheme="minorHAnsi" w:cstheme="minorHAnsi"/>
          <w:lang w:val="fr-FR"/>
        </w:rPr>
        <w:t xml:space="preserve">Publication des premiers résultats de l’étude de phase IIa de preuve de concept pour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au second semestre 2018</w:t>
      </w:r>
    </w:p>
    <w:p w14:paraId="0AA7CD04" w14:textId="77777777" w:rsidR="00876FB5" w:rsidRPr="00C73365" w:rsidRDefault="00876FB5" w:rsidP="00434C49">
      <w:pPr>
        <w:pStyle w:val="Paragraphedeliste"/>
        <w:numPr>
          <w:ilvl w:val="0"/>
          <w:numId w:val="100"/>
        </w:numPr>
        <w:spacing w:after="0"/>
        <w:rPr>
          <w:rFonts w:asciiTheme="minorHAnsi" w:hAnsiTheme="minorHAnsi" w:cstheme="minorHAnsi"/>
          <w:lang w:val="fr-FR"/>
        </w:rPr>
      </w:pPr>
      <w:r w:rsidRPr="00C73365">
        <w:rPr>
          <w:rFonts w:asciiTheme="minorHAnsi" w:hAnsiTheme="minorHAnsi" w:cstheme="minorHAnsi"/>
          <w:lang w:val="fr-FR"/>
        </w:rPr>
        <w:t xml:space="preserve">Début d’une étude clinique de phase IIb portant sur l’ABX464 dans le traitement de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en fin d’année</w:t>
      </w:r>
    </w:p>
    <w:p w14:paraId="6270D151" w14:textId="77777777" w:rsidR="00876FB5" w:rsidRPr="00C73365" w:rsidRDefault="00876FB5" w:rsidP="00434C49">
      <w:pPr>
        <w:pStyle w:val="Paragraphedeliste"/>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Début de la phase finale d’identification pour la molécule ciblant le VRS d’ici la fin du second semestre 2018</w:t>
      </w:r>
    </w:p>
    <w:p w14:paraId="1D1AF97A" w14:textId="77777777" w:rsidR="00876FB5" w:rsidRPr="00C73365" w:rsidRDefault="00876FB5" w:rsidP="00876FB5">
      <w:pPr>
        <w:spacing w:after="0"/>
        <w:rPr>
          <w:rFonts w:asciiTheme="minorHAnsi" w:hAnsiTheme="minorHAnsi" w:cstheme="minorHAnsi"/>
          <w:lang w:val="fr-FR"/>
        </w:rPr>
      </w:pPr>
    </w:p>
    <w:p w14:paraId="2EE18A20" w14:textId="77777777" w:rsidR="00876FB5" w:rsidRPr="00C73365" w:rsidRDefault="00876FB5" w:rsidP="004572A0">
      <w:pPr>
        <w:pStyle w:val="Corpsdetexte"/>
        <w:rPr>
          <w:rFonts w:asciiTheme="minorHAnsi" w:hAnsiTheme="minorHAnsi" w:cstheme="minorHAnsi"/>
          <w:lang w:val="fr-FR"/>
        </w:rPr>
      </w:pPr>
      <w:r w:rsidRPr="00C73365">
        <w:rPr>
          <w:rFonts w:asciiTheme="minorHAnsi" w:hAnsiTheme="minorHAnsi" w:cstheme="minorHAnsi"/>
          <w:lang w:val="fr-FR"/>
        </w:rPr>
        <w:t>Plateforme « Stimulation Immunitaire » :</w:t>
      </w:r>
    </w:p>
    <w:p w14:paraId="1D7CA812" w14:textId="77777777" w:rsidR="00876FB5" w:rsidRPr="00C73365" w:rsidRDefault="00876FB5" w:rsidP="00434C49">
      <w:pPr>
        <w:pStyle w:val="Paragraphedeliste"/>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Dépôt d’une demande de nouveau médicament expérimental auprès de la Food and Drug Administration américaine pour l’ABX196 d’ici le milieu de l’année 2018</w:t>
      </w:r>
    </w:p>
    <w:p w14:paraId="52488817" w14:textId="77777777" w:rsidR="00876FB5" w:rsidRPr="00C73365" w:rsidRDefault="00876FB5" w:rsidP="00434C49">
      <w:pPr>
        <w:pStyle w:val="Paragraphedeliste"/>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Début d’une étude clinique de phase I/II de preuve de concept portant sur l’ABX196 dans le traitement du CHC au deuxième semestre 2018</w:t>
      </w:r>
    </w:p>
    <w:p w14:paraId="4399B41F" w14:textId="77777777" w:rsidR="00876FB5" w:rsidRPr="00C73365" w:rsidRDefault="00876FB5" w:rsidP="00876FB5">
      <w:pPr>
        <w:spacing w:after="0"/>
        <w:rPr>
          <w:rFonts w:asciiTheme="minorHAnsi" w:hAnsiTheme="minorHAnsi" w:cstheme="minorHAnsi"/>
          <w:highlight w:val="lightGray"/>
          <w:lang w:val="fr-FR"/>
        </w:rPr>
      </w:pPr>
    </w:p>
    <w:p w14:paraId="7A9FD3F6" w14:textId="77777777" w:rsidR="00F46C7B" w:rsidRPr="00C73365" w:rsidRDefault="00F46C7B" w:rsidP="00B31080">
      <w:pPr>
        <w:pStyle w:val="ConmainL1"/>
        <w:numPr>
          <w:ilvl w:val="0"/>
          <w:numId w:val="9"/>
        </w:numPr>
        <w:spacing w:after="120"/>
        <w:rPr>
          <w:rFonts w:asciiTheme="minorHAnsi" w:hAnsiTheme="minorHAnsi" w:cstheme="minorHAnsi"/>
          <w:lang w:val="fr-FR"/>
        </w:rPr>
      </w:pPr>
      <w:bookmarkStart w:id="748" w:name="_Toc462673265"/>
      <w:bookmarkStart w:id="749" w:name="_Toc510548438"/>
      <w:r w:rsidRPr="00C73365">
        <w:rPr>
          <w:rFonts w:asciiTheme="minorHAnsi" w:hAnsiTheme="minorHAnsi" w:cstheme="minorHAnsi"/>
          <w:lang w:val="fr-FR"/>
        </w:rPr>
        <w:lastRenderedPageBreak/>
        <w:t>PREVISIONS OU ESTIMATIONS DU BENEFICE</w:t>
      </w:r>
      <w:bookmarkEnd w:id="748"/>
      <w:bookmarkEnd w:id="749"/>
    </w:p>
    <w:p w14:paraId="6093883D" w14:textId="77777777" w:rsidR="00F46C7B" w:rsidRPr="00C73365" w:rsidRDefault="00F46C7B" w:rsidP="004572A0">
      <w:pPr>
        <w:pStyle w:val="Listecontinue"/>
        <w:rPr>
          <w:rFonts w:asciiTheme="minorHAnsi" w:hAnsiTheme="minorHAnsi" w:cstheme="minorHAnsi"/>
          <w:lang w:val="fr-FR"/>
        </w:rPr>
      </w:pPr>
      <w:r w:rsidRPr="00C73365">
        <w:rPr>
          <w:rFonts w:asciiTheme="minorHAnsi" w:hAnsiTheme="minorHAnsi" w:cstheme="minorHAnsi"/>
          <w:lang w:val="fr-FR"/>
        </w:rPr>
        <w:t>La Société n’entend pas faire de prévisions ou d’estimations de bénéfices.</w:t>
      </w:r>
    </w:p>
    <w:p w14:paraId="16DE8060" w14:textId="77777777" w:rsidR="00B740A8" w:rsidRPr="00C73365" w:rsidRDefault="00B740A8" w:rsidP="00B740A8">
      <w:pPr>
        <w:pStyle w:val="ConmainL1"/>
        <w:numPr>
          <w:ilvl w:val="0"/>
          <w:numId w:val="9"/>
        </w:numPr>
        <w:rPr>
          <w:rFonts w:asciiTheme="minorHAnsi" w:hAnsiTheme="minorHAnsi" w:cstheme="minorHAnsi"/>
          <w:sz w:val="22"/>
          <w:lang w:val="fr-FR"/>
        </w:rPr>
      </w:pPr>
      <w:bookmarkStart w:id="750" w:name="_Toc510548439"/>
      <w:r w:rsidRPr="00C73365">
        <w:rPr>
          <w:rFonts w:asciiTheme="minorHAnsi" w:hAnsiTheme="minorHAnsi" w:cstheme="minorHAnsi"/>
          <w:sz w:val="22"/>
          <w:lang w:val="fr-FR"/>
        </w:rPr>
        <w:lastRenderedPageBreak/>
        <w:t>ORGANES D’ADMINISTRATION, DE DIRECTION, DE SURVEILLANCE ET DE DIRECTION GENERALE</w:t>
      </w:r>
      <w:bookmarkEnd w:id="750"/>
    </w:p>
    <w:p w14:paraId="70EFB225" w14:textId="32019FD4"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751" w:name="_DV_M4584"/>
      <w:bookmarkStart w:id="752" w:name="_DV_M4585"/>
      <w:bookmarkStart w:id="753" w:name="_Toc124859251"/>
      <w:bookmarkStart w:id="754" w:name="_Toc148342671"/>
      <w:bookmarkStart w:id="755" w:name="_Toc401594105"/>
      <w:bookmarkStart w:id="756" w:name="_Toc462673267"/>
      <w:bookmarkStart w:id="757" w:name="_Toc467835616"/>
      <w:bookmarkStart w:id="758" w:name="_Toc482695287"/>
      <w:bookmarkStart w:id="759" w:name="_Toc510548440"/>
      <w:bookmarkEnd w:id="751"/>
      <w:bookmarkEnd w:id="752"/>
      <w:r w:rsidRPr="00C73365">
        <w:rPr>
          <w:rFonts w:asciiTheme="minorHAnsi" w:hAnsiTheme="minorHAnsi" w:cstheme="minorHAnsi"/>
          <w:sz w:val="22"/>
          <w:szCs w:val="22"/>
          <w:lang w:val="fr-FR"/>
        </w:rPr>
        <w:t>Dirigeants, administrateurs</w:t>
      </w:r>
      <w:bookmarkEnd w:id="753"/>
      <w:bookmarkEnd w:id="754"/>
      <w:bookmarkEnd w:id="755"/>
      <w:r w:rsidRPr="00C73365">
        <w:rPr>
          <w:rFonts w:asciiTheme="minorHAnsi" w:hAnsiTheme="minorHAnsi" w:cstheme="minorHAnsi"/>
          <w:sz w:val="22"/>
          <w:szCs w:val="22"/>
          <w:lang w:val="fr-FR"/>
        </w:rPr>
        <w:t xml:space="preserve"> et censeurs</w:t>
      </w:r>
      <w:bookmarkEnd w:id="756"/>
      <w:bookmarkEnd w:id="757"/>
      <w:bookmarkEnd w:id="758"/>
      <w:bookmarkEnd w:id="759"/>
    </w:p>
    <w:p w14:paraId="36923C63" w14:textId="77777777" w:rsidR="00B740A8" w:rsidRPr="00C73365" w:rsidRDefault="00B740A8" w:rsidP="00B740A8">
      <w:pPr>
        <w:pStyle w:val="ConmainL2"/>
        <w:numPr>
          <w:ilvl w:val="0"/>
          <w:numId w:val="0"/>
        </w:numPr>
        <w:spacing w:after="0"/>
        <w:outlineLvl w:val="9"/>
        <w:rPr>
          <w:rFonts w:asciiTheme="minorHAnsi" w:hAnsiTheme="minorHAnsi" w:cstheme="minorHAnsi"/>
          <w:sz w:val="22"/>
          <w:szCs w:val="22"/>
          <w:lang w:val="fr-FR"/>
        </w:rPr>
      </w:pPr>
    </w:p>
    <w:p w14:paraId="2323810D" w14:textId="77777777" w:rsidR="003D46DA" w:rsidRPr="00C73365" w:rsidRDefault="00B740A8" w:rsidP="003D46DA">
      <w:pPr>
        <w:pStyle w:val="Listecontinue2"/>
        <w:ind w:left="0"/>
        <w:rPr>
          <w:rFonts w:asciiTheme="minorHAnsi" w:hAnsiTheme="minorHAnsi" w:cstheme="minorHAnsi"/>
          <w:lang w:val="fr-FR"/>
        </w:rPr>
      </w:pPr>
      <w:r w:rsidRPr="00C73365">
        <w:rPr>
          <w:rFonts w:asciiTheme="minorHAnsi" w:hAnsiTheme="minorHAnsi" w:cstheme="minorHAnsi"/>
          <w:lang w:val="fr-FR"/>
        </w:rPr>
        <w:t>Depuis sa création le 4 décembre 2013, la Société est organisée sous forme d’une société anonyme à conseil d’administration.</w:t>
      </w:r>
      <w:r w:rsidR="005C36A7">
        <w:rPr>
          <w:rFonts w:asciiTheme="minorHAnsi" w:hAnsiTheme="minorHAnsi" w:cstheme="minorHAnsi"/>
          <w:lang w:val="fr-FR"/>
        </w:rPr>
        <w:t xml:space="preserve"> </w:t>
      </w:r>
      <w:r w:rsidRPr="00C73365">
        <w:rPr>
          <w:rFonts w:asciiTheme="minorHAnsi" w:hAnsiTheme="minorHAnsi" w:cstheme="minorHAnsi"/>
          <w:lang w:val="fr-FR"/>
        </w:rPr>
        <w:t>Un résumé des principales stipulations des statuts de la Société et du règlement intérieur du conseil d’administration, lequel inclut des dispositions relatives aux comités spécialisés, figure respectivement à la section 21.2 « Acte constitutif et statuts » et à la section 16.3 « Comités spécialisés – Gouvernement d’entreprise » du présent document de référence.</w:t>
      </w:r>
    </w:p>
    <w:p w14:paraId="241A9675" w14:textId="77777777"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Composition du conseil d’administration</w:t>
      </w:r>
    </w:p>
    <w:p w14:paraId="2B0ACBF7" w14:textId="77777777" w:rsidR="00B740A8" w:rsidRPr="00C73365" w:rsidRDefault="00B740A8" w:rsidP="00B740A8">
      <w:pPr>
        <w:spacing w:line="264" w:lineRule="auto"/>
        <w:rPr>
          <w:rFonts w:asciiTheme="minorHAnsi" w:hAnsiTheme="minorHAnsi" w:cstheme="minorHAnsi"/>
          <w:lang w:val="fr-FR"/>
        </w:rPr>
      </w:pPr>
    </w:p>
    <w:p w14:paraId="583F84D1"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 la date du présent document de référence, le conseil d’administration de la Société est composé des neuf membres suivants : </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8"/>
        <w:gridCol w:w="1843"/>
        <w:gridCol w:w="1229"/>
        <w:gridCol w:w="3732"/>
        <w:gridCol w:w="1701"/>
      </w:tblGrid>
      <w:tr w:rsidR="00B740A8" w:rsidRPr="00C73365" w14:paraId="710FF2C2" w14:textId="77777777" w:rsidTr="00D1541A">
        <w:trPr>
          <w:trHeight w:val="741"/>
          <w:jc w:val="center"/>
        </w:trPr>
        <w:tc>
          <w:tcPr>
            <w:tcW w:w="1768" w:type="dxa"/>
            <w:shd w:val="clear" w:color="auto" w:fill="auto"/>
            <w:hideMark/>
          </w:tcPr>
          <w:p w14:paraId="17D727B6" w14:textId="77777777"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Nom</w:t>
            </w:r>
          </w:p>
        </w:tc>
        <w:tc>
          <w:tcPr>
            <w:tcW w:w="1843" w:type="dxa"/>
            <w:shd w:val="clear" w:color="auto" w:fill="auto"/>
            <w:hideMark/>
          </w:tcPr>
          <w:p w14:paraId="341B262B" w14:textId="77777777"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Mandat</w:t>
            </w:r>
          </w:p>
        </w:tc>
        <w:tc>
          <w:tcPr>
            <w:tcW w:w="1229" w:type="dxa"/>
            <w:shd w:val="clear" w:color="auto" w:fill="auto"/>
            <w:hideMark/>
          </w:tcPr>
          <w:p w14:paraId="10940A2E" w14:textId="77777777"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Indépendant</w:t>
            </w:r>
          </w:p>
        </w:tc>
        <w:tc>
          <w:tcPr>
            <w:tcW w:w="3732" w:type="dxa"/>
            <w:shd w:val="clear" w:color="auto" w:fill="auto"/>
            <w:hideMark/>
          </w:tcPr>
          <w:p w14:paraId="1A572FED" w14:textId="77777777"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Date de début et de fin de mandat</w:t>
            </w:r>
          </w:p>
        </w:tc>
        <w:tc>
          <w:tcPr>
            <w:tcW w:w="1701" w:type="dxa"/>
          </w:tcPr>
          <w:p w14:paraId="1DD646D4" w14:textId="77777777" w:rsidR="00B740A8" w:rsidRPr="00C73365" w:rsidRDefault="00B740A8" w:rsidP="00D1541A">
            <w:pPr>
              <w:jc w:val="center"/>
              <w:rPr>
                <w:rFonts w:asciiTheme="minorHAnsi" w:hAnsiTheme="minorHAnsi" w:cstheme="minorHAnsi"/>
                <w:lang w:val="fr-FR"/>
              </w:rPr>
            </w:pPr>
          </w:p>
          <w:p w14:paraId="4068018A" w14:textId="77777777"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Comités</w:t>
            </w:r>
          </w:p>
        </w:tc>
      </w:tr>
      <w:tr w:rsidR="00B740A8" w:rsidRPr="0030056F" w14:paraId="6E059AD2" w14:textId="77777777" w:rsidTr="00D1541A">
        <w:trPr>
          <w:trHeight w:val="3246"/>
          <w:jc w:val="center"/>
        </w:trPr>
        <w:tc>
          <w:tcPr>
            <w:tcW w:w="1768" w:type="dxa"/>
            <w:shd w:val="clear" w:color="auto" w:fill="auto"/>
            <w:hideMark/>
          </w:tcPr>
          <w:p w14:paraId="0BE0DE56"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p w14:paraId="4CBE4569" w14:textId="77777777" w:rsidR="00B740A8" w:rsidRPr="00C73365" w:rsidRDefault="00B740A8" w:rsidP="00D1541A">
            <w:pPr>
              <w:rPr>
                <w:rFonts w:asciiTheme="minorHAnsi" w:hAnsiTheme="minorHAnsi" w:cstheme="minorHAnsi"/>
                <w:color w:val="000000"/>
                <w:szCs w:val="20"/>
                <w:lang w:val="fr-FR" w:eastAsia="fr-FR"/>
              </w:rPr>
            </w:pPr>
          </w:p>
        </w:tc>
        <w:tc>
          <w:tcPr>
            <w:tcW w:w="1843" w:type="dxa"/>
            <w:shd w:val="clear" w:color="auto" w:fill="auto"/>
            <w:hideMark/>
          </w:tcPr>
          <w:p w14:paraId="3A79A184"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p w14:paraId="67360CA8"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br/>
            </w:r>
          </w:p>
        </w:tc>
        <w:tc>
          <w:tcPr>
            <w:tcW w:w="1229" w:type="dxa"/>
            <w:shd w:val="clear" w:color="auto" w:fill="auto"/>
            <w:noWrap/>
            <w:hideMark/>
          </w:tcPr>
          <w:p w14:paraId="1F9082B8"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14:paraId="05F37FB9" w14:textId="77777777"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14:paraId="69779C7E"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Nommé administrateur aux termes de l’acte constitutif de la Société. </w:t>
            </w:r>
          </w:p>
          <w:p w14:paraId="2CBB8822"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Renouvelé par l’assemblée générale mixte en date du 23 juin 2017 pour une durée de 4 années expirant à l’issue de l’assemblée générale devant statuer sur les comptes de l’exercice clos le 31 décembre 2020. </w:t>
            </w:r>
          </w:p>
          <w:p w14:paraId="31624B95" w14:textId="77777777" w:rsidR="00B740A8" w:rsidRPr="00C73365" w:rsidRDefault="00B740A8" w:rsidP="00D1541A">
            <w:pPr>
              <w:rPr>
                <w:rFonts w:asciiTheme="minorHAnsi" w:hAnsiTheme="minorHAnsi" w:cstheme="minorHAnsi"/>
                <w:color w:val="000000"/>
                <w:szCs w:val="20"/>
                <w:lang w:val="fr-FR" w:eastAsia="fr-FR"/>
              </w:rPr>
            </w:pPr>
          </w:p>
          <w:p w14:paraId="22FA54B1"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président du conseil d’administration par le conseil d’administration en date du 4 décembre 2014 et renouvelé le 13 juillet 2017 pour la durée de son mandat d’administrateur.</w:t>
            </w:r>
          </w:p>
          <w:p w14:paraId="788FE1AA" w14:textId="77777777" w:rsidR="00B740A8" w:rsidRPr="00C73365" w:rsidRDefault="00B740A8" w:rsidP="00D1541A">
            <w:pPr>
              <w:rPr>
                <w:rFonts w:asciiTheme="minorHAnsi" w:hAnsiTheme="minorHAnsi" w:cstheme="minorHAnsi"/>
                <w:color w:val="000000"/>
                <w:szCs w:val="20"/>
                <w:lang w:val="fr-FR" w:eastAsia="fr-FR"/>
              </w:rPr>
            </w:pPr>
          </w:p>
        </w:tc>
        <w:tc>
          <w:tcPr>
            <w:tcW w:w="1701" w:type="dxa"/>
          </w:tcPr>
          <w:p w14:paraId="42D12F05"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comité des rémunérations</w:t>
            </w:r>
          </w:p>
        </w:tc>
      </w:tr>
      <w:tr w:rsidR="00B740A8" w:rsidRPr="00C73365" w14:paraId="2E9624F0" w14:textId="77777777" w:rsidTr="00D1541A">
        <w:trPr>
          <w:trHeight w:val="1758"/>
          <w:jc w:val="center"/>
        </w:trPr>
        <w:tc>
          <w:tcPr>
            <w:tcW w:w="1768" w:type="dxa"/>
            <w:shd w:val="clear" w:color="auto" w:fill="auto"/>
            <w:hideMark/>
          </w:tcPr>
          <w:p w14:paraId="6811597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Joy Amundson</w:t>
            </w:r>
          </w:p>
        </w:tc>
        <w:tc>
          <w:tcPr>
            <w:tcW w:w="1843" w:type="dxa"/>
            <w:shd w:val="clear" w:color="auto" w:fill="auto"/>
            <w:hideMark/>
          </w:tcPr>
          <w:p w14:paraId="7CA2B2CD" w14:textId="77777777" w:rsidR="00B740A8" w:rsidRPr="00C73365" w:rsidRDefault="00B740A8" w:rsidP="00D1541A">
            <w:pPr>
              <w:jc w:val="center"/>
              <w:rPr>
                <w:rFonts w:asciiTheme="minorHAnsi" w:hAnsiTheme="minorHAnsi" w:cstheme="minorHAnsi"/>
                <w:color w:val="000000"/>
                <w:szCs w:val="20"/>
                <w:lang w:val="fr-FR" w:eastAsia="fr-FR"/>
              </w:rPr>
            </w:pPr>
            <w:bookmarkStart w:id="760" w:name="RANGE!D5"/>
            <w:r w:rsidRPr="00C73365">
              <w:rPr>
                <w:rFonts w:asciiTheme="minorHAnsi" w:hAnsiTheme="minorHAnsi" w:cstheme="minorHAnsi"/>
                <w:color w:val="000000"/>
                <w:szCs w:val="20"/>
                <w:lang w:val="fr-FR" w:eastAsia="fr-FR"/>
              </w:rPr>
              <w:t xml:space="preserve">Administrateur </w:t>
            </w:r>
            <w:r w:rsidRPr="00C73365">
              <w:rPr>
                <w:rFonts w:asciiTheme="minorHAnsi" w:hAnsiTheme="minorHAnsi" w:cstheme="minorHAnsi"/>
                <w:color w:val="7030A0"/>
                <w:szCs w:val="20"/>
                <w:lang w:val="fr-FR" w:eastAsia="fr-FR"/>
              </w:rPr>
              <w:br/>
            </w:r>
            <w:r w:rsidRPr="00C73365">
              <w:rPr>
                <w:rFonts w:asciiTheme="minorHAnsi" w:hAnsiTheme="minorHAnsi" w:cstheme="minorHAnsi"/>
                <w:szCs w:val="20"/>
                <w:lang w:val="fr-FR" w:eastAsia="fr-FR"/>
              </w:rPr>
              <w:br/>
            </w:r>
            <w:bookmarkEnd w:id="760"/>
          </w:p>
        </w:tc>
        <w:tc>
          <w:tcPr>
            <w:tcW w:w="1229" w:type="dxa"/>
            <w:shd w:val="clear" w:color="auto" w:fill="auto"/>
            <w:hideMark/>
          </w:tcPr>
          <w:p w14:paraId="08B24AA0"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hideMark/>
          </w:tcPr>
          <w:p w14:paraId="3AE5A22F" w14:textId="77777777" w:rsidR="00B740A8" w:rsidRPr="00C73365" w:rsidRDefault="00B740A8" w:rsidP="00D1541A">
            <w:pPr>
              <w:ind w:left="1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Cooptée administrateur en remplacement de la société Amundson Partners Ltd., démissionnaire, par le conseil d’administration du 23 janvier 2017 jusqu’à l’expiration du mandat initial de la société Amundson Partners Ltd., soit à l’issue de l’assemblée générale devant statuer sur les comptes de l’exercice clos le 31 décembre 2017. </w:t>
            </w:r>
          </w:p>
        </w:tc>
        <w:tc>
          <w:tcPr>
            <w:tcW w:w="1701" w:type="dxa"/>
          </w:tcPr>
          <w:p w14:paraId="168BB88C" w14:textId="77777777" w:rsidR="00B740A8" w:rsidRPr="00C73365" w:rsidRDefault="00B740A8" w:rsidP="00D1541A">
            <w:pPr>
              <w:ind w:left="18"/>
              <w:jc w:val="center"/>
              <w:rPr>
                <w:rFonts w:asciiTheme="minorHAnsi" w:hAnsiTheme="minorHAnsi" w:cstheme="minorHAnsi"/>
                <w:color w:val="000000"/>
                <w:szCs w:val="20"/>
                <w:lang w:val="fr-FR" w:eastAsia="fr-FR"/>
              </w:rPr>
            </w:pPr>
          </w:p>
          <w:p w14:paraId="093393AD" w14:textId="77777777" w:rsidR="00B740A8" w:rsidRPr="00C73365" w:rsidRDefault="00B740A8" w:rsidP="00D1541A">
            <w:pPr>
              <w:ind w:left="18"/>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comité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audit</w:t>
            </w:r>
          </w:p>
          <w:p w14:paraId="1AB50BE6" w14:textId="77777777" w:rsidR="00B740A8" w:rsidRPr="00C73365" w:rsidRDefault="00B740A8" w:rsidP="00D1541A">
            <w:pPr>
              <w:ind w:left="18"/>
              <w:jc w:val="center"/>
              <w:rPr>
                <w:rFonts w:asciiTheme="minorHAnsi" w:hAnsiTheme="minorHAnsi" w:cstheme="minorHAnsi"/>
                <w:color w:val="000000"/>
                <w:szCs w:val="20"/>
                <w:lang w:val="fr-FR" w:eastAsia="fr-FR"/>
              </w:rPr>
            </w:pPr>
          </w:p>
        </w:tc>
      </w:tr>
      <w:tr w:rsidR="00B740A8" w:rsidRPr="00C73365" w14:paraId="451F7164" w14:textId="77777777" w:rsidTr="00D1541A">
        <w:trPr>
          <w:trHeight w:val="1423"/>
          <w:jc w:val="center"/>
        </w:trPr>
        <w:tc>
          <w:tcPr>
            <w:tcW w:w="1768" w:type="dxa"/>
            <w:shd w:val="clear" w:color="auto" w:fill="auto"/>
            <w:hideMark/>
          </w:tcPr>
          <w:p w14:paraId="5113CF5F" w14:textId="77777777" w:rsidR="00B740A8" w:rsidRPr="00C73365" w:rsidRDefault="00B740A8" w:rsidP="00D1541A">
            <w:pPr>
              <w:spacing w:after="24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r w:rsidRPr="00C73365">
              <w:rPr>
                <w:rFonts w:asciiTheme="minorHAnsi" w:hAnsiTheme="minorHAnsi" w:cstheme="minorHAnsi"/>
                <w:color w:val="000000"/>
                <w:szCs w:val="20"/>
                <w:lang w:val="fr-FR" w:eastAsia="fr-FR"/>
              </w:rPr>
              <w:br/>
              <w:t>Claude Bertrand</w:t>
            </w:r>
          </w:p>
        </w:tc>
        <w:tc>
          <w:tcPr>
            <w:tcW w:w="1843" w:type="dxa"/>
            <w:shd w:val="clear" w:color="auto" w:fill="auto"/>
            <w:hideMark/>
          </w:tcPr>
          <w:p w14:paraId="00075498"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14:paraId="3444FFF8" w14:textId="77777777" w:rsidR="00B740A8" w:rsidRPr="00C73365" w:rsidRDefault="00B740A8" w:rsidP="00D1541A">
            <w:pPr>
              <w:jc w:val="center"/>
              <w:rPr>
                <w:rFonts w:asciiTheme="minorHAnsi" w:hAnsiTheme="minorHAnsi" w:cstheme="minorHAnsi"/>
                <w:color w:val="000000"/>
                <w:szCs w:val="20"/>
                <w:lang w:val="fr-FR" w:eastAsia="fr-FR"/>
              </w:rPr>
            </w:pPr>
          </w:p>
        </w:tc>
        <w:tc>
          <w:tcPr>
            <w:tcW w:w="1229" w:type="dxa"/>
            <w:shd w:val="clear" w:color="auto" w:fill="auto"/>
            <w:hideMark/>
          </w:tcPr>
          <w:p w14:paraId="561CA223"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hideMark/>
          </w:tcPr>
          <w:p w14:paraId="2385066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administrateur par l’assemblée générale en date du 11 mars 2014 pour une durée de 4 années expirant à l’issue de l’assemblée générale devant statuer sur les comptes de l’exercice clos le 31 décembre 2017.</w:t>
            </w:r>
          </w:p>
        </w:tc>
        <w:tc>
          <w:tcPr>
            <w:tcW w:w="1701" w:type="dxa"/>
          </w:tcPr>
          <w:p w14:paraId="4153C0FD"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Membre du comité d’audit </w:t>
            </w:r>
          </w:p>
        </w:tc>
      </w:tr>
      <w:tr w:rsidR="00B740A8" w:rsidRPr="0030056F" w14:paraId="092DBE00" w14:textId="77777777" w:rsidTr="00D1541A">
        <w:trPr>
          <w:trHeight w:val="1518"/>
          <w:jc w:val="center"/>
        </w:trPr>
        <w:tc>
          <w:tcPr>
            <w:tcW w:w="1768" w:type="dxa"/>
            <w:shd w:val="clear" w:color="auto" w:fill="auto"/>
            <w:hideMark/>
          </w:tcPr>
          <w:p w14:paraId="624DEE1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r w:rsidRPr="00C73365">
              <w:rPr>
                <w:rFonts w:asciiTheme="minorHAnsi" w:hAnsiTheme="minorHAnsi" w:cstheme="minorHAnsi"/>
                <w:color w:val="000000"/>
                <w:szCs w:val="20"/>
                <w:lang w:val="fr-FR" w:eastAsia="fr-FR"/>
              </w:rPr>
              <w:br/>
              <w:t>Jean-Jacques Bertrand</w:t>
            </w:r>
          </w:p>
        </w:tc>
        <w:tc>
          <w:tcPr>
            <w:tcW w:w="1843" w:type="dxa"/>
            <w:shd w:val="clear" w:color="auto" w:fill="auto"/>
            <w:hideMark/>
          </w:tcPr>
          <w:p w14:paraId="62B46769"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r w:rsidRPr="00C73365">
              <w:rPr>
                <w:rFonts w:asciiTheme="minorHAnsi" w:hAnsiTheme="minorHAnsi" w:cstheme="minorHAnsi"/>
                <w:color w:val="000000"/>
                <w:szCs w:val="20"/>
                <w:lang w:val="fr-FR" w:eastAsia="fr-FR"/>
              </w:rPr>
              <w:br/>
            </w:r>
            <w:r w:rsidRPr="00C73365">
              <w:rPr>
                <w:rFonts w:asciiTheme="minorHAnsi" w:hAnsiTheme="minorHAnsi" w:cstheme="minorHAnsi"/>
                <w:color w:val="000000"/>
                <w:szCs w:val="20"/>
                <w:lang w:val="fr-FR" w:eastAsia="fr-FR"/>
              </w:rPr>
              <w:br/>
            </w:r>
          </w:p>
        </w:tc>
        <w:tc>
          <w:tcPr>
            <w:tcW w:w="1229" w:type="dxa"/>
            <w:shd w:val="clear" w:color="auto" w:fill="auto"/>
            <w:hideMark/>
          </w:tcPr>
          <w:p w14:paraId="3DF00CAC"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14:paraId="3D23010B" w14:textId="77777777"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14:paraId="02EBE5AE"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administrateur par l’assemblée générale en date du 11 mars 2014 pour une durée de 4 années expirant à l’issue de l’assemblée générale devant statuer sur les comptes de l’exercice clos le 31 décembre 2017.</w:t>
            </w:r>
          </w:p>
        </w:tc>
        <w:tc>
          <w:tcPr>
            <w:tcW w:w="1701" w:type="dxa"/>
          </w:tcPr>
          <w:p w14:paraId="2ED70028"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comité des rémunérations</w:t>
            </w:r>
          </w:p>
        </w:tc>
      </w:tr>
      <w:tr w:rsidR="00B740A8" w:rsidRPr="0030056F" w14:paraId="208766BB" w14:textId="77777777" w:rsidTr="00D1541A">
        <w:trPr>
          <w:trHeight w:val="2197"/>
          <w:jc w:val="center"/>
        </w:trPr>
        <w:tc>
          <w:tcPr>
            <w:tcW w:w="1768" w:type="dxa"/>
            <w:shd w:val="clear" w:color="auto" w:fill="auto"/>
            <w:hideMark/>
          </w:tcPr>
          <w:p w14:paraId="3ADECAB6"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Santé Holding SRL</w:t>
            </w:r>
            <w:r w:rsidRPr="00C73365">
              <w:rPr>
                <w:rFonts w:asciiTheme="minorHAnsi" w:hAnsiTheme="minorHAnsi" w:cstheme="minorHAnsi"/>
                <w:color w:val="000000"/>
                <w:szCs w:val="20"/>
                <w:lang w:val="fr-FR" w:eastAsia="fr-FR"/>
              </w:rPr>
              <w:br/>
              <w:t>(représentant permanent au conseil : Antonino Ligresti)</w:t>
            </w:r>
          </w:p>
        </w:tc>
        <w:tc>
          <w:tcPr>
            <w:tcW w:w="1843" w:type="dxa"/>
            <w:shd w:val="clear" w:color="auto" w:fill="auto"/>
            <w:hideMark/>
          </w:tcPr>
          <w:p w14:paraId="10137140" w14:textId="77777777" w:rsidR="00B740A8" w:rsidRPr="00C73365" w:rsidRDefault="00B740A8" w:rsidP="00D1541A">
            <w:pPr>
              <w:spacing w:after="24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hideMark/>
          </w:tcPr>
          <w:p w14:paraId="54EC6284"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14:paraId="0B8C399F" w14:textId="77777777"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14:paraId="1D8B502C"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 administrateur en remplacement de Monsieur Jérôme Gallot par le conseil d’administration en date du 6 juillet 2015 et confirmé lors du conseil d’administration du 14 </w:t>
            </w:r>
            <w:r w:rsidR="006B119E" w:rsidRPr="00C73365">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2015. </w:t>
            </w:r>
          </w:p>
          <w:p w14:paraId="048F5F6F"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 lors de l’assemblée générale mixte en date du 23 juin 2017 pour une durée de 4 ans expirant à l’issue de l’assemblée générale devant statuer sur les comptes de l’exercice clos le 31 décembre 2020.</w:t>
            </w:r>
          </w:p>
        </w:tc>
        <w:tc>
          <w:tcPr>
            <w:tcW w:w="1701" w:type="dxa"/>
          </w:tcPr>
          <w:p w14:paraId="0B4CE8B0"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30056F" w14:paraId="397231F6" w14:textId="77777777" w:rsidTr="00D1541A">
        <w:trPr>
          <w:trHeight w:val="2197"/>
          <w:jc w:val="center"/>
        </w:trPr>
        <w:tc>
          <w:tcPr>
            <w:tcW w:w="1768" w:type="dxa"/>
            <w:shd w:val="clear" w:color="auto" w:fill="auto"/>
            <w:hideMark/>
          </w:tcPr>
          <w:p w14:paraId="057CCFA8"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Truffle Capital </w:t>
            </w:r>
            <w:r w:rsidRPr="00C73365">
              <w:rPr>
                <w:rFonts w:asciiTheme="minorHAnsi" w:hAnsiTheme="minorHAnsi" w:cstheme="minorHAnsi"/>
                <w:color w:val="000000"/>
                <w:szCs w:val="20"/>
                <w:lang w:val="fr-FR" w:eastAsia="fr-FR"/>
              </w:rPr>
              <w:br/>
              <w:t>(représentant permanent au conseil : Antoine Pau jusqu’au 22 janvier 2018, Christian Pierret à partir du 22 janvier 2018)</w:t>
            </w:r>
          </w:p>
          <w:p w14:paraId="20370A98" w14:textId="77777777" w:rsidR="00B740A8" w:rsidRPr="00C73365" w:rsidRDefault="00B740A8" w:rsidP="00D1541A">
            <w:pPr>
              <w:rPr>
                <w:rFonts w:asciiTheme="minorHAnsi" w:hAnsiTheme="minorHAnsi" w:cstheme="minorHAnsi"/>
                <w:color w:val="000000"/>
                <w:szCs w:val="20"/>
                <w:lang w:val="fr-FR" w:eastAsia="fr-FR"/>
              </w:rPr>
            </w:pPr>
          </w:p>
          <w:p w14:paraId="7A9E2349" w14:textId="77777777" w:rsidR="00B740A8" w:rsidRPr="00C73365" w:rsidRDefault="00B740A8" w:rsidP="00D1541A">
            <w:pPr>
              <w:rPr>
                <w:rFonts w:asciiTheme="minorHAnsi" w:hAnsiTheme="minorHAnsi" w:cstheme="minorHAnsi"/>
                <w:color w:val="000000"/>
                <w:szCs w:val="20"/>
                <w:lang w:val="fr-FR" w:eastAsia="fr-FR"/>
              </w:rPr>
            </w:pPr>
          </w:p>
        </w:tc>
        <w:tc>
          <w:tcPr>
            <w:tcW w:w="1843" w:type="dxa"/>
            <w:shd w:val="clear" w:color="auto" w:fill="auto"/>
            <w:hideMark/>
          </w:tcPr>
          <w:p w14:paraId="1FBC9EF5" w14:textId="77777777" w:rsidR="00B740A8" w:rsidRPr="00C73365" w:rsidRDefault="00B740A8" w:rsidP="00D1541A">
            <w:pPr>
              <w:spacing w:after="24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r w:rsidRPr="00C73365">
              <w:rPr>
                <w:rFonts w:asciiTheme="minorHAnsi" w:hAnsiTheme="minorHAnsi" w:cstheme="minorHAnsi"/>
                <w:color w:val="000000"/>
                <w:szCs w:val="20"/>
                <w:lang w:val="fr-FR" w:eastAsia="fr-FR"/>
              </w:rPr>
              <w:br/>
            </w:r>
          </w:p>
        </w:tc>
        <w:tc>
          <w:tcPr>
            <w:tcW w:w="1229" w:type="dxa"/>
            <w:shd w:val="clear" w:color="auto" w:fill="auto"/>
            <w:hideMark/>
          </w:tcPr>
          <w:p w14:paraId="222AE529"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3732" w:type="dxa"/>
            <w:shd w:val="clear" w:color="auto" w:fill="auto"/>
            <w:hideMark/>
          </w:tcPr>
          <w:p w14:paraId="62A62CA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Nommé administrateur aux termes de l’acte constitutif de la Société. </w:t>
            </w:r>
          </w:p>
          <w:p w14:paraId="1C0C3646"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 lors de l’assemblée générale mixte en date du 23 juin 2017 pour une durée de 4 ans expirant à l’issue de l’assemblée générale devant statuer sur les comptes de l’exercice clos le 31 décembre 2020.</w:t>
            </w:r>
          </w:p>
        </w:tc>
        <w:tc>
          <w:tcPr>
            <w:tcW w:w="1701" w:type="dxa"/>
          </w:tcPr>
          <w:p w14:paraId="1B8ADDF8"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30056F" w14:paraId="35B0EA6C" w14:textId="77777777" w:rsidTr="00D1541A">
        <w:trPr>
          <w:trHeight w:val="288"/>
          <w:jc w:val="center"/>
        </w:trPr>
        <w:tc>
          <w:tcPr>
            <w:tcW w:w="1768" w:type="dxa"/>
            <w:shd w:val="clear" w:color="auto" w:fill="auto"/>
          </w:tcPr>
          <w:p w14:paraId="6CF36D0D" w14:textId="77777777" w:rsidR="00B740A8" w:rsidRPr="00C73365" w:rsidRDefault="00B740A8" w:rsidP="00D1541A">
            <w:pPr>
              <w:spacing w:after="240"/>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Madame Corinna zur Bonsen-Thomas</w:t>
            </w:r>
          </w:p>
        </w:tc>
        <w:tc>
          <w:tcPr>
            <w:tcW w:w="1843" w:type="dxa"/>
            <w:shd w:val="clear" w:color="auto" w:fill="auto"/>
          </w:tcPr>
          <w:p w14:paraId="51AB7EE3"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Administrateur </w:t>
            </w:r>
            <w:r w:rsidRPr="00C73365">
              <w:rPr>
                <w:rFonts w:asciiTheme="minorHAnsi" w:hAnsiTheme="minorHAnsi" w:cstheme="minorHAnsi"/>
                <w:color w:val="000000"/>
                <w:szCs w:val="20"/>
                <w:lang w:val="fr-FR" w:eastAsia="fr-FR"/>
              </w:rPr>
              <w:br/>
            </w:r>
          </w:p>
        </w:tc>
        <w:tc>
          <w:tcPr>
            <w:tcW w:w="1229" w:type="dxa"/>
            <w:shd w:val="clear" w:color="auto" w:fill="auto"/>
          </w:tcPr>
          <w:p w14:paraId="3B2FAB59"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tcPr>
          <w:p w14:paraId="2ECD49DA"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Nommée administrateur par l’assemblée générale en date du 23 juin 2017 pour une durée de 4 années expirant à l’issue de l’assemblée générale devant statuer sur les comptes de l’exercice clos le 31 décembre 2020.</w:t>
            </w:r>
          </w:p>
        </w:tc>
        <w:tc>
          <w:tcPr>
            <w:tcW w:w="1701" w:type="dxa"/>
          </w:tcPr>
          <w:p w14:paraId="149705D7"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w:t>
            </w:r>
          </w:p>
          <w:p w14:paraId="00C7D430"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comité d’audit</w:t>
            </w:r>
          </w:p>
          <w:p w14:paraId="0D23E911"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(jusqu’au 22 janvier 2018), Présidente du comité d’audit (à partir du 22 janvier 2018)</w:t>
            </w:r>
          </w:p>
        </w:tc>
      </w:tr>
      <w:tr w:rsidR="00B740A8" w:rsidRPr="0030056F" w14:paraId="7DA827BB" w14:textId="77777777" w:rsidTr="00D1541A">
        <w:trPr>
          <w:trHeight w:val="1795"/>
          <w:jc w:val="center"/>
        </w:trPr>
        <w:tc>
          <w:tcPr>
            <w:tcW w:w="1768" w:type="dxa"/>
            <w:shd w:val="clear" w:color="auto" w:fill="auto"/>
            <w:hideMark/>
          </w:tcPr>
          <w:p w14:paraId="5F1E0DE2" w14:textId="77777777" w:rsidR="00B740A8" w:rsidRPr="00C73365" w:rsidRDefault="00B740A8" w:rsidP="00D1541A">
            <w:pPr>
              <w:spacing w:after="24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w:t>
            </w:r>
            <w:r w:rsidRPr="00C73365">
              <w:rPr>
                <w:rFonts w:asciiTheme="minorHAnsi" w:hAnsiTheme="minorHAnsi" w:cstheme="minorHAnsi"/>
                <w:color w:val="000000"/>
                <w:szCs w:val="20"/>
                <w:lang w:val="fr-FR" w:eastAsia="fr-FR"/>
              </w:rPr>
              <w:br/>
              <w:t>Dominique Costantini</w:t>
            </w:r>
            <w:r w:rsidRPr="00C73365">
              <w:rPr>
                <w:rFonts w:asciiTheme="minorHAnsi" w:hAnsiTheme="minorHAnsi" w:cstheme="minorHAnsi"/>
                <w:color w:val="000000"/>
                <w:szCs w:val="20"/>
                <w:lang w:val="fr-FR" w:eastAsia="fr-FR"/>
              </w:rPr>
              <w:br/>
            </w:r>
          </w:p>
        </w:tc>
        <w:tc>
          <w:tcPr>
            <w:tcW w:w="1843" w:type="dxa"/>
            <w:shd w:val="clear" w:color="auto" w:fill="auto"/>
            <w:hideMark/>
          </w:tcPr>
          <w:p w14:paraId="1F0774C4"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hideMark/>
          </w:tcPr>
          <w:p w14:paraId="7C1738A0"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p w14:paraId="21E43F86" w14:textId="77777777"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14:paraId="4C65B2A6"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Cooptée administrateur en remplacement de Monsieur Miguel Sieler par le conseil d’administration en date du 14 </w:t>
            </w:r>
            <w:r w:rsidR="006B119E" w:rsidRPr="00C73365">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2015. </w:t>
            </w:r>
          </w:p>
          <w:p w14:paraId="74836245"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Renouvelée lors de l’assemblée générale mixte en date du 23 juin 2017 pour une durée de 4 ans expirant à l’issue de l’assemblée générale devant statuer sur les comptes de l’exercice clos le 31 décembre 2020.</w:t>
            </w:r>
          </w:p>
        </w:tc>
        <w:tc>
          <w:tcPr>
            <w:tcW w:w="1701" w:type="dxa"/>
          </w:tcPr>
          <w:p w14:paraId="6F5DD458"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30056F" w14:paraId="4A26EAEA" w14:textId="77777777" w:rsidTr="00D1541A">
        <w:trPr>
          <w:trHeight w:val="603"/>
          <w:jc w:val="center"/>
        </w:trPr>
        <w:tc>
          <w:tcPr>
            <w:tcW w:w="1768" w:type="dxa"/>
            <w:shd w:val="clear" w:color="auto" w:fill="auto"/>
          </w:tcPr>
          <w:p w14:paraId="37092333"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w:t>
            </w:r>
            <w:r w:rsidRPr="00C73365">
              <w:rPr>
                <w:rFonts w:asciiTheme="minorHAnsi" w:hAnsiTheme="minorHAnsi" w:cstheme="minorHAnsi"/>
                <w:color w:val="000000"/>
                <w:szCs w:val="20"/>
                <w:lang w:val="fr-FR" w:eastAsia="fr-FR"/>
              </w:rPr>
              <w:br/>
              <w:t>Carol L. Brosgart (à partir du 22 janvier 2018)</w:t>
            </w:r>
          </w:p>
        </w:tc>
        <w:tc>
          <w:tcPr>
            <w:tcW w:w="1843" w:type="dxa"/>
            <w:shd w:val="clear" w:color="auto" w:fill="auto"/>
          </w:tcPr>
          <w:p w14:paraId="74983583"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tcPr>
          <w:p w14:paraId="0E49E891"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tcPr>
          <w:p w14:paraId="446BAD76"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color w:val="000000"/>
                <w:szCs w:val="20"/>
                <w:lang w:val="fr-FR" w:eastAsia="fr-FR"/>
              </w:rPr>
              <w:t>Cooptée administrateur par le conseil d’administration en date du 22 janvier 2018 en remplacement de Monsieur Christian Pierret pour la durée de son mandat soit jusqu’à l’issue de l’assemblée générale devant statuer sur les comptes de l’exercice clos le 31 décembre 2017.</w:t>
            </w:r>
          </w:p>
          <w:p w14:paraId="71EA56D7" w14:textId="77777777" w:rsidR="00B740A8" w:rsidRPr="00C73365" w:rsidRDefault="00B740A8" w:rsidP="00D1541A">
            <w:pPr>
              <w:rPr>
                <w:rFonts w:asciiTheme="minorHAnsi" w:hAnsiTheme="minorHAnsi" w:cstheme="minorHAnsi"/>
                <w:color w:val="000000"/>
                <w:szCs w:val="20"/>
                <w:lang w:val="fr-FR" w:eastAsia="fr-FR"/>
              </w:rPr>
            </w:pPr>
          </w:p>
        </w:tc>
        <w:tc>
          <w:tcPr>
            <w:tcW w:w="1701" w:type="dxa"/>
          </w:tcPr>
          <w:p w14:paraId="4612612E" w14:textId="77777777" w:rsidR="00B740A8" w:rsidRPr="00C73365" w:rsidRDefault="00B740A8" w:rsidP="00D1541A">
            <w:pPr>
              <w:rPr>
                <w:rFonts w:asciiTheme="minorHAnsi" w:hAnsiTheme="minorHAnsi" w:cstheme="minorHAnsi"/>
                <w:color w:val="000000"/>
                <w:szCs w:val="20"/>
                <w:lang w:val="fr-FR" w:eastAsia="fr-FR"/>
              </w:rPr>
            </w:pPr>
          </w:p>
        </w:tc>
      </w:tr>
    </w:tbl>
    <w:p w14:paraId="520EFE9B" w14:textId="77777777" w:rsidR="00B740A8" w:rsidRPr="00C73365" w:rsidRDefault="00B740A8" w:rsidP="00B740A8">
      <w:pPr>
        <w:rPr>
          <w:rFonts w:asciiTheme="minorHAnsi" w:hAnsiTheme="minorHAnsi" w:cstheme="minorHAnsi"/>
          <w:color w:val="000000"/>
          <w:szCs w:val="20"/>
          <w:lang w:val="fr-FR" w:eastAsia="fr-FR"/>
        </w:rPr>
      </w:pPr>
    </w:p>
    <w:p w14:paraId="244A53DB" w14:textId="77777777" w:rsidR="00B740A8" w:rsidRPr="00C73365" w:rsidRDefault="00B740A8" w:rsidP="00B740A8">
      <w:pPr>
        <w:spacing w:line="264" w:lineRule="auto"/>
        <w:rPr>
          <w:rFonts w:asciiTheme="minorHAnsi" w:hAnsiTheme="minorHAnsi" w:cstheme="minorHAnsi"/>
          <w:szCs w:val="22"/>
          <w:lang w:val="fr-FR"/>
        </w:rPr>
      </w:pPr>
    </w:p>
    <w:p w14:paraId="527FC057"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 xml:space="preserve">Lors du conseil d’administration du 23 janvier 2017, un nouveau membre du conseil d’administration, Madame Joy Amundson, a été cooptée en remplacement de la société Amundson Partners Ltd. représentée par Madame Joy Amundson, démissionnaire. </w:t>
      </w:r>
    </w:p>
    <w:p w14:paraId="0A02A3E6"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Lors de l’assemblée générale du 23 juin 2017, Madame Corinna zur Bonsen-Thomas a été nommée administrateur jusqu’à l’issue de l’assemblée générale appelée à statuer sur les comptes de l’exercice clos le 31 décembre 2020. La cooptation de Madame Joy Amundson, en remplacement de la société Amundson Partners Ltd., démissionnaire, jusqu’à l’issue de l’assemblée générale appelée à statuer sur les comptes de l’exercice clos le 31 décembre 2017, a été ratifiée.</w:t>
      </w:r>
    </w:p>
    <w:p w14:paraId="22565D50"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Lors de la réunion du conseil d’administration du 13 juillet 2017, le conseil a pris acte de la démission de Monsieur Jean-Paul Prieels de ses fonctions d’administrateur de la Société. Le conseil du 13 juillet 2017 a également renouvelé le mandat de Président du conseil d’administration de Monsieur Philippe Pouletty pour la durée de son mandat d’administrateur.</w:t>
      </w:r>
    </w:p>
    <w:p w14:paraId="664686B9"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Lors de la réunion du conseil d’administration du 22 janvier 2018, le conseil a pris acte de la démission de Monsieur Christian Pierret de ses fonctions d’administrateur de la Société. Le conseil a coopté en qualité de nouvel administrateur Madame Carol L. Brosgart, en remplacement de Christian Pierret, pour la durée de son mandat restant à courir, soit jusqu’à l’issue de l’Assemblée générale qui sera appelée à statuer sur les comptes de l’exercice clos le 31 décembre 2017.</w:t>
      </w:r>
      <w:r w:rsidRPr="00C73365">
        <w:rPr>
          <w:rFonts w:asciiTheme="minorHAnsi" w:hAnsiTheme="minorHAnsi" w:cstheme="minorHAnsi"/>
          <w:sz w:val="21"/>
          <w:szCs w:val="21"/>
          <w:lang w:val="fr-FR"/>
        </w:rPr>
        <w:t xml:space="preserve"> </w:t>
      </w:r>
      <w:r w:rsidRPr="00C73365">
        <w:rPr>
          <w:rFonts w:asciiTheme="minorHAnsi" w:hAnsiTheme="minorHAnsi" w:cstheme="minorHAnsi"/>
          <w:lang w:val="fr-FR"/>
        </w:rPr>
        <w:t xml:space="preserve">Par ailleurs, le conseil du 22 janvier 2018 a pris acte du changement de représentant permanent de Truffle Capital, Monsieur Antoine Pau étant remplacé par Monsieur Christian Pierret. </w:t>
      </w:r>
    </w:p>
    <w:p w14:paraId="3AAB5E0B"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La durée des fonctions des administrateurs est de quatre années et expire à l’issue de la réunion de l’Assemblée générale ordinaire des actionnaires ayant statué sur les comptes de l’exercice écoulé et tenue dans l’année au cours de laquelle expire le mandat dudit administrateur. Les administrateurs son rééligibles. Ils peuvent être révoqués à tout moment.</w:t>
      </w:r>
    </w:p>
    <w:p w14:paraId="5B43A8FB"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Les mandats de certains administrateurs arrivent à expiration à l’issue de l’assemblée générale </w:t>
      </w:r>
      <w:r w:rsidRPr="00C73365">
        <w:rPr>
          <w:rFonts w:asciiTheme="minorHAnsi" w:hAnsiTheme="minorHAnsi" w:cstheme="minorHAnsi"/>
          <w:szCs w:val="22"/>
          <w:lang w:val="fr-FR"/>
        </w:rPr>
        <w:t>devant statuer sur les comptes de l’exercice clos le 31 décembre 2017.</w:t>
      </w:r>
      <w:r w:rsidRPr="00C73365">
        <w:rPr>
          <w:rFonts w:asciiTheme="minorHAnsi" w:hAnsiTheme="minorHAnsi" w:cstheme="minorHAnsi"/>
          <w:lang w:val="fr-FR"/>
        </w:rPr>
        <w:t xml:space="preserve"> Il sera proposé aux actionnaires de les renouveler.</w:t>
      </w:r>
    </w:p>
    <w:p w14:paraId="4DB68EFB"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A la date du présent document de référence, le conseil d’administration compte 9 membres dont 4 femmes. La Société veille particulièrement à l’application du principe de représentation équilibrée des femmes et des hommes au sein du conseil d’administration. Notamment, le conseil d’administration du 13 juillet 2017, lors de sa prise d’acte de la démission de Monsieur Jean-Paul Prieels, s’est engagé à proposer la nomination d’une nouvelle administratrice afin de se conformer aux dispositions de l’article L.225-18-1 du Code de commerce. Lors de sa séance du 22 janvier 2018, le conseil d’administration a coopté Madame Carol L. Brosgart en qualité d’administrateur.</w:t>
      </w:r>
    </w:p>
    <w:p w14:paraId="6F981F4D"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Les adresses professionnelles des administrateurs sont les suivantes :</w:t>
      </w:r>
    </w:p>
    <w:p w14:paraId="39F5D14C" w14:textId="77777777" w:rsidR="00B740A8" w:rsidRPr="00C93577" w:rsidRDefault="00B740A8" w:rsidP="004572A0">
      <w:pPr>
        <w:pStyle w:val="Listepuces2"/>
        <w:numPr>
          <w:ilvl w:val="0"/>
          <w:numId w:val="47"/>
        </w:numPr>
        <w:rPr>
          <w:rFonts w:asciiTheme="minorHAnsi" w:hAnsiTheme="minorHAnsi" w:cstheme="minorHAnsi"/>
          <w:lang w:val="fr-FR"/>
        </w:rPr>
      </w:pPr>
      <w:r w:rsidRPr="00C93577">
        <w:rPr>
          <w:rFonts w:asciiTheme="minorHAnsi" w:hAnsiTheme="minorHAnsi" w:cstheme="minorHAnsi"/>
          <w:lang w:val="fr-FR"/>
        </w:rPr>
        <w:t>Messieurs Philippe Pouletty, Christian Pierret (Truffle Capital) : 5, rue de la Baume – 75008 Paris ;</w:t>
      </w:r>
    </w:p>
    <w:p w14:paraId="266B220F" w14:textId="77777777" w:rsidR="00B740A8" w:rsidRPr="00C73365" w:rsidRDefault="00B740A8" w:rsidP="004572A0">
      <w:pPr>
        <w:pStyle w:val="Listepuces2"/>
        <w:numPr>
          <w:ilvl w:val="0"/>
          <w:numId w:val="47"/>
        </w:numPr>
        <w:rPr>
          <w:rFonts w:asciiTheme="minorHAnsi" w:hAnsiTheme="minorHAnsi" w:cstheme="minorHAnsi"/>
          <w:lang w:val="fr-FR"/>
        </w:rPr>
      </w:pPr>
      <w:r w:rsidRPr="00C73365">
        <w:rPr>
          <w:rFonts w:asciiTheme="minorHAnsi" w:hAnsiTheme="minorHAnsi" w:cstheme="minorHAnsi"/>
        </w:rPr>
        <w:t xml:space="preserve">Madame Joy Amundson: 1744 Gulf Shore Blvd. </w:t>
      </w:r>
      <w:r w:rsidRPr="00C73365">
        <w:rPr>
          <w:rFonts w:asciiTheme="minorHAnsi" w:hAnsiTheme="minorHAnsi" w:cstheme="minorHAnsi"/>
          <w:lang w:val="fr-FR"/>
        </w:rPr>
        <w:t>North. Naples FL. 34102, Etats-Unis ;</w:t>
      </w:r>
    </w:p>
    <w:p w14:paraId="77065DEE" w14:textId="77777777" w:rsidR="00B740A8" w:rsidRPr="00C93577" w:rsidRDefault="00B740A8" w:rsidP="004572A0">
      <w:pPr>
        <w:pStyle w:val="Listepuces2"/>
        <w:numPr>
          <w:ilvl w:val="0"/>
          <w:numId w:val="47"/>
        </w:numPr>
        <w:rPr>
          <w:rFonts w:asciiTheme="minorHAnsi" w:hAnsiTheme="minorHAnsi" w:cstheme="minorHAnsi"/>
          <w:lang w:val="fr-FR"/>
        </w:rPr>
      </w:pPr>
      <w:r w:rsidRPr="00C93577">
        <w:rPr>
          <w:rFonts w:asciiTheme="minorHAnsi" w:hAnsiTheme="minorHAnsi" w:cstheme="minorHAnsi"/>
          <w:lang w:val="fr-FR"/>
        </w:rPr>
        <w:t>Monsieur Claude Bertrand : Servier, 50 rue Carnot - 92284 Suresnes Cedex ;</w:t>
      </w:r>
    </w:p>
    <w:p w14:paraId="4A4E746A" w14:textId="77777777" w:rsidR="00B740A8" w:rsidRPr="00C93577" w:rsidRDefault="00B740A8" w:rsidP="004572A0">
      <w:pPr>
        <w:pStyle w:val="Listepuces2"/>
        <w:numPr>
          <w:ilvl w:val="0"/>
          <w:numId w:val="47"/>
        </w:numPr>
        <w:rPr>
          <w:rFonts w:asciiTheme="minorHAnsi" w:hAnsiTheme="minorHAnsi" w:cstheme="minorHAnsi"/>
          <w:lang w:val="fr-FR"/>
        </w:rPr>
      </w:pPr>
      <w:r w:rsidRPr="00C93577">
        <w:rPr>
          <w:rFonts w:asciiTheme="minorHAnsi" w:hAnsiTheme="minorHAnsi" w:cstheme="minorHAnsi"/>
          <w:lang w:val="fr-FR"/>
        </w:rPr>
        <w:t>Monsieur Jean-Jacques Bertrand : Pierre Fabre, 12 avenue Hoche, 75008 Paris ;</w:t>
      </w:r>
    </w:p>
    <w:p w14:paraId="3ED4D136" w14:textId="77777777" w:rsidR="00B740A8" w:rsidRPr="00C93577" w:rsidRDefault="00B740A8" w:rsidP="004572A0">
      <w:pPr>
        <w:pStyle w:val="Listepuces2"/>
        <w:numPr>
          <w:ilvl w:val="0"/>
          <w:numId w:val="47"/>
        </w:numPr>
        <w:rPr>
          <w:rFonts w:asciiTheme="minorHAnsi" w:hAnsiTheme="minorHAnsi" w:cstheme="minorHAnsi"/>
          <w:lang w:val="fr-FR"/>
        </w:rPr>
      </w:pPr>
      <w:r w:rsidRPr="00C93577">
        <w:rPr>
          <w:rFonts w:asciiTheme="minorHAnsi" w:hAnsiTheme="minorHAnsi" w:cstheme="minorHAnsi"/>
          <w:lang w:val="fr-FR"/>
        </w:rPr>
        <w:t>Monsieur Antonino Ligresti (Santé Holding SRL) : Viale Doria Andres 7 Cp 20124 Milan (Italie) ;</w:t>
      </w:r>
    </w:p>
    <w:p w14:paraId="056AE222" w14:textId="77777777" w:rsidR="00B740A8" w:rsidRPr="00C93577" w:rsidRDefault="00B740A8" w:rsidP="004572A0">
      <w:pPr>
        <w:pStyle w:val="Listepuces2"/>
        <w:numPr>
          <w:ilvl w:val="0"/>
          <w:numId w:val="47"/>
        </w:numPr>
        <w:rPr>
          <w:rFonts w:asciiTheme="minorHAnsi" w:hAnsiTheme="minorHAnsi" w:cstheme="minorHAnsi"/>
          <w:lang w:val="fr-FR"/>
        </w:rPr>
      </w:pPr>
      <w:r w:rsidRPr="00C93577">
        <w:rPr>
          <w:rFonts w:asciiTheme="minorHAnsi" w:hAnsiTheme="minorHAnsi" w:cstheme="minorHAnsi"/>
          <w:lang w:val="fr-FR"/>
        </w:rPr>
        <w:t>Madame Dominique Costantini : 286 boulevard Raspail, 75014 Paris ;</w:t>
      </w:r>
    </w:p>
    <w:p w14:paraId="7071D9D6" w14:textId="77777777" w:rsidR="00B740A8" w:rsidRPr="00C73365" w:rsidRDefault="00B740A8" w:rsidP="004572A0">
      <w:pPr>
        <w:pStyle w:val="Listepuces2"/>
        <w:numPr>
          <w:ilvl w:val="0"/>
          <w:numId w:val="47"/>
        </w:numPr>
        <w:rPr>
          <w:rFonts w:asciiTheme="minorHAnsi" w:hAnsiTheme="minorHAnsi" w:cstheme="minorHAnsi"/>
        </w:rPr>
      </w:pPr>
      <w:r w:rsidRPr="00C73365">
        <w:rPr>
          <w:rFonts w:asciiTheme="minorHAnsi" w:hAnsiTheme="minorHAnsi" w:cstheme="minorHAnsi"/>
        </w:rPr>
        <w:t xml:space="preserve">Madame Corinna zur Bonsen-Thomas : Clemensstr. 34, 80803 Muenchen, Allemagne ; et </w:t>
      </w:r>
    </w:p>
    <w:p w14:paraId="5ABEDC61" w14:textId="77777777" w:rsidR="00B740A8" w:rsidRPr="00C73365" w:rsidRDefault="00B740A8" w:rsidP="004572A0">
      <w:pPr>
        <w:pStyle w:val="Listepuces2"/>
        <w:numPr>
          <w:ilvl w:val="0"/>
          <w:numId w:val="47"/>
        </w:numPr>
        <w:rPr>
          <w:rFonts w:asciiTheme="minorHAnsi" w:hAnsiTheme="minorHAnsi" w:cstheme="minorHAnsi"/>
        </w:rPr>
      </w:pPr>
      <w:r w:rsidRPr="00C73365">
        <w:rPr>
          <w:rFonts w:asciiTheme="minorHAnsi" w:hAnsiTheme="minorHAnsi" w:cstheme="minorHAnsi"/>
        </w:rPr>
        <w:t>Madame Carol L. Brosgart : 3133 Lewiston Avenue, Berkeley, California, USA, 94705.</w:t>
      </w:r>
    </w:p>
    <w:p w14:paraId="671955F8" w14:textId="77777777" w:rsidR="00B740A8" w:rsidRPr="00C73365" w:rsidRDefault="00B740A8" w:rsidP="00B740A8">
      <w:pPr>
        <w:tabs>
          <w:tab w:val="left" w:pos="600"/>
          <w:tab w:val="left" w:pos="993"/>
        </w:tabs>
        <w:spacing w:line="264" w:lineRule="auto"/>
        <w:rPr>
          <w:rFonts w:asciiTheme="minorHAnsi" w:hAnsiTheme="minorHAnsi" w:cstheme="minorHAnsi"/>
          <w:szCs w:val="22"/>
        </w:rPr>
      </w:pPr>
    </w:p>
    <w:p w14:paraId="5203F80A"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L’expertise et l’expérience en matière de gestion de ces personnes résultent de différentes fonctions salariées et de direction qu’elles ont précédemment exercées (se reporter au paragraphe 14.1.5 « Biographies des administrateurs et du directeur général »).</w:t>
      </w:r>
    </w:p>
    <w:p w14:paraId="7D4F7584" w14:textId="77777777"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Directeur général</w:t>
      </w:r>
    </w:p>
    <w:p w14:paraId="6C5C39A5" w14:textId="77777777" w:rsidR="00B740A8" w:rsidRPr="00C73365" w:rsidRDefault="00B740A8" w:rsidP="00B740A8">
      <w:pPr>
        <w:pStyle w:val="ConmainL3"/>
        <w:keepLines/>
        <w:tabs>
          <w:tab w:val="clear" w:pos="360"/>
        </w:tabs>
        <w:spacing w:after="0"/>
        <w:outlineLvl w:val="9"/>
        <w:rPr>
          <w:rFonts w:asciiTheme="minorHAnsi" w:hAnsiTheme="minorHAnsi" w:cstheme="minorHAnsi"/>
          <w:b/>
          <w:color w:val="7030A0"/>
          <w:lang w:val="fr-FR"/>
        </w:rPr>
      </w:pPr>
    </w:p>
    <w:p w14:paraId="291C4FFA"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Monsieur Hartmut Ehrlich a été nommé directeur général de la Société par le conseil d’administration en date du 4 décembre 2013. Son mandat a été renouvelé le 13 juillet 2017 jusqu’à l’issue de l’assemblée générale devant statuer sur les comptes de l’exercice clos le 31 décembre 2020. Il n’est titulaire d’aucun autre mandat dans aucune autre société.</w:t>
      </w:r>
    </w:p>
    <w:p w14:paraId="3E34E5FD" w14:textId="77777777"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Déclaration concernant les membres du conseil d’administration et le directeur général</w:t>
      </w:r>
    </w:p>
    <w:p w14:paraId="0E67EF48" w14:textId="77777777" w:rsidR="00B740A8" w:rsidRPr="00C73365" w:rsidRDefault="00B740A8" w:rsidP="00B740A8">
      <w:pPr>
        <w:tabs>
          <w:tab w:val="left" w:pos="600"/>
          <w:tab w:val="left" w:pos="993"/>
        </w:tabs>
        <w:spacing w:line="264" w:lineRule="auto"/>
        <w:rPr>
          <w:rFonts w:asciiTheme="minorHAnsi" w:hAnsiTheme="minorHAnsi" w:cstheme="minorHAnsi"/>
          <w:szCs w:val="20"/>
          <w:lang w:val="fr-FR"/>
        </w:rPr>
      </w:pPr>
    </w:p>
    <w:p w14:paraId="445364DD"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Il n’existe aucun lien familial entre les personnes listées ci-dessus.</w:t>
      </w:r>
    </w:p>
    <w:p w14:paraId="4E51459B"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A la connaissance de la Société et au jour de l’enregistrement du document de référence, aucune de ces personnes, au cours des 5 dernières années :</w:t>
      </w:r>
    </w:p>
    <w:p w14:paraId="1EE8248D" w14:textId="77777777" w:rsidR="00B740A8" w:rsidRPr="00C73365" w:rsidRDefault="00B740A8" w:rsidP="00B740A8">
      <w:pPr>
        <w:pStyle w:val="Paragraphedeliste"/>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fait l’objet de condamnation pour fraude ;</w:t>
      </w:r>
    </w:p>
    <w:p w14:paraId="4ACEF583" w14:textId="77777777" w:rsidR="00B740A8" w:rsidRPr="00C73365" w:rsidRDefault="00B740A8" w:rsidP="00B740A8">
      <w:pPr>
        <w:pStyle w:val="Paragraphedeliste"/>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été associée en sa qualité de dirigeant ou administrateur à une faillite, mise sous séquestre ou liquidation ;</w:t>
      </w:r>
    </w:p>
    <w:p w14:paraId="00AD7697" w14:textId="77777777" w:rsidR="00B740A8" w:rsidRPr="00C73365" w:rsidRDefault="00B740A8" w:rsidP="00B740A8">
      <w:pPr>
        <w:pStyle w:val="Paragraphedeliste"/>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fait l’objet d’une interdiction de gérer ; et</w:t>
      </w:r>
    </w:p>
    <w:p w14:paraId="19AB23B9" w14:textId="77777777" w:rsidR="00B740A8" w:rsidRPr="00C73365" w:rsidRDefault="00B740A8" w:rsidP="00B740A8">
      <w:pPr>
        <w:pStyle w:val="Paragraphedeliste"/>
        <w:numPr>
          <w:ilvl w:val="0"/>
          <w:numId w:val="48"/>
        </w:numPr>
        <w:spacing w:after="0"/>
        <w:rPr>
          <w:rFonts w:asciiTheme="minorHAnsi" w:hAnsiTheme="minorHAnsi" w:cstheme="minorHAnsi"/>
          <w:lang w:val="fr-FR"/>
        </w:rPr>
      </w:pPr>
      <w:r w:rsidRPr="00C73365">
        <w:rPr>
          <w:rFonts w:asciiTheme="minorHAnsi" w:hAnsiTheme="minorHAnsi" w:cstheme="minorHAnsi"/>
          <w:szCs w:val="22"/>
          <w:lang w:val="fr-FR"/>
        </w:rPr>
        <w:t>n’a fait l’objet d’incriminations ou de sanctions publiques officielles prononcées par des autorités statutaires ou réglementaires.</w:t>
      </w:r>
    </w:p>
    <w:p w14:paraId="558631C5" w14:textId="77777777" w:rsidR="00B740A8" w:rsidRPr="00C73365" w:rsidRDefault="00B740A8" w:rsidP="004572A0">
      <w:pPr>
        <w:pStyle w:val="Retraitcorpset1relig"/>
        <w:rPr>
          <w:rFonts w:asciiTheme="minorHAnsi" w:hAnsiTheme="minorHAnsi" w:cstheme="minorHAnsi"/>
          <w:lang w:val="fr-FR"/>
        </w:rPr>
        <w:sectPr w:rsidR="00B740A8" w:rsidRPr="00C73365" w:rsidSect="006A05A6">
          <w:footerReference w:type="default" r:id="rId71"/>
          <w:pgSz w:w="11907" w:h="16840" w:code="9"/>
          <w:pgMar w:top="1134" w:right="1134" w:bottom="1134" w:left="1134" w:header="709" w:footer="709" w:gutter="0"/>
          <w:cols w:space="708"/>
          <w:docGrid w:linePitch="360"/>
        </w:sectPr>
      </w:pPr>
    </w:p>
    <w:p w14:paraId="18303570" w14:textId="77777777"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Autres mandats sociaux en cours et fonctions exercés</w:t>
      </w:r>
    </w:p>
    <w:p w14:paraId="0C7EC3D6" w14:textId="77777777" w:rsidR="00B740A8" w:rsidRPr="00C73365" w:rsidRDefault="00B740A8" w:rsidP="00B740A8">
      <w:pPr>
        <w:pStyle w:val="ConmainL3"/>
        <w:keepLines/>
        <w:tabs>
          <w:tab w:val="clear" w:pos="360"/>
        </w:tabs>
        <w:spacing w:after="0"/>
        <w:outlineLvl w:val="9"/>
        <w:rPr>
          <w:rFonts w:asciiTheme="minorHAnsi" w:hAnsiTheme="minorHAnsi" w:cstheme="minorHAnsi"/>
          <w:b/>
          <w:color w:val="7030A0"/>
          <w:lang w:val="fr-FR"/>
        </w:rPr>
      </w:pPr>
    </w:p>
    <w:p w14:paraId="762B9A6B" w14:textId="77777777" w:rsidR="00B740A8" w:rsidRPr="00C73365" w:rsidRDefault="00B740A8" w:rsidP="00B740A8">
      <w:pPr>
        <w:pStyle w:val="ConmainL3"/>
        <w:keepLines/>
        <w:tabs>
          <w:tab w:val="clear" w:pos="360"/>
        </w:tabs>
        <w:spacing w:after="0"/>
        <w:ind w:left="0" w:firstLine="0"/>
        <w:outlineLvl w:val="9"/>
        <w:rPr>
          <w:rFonts w:asciiTheme="minorHAnsi" w:hAnsiTheme="minorHAnsi" w:cstheme="minorHAnsi"/>
          <w:lang w:val="fr-FR"/>
        </w:rPr>
      </w:pPr>
      <w:r w:rsidRPr="00C73365">
        <w:rPr>
          <w:rFonts w:asciiTheme="minorHAnsi" w:hAnsiTheme="minorHAnsi" w:cstheme="minorHAnsi"/>
          <w:lang w:val="fr-FR"/>
        </w:rPr>
        <w:t>A la date du présent document de référence, les autres mandats en cours et fonctions exercés par les administrateurs sont :</w:t>
      </w:r>
    </w:p>
    <w:p w14:paraId="01CFE520"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Autres mandats en cours des administrateurs</w:t>
      </w:r>
    </w:p>
    <w:tbl>
      <w:tblPr>
        <w:tblW w:w="9851" w:type="dxa"/>
        <w:tblCellMar>
          <w:left w:w="70" w:type="dxa"/>
          <w:right w:w="70" w:type="dxa"/>
        </w:tblCellMar>
        <w:tblLook w:val="04A0" w:firstRow="1" w:lastRow="0" w:firstColumn="1" w:lastColumn="0" w:noHBand="0" w:noVBand="1"/>
      </w:tblPr>
      <w:tblGrid>
        <w:gridCol w:w="1129"/>
        <w:gridCol w:w="73"/>
        <w:gridCol w:w="69"/>
        <w:gridCol w:w="372"/>
        <w:gridCol w:w="5560"/>
        <w:gridCol w:w="80"/>
        <w:gridCol w:w="14"/>
        <w:gridCol w:w="163"/>
        <w:gridCol w:w="2280"/>
        <w:gridCol w:w="111"/>
      </w:tblGrid>
      <w:tr w:rsidR="00B740A8" w:rsidRPr="00C73365" w14:paraId="1091C40F" w14:textId="77777777" w:rsidTr="00D1541A">
        <w:trPr>
          <w:trHeight w:val="439"/>
        </w:trPr>
        <w:tc>
          <w:tcPr>
            <w:tcW w:w="1202" w:type="dxa"/>
            <w:gridSpan w:val="2"/>
            <w:tcBorders>
              <w:top w:val="single" w:sz="4" w:space="0" w:color="7030A0"/>
              <w:bottom w:val="single" w:sz="4" w:space="0" w:color="7030A0"/>
            </w:tcBorders>
            <w:shd w:val="clear" w:color="auto" w:fill="auto"/>
            <w:vAlign w:val="center"/>
            <w:hideMark/>
          </w:tcPr>
          <w:p w14:paraId="1F959F9E"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w:t>
            </w:r>
          </w:p>
        </w:tc>
        <w:tc>
          <w:tcPr>
            <w:tcW w:w="441" w:type="dxa"/>
            <w:gridSpan w:val="2"/>
            <w:shd w:val="clear" w:color="auto" w:fill="auto"/>
            <w:vAlign w:val="center"/>
          </w:tcPr>
          <w:p w14:paraId="4A194392" w14:textId="77777777"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tcBorders>
              <w:top w:val="single" w:sz="4" w:space="0" w:color="7030A0"/>
              <w:bottom w:val="single" w:sz="4" w:space="0" w:color="7030A0"/>
            </w:tcBorders>
            <w:shd w:val="clear" w:color="auto" w:fill="auto"/>
            <w:vAlign w:val="center"/>
            <w:hideMark/>
          </w:tcPr>
          <w:p w14:paraId="46421A58" w14:textId="77777777"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mandat</w:t>
            </w:r>
          </w:p>
        </w:tc>
        <w:tc>
          <w:tcPr>
            <w:tcW w:w="163" w:type="dxa"/>
            <w:shd w:val="clear" w:color="auto" w:fill="auto"/>
            <w:vAlign w:val="center"/>
            <w:hideMark/>
          </w:tcPr>
          <w:p w14:paraId="70F987CB" w14:textId="77777777" w:rsidR="00B740A8" w:rsidRPr="00C73365" w:rsidRDefault="00B740A8" w:rsidP="00D1541A">
            <w:pPr>
              <w:jc w:val="center"/>
              <w:rPr>
                <w:rFonts w:asciiTheme="minorHAnsi" w:hAnsiTheme="minorHAnsi" w:cstheme="minorHAnsi"/>
                <w:b/>
                <w:bCs/>
                <w:color w:val="000000"/>
                <w:szCs w:val="20"/>
                <w:lang w:val="fr-FR" w:eastAsia="fr-FR"/>
              </w:rPr>
            </w:pPr>
          </w:p>
        </w:tc>
        <w:tc>
          <w:tcPr>
            <w:tcW w:w="2391" w:type="dxa"/>
            <w:gridSpan w:val="2"/>
            <w:tcBorders>
              <w:top w:val="single" w:sz="4" w:space="0" w:color="7030A0"/>
              <w:bottom w:val="single" w:sz="4" w:space="0" w:color="7030A0"/>
            </w:tcBorders>
            <w:shd w:val="clear" w:color="auto" w:fill="auto"/>
            <w:vAlign w:val="center"/>
            <w:hideMark/>
          </w:tcPr>
          <w:p w14:paraId="2FDB712E" w14:textId="77777777"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Société</w:t>
            </w:r>
          </w:p>
        </w:tc>
      </w:tr>
      <w:tr w:rsidR="00B740A8" w:rsidRPr="00C73365" w14:paraId="47986992" w14:textId="77777777" w:rsidTr="00D1541A">
        <w:trPr>
          <w:trHeight w:val="264"/>
        </w:trPr>
        <w:tc>
          <w:tcPr>
            <w:tcW w:w="1202" w:type="dxa"/>
            <w:gridSpan w:val="2"/>
            <w:tcBorders>
              <w:top w:val="single" w:sz="4" w:space="0" w:color="7030A0"/>
            </w:tcBorders>
            <w:shd w:val="clear" w:color="auto" w:fill="auto"/>
            <w:vAlign w:val="center"/>
            <w:hideMark/>
          </w:tcPr>
          <w:p w14:paraId="431B3ED4"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tc>
        <w:tc>
          <w:tcPr>
            <w:tcW w:w="441" w:type="dxa"/>
            <w:gridSpan w:val="2"/>
            <w:shd w:val="clear" w:color="auto" w:fill="auto"/>
            <w:vAlign w:val="center"/>
          </w:tcPr>
          <w:p w14:paraId="07461A85" w14:textId="77777777" w:rsidR="00B740A8" w:rsidRPr="00C73365" w:rsidRDefault="00B740A8" w:rsidP="00D1541A">
            <w:pPr>
              <w:rPr>
                <w:rFonts w:asciiTheme="minorHAnsi" w:hAnsiTheme="minorHAnsi" w:cstheme="minorHAnsi"/>
                <w:color w:val="000000"/>
                <w:szCs w:val="20"/>
                <w:lang w:val="fr-FR" w:eastAsia="fr-FR"/>
              </w:rPr>
            </w:pPr>
          </w:p>
        </w:tc>
        <w:tc>
          <w:tcPr>
            <w:tcW w:w="5654" w:type="dxa"/>
            <w:gridSpan w:val="3"/>
            <w:tcBorders>
              <w:top w:val="single" w:sz="4" w:space="0" w:color="7030A0"/>
            </w:tcBorders>
            <w:shd w:val="clear" w:color="auto" w:fill="auto"/>
            <w:vAlign w:val="center"/>
            <w:hideMark/>
          </w:tcPr>
          <w:p w14:paraId="27740914" w14:textId="77777777" w:rsidR="00B740A8" w:rsidRPr="00C73365" w:rsidRDefault="00B740A8" w:rsidP="00D1541A">
            <w:pPr>
              <w:jc w:val="center"/>
              <w:rPr>
                <w:rFonts w:asciiTheme="minorHAnsi" w:hAnsiTheme="minorHAnsi" w:cstheme="minorHAnsi"/>
                <w:szCs w:val="20"/>
                <w:lang w:val="fr-FR" w:eastAsia="fr-FR"/>
              </w:rPr>
            </w:pPr>
          </w:p>
        </w:tc>
        <w:tc>
          <w:tcPr>
            <w:tcW w:w="163" w:type="dxa"/>
            <w:shd w:val="clear" w:color="auto" w:fill="auto"/>
            <w:vAlign w:val="center"/>
            <w:hideMark/>
          </w:tcPr>
          <w:p w14:paraId="298D16EA" w14:textId="77777777" w:rsidR="00B740A8" w:rsidRPr="00C73365" w:rsidRDefault="00B740A8" w:rsidP="00D1541A">
            <w:pPr>
              <w:rPr>
                <w:rFonts w:asciiTheme="minorHAnsi" w:hAnsiTheme="minorHAnsi" w:cstheme="minorHAnsi"/>
                <w:szCs w:val="20"/>
                <w:lang w:val="fr-FR" w:eastAsia="fr-FR"/>
              </w:rPr>
            </w:pPr>
          </w:p>
        </w:tc>
        <w:tc>
          <w:tcPr>
            <w:tcW w:w="2391" w:type="dxa"/>
            <w:gridSpan w:val="2"/>
            <w:tcBorders>
              <w:top w:val="single" w:sz="4" w:space="0" w:color="7030A0"/>
            </w:tcBorders>
            <w:shd w:val="clear" w:color="auto" w:fill="auto"/>
            <w:vAlign w:val="center"/>
            <w:hideMark/>
          </w:tcPr>
          <w:p w14:paraId="24B4CFE6" w14:textId="77777777" w:rsidR="00B740A8" w:rsidRPr="00C73365" w:rsidRDefault="00B740A8" w:rsidP="00D1541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SOCIETES FRANCAISES</w:t>
            </w:r>
          </w:p>
        </w:tc>
      </w:tr>
      <w:tr w:rsidR="00B740A8" w:rsidRPr="00C73365" w14:paraId="3ABE4ED0" w14:textId="77777777" w:rsidTr="00D1541A">
        <w:trPr>
          <w:trHeight w:val="264"/>
        </w:trPr>
        <w:tc>
          <w:tcPr>
            <w:tcW w:w="1202" w:type="dxa"/>
            <w:gridSpan w:val="2"/>
            <w:vMerge w:val="restart"/>
            <w:shd w:val="clear" w:color="auto" w:fill="auto"/>
            <w:noWrap/>
            <w:vAlign w:val="center"/>
            <w:hideMark/>
          </w:tcPr>
          <w:p w14:paraId="3D16D6AA"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3035FC52" w14:textId="77777777"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14:paraId="221D90FC"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w:t>
            </w:r>
          </w:p>
        </w:tc>
        <w:tc>
          <w:tcPr>
            <w:tcW w:w="163" w:type="dxa"/>
            <w:shd w:val="clear" w:color="auto" w:fill="auto"/>
            <w:noWrap/>
            <w:vAlign w:val="center"/>
            <w:hideMark/>
          </w:tcPr>
          <w:p w14:paraId="634FDA0D" w14:textId="77777777"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hideMark/>
          </w:tcPr>
          <w:p w14:paraId="096D2202" w14:textId="77777777" w:rsidR="00B740A8" w:rsidRPr="00C73365" w:rsidRDefault="00B740A8" w:rsidP="00D1541A">
            <w:pPr>
              <w:rPr>
                <w:rFonts w:asciiTheme="minorHAnsi" w:hAnsiTheme="minorHAnsi" w:cstheme="minorHAnsi"/>
                <w:szCs w:val="20"/>
                <w:lang w:val="fr-FR" w:eastAsia="fr-FR"/>
              </w:rPr>
            </w:pPr>
          </w:p>
        </w:tc>
      </w:tr>
      <w:tr w:rsidR="00B740A8" w:rsidRPr="00C73365" w14:paraId="461AB31A" w14:textId="77777777" w:rsidTr="00D1541A">
        <w:trPr>
          <w:trHeight w:val="264"/>
        </w:trPr>
        <w:tc>
          <w:tcPr>
            <w:tcW w:w="1202" w:type="dxa"/>
            <w:gridSpan w:val="2"/>
            <w:vMerge/>
            <w:vAlign w:val="center"/>
            <w:hideMark/>
          </w:tcPr>
          <w:p w14:paraId="31E26239"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54DEE452" w14:textId="77777777"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14:paraId="05E9FFCD"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63" w:type="dxa"/>
            <w:shd w:val="clear" w:color="auto" w:fill="auto"/>
            <w:noWrap/>
            <w:vAlign w:val="center"/>
            <w:hideMark/>
          </w:tcPr>
          <w:p w14:paraId="7D06FF0F"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14:paraId="1073ED5F"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Truffle Capital SAS</w:t>
            </w:r>
          </w:p>
          <w:p w14:paraId="4A65FFFF" w14:textId="77777777" w:rsidR="00B740A8" w:rsidRPr="00C73365" w:rsidRDefault="00B740A8" w:rsidP="00D1541A">
            <w:pPr>
              <w:rPr>
                <w:rFonts w:asciiTheme="minorHAnsi" w:hAnsiTheme="minorHAnsi" w:cstheme="minorHAnsi"/>
                <w:b/>
                <w:bCs/>
                <w:color w:val="000000"/>
                <w:szCs w:val="20"/>
                <w:lang w:val="fr-FR" w:eastAsia="fr-FR"/>
              </w:rPr>
            </w:pPr>
          </w:p>
        </w:tc>
      </w:tr>
      <w:tr w:rsidR="00B740A8" w:rsidRPr="00C73365" w14:paraId="453BEE63" w14:textId="77777777" w:rsidTr="00D1541A">
        <w:trPr>
          <w:trHeight w:val="264"/>
        </w:trPr>
        <w:tc>
          <w:tcPr>
            <w:tcW w:w="1202" w:type="dxa"/>
            <w:gridSpan w:val="2"/>
            <w:vMerge/>
            <w:vAlign w:val="center"/>
            <w:hideMark/>
          </w:tcPr>
          <w:p w14:paraId="0955C1A4"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39F27836" w14:textId="77777777"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14:paraId="25FA7BF9"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Gérant</w:t>
            </w:r>
          </w:p>
        </w:tc>
        <w:tc>
          <w:tcPr>
            <w:tcW w:w="163" w:type="dxa"/>
            <w:shd w:val="clear" w:color="auto" w:fill="auto"/>
            <w:noWrap/>
            <w:vAlign w:val="center"/>
            <w:hideMark/>
          </w:tcPr>
          <w:p w14:paraId="1572B675"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14:paraId="6CCE666A"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Nakostech SARL</w:t>
            </w:r>
          </w:p>
        </w:tc>
      </w:tr>
      <w:tr w:rsidR="00B740A8" w:rsidRPr="00C73365" w14:paraId="514C254E" w14:textId="77777777" w:rsidTr="00D1541A">
        <w:trPr>
          <w:trHeight w:val="264"/>
        </w:trPr>
        <w:tc>
          <w:tcPr>
            <w:tcW w:w="1202" w:type="dxa"/>
            <w:gridSpan w:val="2"/>
            <w:vMerge/>
            <w:vAlign w:val="center"/>
            <w:hideMark/>
          </w:tcPr>
          <w:p w14:paraId="27352BCD"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3DDE172A" w14:textId="77777777"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14:paraId="0C2B68DF" w14:textId="77777777" w:rsidR="00B740A8" w:rsidRPr="00C73365" w:rsidRDefault="00B740A8" w:rsidP="00D1541A">
            <w:pPr>
              <w:rPr>
                <w:rFonts w:asciiTheme="minorHAnsi" w:hAnsiTheme="minorHAnsi" w:cstheme="minorHAnsi"/>
                <w:szCs w:val="20"/>
                <w:lang w:val="fr-FR" w:eastAsia="fr-FR"/>
              </w:rPr>
            </w:pPr>
          </w:p>
        </w:tc>
        <w:tc>
          <w:tcPr>
            <w:tcW w:w="163" w:type="dxa"/>
            <w:shd w:val="clear" w:color="auto" w:fill="auto"/>
            <w:noWrap/>
            <w:vAlign w:val="center"/>
            <w:hideMark/>
          </w:tcPr>
          <w:p w14:paraId="7862F8D7" w14:textId="77777777" w:rsidR="00B740A8" w:rsidRPr="00C73365" w:rsidRDefault="00B740A8" w:rsidP="00D1541A">
            <w:pPr>
              <w:rPr>
                <w:rFonts w:asciiTheme="minorHAnsi" w:hAnsiTheme="minorHAnsi" w:cstheme="minorHAnsi"/>
                <w:szCs w:val="20"/>
                <w:lang w:val="fr-FR" w:eastAsia="fr-FR"/>
              </w:rPr>
            </w:pPr>
          </w:p>
        </w:tc>
        <w:tc>
          <w:tcPr>
            <w:tcW w:w="2391" w:type="dxa"/>
            <w:gridSpan w:val="2"/>
            <w:shd w:val="clear" w:color="auto" w:fill="auto"/>
            <w:noWrap/>
            <w:vAlign w:val="center"/>
            <w:hideMark/>
          </w:tcPr>
          <w:p w14:paraId="07F15B67" w14:textId="77777777" w:rsidR="00B740A8" w:rsidRPr="00C73365" w:rsidRDefault="00B740A8" w:rsidP="00D1541A">
            <w:pPr>
              <w:rPr>
                <w:rFonts w:asciiTheme="minorHAnsi" w:hAnsiTheme="minorHAnsi" w:cstheme="minorHAnsi"/>
                <w:szCs w:val="20"/>
                <w:lang w:val="fr-FR" w:eastAsia="fr-FR"/>
              </w:rPr>
            </w:pPr>
          </w:p>
        </w:tc>
      </w:tr>
      <w:tr w:rsidR="00B740A8" w:rsidRPr="00C73365" w14:paraId="2A752DF0" w14:textId="77777777" w:rsidTr="00D1541A">
        <w:trPr>
          <w:trHeight w:val="264"/>
        </w:trPr>
        <w:tc>
          <w:tcPr>
            <w:tcW w:w="1202" w:type="dxa"/>
            <w:gridSpan w:val="2"/>
            <w:vMerge/>
            <w:vAlign w:val="center"/>
            <w:hideMark/>
          </w:tcPr>
          <w:p w14:paraId="71400596"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40234D0B" w14:textId="77777777"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14:paraId="254F7B16"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d’administrateur:</w:t>
            </w:r>
          </w:p>
        </w:tc>
        <w:tc>
          <w:tcPr>
            <w:tcW w:w="163" w:type="dxa"/>
            <w:shd w:val="clear" w:color="auto" w:fill="auto"/>
            <w:noWrap/>
            <w:vAlign w:val="center"/>
            <w:hideMark/>
          </w:tcPr>
          <w:p w14:paraId="7531B788" w14:textId="77777777"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hideMark/>
          </w:tcPr>
          <w:p w14:paraId="0F5AD39F" w14:textId="77777777" w:rsidR="00B740A8" w:rsidRPr="00C73365" w:rsidRDefault="00B740A8" w:rsidP="00D1541A">
            <w:pPr>
              <w:rPr>
                <w:rFonts w:asciiTheme="minorHAnsi" w:hAnsiTheme="minorHAnsi" w:cstheme="minorHAnsi"/>
                <w:szCs w:val="20"/>
                <w:lang w:val="fr-FR" w:eastAsia="fr-FR"/>
              </w:rPr>
            </w:pPr>
          </w:p>
        </w:tc>
      </w:tr>
      <w:tr w:rsidR="00B740A8" w:rsidRPr="00C73365" w14:paraId="3CB6CF08" w14:textId="77777777" w:rsidTr="00D1541A">
        <w:trPr>
          <w:trHeight w:val="264"/>
        </w:trPr>
        <w:tc>
          <w:tcPr>
            <w:tcW w:w="1202" w:type="dxa"/>
            <w:gridSpan w:val="2"/>
            <w:vMerge/>
            <w:vAlign w:val="center"/>
          </w:tcPr>
          <w:p w14:paraId="6C702C59"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26623C35" w14:textId="77777777"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14:paraId="21AC8A0F"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14:paraId="73391BE4"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163" w:type="dxa"/>
            <w:shd w:val="clear" w:color="auto" w:fill="auto"/>
            <w:noWrap/>
            <w:vAlign w:val="center"/>
          </w:tcPr>
          <w:p w14:paraId="70EFEDBD" w14:textId="77777777"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tcPr>
          <w:p w14:paraId="3F806BDD" w14:textId="77777777" w:rsidR="00B740A8" w:rsidRPr="00C73365" w:rsidRDefault="00B740A8" w:rsidP="00D1541A">
            <w:pPr>
              <w:rPr>
                <w:rFonts w:asciiTheme="minorHAnsi" w:hAnsiTheme="minorHAnsi" w:cstheme="minorHAnsi"/>
                <w:b/>
                <w:szCs w:val="20"/>
                <w:lang w:val="fr-FR" w:eastAsia="fr-FR"/>
              </w:rPr>
            </w:pPr>
            <w:r w:rsidRPr="00C73365">
              <w:rPr>
                <w:rFonts w:asciiTheme="minorHAnsi" w:hAnsiTheme="minorHAnsi" w:cstheme="minorHAnsi"/>
                <w:b/>
                <w:szCs w:val="20"/>
                <w:lang w:val="fr-FR" w:eastAsia="fr-FR"/>
              </w:rPr>
              <w:t>Deinove SA</w:t>
            </w:r>
          </w:p>
        </w:tc>
      </w:tr>
      <w:tr w:rsidR="00B740A8" w:rsidRPr="00C73365" w14:paraId="7F56F9B0" w14:textId="77777777" w:rsidTr="00D1541A">
        <w:trPr>
          <w:trHeight w:val="507"/>
        </w:trPr>
        <w:tc>
          <w:tcPr>
            <w:tcW w:w="1202" w:type="dxa"/>
            <w:gridSpan w:val="2"/>
            <w:vMerge/>
            <w:vAlign w:val="center"/>
            <w:hideMark/>
          </w:tcPr>
          <w:p w14:paraId="4C314643"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196168CF" w14:textId="77777777"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14:paraId="48FE9953"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hideMark/>
          </w:tcPr>
          <w:p w14:paraId="6A4CF3F8"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14:paraId="253863BC"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Carmat SA</w:t>
            </w:r>
          </w:p>
        </w:tc>
      </w:tr>
      <w:tr w:rsidR="00B740A8" w:rsidRPr="00C73365" w14:paraId="422615B4" w14:textId="77777777" w:rsidTr="00D1541A">
        <w:trPr>
          <w:trHeight w:val="507"/>
        </w:trPr>
        <w:tc>
          <w:tcPr>
            <w:tcW w:w="1202" w:type="dxa"/>
            <w:gridSpan w:val="2"/>
            <w:vMerge/>
            <w:vAlign w:val="center"/>
          </w:tcPr>
          <w:p w14:paraId="46B5BF56"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457A1D62" w14:textId="77777777"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14:paraId="78C61BF4"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14:paraId="632B5A4C"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14:paraId="1133FCCA"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Pharnext SAS</w:t>
            </w:r>
          </w:p>
          <w:p w14:paraId="1275896F" w14:textId="77777777" w:rsidR="00B740A8" w:rsidRPr="00C73365" w:rsidRDefault="00B740A8" w:rsidP="00D1541A">
            <w:pPr>
              <w:rPr>
                <w:rFonts w:asciiTheme="minorHAnsi" w:hAnsiTheme="minorHAnsi" w:cstheme="minorHAnsi"/>
                <w:b/>
                <w:bCs/>
                <w:color w:val="000000"/>
                <w:szCs w:val="20"/>
                <w:lang w:val="fr-FR" w:eastAsia="fr-FR"/>
              </w:rPr>
            </w:pPr>
          </w:p>
        </w:tc>
      </w:tr>
      <w:tr w:rsidR="00B740A8" w:rsidRPr="00C73365" w14:paraId="2E502BC3" w14:textId="77777777" w:rsidTr="00D1541A">
        <w:trPr>
          <w:trHeight w:val="507"/>
        </w:trPr>
        <w:tc>
          <w:tcPr>
            <w:tcW w:w="1202" w:type="dxa"/>
            <w:gridSpan w:val="2"/>
            <w:vMerge/>
            <w:vAlign w:val="center"/>
          </w:tcPr>
          <w:p w14:paraId="4A1B84F0"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1CC7D045" w14:textId="77777777"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14:paraId="388D9BD1"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14:paraId="2B9F75F9"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14:paraId="1F7D8B27"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Kephalios</w:t>
            </w:r>
          </w:p>
        </w:tc>
      </w:tr>
      <w:tr w:rsidR="00B740A8" w:rsidRPr="00C73365" w14:paraId="20A0F1D8" w14:textId="77777777" w:rsidTr="00D1541A">
        <w:trPr>
          <w:trHeight w:val="507"/>
        </w:trPr>
        <w:tc>
          <w:tcPr>
            <w:tcW w:w="1202" w:type="dxa"/>
            <w:gridSpan w:val="2"/>
            <w:vMerge/>
            <w:vAlign w:val="center"/>
          </w:tcPr>
          <w:p w14:paraId="54ABB473"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5A368D19" w14:textId="77777777"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14:paraId="79CFD271"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14:paraId="34C93B80"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14:paraId="26FC807B"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Epygon</w:t>
            </w:r>
          </w:p>
          <w:p w14:paraId="3FD9C680" w14:textId="77777777" w:rsidR="00B740A8" w:rsidRPr="00C73365" w:rsidRDefault="00B740A8" w:rsidP="00D1541A">
            <w:pPr>
              <w:rPr>
                <w:rFonts w:asciiTheme="minorHAnsi" w:hAnsiTheme="minorHAnsi" w:cstheme="minorHAnsi"/>
                <w:b/>
                <w:bCs/>
                <w:color w:val="000000"/>
                <w:szCs w:val="20"/>
                <w:lang w:val="fr-FR" w:eastAsia="fr-FR"/>
              </w:rPr>
            </w:pPr>
          </w:p>
        </w:tc>
      </w:tr>
      <w:tr w:rsidR="00B740A8" w:rsidRPr="00C73365" w14:paraId="1A07BD7A" w14:textId="77777777" w:rsidTr="00D1541A">
        <w:trPr>
          <w:trHeight w:val="507"/>
        </w:trPr>
        <w:tc>
          <w:tcPr>
            <w:tcW w:w="1202" w:type="dxa"/>
            <w:gridSpan w:val="2"/>
            <w:vMerge/>
            <w:vAlign w:val="center"/>
          </w:tcPr>
          <w:p w14:paraId="596AC109"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6F7C60BD" w14:textId="77777777"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14:paraId="11983723"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14:paraId="1787F297"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14:paraId="55723929"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Myopowers</w:t>
            </w:r>
          </w:p>
        </w:tc>
      </w:tr>
      <w:tr w:rsidR="00B740A8" w:rsidRPr="00C73365" w14:paraId="29D4C98F" w14:textId="77777777" w:rsidTr="00D1541A">
        <w:trPr>
          <w:trHeight w:val="608"/>
        </w:trPr>
        <w:tc>
          <w:tcPr>
            <w:tcW w:w="1202" w:type="dxa"/>
            <w:gridSpan w:val="2"/>
            <w:vMerge/>
            <w:vAlign w:val="center"/>
          </w:tcPr>
          <w:p w14:paraId="35FCB428" w14:textId="77777777" w:rsidR="00B740A8" w:rsidRPr="00C73365" w:rsidRDefault="00B740A8" w:rsidP="00D1541A">
            <w:pPr>
              <w:rPr>
                <w:rFonts w:asciiTheme="minorHAnsi" w:hAnsiTheme="minorHAnsi" w:cstheme="minorHAnsi"/>
                <w:color w:val="7030A0"/>
                <w:szCs w:val="20"/>
                <w:lang w:val="fr-FR" w:eastAsia="fr-FR"/>
              </w:rPr>
            </w:pPr>
          </w:p>
        </w:tc>
        <w:tc>
          <w:tcPr>
            <w:tcW w:w="441" w:type="dxa"/>
            <w:gridSpan w:val="2"/>
            <w:shd w:val="clear" w:color="auto" w:fill="auto"/>
            <w:noWrap/>
            <w:vAlign w:val="center"/>
          </w:tcPr>
          <w:p w14:paraId="3A983D45" w14:textId="77777777"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14:paraId="7D7358A1"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14:paraId="4D1C0D27"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14:paraId="483163F7"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Kardiozis</w:t>
            </w:r>
          </w:p>
        </w:tc>
      </w:tr>
      <w:tr w:rsidR="00B740A8" w:rsidRPr="00C73365" w14:paraId="37887DB1" w14:textId="77777777" w:rsidTr="00D1541A">
        <w:trPr>
          <w:trHeight w:val="60"/>
        </w:trPr>
        <w:tc>
          <w:tcPr>
            <w:tcW w:w="1271" w:type="dxa"/>
            <w:gridSpan w:val="3"/>
            <w:tcBorders>
              <w:bottom w:val="single" w:sz="4" w:space="0" w:color="7030A0"/>
            </w:tcBorders>
            <w:shd w:val="clear" w:color="auto" w:fill="auto"/>
            <w:noWrap/>
            <w:vAlign w:val="center"/>
            <w:hideMark/>
          </w:tcPr>
          <w:p w14:paraId="634529B8" w14:textId="77777777" w:rsidR="00B740A8" w:rsidRPr="00C73365" w:rsidRDefault="00B740A8" w:rsidP="00D1541A">
            <w:pPr>
              <w:pStyle w:val="Paragraphedeliste"/>
              <w:ind w:left="198"/>
              <w:rPr>
                <w:rFonts w:asciiTheme="minorHAnsi" w:hAnsiTheme="minorHAnsi" w:cstheme="minorHAnsi"/>
                <w:szCs w:val="20"/>
                <w:lang w:val="fr-FR" w:eastAsia="fr-FR"/>
              </w:rPr>
            </w:pPr>
            <w:r w:rsidRPr="00C73365">
              <w:rPr>
                <w:rFonts w:asciiTheme="minorHAnsi" w:hAnsiTheme="minorHAnsi" w:cstheme="minorHAnsi"/>
                <w:color w:val="000000"/>
                <w:szCs w:val="20"/>
                <w:lang w:val="fr-FR" w:eastAsia="fr-FR"/>
              </w:rPr>
              <w:t xml:space="preserve"> </w:t>
            </w:r>
          </w:p>
        </w:tc>
        <w:tc>
          <w:tcPr>
            <w:tcW w:w="372" w:type="dxa"/>
            <w:shd w:val="clear" w:color="auto" w:fill="auto"/>
            <w:noWrap/>
            <w:vAlign w:val="center"/>
          </w:tcPr>
          <w:p w14:paraId="6F5E6F94"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5640" w:type="dxa"/>
            <w:gridSpan w:val="2"/>
            <w:tcBorders>
              <w:bottom w:val="single" w:sz="4" w:space="0" w:color="7030A0"/>
            </w:tcBorders>
            <w:shd w:val="clear" w:color="auto" w:fill="auto"/>
            <w:vAlign w:val="center"/>
          </w:tcPr>
          <w:p w14:paraId="14EB64A6"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177" w:type="dxa"/>
            <w:gridSpan w:val="2"/>
            <w:shd w:val="clear" w:color="auto" w:fill="auto"/>
            <w:noWrap/>
            <w:vAlign w:val="center"/>
          </w:tcPr>
          <w:p w14:paraId="2580ECBA" w14:textId="77777777" w:rsidR="00B740A8" w:rsidRPr="00C73365" w:rsidRDefault="00B740A8" w:rsidP="00D1541A">
            <w:pPr>
              <w:rPr>
                <w:rFonts w:asciiTheme="minorHAnsi" w:hAnsiTheme="minorHAnsi" w:cstheme="minorHAnsi"/>
                <w:szCs w:val="20"/>
                <w:lang w:val="fr-FR" w:eastAsia="fr-FR"/>
              </w:rPr>
            </w:pPr>
          </w:p>
        </w:tc>
        <w:tc>
          <w:tcPr>
            <w:tcW w:w="2391" w:type="dxa"/>
            <w:gridSpan w:val="2"/>
            <w:tcBorders>
              <w:bottom w:val="single" w:sz="4" w:space="0" w:color="7030A0"/>
            </w:tcBorders>
            <w:shd w:val="clear" w:color="auto" w:fill="auto"/>
            <w:noWrap/>
            <w:vAlign w:val="center"/>
          </w:tcPr>
          <w:p w14:paraId="5E066CCB" w14:textId="77777777" w:rsidR="00B740A8" w:rsidRPr="00C73365" w:rsidRDefault="00B740A8" w:rsidP="00D1541A">
            <w:pPr>
              <w:rPr>
                <w:rFonts w:asciiTheme="minorHAnsi" w:hAnsiTheme="minorHAnsi" w:cstheme="minorHAnsi"/>
                <w:color w:val="7030A0"/>
                <w:szCs w:val="20"/>
                <w:lang w:val="fr-FR" w:eastAsia="fr-FR"/>
              </w:rPr>
            </w:pPr>
          </w:p>
        </w:tc>
      </w:tr>
      <w:tr w:rsidR="00B740A8" w:rsidRPr="00C73365" w14:paraId="19F0F8C9" w14:textId="77777777" w:rsidTr="00D1541A">
        <w:trPr>
          <w:trHeight w:val="251"/>
        </w:trPr>
        <w:tc>
          <w:tcPr>
            <w:tcW w:w="1271" w:type="dxa"/>
            <w:gridSpan w:val="3"/>
            <w:tcBorders>
              <w:top w:val="single" w:sz="4" w:space="0" w:color="7030A0"/>
              <w:bottom w:val="single" w:sz="4" w:space="0" w:color="7030A0"/>
            </w:tcBorders>
            <w:shd w:val="clear" w:color="auto" w:fill="auto"/>
            <w:noWrap/>
            <w:vAlign w:val="center"/>
            <w:hideMark/>
          </w:tcPr>
          <w:p w14:paraId="0A4AAFE4"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 xml:space="preserve">Madame Joy Amundson </w:t>
            </w:r>
          </w:p>
          <w:p w14:paraId="6E4A8755" w14:textId="77777777" w:rsidR="00B740A8" w:rsidRPr="00C73365" w:rsidRDefault="00B740A8" w:rsidP="00D1541A">
            <w:pPr>
              <w:rPr>
                <w:rFonts w:asciiTheme="minorHAnsi" w:hAnsiTheme="minorHAnsi" w:cstheme="minorHAnsi"/>
                <w:color w:val="000000"/>
                <w:szCs w:val="20"/>
                <w:lang w:val="fr-FR" w:eastAsia="fr-FR"/>
              </w:rPr>
            </w:pPr>
          </w:p>
        </w:tc>
        <w:tc>
          <w:tcPr>
            <w:tcW w:w="372" w:type="dxa"/>
            <w:shd w:val="clear" w:color="auto" w:fill="auto"/>
            <w:noWrap/>
            <w:vAlign w:val="center"/>
            <w:hideMark/>
          </w:tcPr>
          <w:p w14:paraId="3C36A8FD" w14:textId="77777777" w:rsidR="00B740A8" w:rsidRPr="00C73365" w:rsidRDefault="00B740A8" w:rsidP="00D1541A">
            <w:pPr>
              <w:rPr>
                <w:rFonts w:asciiTheme="minorHAnsi" w:hAnsiTheme="minorHAnsi" w:cstheme="minorHAnsi"/>
                <w:color w:val="000000"/>
                <w:szCs w:val="20"/>
                <w:lang w:val="fr-FR" w:eastAsia="fr-FR"/>
              </w:rPr>
            </w:pPr>
          </w:p>
        </w:tc>
        <w:tc>
          <w:tcPr>
            <w:tcW w:w="5640" w:type="dxa"/>
            <w:gridSpan w:val="2"/>
            <w:tcBorders>
              <w:top w:val="single" w:sz="4" w:space="0" w:color="7030A0"/>
            </w:tcBorders>
            <w:shd w:val="clear" w:color="auto" w:fill="auto"/>
            <w:vAlign w:val="center"/>
            <w:hideMark/>
          </w:tcPr>
          <w:p w14:paraId="17FDB4F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77" w:type="dxa"/>
            <w:gridSpan w:val="2"/>
            <w:shd w:val="clear" w:color="auto" w:fill="auto"/>
            <w:noWrap/>
            <w:vAlign w:val="center"/>
            <w:hideMark/>
          </w:tcPr>
          <w:p w14:paraId="7B147DBC"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noWrap/>
            <w:vAlign w:val="center"/>
            <w:hideMark/>
          </w:tcPr>
          <w:p w14:paraId="5C2887DC"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14:paraId="4D59A0ED" w14:textId="77777777" w:rsidTr="00D1541A">
        <w:trPr>
          <w:gridAfter w:val="1"/>
          <w:wAfter w:w="111" w:type="dxa"/>
          <w:trHeight w:val="203"/>
        </w:trPr>
        <w:tc>
          <w:tcPr>
            <w:tcW w:w="1271" w:type="dxa"/>
            <w:gridSpan w:val="3"/>
            <w:vMerge w:val="restart"/>
            <w:tcBorders>
              <w:top w:val="single" w:sz="4" w:space="0" w:color="7030A0"/>
            </w:tcBorders>
            <w:shd w:val="clear" w:color="auto" w:fill="auto"/>
            <w:noWrap/>
            <w:vAlign w:val="center"/>
            <w:hideMark/>
          </w:tcPr>
          <w:p w14:paraId="4C850625"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Claude Bertrand</w:t>
            </w:r>
          </w:p>
        </w:tc>
        <w:tc>
          <w:tcPr>
            <w:tcW w:w="372" w:type="dxa"/>
            <w:shd w:val="clear" w:color="auto" w:fill="auto"/>
            <w:noWrap/>
            <w:vAlign w:val="center"/>
            <w:hideMark/>
          </w:tcPr>
          <w:p w14:paraId="26498C17" w14:textId="77777777" w:rsidR="00B740A8" w:rsidRPr="00C73365" w:rsidRDefault="00B740A8" w:rsidP="00D1541A">
            <w:pPr>
              <w:rPr>
                <w:rFonts w:asciiTheme="minorHAnsi" w:hAnsiTheme="minorHAnsi" w:cstheme="minorHAnsi"/>
                <w:color w:val="000000"/>
                <w:szCs w:val="20"/>
                <w:lang w:val="fr-FR" w:eastAsia="fr-FR"/>
              </w:rPr>
            </w:pPr>
          </w:p>
        </w:tc>
        <w:tc>
          <w:tcPr>
            <w:tcW w:w="5560" w:type="dxa"/>
            <w:tcBorders>
              <w:top w:val="single" w:sz="4" w:space="0" w:color="7030A0"/>
            </w:tcBorders>
            <w:shd w:val="clear" w:color="auto" w:fill="auto"/>
            <w:vAlign w:val="center"/>
            <w:hideMark/>
          </w:tcPr>
          <w:p w14:paraId="6E900F3E"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w:t>
            </w:r>
          </w:p>
        </w:tc>
        <w:tc>
          <w:tcPr>
            <w:tcW w:w="257" w:type="dxa"/>
            <w:gridSpan w:val="3"/>
            <w:shd w:val="clear" w:color="auto" w:fill="auto"/>
            <w:noWrap/>
            <w:vAlign w:val="center"/>
            <w:hideMark/>
          </w:tcPr>
          <w:p w14:paraId="27A5A2E7" w14:textId="77777777"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14:paraId="1867489E" w14:textId="77777777" w:rsidR="00B740A8" w:rsidRPr="00C73365" w:rsidRDefault="00B740A8" w:rsidP="00D1541A">
            <w:pPr>
              <w:rPr>
                <w:rFonts w:asciiTheme="minorHAnsi" w:hAnsiTheme="minorHAnsi" w:cstheme="minorHAnsi"/>
                <w:szCs w:val="20"/>
                <w:lang w:val="fr-FR" w:eastAsia="fr-FR"/>
              </w:rPr>
            </w:pPr>
          </w:p>
        </w:tc>
      </w:tr>
      <w:tr w:rsidR="00B740A8" w:rsidRPr="00C73365" w14:paraId="289D5423" w14:textId="77777777" w:rsidTr="00D1541A">
        <w:trPr>
          <w:gridAfter w:val="1"/>
          <w:wAfter w:w="111" w:type="dxa"/>
          <w:trHeight w:val="251"/>
        </w:trPr>
        <w:tc>
          <w:tcPr>
            <w:tcW w:w="1271" w:type="dxa"/>
            <w:gridSpan w:val="3"/>
            <w:vMerge/>
            <w:shd w:val="clear" w:color="auto" w:fill="auto"/>
            <w:noWrap/>
            <w:vAlign w:val="center"/>
            <w:hideMark/>
          </w:tcPr>
          <w:p w14:paraId="027F818A" w14:textId="77777777" w:rsidR="00B740A8" w:rsidRPr="00C73365" w:rsidRDefault="00B740A8" w:rsidP="00D1541A">
            <w:pPr>
              <w:rPr>
                <w:rFonts w:asciiTheme="minorHAnsi" w:hAnsiTheme="minorHAnsi" w:cstheme="minorHAnsi"/>
                <w:szCs w:val="20"/>
                <w:lang w:val="fr-FR" w:eastAsia="fr-FR"/>
              </w:rPr>
            </w:pPr>
          </w:p>
        </w:tc>
        <w:tc>
          <w:tcPr>
            <w:tcW w:w="372" w:type="dxa"/>
            <w:shd w:val="clear" w:color="auto" w:fill="auto"/>
            <w:noWrap/>
            <w:vAlign w:val="center"/>
            <w:hideMark/>
          </w:tcPr>
          <w:p w14:paraId="70992BA6"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tcPr>
          <w:p w14:paraId="3F2C7911" w14:textId="77777777" w:rsidR="00B740A8" w:rsidRPr="00C73365" w:rsidRDefault="00B740A8" w:rsidP="00D1541A">
            <w:pPr>
              <w:pStyle w:val="Paragraphedeliste"/>
              <w:ind w:left="198"/>
              <w:rPr>
                <w:rFonts w:asciiTheme="minorHAnsi" w:hAnsiTheme="minorHAnsi" w:cstheme="minorHAnsi"/>
                <w:color w:val="000000"/>
                <w:szCs w:val="20"/>
                <w:highlight w:val="yellow"/>
                <w:lang w:val="fr-FR" w:eastAsia="fr-FR"/>
              </w:rPr>
            </w:pPr>
          </w:p>
        </w:tc>
        <w:tc>
          <w:tcPr>
            <w:tcW w:w="257" w:type="dxa"/>
            <w:gridSpan w:val="3"/>
            <w:shd w:val="clear" w:color="auto" w:fill="auto"/>
            <w:noWrap/>
            <w:vAlign w:val="center"/>
          </w:tcPr>
          <w:p w14:paraId="282D5206"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2280" w:type="dxa"/>
            <w:shd w:val="clear" w:color="auto" w:fill="auto"/>
            <w:noWrap/>
            <w:vAlign w:val="center"/>
          </w:tcPr>
          <w:p w14:paraId="6DB089A4" w14:textId="77777777" w:rsidR="00B740A8" w:rsidRPr="00C73365" w:rsidRDefault="00B740A8" w:rsidP="00D1541A">
            <w:pPr>
              <w:rPr>
                <w:rFonts w:asciiTheme="minorHAnsi" w:hAnsiTheme="minorHAnsi" w:cstheme="minorHAnsi"/>
                <w:b/>
                <w:bCs/>
                <w:color w:val="000000"/>
                <w:szCs w:val="20"/>
                <w:highlight w:val="yellow"/>
                <w:lang w:val="fr-FR" w:eastAsia="fr-FR"/>
              </w:rPr>
            </w:pPr>
          </w:p>
        </w:tc>
      </w:tr>
      <w:tr w:rsidR="00B740A8" w:rsidRPr="0030056F" w14:paraId="76870CBB" w14:textId="77777777" w:rsidTr="00D1541A">
        <w:trPr>
          <w:gridAfter w:val="1"/>
          <w:wAfter w:w="111" w:type="dxa"/>
          <w:trHeight w:val="755"/>
        </w:trPr>
        <w:tc>
          <w:tcPr>
            <w:tcW w:w="1271" w:type="dxa"/>
            <w:gridSpan w:val="3"/>
            <w:shd w:val="clear" w:color="auto" w:fill="auto"/>
            <w:noWrap/>
            <w:vAlign w:val="center"/>
            <w:hideMark/>
          </w:tcPr>
          <w:p w14:paraId="36B18A6C" w14:textId="77777777" w:rsidR="00B740A8" w:rsidRPr="00C73365" w:rsidRDefault="00B740A8" w:rsidP="00D1541A">
            <w:pPr>
              <w:rPr>
                <w:rFonts w:asciiTheme="minorHAnsi" w:hAnsiTheme="minorHAnsi" w:cstheme="minorHAnsi"/>
                <w:b/>
                <w:bCs/>
                <w:color w:val="000000"/>
                <w:szCs w:val="20"/>
                <w:lang w:val="fr-FR" w:eastAsia="fr-FR"/>
              </w:rPr>
            </w:pPr>
          </w:p>
        </w:tc>
        <w:tc>
          <w:tcPr>
            <w:tcW w:w="372" w:type="dxa"/>
            <w:shd w:val="clear" w:color="auto" w:fill="auto"/>
            <w:noWrap/>
            <w:vAlign w:val="center"/>
            <w:hideMark/>
          </w:tcPr>
          <w:p w14:paraId="5418248E"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hideMark/>
          </w:tcPr>
          <w:p w14:paraId="3D3F34D3"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w:t>
            </w:r>
          </w:p>
        </w:tc>
        <w:tc>
          <w:tcPr>
            <w:tcW w:w="257" w:type="dxa"/>
            <w:gridSpan w:val="3"/>
            <w:shd w:val="clear" w:color="auto" w:fill="auto"/>
            <w:noWrap/>
            <w:vAlign w:val="center"/>
            <w:hideMark/>
          </w:tcPr>
          <w:p w14:paraId="3CDA694E" w14:textId="77777777"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vAlign w:val="center"/>
            <w:hideMark/>
          </w:tcPr>
          <w:p w14:paraId="2206A955"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ARIIS </w:t>
            </w:r>
            <w:r w:rsidRPr="00C73365">
              <w:rPr>
                <w:rFonts w:asciiTheme="minorHAnsi" w:hAnsiTheme="minorHAnsi" w:cstheme="minorHAnsi"/>
                <w:color w:val="000000"/>
                <w:szCs w:val="20"/>
                <w:lang w:val="fr-FR" w:eastAsia="fr-FR"/>
              </w:rPr>
              <w:t>(Alliance pour la Recherche et l’Innovation des Industries de Santé) (association loi 1901)</w:t>
            </w:r>
          </w:p>
          <w:p w14:paraId="749AED1B" w14:textId="77777777" w:rsidR="00B740A8" w:rsidRPr="00C73365" w:rsidRDefault="00B740A8" w:rsidP="00D1541A">
            <w:pPr>
              <w:rPr>
                <w:rFonts w:asciiTheme="minorHAnsi" w:hAnsiTheme="minorHAnsi" w:cstheme="minorHAnsi"/>
                <w:b/>
                <w:bCs/>
                <w:color w:val="000000"/>
                <w:szCs w:val="20"/>
                <w:lang w:val="fr-FR" w:eastAsia="fr-FR"/>
              </w:rPr>
            </w:pPr>
          </w:p>
        </w:tc>
      </w:tr>
      <w:tr w:rsidR="00B740A8" w:rsidRPr="00C73365" w14:paraId="346AFDC5" w14:textId="77777777" w:rsidTr="00D1541A">
        <w:trPr>
          <w:gridAfter w:val="1"/>
          <w:wAfter w:w="111" w:type="dxa"/>
          <w:trHeight w:val="755"/>
        </w:trPr>
        <w:tc>
          <w:tcPr>
            <w:tcW w:w="1271" w:type="dxa"/>
            <w:gridSpan w:val="3"/>
            <w:shd w:val="clear" w:color="auto" w:fill="auto"/>
            <w:noWrap/>
            <w:vAlign w:val="center"/>
          </w:tcPr>
          <w:p w14:paraId="36005FBD" w14:textId="77777777" w:rsidR="00B740A8" w:rsidRPr="00C73365" w:rsidRDefault="00B740A8" w:rsidP="00D1541A">
            <w:pPr>
              <w:rPr>
                <w:rFonts w:asciiTheme="minorHAnsi" w:hAnsiTheme="minorHAnsi" w:cstheme="minorHAnsi"/>
                <w:b/>
                <w:bCs/>
                <w:color w:val="000000"/>
                <w:szCs w:val="20"/>
                <w:lang w:val="fr-FR" w:eastAsia="fr-FR"/>
              </w:rPr>
            </w:pPr>
          </w:p>
        </w:tc>
        <w:tc>
          <w:tcPr>
            <w:tcW w:w="372" w:type="dxa"/>
            <w:shd w:val="clear" w:color="auto" w:fill="auto"/>
            <w:noWrap/>
            <w:vAlign w:val="center"/>
          </w:tcPr>
          <w:p w14:paraId="4765AE9A"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tcPr>
          <w:p w14:paraId="22E814BA"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exécutif recherche et développement et directeur scientifique</w:t>
            </w:r>
          </w:p>
        </w:tc>
        <w:tc>
          <w:tcPr>
            <w:tcW w:w="257" w:type="dxa"/>
            <w:gridSpan w:val="3"/>
            <w:shd w:val="clear" w:color="auto" w:fill="auto"/>
            <w:noWrap/>
            <w:vAlign w:val="center"/>
          </w:tcPr>
          <w:p w14:paraId="3C6FE1B0" w14:textId="77777777"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vAlign w:val="center"/>
          </w:tcPr>
          <w:p w14:paraId="2B31E6AB"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Servier</w:t>
            </w:r>
          </w:p>
        </w:tc>
      </w:tr>
      <w:tr w:rsidR="00B740A8" w:rsidRPr="00C73365" w14:paraId="08869A45" w14:textId="77777777" w:rsidTr="00D1541A">
        <w:trPr>
          <w:gridAfter w:val="1"/>
          <w:wAfter w:w="111" w:type="dxa"/>
          <w:trHeight w:val="251"/>
        </w:trPr>
        <w:tc>
          <w:tcPr>
            <w:tcW w:w="1271" w:type="dxa"/>
            <w:gridSpan w:val="3"/>
            <w:shd w:val="clear" w:color="auto" w:fill="auto"/>
            <w:noWrap/>
            <w:vAlign w:val="center"/>
            <w:hideMark/>
          </w:tcPr>
          <w:p w14:paraId="07964BA2" w14:textId="77777777" w:rsidR="00B740A8" w:rsidRPr="00C73365" w:rsidRDefault="00B740A8" w:rsidP="00D1541A">
            <w:pPr>
              <w:rPr>
                <w:rFonts w:asciiTheme="minorHAnsi" w:hAnsiTheme="minorHAnsi" w:cstheme="minorHAnsi"/>
                <w:b/>
                <w:bCs/>
                <w:color w:val="000000"/>
                <w:szCs w:val="20"/>
                <w:lang w:val="fr-FR" w:eastAsia="fr-FR"/>
              </w:rPr>
            </w:pPr>
          </w:p>
        </w:tc>
        <w:tc>
          <w:tcPr>
            <w:tcW w:w="372" w:type="dxa"/>
            <w:shd w:val="clear" w:color="auto" w:fill="auto"/>
            <w:noWrap/>
            <w:vAlign w:val="center"/>
            <w:hideMark/>
          </w:tcPr>
          <w:p w14:paraId="2BE029E5"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hideMark/>
          </w:tcPr>
          <w:p w14:paraId="51B3F7D4" w14:textId="77777777" w:rsidR="00B740A8" w:rsidRPr="00C73365" w:rsidRDefault="00B740A8" w:rsidP="00D1541A">
            <w:pPr>
              <w:rPr>
                <w:rFonts w:asciiTheme="minorHAnsi" w:hAnsiTheme="minorHAnsi" w:cstheme="minorHAnsi"/>
                <w:szCs w:val="20"/>
                <w:lang w:val="fr-FR" w:eastAsia="fr-FR"/>
              </w:rPr>
            </w:pPr>
          </w:p>
        </w:tc>
        <w:tc>
          <w:tcPr>
            <w:tcW w:w="257" w:type="dxa"/>
            <w:gridSpan w:val="3"/>
            <w:shd w:val="clear" w:color="auto" w:fill="auto"/>
            <w:noWrap/>
            <w:vAlign w:val="center"/>
            <w:hideMark/>
          </w:tcPr>
          <w:p w14:paraId="00375E5B" w14:textId="77777777" w:rsidR="00B740A8" w:rsidRPr="00C73365" w:rsidRDefault="00B740A8" w:rsidP="00D1541A">
            <w:pPr>
              <w:rPr>
                <w:rFonts w:asciiTheme="minorHAnsi" w:hAnsiTheme="minorHAnsi" w:cstheme="minorHAnsi"/>
                <w:szCs w:val="20"/>
                <w:highlight w:val="yellow"/>
                <w:lang w:val="fr-FR" w:eastAsia="fr-FR"/>
              </w:rPr>
            </w:pPr>
          </w:p>
        </w:tc>
        <w:tc>
          <w:tcPr>
            <w:tcW w:w="2280" w:type="dxa"/>
            <w:shd w:val="clear" w:color="auto" w:fill="auto"/>
            <w:noWrap/>
            <w:vAlign w:val="center"/>
            <w:hideMark/>
          </w:tcPr>
          <w:p w14:paraId="672B7078" w14:textId="77777777" w:rsidR="00B740A8" w:rsidRPr="00C73365" w:rsidRDefault="00B740A8" w:rsidP="00D1541A">
            <w:pPr>
              <w:rPr>
                <w:rFonts w:asciiTheme="minorHAnsi" w:hAnsiTheme="minorHAnsi" w:cstheme="minorHAnsi"/>
                <w:szCs w:val="20"/>
                <w:highlight w:val="yellow"/>
                <w:lang w:val="fr-FR" w:eastAsia="fr-FR"/>
              </w:rPr>
            </w:pPr>
          </w:p>
        </w:tc>
      </w:tr>
      <w:tr w:rsidR="00B740A8" w:rsidRPr="00C73365" w14:paraId="09461911" w14:textId="77777777" w:rsidTr="00D1541A">
        <w:trPr>
          <w:gridAfter w:val="1"/>
          <w:wAfter w:w="111" w:type="dxa"/>
          <w:trHeight w:val="251"/>
        </w:trPr>
        <w:tc>
          <w:tcPr>
            <w:tcW w:w="1271" w:type="dxa"/>
            <w:gridSpan w:val="3"/>
            <w:shd w:val="clear" w:color="auto" w:fill="auto"/>
            <w:noWrap/>
            <w:vAlign w:val="center"/>
            <w:hideMark/>
          </w:tcPr>
          <w:p w14:paraId="2ED8EF6E" w14:textId="77777777" w:rsidR="00B740A8" w:rsidRPr="00C73365" w:rsidRDefault="00B740A8" w:rsidP="00D1541A">
            <w:pPr>
              <w:rPr>
                <w:rFonts w:asciiTheme="minorHAnsi" w:hAnsiTheme="minorHAnsi" w:cstheme="minorHAnsi"/>
                <w:szCs w:val="20"/>
                <w:lang w:val="fr-FR" w:eastAsia="fr-FR"/>
              </w:rPr>
            </w:pPr>
          </w:p>
        </w:tc>
        <w:tc>
          <w:tcPr>
            <w:tcW w:w="372" w:type="dxa"/>
            <w:shd w:val="clear" w:color="auto" w:fill="auto"/>
            <w:noWrap/>
            <w:vAlign w:val="center"/>
            <w:hideMark/>
          </w:tcPr>
          <w:p w14:paraId="536628CD"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hideMark/>
          </w:tcPr>
          <w:p w14:paraId="11381226"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d’administrateur:</w:t>
            </w:r>
          </w:p>
        </w:tc>
        <w:tc>
          <w:tcPr>
            <w:tcW w:w="257" w:type="dxa"/>
            <w:gridSpan w:val="3"/>
            <w:shd w:val="clear" w:color="auto" w:fill="auto"/>
            <w:noWrap/>
            <w:vAlign w:val="center"/>
            <w:hideMark/>
          </w:tcPr>
          <w:p w14:paraId="2F1CEED5" w14:textId="77777777" w:rsidR="00B740A8" w:rsidRPr="00C73365" w:rsidRDefault="00B740A8" w:rsidP="00D1541A">
            <w:pPr>
              <w:rPr>
                <w:rFonts w:asciiTheme="minorHAnsi" w:hAnsiTheme="minorHAnsi" w:cstheme="minorHAnsi"/>
                <w:b/>
                <w:bCs/>
                <w:color w:val="000000"/>
                <w:szCs w:val="20"/>
                <w:highlight w:val="yellow"/>
                <w:lang w:val="fr-FR" w:eastAsia="fr-FR"/>
              </w:rPr>
            </w:pPr>
          </w:p>
        </w:tc>
        <w:tc>
          <w:tcPr>
            <w:tcW w:w="2280" w:type="dxa"/>
            <w:shd w:val="clear" w:color="auto" w:fill="auto"/>
            <w:noWrap/>
            <w:vAlign w:val="center"/>
            <w:hideMark/>
          </w:tcPr>
          <w:p w14:paraId="04032F9C" w14:textId="77777777" w:rsidR="00B740A8" w:rsidRPr="00C73365" w:rsidRDefault="00B740A8" w:rsidP="00D1541A">
            <w:pPr>
              <w:rPr>
                <w:rFonts w:asciiTheme="minorHAnsi" w:hAnsiTheme="minorHAnsi" w:cstheme="minorHAnsi"/>
                <w:szCs w:val="20"/>
                <w:highlight w:val="yellow"/>
                <w:lang w:val="fr-FR" w:eastAsia="fr-FR"/>
              </w:rPr>
            </w:pPr>
          </w:p>
        </w:tc>
      </w:tr>
      <w:tr w:rsidR="00B740A8" w:rsidRPr="00C73365" w14:paraId="4EFF7DCA" w14:textId="77777777" w:rsidTr="00D1541A">
        <w:trPr>
          <w:gridAfter w:val="1"/>
          <w:wAfter w:w="111" w:type="dxa"/>
          <w:trHeight w:val="251"/>
        </w:trPr>
        <w:tc>
          <w:tcPr>
            <w:tcW w:w="1271" w:type="dxa"/>
            <w:gridSpan w:val="3"/>
            <w:shd w:val="clear" w:color="auto" w:fill="auto"/>
            <w:noWrap/>
            <w:vAlign w:val="center"/>
          </w:tcPr>
          <w:p w14:paraId="613C46CA" w14:textId="77777777" w:rsidR="00B740A8" w:rsidRPr="00C73365" w:rsidRDefault="00B740A8" w:rsidP="00D1541A">
            <w:pPr>
              <w:rPr>
                <w:rFonts w:asciiTheme="minorHAnsi" w:hAnsiTheme="minorHAnsi" w:cstheme="minorHAnsi"/>
                <w:szCs w:val="20"/>
                <w:lang w:val="fr-FR" w:eastAsia="fr-FR"/>
              </w:rPr>
            </w:pPr>
          </w:p>
        </w:tc>
        <w:tc>
          <w:tcPr>
            <w:tcW w:w="372" w:type="dxa"/>
            <w:shd w:val="clear" w:color="auto" w:fill="auto"/>
            <w:noWrap/>
            <w:vAlign w:val="center"/>
          </w:tcPr>
          <w:p w14:paraId="60749443"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tcPr>
          <w:p w14:paraId="7368C938"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257" w:type="dxa"/>
            <w:gridSpan w:val="3"/>
            <w:shd w:val="clear" w:color="auto" w:fill="auto"/>
            <w:noWrap/>
            <w:vAlign w:val="center"/>
          </w:tcPr>
          <w:p w14:paraId="15FC655A" w14:textId="77777777"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tcPr>
          <w:p w14:paraId="0EC8F8DA"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HCERES</w:t>
            </w:r>
          </w:p>
        </w:tc>
      </w:tr>
      <w:tr w:rsidR="00B740A8" w:rsidRPr="00C73365" w14:paraId="5740ADB7" w14:textId="77777777" w:rsidTr="00D1541A">
        <w:trPr>
          <w:gridAfter w:val="1"/>
          <w:wAfter w:w="111" w:type="dxa"/>
          <w:trHeight w:val="251"/>
        </w:trPr>
        <w:tc>
          <w:tcPr>
            <w:tcW w:w="1271" w:type="dxa"/>
            <w:gridSpan w:val="3"/>
            <w:tcBorders>
              <w:bottom w:val="single" w:sz="4" w:space="0" w:color="7030A0"/>
            </w:tcBorders>
            <w:shd w:val="clear" w:color="auto" w:fill="auto"/>
            <w:noWrap/>
            <w:vAlign w:val="center"/>
            <w:hideMark/>
          </w:tcPr>
          <w:p w14:paraId="3A8989DF"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372" w:type="dxa"/>
            <w:tcBorders>
              <w:bottom w:val="single" w:sz="4" w:space="0" w:color="7030A0"/>
            </w:tcBorders>
            <w:shd w:val="clear" w:color="auto" w:fill="auto"/>
            <w:noWrap/>
            <w:vAlign w:val="center"/>
            <w:hideMark/>
          </w:tcPr>
          <w:p w14:paraId="497B0189" w14:textId="77777777" w:rsidR="00B740A8" w:rsidRPr="00C73365" w:rsidRDefault="00B740A8" w:rsidP="00D1541A">
            <w:pPr>
              <w:rPr>
                <w:rFonts w:asciiTheme="minorHAnsi" w:hAnsiTheme="minorHAnsi" w:cstheme="minorHAnsi"/>
                <w:color w:val="000000"/>
                <w:szCs w:val="20"/>
                <w:lang w:val="fr-FR" w:eastAsia="fr-FR"/>
              </w:rPr>
            </w:pPr>
          </w:p>
        </w:tc>
        <w:tc>
          <w:tcPr>
            <w:tcW w:w="5560" w:type="dxa"/>
            <w:tcBorders>
              <w:bottom w:val="single" w:sz="4" w:space="0" w:color="7030A0"/>
            </w:tcBorders>
            <w:shd w:val="clear" w:color="auto" w:fill="auto"/>
            <w:vAlign w:val="center"/>
            <w:hideMark/>
          </w:tcPr>
          <w:p w14:paraId="0EF6B03A"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257" w:type="dxa"/>
            <w:gridSpan w:val="3"/>
            <w:shd w:val="clear" w:color="auto" w:fill="auto"/>
            <w:noWrap/>
            <w:vAlign w:val="center"/>
            <w:hideMark/>
          </w:tcPr>
          <w:p w14:paraId="28D3512D" w14:textId="77777777"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hideMark/>
          </w:tcPr>
          <w:p w14:paraId="4DDDF65A"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Eclosion 2</w:t>
            </w:r>
          </w:p>
        </w:tc>
      </w:tr>
      <w:tr w:rsidR="00B740A8" w:rsidRPr="00C73365" w14:paraId="7AA0AB91" w14:textId="77777777" w:rsidTr="00D1541A">
        <w:trPr>
          <w:gridAfter w:val="1"/>
          <w:wAfter w:w="111" w:type="dxa"/>
          <w:trHeight w:val="251"/>
        </w:trPr>
        <w:tc>
          <w:tcPr>
            <w:tcW w:w="1643" w:type="dxa"/>
            <w:gridSpan w:val="4"/>
            <w:vMerge w:val="restart"/>
            <w:tcBorders>
              <w:top w:val="single" w:sz="4" w:space="0" w:color="7030A0"/>
            </w:tcBorders>
            <w:shd w:val="clear" w:color="auto" w:fill="auto"/>
            <w:noWrap/>
            <w:vAlign w:val="center"/>
            <w:hideMark/>
          </w:tcPr>
          <w:p w14:paraId="67552935"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p>
          <w:p w14:paraId="491ACD64" w14:textId="77777777"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color w:val="000000"/>
                <w:szCs w:val="20"/>
                <w:lang w:val="fr-FR" w:eastAsia="fr-FR"/>
              </w:rPr>
              <w:t>Jean-Jacques Bertrand</w:t>
            </w:r>
          </w:p>
        </w:tc>
        <w:tc>
          <w:tcPr>
            <w:tcW w:w="5560" w:type="dxa"/>
            <w:tcBorders>
              <w:top w:val="single" w:sz="4" w:space="0" w:color="7030A0"/>
            </w:tcBorders>
            <w:shd w:val="clear" w:color="auto" w:fill="auto"/>
            <w:vAlign w:val="center"/>
            <w:hideMark/>
          </w:tcPr>
          <w:p w14:paraId="244647D4"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w:t>
            </w:r>
          </w:p>
        </w:tc>
        <w:tc>
          <w:tcPr>
            <w:tcW w:w="257" w:type="dxa"/>
            <w:gridSpan w:val="3"/>
            <w:shd w:val="clear" w:color="auto" w:fill="auto"/>
            <w:noWrap/>
            <w:vAlign w:val="center"/>
            <w:hideMark/>
          </w:tcPr>
          <w:p w14:paraId="373E42F8" w14:textId="77777777"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14:paraId="6A9BEB59" w14:textId="77777777" w:rsidR="00B740A8" w:rsidRPr="00C73365" w:rsidRDefault="00B740A8" w:rsidP="00D1541A">
            <w:pPr>
              <w:rPr>
                <w:rFonts w:asciiTheme="minorHAnsi" w:hAnsiTheme="minorHAnsi" w:cstheme="minorHAnsi"/>
                <w:szCs w:val="20"/>
                <w:lang w:val="fr-FR" w:eastAsia="fr-FR"/>
              </w:rPr>
            </w:pPr>
          </w:p>
        </w:tc>
      </w:tr>
      <w:tr w:rsidR="00B740A8" w:rsidRPr="00C73365" w14:paraId="7D776AA1" w14:textId="77777777" w:rsidTr="00D1541A">
        <w:trPr>
          <w:gridAfter w:val="1"/>
          <w:wAfter w:w="111" w:type="dxa"/>
          <w:trHeight w:val="251"/>
        </w:trPr>
        <w:tc>
          <w:tcPr>
            <w:tcW w:w="1643" w:type="dxa"/>
            <w:gridSpan w:val="4"/>
            <w:vMerge/>
            <w:shd w:val="clear" w:color="auto" w:fill="auto"/>
            <w:noWrap/>
            <w:vAlign w:val="center"/>
            <w:hideMark/>
          </w:tcPr>
          <w:p w14:paraId="00E2CBA5"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hideMark/>
          </w:tcPr>
          <w:p w14:paraId="17AB370F"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257" w:type="dxa"/>
            <w:gridSpan w:val="3"/>
            <w:shd w:val="clear" w:color="auto" w:fill="auto"/>
            <w:noWrap/>
            <w:vAlign w:val="center"/>
            <w:hideMark/>
          </w:tcPr>
          <w:p w14:paraId="1E6C042F" w14:textId="77777777"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14:paraId="30E933DD"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Neovacs SA</w:t>
            </w:r>
          </w:p>
        </w:tc>
      </w:tr>
      <w:tr w:rsidR="00B740A8" w:rsidRPr="00C73365" w14:paraId="39CA2306" w14:textId="77777777" w:rsidTr="00D1541A">
        <w:trPr>
          <w:gridAfter w:val="1"/>
          <w:wAfter w:w="111" w:type="dxa"/>
          <w:trHeight w:val="251"/>
        </w:trPr>
        <w:tc>
          <w:tcPr>
            <w:tcW w:w="1643" w:type="dxa"/>
            <w:gridSpan w:val="4"/>
            <w:vMerge/>
            <w:shd w:val="clear" w:color="auto" w:fill="auto"/>
            <w:noWrap/>
            <w:vAlign w:val="center"/>
            <w:hideMark/>
          </w:tcPr>
          <w:p w14:paraId="694293AA"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hideMark/>
          </w:tcPr>
          <w:p w14:paraId="3A27DC04"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257" w:type="dxa"/>
            <w:gridSpan w:val="3"/>
            <w:shd w:val="clear" w:color="auto" w:fill="auto"/>
            <w:noWrap/>
            <w:vAlign w:val="center"/>
            <w:hideMark/>
          </w:tcPr>
          <w:p w14:paraId="26305794" w14:textId="77777777"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14:paraId="279C7F3E"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Pierre Fabre SA</w:t>
            </w:r>
          </w:p>
        </w:tc>
      </w:tr>
      <w:tr w:rsidR="00B740A8" w:rsidRPr="00C73365" w14:paraId="2B96453C" w14:textId="77777777" w:rsidTr="00D1541A">
        <w:trPr>
          <w:gridAfter w:val="1"/>
          <w:wAfter w:w="111" w:type="dxa"/>
          <w:trHeight w:val="251"/>
        </w:trPr>
        <w:tc>
          <w:tcPr>
            <w:tcW w:w="1129" w:type="dxa"/>
            <w:shd w:val="clear" w:color="auto" w:fill="auto"/>
            <w:noWrap/>
            <w:vAlign w:val="center"/>
            <w:hideMark/>
          </w:tcPr>
          <w:p w14:paraId="1AAE6B2F" w14:textId="77777777" w:rsidR="00B740A8" w:rsidRPr="00C73365" w:rsidRDefault="00B740A8" w:rsidP="00D1541A">
            <w:pPr>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14:paraId="3052A0EC"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hideMark/>
          </w:tcPr>
          <w:p w14:paraId="6CF45613"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conseil d’administration</w:t>
            </w:r>
          </w:p>
        </w:tc>
        <w:tc>
          <w:tcPr>
            <w:tcW w:w="257" w:type="dxa"/>
            <w:gridSpan w:val="3"/>
            <w:shd w:val="clear" w:color="auto" w:fill="auto"/>
            <w:noWrap/>
            <w:vAlign w:val="center"/>
            <w:hideMark/>
          </w:tcPr>
          <w:p w14:paraId="7496F6A8" w14:textId="77777777"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14:paraId="5E8190A0"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Viroxis SAS</w:t>
            </w:r>
          </w:p>
        </w:tc>
      </w:tr>
      <w:tr w:rsidR="00B740A8" w:rsidRPr="00C73365" w14:paraId="66085FD0" w14:textId="77777777" w:rsidTr="00D1541A">
        <w:trPr>
          <w:gridAfter w:val="1"/>
          <w:wAfter w:w="111" w:type="dxa"/>
          <w:trHeight w:val="251"/>
        </w:trPr>
        <w:tc>
          <w:tcPr>
            <w:tcW w:w="1129" w:type="dxa"/>
            <w:shd w:val="clear" w:color="auto" w:fill="auto"/>
            <w:noWrap/>
            <w:vAlign w:val="center"/>
            <w:hideMark/>
          </w:tcPr>
          <w:p w14:paraId="3EEAD2FB" w14:textId="77777777" w:rsidR="00B740A8" w:rsidRPr="00C73365" w:rsidRDefault="00B740A8" w:rsidP="00D1541A">
            <w:pPr>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14:paraId="51ACCC43"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hideMark/>
          </w:tcPr>
          <w:p w14:paraId="6D250173"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Vice-Président</w:t>
            </w:r>
          </w:p>
        </w:tc>
        <w:tc>
          <w:tcPr>
            <w:tcW w:w="257" w:type="dxa"/>
            <w:gridSpan w:val="3"/>
            <w:shd w:val="clear" w:color="auto" w:fill="auto"/>
            <w:noWrap/>
            <w:vAlign w:val="center"/>
            <w:hideMark/>
          </w:tcPr>
          <w:p w14:paraId="3FB5942F" w14:textId="77777777"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14:paraId="3402AF35"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Brive Rugby SAS</w:t>
            </w:r>
          </w:p>
        </w:tc>
      </w:tr>
      <w:tr w:rsidR="00B740A8" w:rsidRPr="00C73365" w14:paraId="006CFC39" w14:textId="77777777" w:rsidTr="00D1541A">
        <w:trPr>
          <w:gridAfter w:val="1"/>
          <w:wAfter w:w="111" w:type="dxa"/>
          <w:trHeight w:val="251"/>
        </w:trPr>
        <w:tc>
          <w:tcPr>
            <w:tcW w:w="1129" w:type="dxa"/>
            <w:shd w:val="clear" w:color="auto" w:fill="auto"/>
            <w:noWrap/>
            <w:vAlign w:val="center"/>
            <w:hideMark/>
          </w:tcPr>
          <w:p w14:paraId="6A50AD6A" w14:textId="77777777" w:rsidR="00B740A8" w:rsidRPr="00C73365" w:rsidRDefault="00B740A8" w:rsidP="00D1541A">
            <w:pPr>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14:paraId="3419A934"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hideMark/>
          </w:tcPr>
          <w:p w14:paraId="577D06BB" w14:textId="77777777" w:rsidR="00B740A8" w:rsidRPr="00C73365" w:rsidRDefault="00B740A8" w:rsidP="00D1541A">
            <w:pPr>
              <w:rPr>
                <w:rFonts w:asciiTheme="minorHAnsi" w:hAnsiTheme="minorHAnsi" w:cstheme="minorHAnsi"/>
                <w:szCs w:val="20"/>
                <w:lang w:val="fr-FR" w:eastAsia="fr-FR"/>
              </w:rPr>
            </w:pPr>
          </w:p>
        </w:tc>
        <w:tc>
          <w:tcPr>
            <w:tcW w:w="257" w:type="dxa"/>
            <w:gridSpan w:val="3"/>
            <w:shd w:val="clear" w:color="auto" w:fill="auto"/>
            <w:noWrap/>
            <w:vAlign w:val="center"/>
            <w:hideMark/>
          </w:tcPr>
          <w:p w14:paraId="727821C7" w14:textId="77777777" w:rsidR="00B740A8" w:rsidRPr="00C73365" w:rsidRDefault="00B740A8" w:rsidP="00D1541A">
            <w:pPr>
              <w:rPr>
                <w:rFonts w:asciiTheme="minorHAnsi" w:hAnsiTheme="minorHAnsi" w:cstheme="minorHAnsi"/>
                <w:szCs w:val="20"/>
                <w:lang w:val="fr-FR" w:eastAsia="fr-FR"/>
              </w:rPr>
            </w:pPr>
          </w:p>
        </w:tc>
        <w:tc>
          <w:tcPr>
            <w:tcW w:w="2280" w:type="dxa"/>
            <w:shd w:val="clear" w:color="auto" w:fill="auto"/>
            <w:noWrap/>
            <w:vAlign w:val="center"/>
            <w:hideMark/>
          </w:tcPr>
          <w:p w14:paraId="05B4B413" w14:textId="77777777" w:rsidR="00B740A8" w:rsidRPr="00C73365" w:rsidRDefault="00B740A8" w:rsidP="00D1541A">
            <w:pPr>
              <w:rPr>
                <w:rFonts w:asciiTheme="minorHAnsi" w:hAnsiTheme="minorHAnsi" w:cstheme="minorHAnsi"/>
                <w:szCs w:val="20"/>
                <w:lang w:val="fr-FR" w:eastAsia="fr-FR"/>
              </w:rPr>
            </w:pPr>
          </w:p>
        </w:tc>
      </w:tr>
      <w:tr w:rsidR="00B740A8" w:rsidRPr="00C73365" w14:paraId="5E2D798D" w14:textId="77777777" w:rsidTr="00D1541A">
        <w:trPr>
          <w:gridAfter w:val="1"/>
          <w:wAfter w:w="111" w:type="dxa"/>
          <w:trHeight w:val="251"/>
        </w:trPr>
        <w:tc>
          <w:tcPr>
            <w:tcW w:w="1129" w:type="dxa"/>
            <w:shd w:val="clear" w:color="auto" w:fill="auto"/>
            <w:noWrap/>
            <w:vAlign w:val="center"/>
            <w:hideMark/>
          </w:tcPr>
          <w:p w14:paraId="7014B679" w14:textId="77777777" w:rsidR="00B740A8" w:rsidRPr="00C73365" w:rsidRDefault="00B740A8" w:rsidP="00D1541A">
            <w:pPr>
              <w:rPr>
                <w:rFonts w:asciiTheme="minorHAnsi" w:hAnsiTheme="minorHAnsi" w:cstheme="minorHAnsi"/>
                <w:szCs w:val="20"/>
                <w:lang w:val="fr-FR" w:eastAsia="fr-FR"/>
              </w:rPr>
            </w:pPr>
          </w:p>
        </w:tc>
        <w:tc>
          <w:tcPr>
            <w:tcW w:w="514" w:type="dxa"/>
            <w:gridSpan w:val="3"/>
            <w:shd w:val="clear" w:color="auto" w:fill="auto"/>
            <w:noWrap/>
            <w:vAlign w:val="center"/>
            <w:hideMark/>
          </w:tcPr>
          <w:p w14:paraId="65A940C2"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hideMark/>
          </w:tcPr>
          <w:p w14:paraId="29264126"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d’administrateur:</w:t>
            </w:r>
          </w:p>
        </w:tc>
        <w:tc>
          <w:tcPr>
            <w:tcW w:w="257" w:type="dxa"/>
            <w:gridSpan w:val="3"/>
            <w:shd w:val="clear" w:color="auto" w:fill="auto"/>
            <w:noWrap/>
            <w:vAlign w:val="center"/>
            <w:hideMark/>
          </w:tcPr>
          <w:p w14:paraId="3B9E0D25" w14:textId="77777777" w:rsidR="00B740A8" w:rsidRPr="00C73365" w:rsidRDefault="00B740A8" w:rsidP="00D1541A">
            <w:pPr>
              <w:rPr>
                <w:rFonts w:asciiTheme="minorHAnsi" w:hAnsiTheme="minorHAnsi" w:cstheme="minorHAnsi"/>
                <w:b/>
                <w:bCs/>
                <w:color w:val="000000"/>
                <w:szCs w:val="20"/>
                <w:lang w:val="fr-FR" w:eastAsia="fr-FR"/>
              </w:rPr>
            </w:pPr>
          </w:p>
        </w:tc>
        <w:tc>
          <w:tcPr>
            <w:tcW w:w="2280" w:type="dxa"/>
            <w:shd w:val="clear" w:color="auto" w:fill="auto"/>
            <w:noWrap/>
            <w:vAlign w:val="center"/>
            <w:hideMark/>
          </w:tcPr>
          <w:p w14:paraId="396B2314" w14:textId="77777777" w:rsidR="00B740A8" w:rsidRPr="00C73365" w:rsidRDefault="00B740A8" w:rsidP="00D1541A">
            <w:pPr>
              <w:rPr>
                <w:rFonts w:asciiTheme="minorHAnsi" w:hAnsiTheme="minorHAnsi" w:cstheme="minorHAnsi"/>
                <w:szCs w:val="20"/>
                <w:lang w:val="fr-FR" w:eastAsia="fr-FR"/>
              </w:rPr>
            </w:pPr>
          </w:p>
        </w:tc>
      </w:tr>
      <w:tr w:rsidR="00B740A8" w:rsidRPr="00C73365" w14:paraId="0E02DC23" w14:textId="77777777" w:rsidTr="00D1541A">
        <w:trPr>
          <w:gridAfter w:val="1"/>
          <w:wAfter w:w="111" w:type="dxa"/>
          <w:trHeight w:val="251"/>
        </w:trPr>
        <w:tc>
          <w:tcPr>
            <w:tcW w:w="1129" w:type="dxa"/>
            <w:tcBorders>
              <w:bottom w:val="single" w:sz="4" w:space="0" w:color="7030A0"/>
            </w:tcBorders>
            <w:shd w:val="clear" w:color="auto" w:fill="auto"/>
            <w:noWrap/>
            <w:vAlign w:val="center"/>
          </w:tcPr>
          <w:p w14:paraId="119CF469" w14:textId="77777777" w:rsidR="00B740A8" w:rsidRPr="00C73365" w:rsidRDefault="00B740A8" w:rsidP="00D1541A">
            <w:pPr>
              <w:rPr>
                <w:rFonts w:asciiTheme="minorHAnsi" w:hAnsiTheme="minorHAnsi" w:cstheme="minorHAnsi"/>
                <w:color w:val="000000"/>
                <w:szCs w:val="20"/>
                <w:lang w:val="fr-FR" w:eastAsia="fr-FR"/>
              </w:rPr>
            </w:pPr>
          </w:p>
        </w:tc>
        <w:tc>
          <w:tcPr>
            <w:tcW w:w="514" w:type="dxa"/>
            <w:gridSpan w:val="3"/>
            <w:tcBorders>
              <w:bottom w:val="single" w:sz="4" w:space="0" w:color="7030A0"/>
            </w:tcBorders>
            <w:shd w:val="clear" w:color="auto" w:fill="auto"/>
            <w:noWrap/>
            <w:vAlign w:val="center"/>
          </w:tcPr>
          <w:p w14:paraId="4D591FFC" w14:textId="77777777" w:rsidR="00B740A8" w:rsidRPr="00C73365" w:rsidRDefault="00B740A8" w:rsidP="00D1541A">
            <w:pPr>
              <w:rPr>
                <w:rFonts w:asciiTheme="minorHAnsi" w:hAnsiTheme="minorHAnsi" w:cstheme="minorHAnsi"/>
                <w:color w:val="000000"/>
                <w:szCs w:val="20"/>
                <w:lang w:val="fr-FR" w:eastAsia="fr-FR"/>
              </w:rPr>
            </w:pPr>
          </w:p>
        </w:tc>
        <w:tc>
          <w:tcPr>
            <w:tcW w:w="5560" w:type="dxa"/>
            <w:tcBorders>
              <w:bottom w:val="single" w:sz="4" w:space="0" w:color="7030A0"/>
            </w:tcBorders>
            <w:shd w:val="clear" w:color="auto" w:fill="auto"/>
            <w:vAlign w:val="center"/>
          </w:tcPr>
          <w:p w14:paraId="6F2CD718"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Administrateur</w:t>
            </w:r>
          </w:p>
        </w:tc>
        <w:tc>
          <w:tcPr>
            <w:tcW w:w="257" w:type="dxa"/>
            <w:gridSpan w:val="3"/>
            <w:shd w:val="clear" w:color="auto" w:fill="auto"/>
            <w:noWrap/>
            <w:vAlign w:val="center"/>
          </w:tcPr>
          <w:p w14:paraId="264497AD" w14:textId="77777777"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tcPr>
          <w:p w14:paraId="307B8750" w14:textId="77777777"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Pierre Fabre SA</w:t>
            </w:r>
          </w:p>
        </w:tc>
      </w:tr>
      <w:tr w:rsidR="00B740A8" w:rsidRPr="00C73365" w14:paraId="4D6BFBE9" w14:textId="77777777" w:rsidTr="00D1541A">
        <w:trPr>
          <w:gridAfter w:val="1"/>
          <w:wAfter w:w="111" w:type="dxa"/>
          <w:trHeight w:val="251"/>
        </w:trPr>
        <w:tc>
          <w:tcPr>
            <w:tcW w:w="1643" w:type="dxa"/>
            <w:gridSpan w:val="4"/>
            <w:vMerge w:val="restart"/>
            <w:tcBorders>
              <w:top w:val="single" w:sz="4" w:space="0" w:color="7030A0"/>
            </w:tcBorders>
            <w:shd w:val="clear" w:color="auto" w:fill="auto"/>
            <w:noWrap/>
            <w:vAlign w:val="center"/>
            <w:hideMark/>
          </w:tcPr>
          <w:p w14:paraId="1EC3D68D"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Antonino Ligresti (représentant permanent de Santé Holding SRL)</w:t>
            </w:r>
          </w:p>
          <w:p w14:paraId="5A0A9CAA" w14:textId="77777777" w:rsidR="00B740A8" w:rsidRPr="00C73365" w:rsidRDefault="00B740A8" w:rsidP="00D1541A">
            <w:pPr>
              <w:rPr>
                <w:rFonts w:asciiTheme="minorHAnsi" w:hAnsiTheme="minorHAnsi" w:cstheme="minorHAnsi"/>
                <w:color w:val="000000"/>
                <w:szCs w:val="20"/>
                <w:lang w:val="fr-FR" w:eastAsia="fr-FR"/>
              </w:rPr>
            </w:pPr>
          </w:p>
        </w:tc>
        <w:tc>
          <w:tcPr>
            <w:tcW w:w="5560" w:type="dxa"/>
            <w:tcBorders>
              <w:top w:val="single" w:sz="4" w:space="0" w:color="7030A0"/>
            </w:tcBorders>
            <w:shd w:val="clear" w:color="auto" w:fill="auto"/>
            <w:vAlign w:val="center"/>
            <w:hideMark/>
          </w:tcPr>
          <w:p w14:paraId="6428FD7F"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 / d</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administrateur:</w:t>
            </w:r>
          </w:p>
        </w:tc>
        <w:tc>
          <w:tcPr>
            <w:tcW w:w="257" w:type="dxa"/>
            <w:gridSpan w:val="3"/>
            <w:shd w:val="clear" w:color="auto" w:fill="auto"/>
            <w:noWrap/>
            <w:vAlign w:val="center"/>
            <w:hideMark/>
          </w:tcPr>
          <w:p w14:paraId="1391E5E1" w14:textId="77777777"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14:paraId="5F2C9C10" w14:textId="77777777" w:rsidR="00B740A8" w:rsidRPr="00C73365" w:rsidRDefault="00B740A8" w:rsidP="00D1541A">
            <w:pPr>
              <w:rPr>
                <w:rFonts w:asciiTheme="minorHAnsi" w:hAnsiTheme="minorHAnsi" w:cstheme="minorHAnsi"/>
                <w:szCs w:val="20"/>
                <w:lang w:val="fr-FR" w:eastAsia="fr-FR"/>
              </w:rPr>
            </w:pPr>
          </w:p>
        </w:tc>
      </w:tr>
      <w:tr w:rsidR="00B740A8" w:rsidRPr="00C73365" w14:paraId="3C84794F" w14:textId="77777777" w:rsidTr="00D1541A">
        <w:trPr>
          <w:gridAfter w:val="1"/>
          <w:wAfter w:w="111" w:type="dxa"/>
          <w:trHeight w:val="458"/>
        </w:trPr>
        <w:tc>
          <w:tcPr>
            <w:tcW w:w="1643" w:type="dxa"/>
            <w:gridSpan w:val="4"/>
            <w:vMerge/>
            <w:shd w:val="clear" w:color="auto" w:fill="auto"/>
            <w:noWrap/>
            <w:vAlign w:val="center"/>
            <w:hideMark/>
          </w:tcPr>
          <w:p w14:paraId="42ABFB47" w14:textId="77777777" w:rsidR="00B740A8" w:rsidRPr="00C73365" w:rsidRDefault="00B740A8" w:rsidP="00D1541A">
            <w:pPr>
              <w:rPr>
                <w:rFonts w:asciiTheme="minorHAnsi" w:hAnsiTheme="minorHAnsi" w:cstheme="minorHAnsi"/>
                <w:color w:val="000000"/>
                <w:szCs w:val="20"/>
                <w:lang w:val="fr-FR" w:eastAsia="fr-FR"/>
              </w:rPr>
            </w:pPr>
          </w:p>
        </w:tc>
        <w:tc>
          <w:tcPr>
            <w:tcW w:w="5560" w:type="dxa"/>
            <w:tcBorders>
              <w:bottom w:val="single" w:sz="4" w:space="0" w:color="7030A0"/>
            </w:tcBorders>
            <w:shd w:val="clear" w:color="auto" w:fill="auto"/>
            <w:vAlign w:val="center"/>
            <w:hideMark/>
          </w:tcPr>
          <w:p w14:paraId="5AD3A044"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 unique</w:t>
            </w:r>
          </w:p>
        </w:tc>
        <w:tc>
          <w:tcPr>
            <w:tcW w:w="257" w:type="dxa"/>
            <w:gridSpan w:val="3"/>
            <w:shd w:val="clear" w:color="auto" w:fill="auto"/>
            <w:noWrap/>
            <w:vAlign w:val="center"/>
            <w:hideMark/>
          </w:tcPr>
          <w:p w14:paraId="03B849DE" w14:textId="77777777"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hideMark/>
          </w:tcPr>
          <w:p w14:paraId="4FF6721C"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Santé Holding SRL</w:t>
            </w:r>
          </w:p>
        </w:tc>
      </w:tr>
      <w:tr w:rsidR="00B740A8" w:rsidRPr="00C73365" w14:paraId="02B0F6AA" w14:textId="77777777" w:rsidTr="00D1541A">
        <w:trPr>
          <w:gridAfter w:val="1"/>
          <w:wAfter w:w="111" w:type="dxa"/>
          <w:trHeight w:val="264"/>
        </w:trPr>
        <w:tc>
          <w:tcPr>
            <w:tcW w:w="1202" w:type="dxa"/>
            <w:gridSpan w:val="2"/>
            <w:vMerge w:val="restart"/>
            <w:tcBorders>
              <w:top w:val="single" w:sz="4" w:space="0" w:color="7030A0"/>
            </w:tcBorders>
            <w:shd w:val="clear" w:color="auto" w:fill="auto"/>
            <w:noWrap/>
            <w:vAlign w:val="center"/>
            <w:hideMark/>
          </w:tcPr>
          <w:p w14:paraId="412E9D12"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Christian </w:t>
            </w:r>
          </w:p>
          <w:p w14:paraId="344C9F6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Pierret en tant que représentant de Truffle Capital </w:t>
            </w:r>
          </w:p>
        </w:tc>
        <w:tc>
          <w:tcPr>
            <w:tcW w:w="441" w:type="dxa"/>
            <w:gridSpan w:val="2"/>
            <w:shd w:val="clear" w:color="auto" w:fill="auto"/>
            <w:noWrap/>
            <w:vAlign w:val="center"/>
            <w:hideMark/>
          </w:tcPr>
          <w:p w14:paraId="7A8CAA94" w14:textId="77777777" w:rsidR="00B740A8" w:rsidRPr="00C73365" w:rsidRDefault="00B740A8" w:rsidP="00D1541A">
            <w:pPr>
              <w:rPr>
                <w:rFonts w:asciiTheme="minorHAnsi" w:hAnsiTheme="minorHAnsi" w:cstheme="minorHAnsi"/>
                <w:color w:val="000000"/>
                <w:szCs w:val="20"/>
                <w:lang w:val="fr-FR" w:eastAsia="fr-FR"/>
              </w:rPr>
            </w:pPr>
          </w:p>
        </w:tc>
        <w:tc>
          <w:tcPr>
            <w:tcW w:w="5560" w:type="dxa"/>
            <w:tcBorders>
              <w:top w:val="single" w:sz="4" w:space="0" w:color="7030A0"/>
            </w:tcBorders>
            <w:shd w:val="clear" w:color="auto" w:fill="auto"/>
            <w:vAlign w:val="center"/>
            <w:hideMark/>
          </w:tcPr>
          <w:p w14:paraId="0178E063"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257" w:type="dxa"/>
            <w:gridSpan w:val="3"/>
            <w:shd w:val="clear" w:color="auto" w:fill="auto"/>
            <w:noWrap/>
            <w:vAlign w:val="center"/>
            <w:hideMark/>
          </w:tcPr>
          <w:p w14:paraId="1544E9BE" w14:textId="77777777" w:rsidR="00B740A8" w:rsidRPr="00C73365" w:rsidRDefault="00B740A8" w:rsidP="00D1541A">
            <w:pPr>
              <w:rPr>
                <w:rFonts w:asciiTheme="minorHAnsi" w:hAnsiTheme="minorHAnsi" w:cstheme="minorHAnsi"/>
                <w:color w:val="000000"/>
                <w:szCs w:val="20"/>
                <w:lang w:val="fr-FR" w:eastAsia="fr-FR"/>
              </w:rPr>
            </w:pPr>
          </w:p>
        </w:tc>
        <w:tc>
          <w:tcPr>
            <w:tcW w:w="2280" w:type="dxa"/>
            <w:tcBorders>
              <w:top w:val="single" w:sz="4" w:space="0" w:color="7030A0"/>
            </w:tcBorders>
            <w:shd w:val="clear" w:color="auto" w:fill="auto"/>
            <w:noWrap/>
            <w:vAlign w:val="center"/>
            <w:hideMark/>
          </w:tcPr>
          <w:p w14:paraId="0FC7E536"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GrDF SA</w:t>
            </w:r>
          </w:p>
        </w:tc>
      </w:tr>
      <w:tr w:rsidR="00B740A8" w:rsidRPr="00C73365" w14:paraId="251269C8" w14:textId="77777777" w:rsidTr="00D1541A">
        <w:trPr>
          <w:gridAfter w:val="1"/>
          <w:wAfter w:w="111" w:type="dxa"/>
          <w:trHeight w:val="529"/>
        </w:trPr>
        <w:tc>
          <w:tcPr>
            <w:tcW w:w="1202" w:type="dxa"/>
            <w:gridSpan w:val="2"/>
            <w:vMerge/>
            <w:shd w:val="clear" w:color="auto" w:fill="auto"/>
            <w:noWrap/>
            <w:vAlign w:val="center"/>
            <w:hideMark/>
          </w:tcPr>
          <w:p w14:paraId="59F38FC4" w14:textId="77777777" w:rsidR="00B740A8" w:rsidRPr="00C73365" w:rsidRDefault="00B740A8" w:rsidP="00D1541A">
            <w:pPr>
              <w:rPr>
                <w:rFonts w:asciiTheme="minorHAnsi" w:hAnsiTheme="minorHAnsi" w:cstheme="minorHAnsi"/>
                <w:b/>
                <w:bCs/>
                <w:color w:val="000000"/>
                <w:szCs w:val="20"/>
                <w:lang w:val="fr-FR" w:eastAsia="fr-FR"/>
              </w:rPr>
            </w:pPr>
          </w:p>
        </w:tc>
        <w:tc>
          <w:tcPr>
            <w:tcW w:w="441" w:type="dxa"/>
            <w:gridSpan w:val="2"/>
            <w:shd w:val="clear" w:color="auto" w:fill="auto"/>
            <w:noWrap/>
            <w:vAlign w:val="center"/>
            <w:hideMark/>
          </w:tcPr>
          <w:p w14:paraId="6FDF36A5"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hideMark/>
          </w:tcPr>
          <w:p w14:paraId="61404855"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p w14:paraId="7A23D066"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257" w:type="dxa"/>
            <w:gridSpan w:val="3"/>
            <w:shd w:val="clear" w:color="auto" w:fill="auto"/>
            <w:noWrap/>
            <w:vAlign w:val="center"/>
            <w:hideMark/>
          </w:tcPr>
          <w:p w14:paraId="4AFECBFF" w14:textId="77777777"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14:paraId="2BE4C1B1"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Deinove SA</w:t>
            </w:r>
          </w:p>
          <w:p w14:paraId="01E764CB"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Pharnext SA</w:t>
            </w:r>
          </w:p>
        </w:tc>
      </w:tr>
      <w:tr w:rsidR="00B740A8" w:rsidRPr="00C73365" w14:paraId="6F875722" w14:textId="77777777" w:rsidTr="00D1541A">
        <w:trPr>
          <w:gridAfter w:val="1"/>
          <w:wAfter w:w="111" w:type="dxa"/>
          <w:trHeight w:val="264"/>
        </w:trPr>
        <w:tc>
          <w:tcPr>
            <w:tcW w:w="1202" w:type="dxa"/>
            <w:gridSpan w:val="2"/>
            <w:tcBorders>
              <w:bottom w:val="single" w:sz="4" w:space="0" w:color="7030A0"/>
            </w:tcBorders>
            <w:shd w:val="clear" w:color="auto" w:fill="auto"/>
            <w:noWrap/>
            <w:vAlign w:val="center"/>
            <w:hideMark/>
          </w:tcPr>
          <w:p w14:paraId="4E70F3AD" w14:textId="77777777"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 </w:t>
            </w:r>
          </w:p>
        </w:tc>
        <w:tc>
          <w:tcPr>
            <w:tcW w:w="441" w:type="dxa"/>
            <w:gridSpan w:val="2"/>
            <w:shd w:val="clear" w:color="auto" w:fill="auto"/>
            <w:noWrap/>
            <w:vAlign w:val="center"/>
            <w:hideMark/>
          </w:tcPr>
          <w:p w14:paraId="5E411268" w14:textId="77777777" w:rsidR="00B740A8" w:rsidRPr="00C73365" w:rsidRDefault="00B740A8" w:rsidP="00D1541A">
            <w:pPr>
              <w:rPr>
                <w:rFonts w:asciiTheme="minorHAnsi" w:hAnsiTheme="minorHAnsi" w:cstheme="minorHAnsi"/>
                <w:color w:val="000000"/>
                <w:szCs w:val="20"/>
                <w:lang w:eastAsia="fr-FR"/>
              </w:rPr>
            </w:pPr>
          </w:p>
        </w:tc>
        <w:tc>
          <w:tcPr>
            <w:tcW w:w="5560" w:type="dxa"/>
            <w:tcBorders>
              <w:bottom w:val="single" w:sz="4" w:space="0" w:color="7030A0"/>
            </w:tcBorders>
            <w:shd w:val="clear" w:color="auto" w:fill="auto"/>
            <w:vAlign w:val="center"/>
            <w:hideMark/>
          </w:tcPr>
          <w:p w14:paraId="016C0277"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257" w:type="dxa"/>
            <w:gridSpan w:val="3"/>
            <w:shd w:val="clear" w:color="auto" w:fill="auto"/>
            <w:noWrap/>
            <w:vAlign w:val="center"/>
            <w:hideMark/>
          </w:tcPr>
          <w:p w14:paraId="27A74B2D" w14:textId="77777777"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14:paraId="57FBBCD0" w14:textId="77777777" w:rsidR="00B740A8" w:rsidRPr="00C73365" w:rsidRDefault="00B740A8" w:rsidP="00D1541A">
            <w:pPr>
              <w:rPr>
                <w:rFonts w:asciiTheme="minorHAnsi" w:hAnsiTheme="minorHAnsi" w:cstheme="minorHAnsi"/>
                <w:b/>
                <w:bCs/>
                <w:color w:val="000000"/>
                <w:szCs w:val="20"/>
                <w:lang w:val="fr-FR" w:eastAsia="fr-FR"/>
              </w:rPr>
            </w:pPr>
          </w:p>
        </w:tc>
      </w:tr>
      <w:tr w:rsidR="00B740A8" w:rsidRPr="00C73365" w14:paraId="04847EAE" w14:textId="77777777" w:rsidTr="00D1541A">
        <w:trPr>
          <w:trHeight w:val="273"/>
        </w:trPr>
        <w:tc>
          <w:tcPr>
            <w:tcW w:w="1202" w:type="dxa"/>
            <w:gridSpan w:val="2"/>
            <w:vMerge w:val="restart"/>
            <w:tcBorders>
              <w:top w:val="single" w:sz="4" w:space="0" w:color="7030A0"/>
            </w:tcBorders>
            <w:shd w:val="clear" w:color="auto" w:fill="auto"/>
            <w:vAlign w:val="center"/>
            <w:hideMark/>
          </w:tcPr>
          <w:p w14:paraId="3626942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Dominique Costantini</w:t>
            </w:r>
          </w:p>
          <w:p w14:paraId="010EB673"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441" w:type="dxa"/>
            <w:gridSpan w:val="2"/>
            <w:shd w:val="clear" w:color="auto" w:fill="auto"/>
            <w:noWrap/>
            <w:vAlign w:val="center"/>
            <w:hideMark/>
          </w:tcPr>
          <w:p w14:paraId="2C7A0D2E" w14:textId="77777777" w:rsidR="00B740A8" w:rsidRPr="00C73365" w:rsidRDefault="00B740A8" w:rsidP="00D1541A">
            <w:pPr>
              <w:rPr>
                <w:rFonts w:asciiTheme="minorHAnsi" w:hAnsiTheme="minorHAnsi" w:cstheme="minorHAnsi"/>
                <w:color w:val="000000"/>
                <w:szCs w:val="20"/>
                <w:lang w:val="fr-FR" w:eastAsia="fr-FR"/>
              </w:rPr>
            </w:pPr>
          </w:p>
        </w:tc>
        <w:tc>
          <w:tcPr>
            <w:tcW w:w="5560" w:type="dxa"/>
            <w:tcBorders>
              <w:top w:val="single" w:sz="4" w:space="0" w:color="7030A0"/>
            </w:tcBorders>
            <w:shd w:val="clear" w:color="auto" w:fill="auto"/>
            <w:vAlign w:val="center"/>
            <w:hideMark/>
          </w:tcPr>
          <w:p w14:paraId="4FD315D5" w14:textId="77777777" w:rsidR="00B740A8" w:rsidRDefault="00B740A8" w:rsidP="00D1541A">
            <w:pPr>
              <w:ind w:right="-1629"/>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 / d</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administrateur:</w:t>
            </w:r>
          </w:p>
          <w:p w14:paraId="6158686A" w14:textId="77777777" w:rsidR="00292C15" w:rsidRPr="00C73365" w:rsidRDefault="00292C15" w:rsidP="00D1541A">
            <w:pPr>
              <w:ind w:right="-1629"/>
              <w:rPr>
                <w:rFonts w:asciiTheme="minorHAnsi" w:hAnsiTheme="minorHAnsi" w:cstheme="minorHAnsi"/>
                <w:b/>
                <w:bCs/>
                <w:color w:val="000000"/>
                <w:szCs w:val="20"/>
                <w:lang w:val="fr-FR" w:eastAsia="fr-FR"/>
              </w:rPr>
            </w:pPr>
          </w:p>
        </w:tc>
        <w:tc>
          <w:tcPr>
            <w:tcW w:w="257" w:type="dxa"/>
            <w:gridSpan w:val="3"/>
            <w:shd w:val="clear" w:color="auto" w:fill="auto"/>
            <w:noWrap/>
            <w:vAlign w:val="center"/>
            <w:hideMark/>
          </w:tcPr>
          <w:p w14:paraId="17AA9386" w14:textId="77777777"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tcBorders>
              <w:top w:val="single" w:sz="4" w:space="0" w:color="7030A0"/>
            </w:tcBorders>
            <w:shd w:val="clear" w:color="auto" w:fill="auto"/>
            <w:vAlign w:val="center"/>
            <w:hideMark/>
          </w:tcPr>
          <w:p w14:paraId="05EA31C8" w14:textId="77777777" w:rsidR="00B740A8" w:rsidRPr="00C73365" w:rsidRDefault="00B740A8" w:rsidP="00D1541A">
            <w:pPr>
              <w:rPr>
                <w:rFonts w:asciiTheme="minorHAnsi" w:hAnsiTheme="minorHAnsi" w:cstheme="minorHAnsi"/>
                <w:szCs w:val="20"/>
                <w:lang w:val="fr-FR" w:eastAsia="fr-FR"/>
              </w:rPr>
            </w:pPr>
          </w:p>
        </w:tc>
      </w:tr>
      <w:tr w:rsidR="00B740A8" w:rsidRPr="00C73365" w14:paraId="59D807FF" w14:textId="77777777" w:rsidTr="00D1541A">
        <w:trPr>
          <w:trHeight w:val="281"/>
        </w:trPr>
        <w:tc>
          <w:tcPr>
            <w:tcW w:w="1202" w:type="dxa"/>
            <w:gridSpan w:val="2"/>
            <w:vMerge/>
            <w:shd w:val="clear" w:color="auto" w:fill="auto"/>
            <w:vAlign w:val="center"/>
            <w:hideMark/>
          </w:tcPr>
          <w:p w14:paraId="69FC9573" w14:textId="77777777" w:rsidR="00B740A8" w:rsidRPr="00C73365" w:rsidRDefault="00B740A8" w:rsidP="00D1541A">
            <w:pPr>
              <w:rPr>
                <w:rFonts w:asciiTheme="minorHAnsi" w:hAnsiTheme="minorHAnsi" w:cstheme="minorHAnsi"/>
                <w:szCs w:val="20"/>
                <w:lang w:val="fr-FR" w:eastAsia="fr-FR"/>
              </w:rPr>
            </w:pPr>
          </w:p>
        </w:tc>
        <w:tc>
          <w:tcPr>
            <w:tcW w:w="441" w:type="dxa"/>
            <w:gridSpan w:val="2"/>
            <w:shd w:val="clear" w:color="auto" w:fill="auto"/>
            <w:noWrap/>
            <w:vAlign w:val="center"/>
            <w:hideMark/>
          </w:tcPr>
          <w:p w14:paraId="19FE5E7B" w14:textId="77777777" w:rsidR="00B740A8" w:rsidRPr="00C73365" w:rsidRDefault="00B740A8" w:rsidP="00D1541A">
            <w:pPr>
              <w:rPr>
                <w:rFonts w:asciiTheme="minorHAnsi" w:hAnsiTheme="minorHAnsi" w:cstheme="minorHAnsi"/>
                <w:szCs w:val="20"/>
                <w:lang w:val="fr-FR" w:eastAsia="fr-FR"/>
              </w:rPr>
            </w:pPr>
          </w:p>
        </w:tc>
        <w:tc>
          <w:tcPr>
            <w:tcW w:w="5560" w:type="dxa"/>
            <w:shd w:val="clear" w:color="auto" w:fill="auto"/>
            <w:vAlign w:val="center"/>
            <w:hideMark/>
          </w:tcPr>
          <w:p w14:paraId="6F36DB09" w14:textId="77777777" w:rsidR="00B740A8" w:rsidRDefault="00B740A8" w:rsidP="00434C49">
            <w:pPr>
              <w:pStyle w:val="Paragraphedeliste"/>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non exécutif et administrateur</w:t>
            </w:r>
          </w:p>
          <w:p w14:paraId="371734AE" w14:textId="77777777" w:rsidR="00670C89" w:rsidRDefault="00670C89" w:rsidP="00670C89">
            <w:pPr>
              <w:spacing w:after="0"/>
              <w:ind w:right="-1629"/>
              <w:rPr>
                <w:rFonts w:asciiTheme="minorHAnsi" w:hAnsiTheme="minorHAnsi" w:cstheme="minorHAnsi"/>
                <w:color w:val="000000"/>
                <w:szCs w:val="20"/>
                <w:lang w:val="fr-FR" w:eastAsia="fr-FR"/>
              </w:rPr>
            </w:pPr>
          </w:p>
          <w:p w14:paraId="4E7B5845" w14:textId="77777777" w:rsidR="00670C89" w:rsidRPr="00670C89" w:rsidRDefault="00670C89" w:rsidP="00670C89">
            <w:pPr>
              <w:spacing w:after="0"/>
              <w:ind w:right="-1629"/>
              <w:rPr>
                <w:rFonts w:asciiTheme="minorHAnsi" w:hAnsiTheme="minorHAnsi" w:cstheme="minorHAnsi"/>
                <w:color w:val="000000"/>
                <w:szCs w:val="20"/>
                <w:lang w:val="fr-FR" w:eastAsia="fr-FR"/>
              </w:rPr>
            </w:pPr>
          </w:p>
        </w:tc>
        <w:tc>
          <w:tcPr>
            <w:tcW w:w="257" w:type="dxa"/>
            <w:gridSpan w:val="3"/>
            <w:shd w:val="clear" w:color="auto" w:fill="auto"/>
            <w:noWrap/>
            <w:vAlign w:val="center"/>
            <w:hideMark/>
          </w:tcPr>
          <w:p w14:paraId="6CF622C2"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hideMark/>
          </w:tcPr>
          <w:p w14:paraId="39A0688F"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Carthera SAS ICM Paris </w:t>
            </w:r>
          </w:p>
        </w:tc>
      </w:tr>
      <w:tr w:rsidR="00B740A8" w:rsidRPr="00670C89" w14:paraId="28CBA42C" w14:textId="77777777" w:rsidTr="00D1541A">
        <w:trPr>
          <w:trHeight w:val="281"/>
        </w:trPr>
        <w:tc>
          <w:tcPr>
            <w:tcW w:w="1202" w:type="dxa"/>
            <w:gridSpan w:val="2"/>
            <w:vMerge/>
            <w:shd w:val="clear" w:color="auto" w:fill="auto"/>
            <w:vAlign w:val="center"/>
            <w:hideMark/>
          </w:tcPr>
          <w:p w14:paraId="4FB79781" w14:textId="77777777" w:rsidR="00B740A8" w:rsidRPr="00C73365" w:rsidRDefault="00B740A8" w:rsidP="00D1541A">
            <w:pPr>
              <w:rPr>
                <w:rFonts w:asciiTheme="minorHAnsi" w:hAnsiTheme="minorHAnsi" w:cstheme="minorHAnsi"/>
                <w:color w:val="000000"/>
                <w:szCs w:val="20"/>
                <w:lang w:val="fr-FR" w:eastAsia="fr-FR"/>
              </w:rPr>
            </w:pPr>
          </w:p>
        </w:tc>
        <w:tc>
          <w:tcPr>
            <w:tcW w:w="441" w:type="dxa"/>
            <w:gridSpan w:val="2"/>
            <w:shd w:val="clear" w:color="auto" w:fill="auto"/>
            <w:noWrap/>
            <w:vAlign w:val="center"/>
            <w:hideMark/>
          </w:tcPr>
          <w:p w14:paraId="513C0FD8" w14:textId="77777777" w:rsidR="00B740A8" w:rsidRPr="00C73365" w:rsidRDefault="00B740A8" w:rsidP="00D1541A">
            <w:pPr>
              <w:rPr>
                <w:rFonts w:asciiTheme="minorHAnsi" w:hAnsiTheme="minorHAnsi" w:cstheme="minorHAnsi"/>
                <w:color w:val="000000"/>
                <w:szCs w:val="20"/>
                <w:lang w:val="fr-FR" w:eastAsia="fr-FR"/>
              </w:rPr>
            </w:pPr>
          </w:p>
        </w:tc>
        <w:tc>
          <w:tcPr>
            <w:tcW w:w="5560" w:type="dxa"/>
            <w:shd w:val="clear" w:color="auto" w:fill="auto"/>
            <w:vAlign w:val="center"/>
            <w:hideMark/>
          </w:tcPr>
          <w:p w14:paraId="0838C576" w14:textId="77777777" w:rsidR="00B740A8" w:rsidRDefault="00B740A8" w:rsidP="00434C49">
            <w:pPr>
              <w:pStyle w:val="Paragraphedeliste"/>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14:paraId="18C4033C" w14:textId="77777777" w:rsidR="00670C89" w:rsidRPr="00C73365" w:rsidRDefault="00670C89" w:rsidP="00670C89">
            <w:pPr>
              <w:pStyle w:val="Paragraphedeliste"/>
              <w:spacing w:after="0"/>
              <w:ind w:left="198" w:right="-1629"/>
              <w:rPr>
                <w:rFonts w:asciiTheme="minorHAnsi" w:hAnsiTheme="minorHAnsi" w:cstheme="minorHAnsi"/>
                <w:color w:val="000000"/>
                <w:szCs w:val="20"/>
                <w:lang w:val="fr-FR" w:eastAsia="fr-FR"/>
              </w:rPr>
            </w:pPr>
          </w:p>
          <w:p w14:paraId="72BBEACC" w14:textId="77777777" w:rsidR="00670C89" w:rsidRDefault="00670C89" w:rsidP="00670C89">
            <w:pPr>
              <w:pStyle w:val="Paragraphedeliste"/>
              <w:spacing w:after="0"/>
              <w:ind w:left="198" w:right="-1629"/>
              <w:rPr>
                <w:rFonts w:asciiTheme="minorHAnsi" w:hAnsiTheme="minorHAnsi" w:cstheme="minorHAnsi"/>
                <w:color w:val="000000"/>
                <w:szCs w:val="20"/>
                <w:lang w:val="fr-FR" w:eastAsia="fr-FR"/>
              </w:rPr>
            </w:pPr>
          </w:p>
          <w:p w14:paraId="2A44A2E9" w14:textId="0EA01644" w:rsidR="00B740A8" w:rsidRPr="00670C89" w:rsidRDefault="00B740A8" w:rsidP="00670C89">
            <w:pPr>
              <w:pStyle w:val="Paragraphedeliste"/>
              <w:spacing w:after="0"/>
              <w:ind w:left="198" w:right="-1629"/>
              <w:rPr>
                <w:rFonts w:asciiTheme="minorHAnsi" w:hAnsiTheme="minorHAnsi" w:cstheme="minorHAnsi"/>
                <w:color w:val="000000"/>
                <w:szCs w:val="20"/>
                <w:lang w:val="fr-FR" w:eastAsia="fr-FR"/>
              </w:rPr>
            </w:pPr>
          </w:p>
        </w:tc>
        <w:tc>
          <w:tcPr>
            <w:tcW w:w="257" w:type="dxa"/>
            <w:gridSpan w:val="3"/>
            <w:shd w:val="clear" w:color="auto" w:fill="auto"/>
            <w:noWrap/>
            <w:vAlign w:val="center"/>
            <w:hideMark/>
          </w:tcPr>
          <w:p w14:paraId="262A8EFA"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hideMark/>
          </w:tcPr>
          <w:p w14:paraId="12594CD5" w14:textId="68C52C06" w:rsidR="00670C89"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w:t>
            </w:r>
            <w:r w:rsidR="00670C89">
              <w:rPr>
                <w:rFonts w:asciiTheme="minorHAnsi" w:hAnsiTheme="minorHAnsi" w:cstheme="minorHAnsi"/>
                <w:b/>
                <w:bCs/>
                <w:color w:val="000000"/>
                <w:szCs w:val="20"/>
                <w:lang w:val="fr-FR" w:eastAsia="fr-FR"/>
              </w:rPr>
              <w:t>éranexus SAS Lyon</w:t>
            </w:r>
          </w:p>
          <w:p w14:paraId="4055708D" w14:textId="23304A53" w:rsidR="00B740A8" w:rsidRPr="00C73365" w:rsidRDefault="00670C89" w:rsidP="00D1541A">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t xml:space="preserve"> </w:t>
            </w:r>
          </w:p>
        </w:tc>
      </w:tr>
      <w:tr w:rsidR="00670C89" w:rsidRPr="00670C89" w14:paraId="6A8DF7E3" w14:textId="77777777" w:rsidTr="00D1541A">
        <w:trPr>
          <w:trHeight w:val="281"/>
        </w:trPr>
        <w:tc>
          <w:tcPr>
            <w:tcW w:w="1202" w:type="dxa"/>
            <w:gridSpan w:val="2"/>
            <w:shd w:val="clear" w:color="auto" w:fill="auto"/>
            <w:vAlign w:val="center"/>
          </w:tcPr>
          <w:p w14:paraId="668A8EF6" w14:textId="77777777" w:rsidR="00670C89" w:rsidRPr="00C73365" w:rsidRDefault="00670C89" w:rsidP="00D1541A">
            <w:pPr>
              <w:rPr>
                <w:rFonts w:asciiTheme="minorHAnsi" w:hAnsiTheme="minorHAnsi" w:cstheme="minorHAnsi"/>
                <w:color w:val="000000"/>
                <w:szCs w:val="20"/>
                <w:lang w:val="fr-FR" w:eastAsia="fr-FR"/>
              </w:rPr>
            </w:pPr>
          </w:p>
        </w:tc>
        <w:tc>
          <w:tcPr>
            <w:tcW w:w="441" w:type="dxa"/>
            <w:gridSpan w:val="2"/>
            <w:shd w:val="clear" w:color="auto" w:fill="auto"/>
            <w:noWrap/>
            <w:vAlign w:val="center"/>
          </w:tcPr>
          <w:p w14:paraId="6C9B51B3" w14:textId="77777777" w:rsidR="00670C89" w:rsidRPr="00C73365" w:rsidRDefault="00670C89" w:rsidP="00D1541A">
            <w:pPr>
              <w:rPr>
                <w:rFonts w:asciiTheme="minorHAnsi" w:hAnsiTheme="minorHAnsi" w:cstheme="minorHAnsi"/>
                <w:color w:val="000000"/>
                <w:szCs w:val="20"/>
                <w:lang w:val="fr-FR" w:eastAsia="fr-FR"/>
              </w:rPr>
            </w:pPr>
          </w:p>
        </w:tc>
        <w:tc>
          <w:tcPr>
            <w:tcW w:w="5560" w:type="dxa"/>
            <w:shd w:val="clear" w:color="auto" w:fill="auto"/>
            <w:vAlign w:val="center"/>
          </w:tcPr>
          <w:p w14:paraId="1D9A342B" w14:textId="6930F600" w:rsidR="00670C89" w:rsidRPr="00670C89" w:rsidRDefault="00670C89" w:rsidP="00434C49">
            <w:pPr>
              <w:pStyle w:val="Paragraphedeliste"/>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257" w:type="dxa"/>
            <w:gridSpan w:val="3"/>
            <w:shd w:val="clear" w:color="auto" w:fill="auto"/>
            <w:noWrap/>
            <w:vAlign w:val="center"/>
          </w:tcPr>
          <w:p w14:paraId="3FD01E14" w14:textId="77777777"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14:paraId="2E1EB18B" w14:textId="165A59B6" w:rsidR="00670C89" w:rsidRPr="00C73365" w:rsidRDefault="00670C89"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OSE Immunotherapeutics</w:t>
            </w:r>
            <w:r>
              <w:rPr>
                <w:rFonts w:asciiTheme="minorHAnsi" w:hAnsiTheme="minorHAnsi" w:cstheme="minorHAnsi"/>
                <w:b/>
                <w:bCs/>
                <w:color w:val="000000"/>
                <w:szCs w:val="20"/>
                <w:lang w:val="fr-FR" w:eastAsia="fr-FR"/>
              </w:rPr>
              <w:t xml:space="preserve"> </w:t>
            </w:r>
          </w:p>
        </w:tc>
      </w:tr>
      <w:tr w:rsidR="00670C89" w:rsidRPr="00670C89" w14:paraId="167FF695" w14:textId="77777777" w:rsidTr="00D1541A">
        <w:trPr>
          <w:trHeight w:val="281"/>
        </w:trPr>
        <w:tc>
          <w:tcPr>
            <w:tcW w:w="1202" w:type="dxa"/>
            <w:gridSpan w:val="2"/>
            <w:shd w:val="clear" w:color="auto" w:fill="auto"/>
            <w:vAlign w:val="center"/>
          </w:tcPr>
          <w:p w14:paraId="36F4B1A0" w14:textId="77777777" w:rsidR="00670C89" w:rsidRPr="00C73365" w:rsidRDefault="00670C89" w:rsidP="00D1541A">
            <w:pPr>
              <w:rPr>
                <w:rFonts w:asciiTheme="minorHAnsi" w:hAnsiTheme="minorHAnsi" w:cstheme="minorHAnsi"/>
                <w:color w:val="000000"/>
                <w:szCs w:val="20"/>
                <w:lang w:val="fr-FR" w:eastAsia="fr-FR"/>
              </w:rPr>
            </w:pPr>
          </w:p>
        </w:tc>
        <w:tc>
          <w:tcPr>
            <w:tcW w:w="441" w:type="dxa"/>
            <w:gridSpan w:val="2"/>
            <w:shd w:val="clear" w:color="auto" w:fill="auto"/>
            <w:noWrap/>
            <w:vAlign w:val="center"/>
          </w:tcPr>
          <w:p w14:paraId="644F1C8B" w14:textId="77777777" w:rsidR="00670C89" w:rsidRPr="00C73365" w:rsidRDefault="00670C89" w:rsidP="00D1541A">
            <w:pPr>
              <w:rPr>
                <w:rFonts w:asciiTheme="minorHAnsi" w:hAnsiTheme="minorHAnsi" w:cstheme="minorHAnsi"/>
                <w:color w:val="000000"/>
                <w:szCs w:val="20"/>
                <w:lang w:val="fr-FR" w:eastAsia="fr-FR"/>
              </w:rPr>
            </w:pPr>
          </w:p>
        </w:tc>
        <w:tc>
          <w:tcPr>
            <w:tcW w:w="5560" w:type="dxa"/>
            <w:shd w:val="clear" w:color="auto" w:fill="auto"/>
            <w:vAlign w:val="center"/>
          </w:tcPr>
          <w:p w14:paraId="4A06DD08" w14:textId="69FBD333" w:rsidR="00670C89" w:rsidRPr="00C73365" w:rsidRDefault="00670C89" w:rsidP="00434C49">
            <w:pPr>
              <w:pStyle w:val="Paragraphedeliste"/>
              <w:numPr>
                <w:ilvl w:val="0"/>
                <w:numId w:val="95"/>
              </w:numPr>
              <w:spacing w:after="0"/>
              <w:ind w:left="198" w:right="-1629" w:hanging="142"/>
              <w:rPr>
                <w:rFonts w:asciiTheme="minorHAnsi" w:hAnsiTheme="minorHAnsi" w:cstheme="minorHAnsi"/>
                <w:color w:val="000000"/>
                <w:szCs w:val="20"/>
                <w:lang w:val="fr-FR" w:eastAsia="fr-FR"/>
              </w:rPr>
            </w:pPr>
            <w:r>
              <w:rPr>
                <w:rFonts w:asciiTheme="minorHAnsi" w:hAnsiTheme="minorHAnsi" w:cstheme="minorHAnsi"/>
                <w:color w:val="000000"/>
                <w:szCs w:val="20"/>
                <w:lang w:val="fr-FR" w:eastAsia="fr-FR"/>
              </w:rPr>
              <w:t>Administrateur</w:t>
            </w:r>
          </w:p>
        </w:tc>
        <w:tc>
          <w:tcPr>
            <w:tcW w:w="257" w:type="dxa"/>
            <w:gridSpan w:val="3"/>
            <w:shd w:val="clear" w:color="auto" w:fill="auto"/>
            <w:noWrap/>
            <w:vAlign w:val="center"/>
          </w:tcPr>
          <w:p w14:paraId="045A6243" w14:textId="77777777"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14:paraId="1A785C77" w14:textId="0388F53C" w:rsidR="00670C89" w:rsidRPr="00C73365" w:rsidRDefault="00670C89" w:rsidP="00670C89">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t>Theradiag SA Paris</w:t>
            </w:r>
          </w:p>
        </w:tc>
      </w:tr>
      <w:tr w:rsidR="00670C89" w:rsidRPr="00C73365" w14:paraId="2CE0FBB3" w14:textId="77777777" w:rsidTr="00D1541A">
        <w:trPr>
          <w:trHeight w:val="281"/>
        </w:trPr>
        <w:tc>
          <w:tcPr>
            <w:tcW w:w="1202" w:type="dxa"/>
            <w:gridSpan w:val="2"/>
            <w:shd w:val="clear" w:color="auto" w:fill="auto"/>
            <w:vAlign w:val="center"/>
          </w:tcPr>
          <w:p w14:paraId="35975862" w14:textId="77777777" w:rsidR="00670C89" w:rsidRPr="00C73365" w:rsidRDefault="00670C89" w:rsidP="00D1541A">
            <w:pPr>
              <w:rPr>
                <w:rFonts w:asciiTheme="minorHAnsi" w:hAnsiTheme="minorHAnsi" w:cstheme="minorHAnsi"/>
                <w:color w:val="000000"/>
                <w:szCs w:val="20"/>
                <w:lang w:val="fr-FR" w:eastAsia="fr-FR"/>
              </w:rPr>
            </w:pPr>
          </w:p>
        </w:tc>
        <w:tc>
          <w:tcPr>
            <w:tcW w:w="441" w:type="dxa"/>
            <w:gridSpan w:val="2"/>
            <w:shd w:val="clear" w:color="auto" w:fill="auto"/>
            <w:noWrap/>
            <w:vAlign w:val="center"/>
          </w:tcPr>
          <w:p w14:paraId="0A267F59" w14:textId="77777777" w:rsidR="00670C89" w:rsidRPr="00C73365" w:rsidRDefault="00670C89" w:rsidP="00D1541A">
            <w:pPr>
              <w:rPr>
                <w:rFonts w:asciiTheme="minorHAnsi" w:hAnsiTheme="minorHAnsi" w:cstheme="minorHAnsi"/>
                <w:color w:val="000000"/>
                <w:szCs w:val="20"/>
                <w:lang w:val="fr-FR" w:eastAsia="fr-FR"/>
              </w:rPr>
            </w:pPr>
          </w:p>
        </w:tc>
        <w:tc>
          <w:tcPr>
            <w:tcW w:w="5560" w:type="dxa"/>
            <w:shd w:val="clear" w:color="auto" w:fill="auto"/>
            <w:vAlign w:val="center"/>
          </w:tcPr>
          <w:p w14:paraId="01F02159" w14:textId="131E3549" w:rsidR="00670C89" w:rsidRPr="00C73365" w:rsidRDefault="00670C89" w:rsidP="00434C49">
            <w:pPr>
              <w:pStyle w:val="Paragraphedeliste"/>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257" w:type="dxa"/>
            <w:gridSpan w:val="3"/>
            <w:shd w:val="clear" w:color="auto" w:fill="auto"/>
            <w:noWrap/>
            <w:vAlign w:val="center"/>
          </w:tcPr>
          <w:p w14:paraId="743C06A8" w14:textId="77777777"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14:paraId="3DD84522" w14:textId="3FB13E4F" w:rsidR="00670C89" w:rsidRPr="00C73365" w:rsidRDefault="00670C89"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Sensorion SA Montpelier</w:t>
            </w:r>
          </w:p>
        </w:tc>
      </w:tr>
      <w:tr w:rsidR="00B740A8" w:rsidRPr="00C73365" w14:paraId="068EAE9A" w14:textId="77777777" w:rsidTr="00D1541A">
        <w:trPr>
          <w:trHeight w:val="281"/>
        </w:trPr>
        <w:tc>
          <w:tcPr>
            <w:tcW w:w="1202" w:type="dxa"/>
            <w:gridSpan w:val="2"/>
            <w:tcBorders>
              <w:bottom w:val="single" w:sz="4" w:space="0" w:color="7030A0"/>
            </w:tcBorders>
            <w:shd w:val="clear" w:color="auto" w:fill="auto"/>
            <w:vAlign w:val="center"/>
          </w:tcPr>
          <w:p w14:paraId="2765E262" w14:textId="77777777" w:rsidR="00B740A8" w:rsidRPr="00C73365" w:rsidRDefault="00B740A8" w:rsidP="00D1541A">
            <w:pPr>
              <w:rPr>
                <w:rFonts w:asciiTheme="minorHAnsi" w:hAnsiTheme="minorHAnsi" w:cstheme="minorHAnsi"/>
                <w:color w:val="000000"/>
                <w:szCs w:val="20"/>
                <w:lang w:val="fr-FR" w:eastAsia="fr-FR"/>
              </w:rPr>
            </w:pPr>
          </w:p>
        </w:tc>
        <w:tc>
          <w:tcPr>
            <w:tcW w:w="441" w:type="dxa"/>
            <w:gridSpan w:val="2"/>
            <w:shd w:val="clear" w:color="auto" w:fill="auto"/>
            <w:noWrap/>
            <w:vAlign w:val="center"/>
          </w:tcPr>
          <w:p w14:paraId="0AAA9E80" w14:textId="77777777" w:rsidR="00B740A8" w:rsidRPr="00C73365" w:rsidRDefault="00B740A8" w:rsidP="00D1541A">
            <w:pPr>
              <w:rPr>
                <w:rFonts w:asciiTheme="minorHAnsi" w:hAnsiTheme="minorHAnsi" w:cstheme="minorHAnsi"/>
                <w:color w:val="000000"/>
                <w:szCs w:val="20"/>
                <w:lang w:val="fr-FR" w:eastAsia="fr-FR"/>
              </w:rPr>
            </w:pPr>
          </w:p>
        </w:tc>
        <w:tc>
          <w:tcPr>
            <w:tcW w:w="5560" w:type="dxa"/>
            <w:tcBorders>
              <w:bottom w:val="single" w:sz="4" w:space="0" w:color="7030A0"/>
            </w:tcBorders>
            <w:shd w:val="clear" w:color="auto" w:fill="auto"/>
            <w:vAlign w:val="center"/>
          </w:tcPr>
          <w:p w14:paraId="4E8F4042" w14:textId="77777777" w:rsidR="00B740A8" w:rsidRPr="00C73365" w:rsidRDefault="00B740A8" w:rsidP="00D1541A">
            <w:pPr>
              <w:pStyle w:val="Paragraphedeliste"/>
              <w:ind w:left="198" w:right="-1629"/>
              <w:rPr>
                <w:rFonts w:asciiTheme="minorHAnsi" w:hAnsiTheme="minorHAnsi" w:cstheme="minorHAnsi"/>
                <w:color w:val="000000"/>
                <w:szCs w:val="20"/>
                <w:lang w:val="fr-FR" w:eastAsia="fr-FR"/>
              </w:rPr>
            </w:pPr>
          </w:p>
        </w:tc>
        <w:tc>
          <w:tcPr>
            <w:tcW w:w="257" w:type="dxa"/>
            <w:gridSpan w:val="3"/>
            <w:shd w:val="clear" w:color="auto" w:fill="auto"/>
            <w:noWrap/>
            <w:vAlign w:val="center"/>
          </w:tcPr>
          <w:p w14:paraId="68A100D0"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bottom w:val="single" w:sz="4" w:space="0" w:color="7030A0"/>
            </w:tcBorders>
            <w:shd w:val="clear" w:color="auto" w:fill="auto"/>
            <w:vAlign w:val="center"/>
          </w:tcPr>
          <w:p w14:paraId="03A9076E" w14:textId="77777777" w:rsidR="00B740A8" w:rsidRPr="00C73365" w:rsidRDefault="00B740A8" w:rsidP="00D1541A">
            <w:pPr>
              <w:rPr>
                <w:rFonts w:asciiTheme="minorHAnsi" w:hAnsiTheme="minorHAnsi" w:cstheme="minorHAnsi"/>
                <w:b/>
                <w:bCs/>
                <w:color w:val="000000"/>
                <w:szCs w:val="20"/>
                <w:lang w:val="fr-FR" w:eastAsia="fr-FR"/>
              </w:rPr>
            </w:pPr>
          </w:p>
        </w:tc>
      </w:tr>
      <w:tr w:rsidR="00B740A8" w:rsidRPr="00C73365" w14:paraId="6C9FA4C7" w14:textId="77777777" w:rsidTr="00D1541A">
        <w:trPr>
          <w:trHeight w:val="281"/>
        </w:trPr>
        <w:tc>
          <w:tcPr>
            <w:tcW w:w="1202" w:type="dxa"/>
            <w:gridSpan w:val="2"/>
            <w:tcBorders>
              <w:top w:val="single" w:sz="4" w:space="0" w:color="7030A0"/>
            </w:tcBorders>
            <w:shd w:val="clear" w:color="auto" w:fill="auto"/>
            <w:vAlign w:val="center"/>
          </w:tcPr>
          <w:p w14:paraId="2ACD00C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Carol L. Brosgart</w:t>
            </w:r>
          </w:p>
        </w:tc>
        <w:tc>
          <w:tcPr>
            <w:tcW w:w="441" w:type="dxa"/>
            <w:gridSpan w:val="2"/>
            <w:shd w:val="clear" w:color="auto" w:fill="auto"/>
            <w:noWrap/>
            <w:vAlign w:val="center"/>
          </w:tcPr>
          <w:p w14:paraId="15A44417" w14:textId="77777777" w:rsidR="00B740A8" w:rsidRPr="00C73365" w:rsidRDefault="00B740A8" w:rsidP="00D1541A">
            <w:pPr>
              <w:rPr>
                <w:rFonts w:asciiTheme="minorHAnsi" w:hAnsiTheme="minorHAnsi" w:cstheme="minorHAnsi"/>
                <w:color w:val="000000"/>
                <w:szCs w:val="20"/>
                <w:lang w:val="fr-FR" w:eastAsia="fr-FR"/>
              </w:rPr>
            </w:pPr>
          </w:p>
        </w:tc>
        <w:tc>
          <w:tcPr>
            <w:tcW w:w="5560" w:type="dxa"/>
            <w:tcBorders>
              <w:top w:val="single" w:sz="4" w:space="0" w:color="7030A0"/>
            </w:tcBorders>
            <w:shd w:val="clear" w:color="auto" w:fill="auto"/>
            <w:vAlign w:val="center"/>
          </w:tcPr>
          <w:p w14:paraId="59D4DFC0" w14:textId="77777777" w:rsidR="00B740A8" w:rsidRPr="00C73365" w:rsidRDefault="00B740A8" w:rsidP="00D1541A">
            <w:pPr>
              <w:ind w:right="-1629"/>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Mandats de direction / d</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administrateur:</w:t>
            </w:r>
          </w:p>
        </w:tc>
        <w:tc>
          <w:tcPr>
            <w:tcW w:w="257" w:type="dxa"/>
            <w:gridSpan w:val="3"/>
            <w:shd w:val="clear" w:color="auto" w:fill="auto"/>
            <w:noWrap/>
            <w:vAlign w:val="center"/>
          </w:tcPr>
          <w:p w14:paraId="5698A7D5"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vAlign w:val="center"/>
          </w:tcPr>
          <w:p w14:paraId="396B837A" w14:textId="77777777" w:rsidR="00B740A8" w:rsidRPr="00C73365" w:rsidRDefault="00B740A8" w:rsidP="00D1541A">
            <w:pPr>
              <w:rPr>
                <w:rFonts w:asciiTheme="minorHAnsi" w:hAnsiTheme="minorHAnsi" w:cstheme="minorHAnsi"/>
                <w:b/>
                <w:bCs/>
                <w:color w:val="000000"/>
                <w:szCs w:val="20"/>
                <w:lang w:val="fr-FR" w:eastAsia="fr-FR"/>
              </w:rPr>
            </w:pPr>
          </w:p>
        </w:tc>
      </w:tr>
      <w:tr w:rsidR="00B740A8" w:rsidRPr="00C73365" w14:paraId="335FF1FA" w14:textId="77777777" w:rsidTr="00D1541A">
        <w:trPr>
          <w:trHeight w:val="281"/>
        </w:trPr>
        <w:tc>
          <w:tcPr>
            <w:tcW w:w="1202" w:type="dxa"/>
            <w:gridSpan w:val="2"/>
            <w:shd w:val="clear" w:color="auto" w:fill="auto"/>
            <w:vAlign w:val="center"/>
          </w:tcPr>
          <w:p w14:paraId="43814EBE" w14:textId="77777777" w:rsidR="00B740A8" w:rsidRPr="00C73365" w:rsidRDefault="00B740A8" w:rsidP="00D1541A">
            <w:pPr>
              <w:rPr>
                <w:rFonts w:asciiTheme="minorHAnsi" w:hAnsiTheme="minorHAnsi" w:cstheme="minorHAnsi"/>
                <w:color w:val="000000"/>
                <w:szCs w:val="20"/>
                <w:lang w:val="fr-FR" w:eastAsia="fr-FR"/>
              </w:rPr>
            </w:pPr>
          </w:p>
        </w:tc>
        <w:tc>
          <w:tcPr>
            <w:tcW w:w="441" w:type="dxa"/>
            <w:gridSpan w:val="2"/>
            <w:shd w:val="clear" w:color="auto" w:fill="auto"/>
            <w:noWrap/>
            <w:vAlign w:val="center"/>
          </w:tcPr>
          <w:p w14:paraId="52B6B0F4" w14:textId="77777777" w:rsidR="00B740A8" w:rsidRPr="00C73365" w:rsidRDefault="00B740A8" w:rsidP="00D1541A">
            <w:pPr>
              <w:rPr>
                <w:rFonts w:asciiTheme="minorHAnsi" w:hAnsiTheme="minorHAnsi" w:cstheme="minorHAnsi"/>
                <w:color w:val="000000"/>
                <w:szCs w:val="20"/>
                <w:lang w:val="fr-FR" w:eastAsia="fr-FR"/>
              </w:rPr>
            </w:pPr>
          </w:p>
        </w:tc>
        <w:tc>
          <w:tcPr>
            <w:tcW w:w="5560" w:type="dxa"/>
            <w:shd w:val="clear" w:color="auto" w:fill="auto"/>
            <w:vAlign w:val="center"/>
          </w:tcPr>
          <w:p w14:paraId="45AF69FD" w14:textId="77777777" w:rsidR="00B740A8" w:rsidRPr="00C73365" w:rsidRDefault="00B740A8" w:rsidP="00D1541A">
            <w:pPr>
              <w:ind w:right="-1629"/>
              <w:rPr>
                <w:rFonts w:asciiTheme="minorHAnsi" w:hAnsiTheme="minorHAnsi" w:cstheme="minorHAnsi"/>
                <w:b/>
                <w:bCs/>
                <w:color w:val="000000"/>
                <w:szCs w:val="20"/>
                <w:lang w:val="fr-FR" w:eastAsia="fr-FR"/>
              </w:rPr>
            </w:pPr>
          </w:p>
        </w:tc>
        <w:tc>
          <w:tcPr>
            <w:tcW w:w="257" w:type="dxa"/>
            <w:gridSpan w:val="3"/>
            <w:shd w:val="clear" w:color="auto" w:fill="auto"/>
            <w:noWrap/>
            <w:vAlign w:val="center"/>
          </w:tcPr>
          <w:p w14:paraId="7581F795"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14:paraId="160405D1"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color w:val="7030A0"/>
                <w:szCs w:val="20"/>
                <w:lang w:val="fr-FR" w:eastAsia="fr-FR"/>
              </w:rPr>
              <w:t>SOCIETES ETRANGERES</w:t>
            </w:r>
          </w:p>
        </w:tc>
      </w:tr>
      <w:tr w:rsidR="00B740A8" w:rsidRPr="0030056F" w14:paraId="20742757" w14:textId="77777777" w:rsidTr="00D1541A">
        <w:trPr>
          <w:trHeight w:val="281"/>
        </w:trPr>
        <w:tc>
          <w:tcPr>
            <w:tcW w:w="1202" w:type="dxa"/>
            <w:gridSpan w:val="2"/>
            <w:shd w:val="clear" w:color="auto" w:fill="auto"/>
            <w:vAlign w:val="center"/>
          </w:tcPr>
          <w:p w14:paraId="02D2CF80" w14:textId="77777777" w:rsidR="00B740A8" w:rsidRPr="00C73365" w:rsidRDefault="00B740A8" w:rsidP="00D1541A">
            <w:pPr>
              <w:rPr>
                <w:rFonts w:asciiTheme="minorHAnsi" w:hAnsiTheme="minorHAnsi" w:cstheme="minorHAnsi"/>
                <w:color w:val="000000"/>
                <w:szCs w:val="20"/>
                <w:lang w:val="fr-FR" w:eastAsia="fr-FR"/>
              </w:rPr>
            </w:pPr>
          </w:p>
        </w:tc>
        <w:tc>
          <w:tcPr>
            <w:tcW w:w="441" w:type="dxa"/>
            <w:gridSpan w:val="2"/>
            <w:shd w:val="clear" w:color="auto" w:fill="auto"/>
            <w:noWrap/>
            <w:vAlign w:val="center"/>
          </w:tcPr>
          <w:p w14:paraId="6C6F2682" w14:textId="77777777" w:rsidR="00B740A8" w:rsidRPr="00C73365" w:rsidRDefault="00B740A8" w:rsidP="00D1541A">
            <w:pPr>
              <w:rPr>
                <w:rFonts w:asciiTheme="minorHAnsi" w:hAnsiTheme="minorHAnsi" w:cstheme="minorHAnsi"/>
                <w:color w:val="000000"/>
                <w:szCs w:val="20"/>
                <w:lang w:val="fr-FR" w:eastAsia="fr-FR"/>
              </w:rPr>
            </w:pPr>
          </w:p>
        </w:tc>
        <w:tc>
          <w:tcPr>
            <w:tcW w:w="5560" w:type="dxa"/>
            <w:shd w:val="clear" w:color="auto" w:fill="auto"/>
            <w:vAlign w:val="center"/>
          </w:tcPr>
          <w:p w14:paraId="7F252E3B" w14:textId="77777777" w:rsidR="00B740A8" w:rsidRPr="00C73365" w:rsidRDefault="00B740A8" w:rsidP="00434C49">
            <w:pPr>
              <w:pStyle w:val="Paragraphedeliste"/>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Membre du comité directeur </w:t>
            </w:r>
          </w:p>
        </w:tc>
        <w:tc>
          <w:tcPr>
            <w:tcW w:w="257" w:type="dxa"/>
            <w:gridSpan w:val="3"/>
            <w:shd w:val="clear" w:color="auto" w:fill="auto"/>
            <w:noWrap/>
            <w:vAlign w:val="center"/>
          </w:tcPr>
          <w:p w14:paraId="506B78A8"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14:paraId="46009C2C" w14:textId="77777777" w:rsidR="00B740A8" w:rsidRPr="00C73365" w:rsidRDefault="00B740A8" w:rsidP="00D1541A">
            <w:pPr>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 xml:space="preserve">National Viral Hepatitis Roundtable </w:t>
            </w:r>
            <w:r w:rsidRPr="00C73365">
              <w:rPr>
                <w:rFonts w:asciiTheme="minorHAnsi" w:hAnsiTheme="minorHAnsi" w:cstheme="minorHAnsi"/>
                <w:bCs/>
                <w:color w:val="000000"/>
                <w:szCs w:val="20"/>
                <w:lang w:val="fr-FR" w:eastAsia="fr-FR"/>
              </w:rPr>
              <w:t>(Etats-Unis, Association à but non lucratif)</w:t>
            </w:r>
          </w:p>
        </w:tc>
      </w:tr>
      <w:tr w:rsidR="00B740A8" w:rsidRPr="00C73365" w14:paraId="614FB577" w14:textId="77777777" w:rsidTr="00D1541A">
        <w:trPr>
          <w:trHeight w:val="281"/>
        </w:trPr>
        <w:tc>
          <w:tcPr>
            <w:tcW w:w="1202" w:type="dxa"/>
            <w:gridSpan w:val="2"/>
            <w:shd w:val="clear" w:color="auto" w:fill="auto"/>
            <w:vAlign w:val="center"/>
          </w:tcPr>
          <w:p w14:paraId="231608E7" w14:textId="77777777" w:rsidR="00B740A8" w:rsidRPr="00C73365" w:rsidRDefault="00B740A8" w:rsidP="00D1541A">
            <w:pPr>
              <w:rPr>
                <w:rFonts w:asciiTheme="minorHAnsi" w:hAnsiTheme="minorHAnsi" w:cstheme="minorHAnsi"/>
                <w:color w:val="000000"/>
                <w:szCs w:val="20"/>
                <w:lang w:val="fr-FR" w:eastAsia="fr-FR"/>
              </w:rPr>
            </w:pPr>
          </w:p>
        </w:tc>
        <w:tc>
          <w:tcPr>
            <w:tcW w:w="441" w:type="dxa"/>
            <w:gridSpan w:val="2"/>
            <w:shd w:val="clear" w:color="auto" w:fill="auto"/>
            <w:noWrap/>
            <w:vAlign w:val="center"/>
          </w:tcPr>
          <w:p w14:paraId="1F6046A9" w14:textId="77777777" w:rsidR="00B740A8" w:rsidRPr="00C73365" w:rsidRDefault="00B740A8" w:rsidP="00D1541A">
            <w:pPr>
              <w:rPr>
                <w:rFonts w:asciiTheme="minorHAnsi" w:hAnsiTheme="minorHAnsi" w:cstheme="minorHAnsi"/>
                <w:color w:val="000000"/>
                <w:szCs w:val="20"/>
                <w:lang w:val="fr-FR" w:eastAsia="fr-FR"/>
              </w:rPr>
            </w:pPr>
          </w:p>
        </w:tc>
        <w:tc>
          <w:tcPr>
            <w:tcW w:w="5560" w:type="dxa"/>
            <w:shd w:val="clear" w:color="auto" w:fill="auto"/>
            <w:vAlign w:val="center"/>
          </w:tcPr>
          <w:p w14:paraId="4B83727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comité exécutif du Forum pour la recherche concertée et membre du et du comité directeur du Forum Hépatite B pour la recherche concertée</w:t>
            </w:r>
          </w:p>
        </w:tc>
        <w:tc>
          <w:tcPr>
            <w:tcW w:w="257" w:type="dxa"/>
            <w:gridSpan w:val="3"/>
            <w:shd w:val="clear" w:color="auto" w:fill="auto"/>
            <w:noWrap/>
            <w:vAlign w:val="center"/>
          </w:tcPr>
          <w:p w14:paraId="0CCB64D3"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14:paraId="71E7B676" w14:textId="77777777" w:rsidR="00B740A8" w:rsidRPr="00C73365" w:rsidRDefault="00B740A8" w:rsidP="00D1541A">
            <w:pPr>
              <w:rPr>
                <w:rFonts w:asciiTheme="minorHAnsi" w:hAnsiTheme="minorHAnsi" w:cstheme="minorHAnsi"/>
                <w:color w:val="7030A0"/>
                <w:szCs w:val="20"/>
                <w:lang w:eastAsia="fr-FR"/>
              </w:rPr>
            </w:pPr>
            <w:r w:rsidRPr="00C73365">
              <w:rPr>
                <w:rFonts w:asciiTheme="minorHAnsi" w:hAnsiTheme="minorHAnsi" w:cstheme="minorHAnsi"/>
                <w:b/>
                <w:bCs/>
                <w:color w:val="000000"/>
                <w:szCs w:val="20"/>
                <w:lang w:eastAsia="fr-FR"/>
              </w:rPr>
              <w:t xml:space="preserve">University of California, Berkeley, School of Public Health </w:t>
            </w:r>
            <w:r w:rsidRPr="00C73365">
              <w:rPr>
                <w:rFonts w:asciiTheme="minorHAnsi" w:hAnsiTheme="minorHAnsi" w:cstheme="minorHAnsi"/>
                <w:bCs/>
                <w:color w:val="000000"/>
                <w:szCs w:val="20"/>
                <w:lang w:eastAsia="fr-FR"/>
              </w:rPr>
              <w:t>(Etats-Unis, Université)</w:t>
            </w:r>
          </w:p>
        </w:tc>
      </w:tr>
      <w:tr w:rsidR="00B740A8" w:rsidRPr="0030056F" w14:paraId="730E3E59" w14:textId="77777777" w:rsidTr="00D1541A">
        <w:trPr>
          <w:trHeight w:val="281"/>
        </w:trPr>
        <w:tc>
          <w:tcPr>
            <w:tcW w:w="1202" w:type="dxa"/>
            <w:gridSpan w:val="2"/>
            <w:shd w:val="clear" w:color="auto" w:fill="auto"/>
            <w:vAlign w:val="center"/>
          </w:tcPr>
          <w:p w14:paraId="49F185F3" w14:textId="77777777" w:rsidR="00B740A8" w:rsidRPr="00C73365" w:rsidRDefault="00B740A8" w:rsidP="00D1541A">
            <w:pPr>
              <w:rPr>
                <w:rFonts w:asciiTheme="minorHAnsi" w:hAnsiTheme="minorHAnsi" w:cstheme="minorHAnsi"/>
                <w:color w:val="000000"/>
                <w:szCs w:val="20"/>
                <w:lang w:eastAsia="fr-FR"/>
              </w:rPr>
            </w:pPr>
          </w:p>
        </w:tc>
        <w:tc>
          <w:tcPr>
            <w:tcW w:w="441" w:type="dxa"/>
            <w:gridSpan w:val="2"/>
            <w:shd w:val="clear" w:color="auto" w:fill="auto"/>
            <w:noWrap/>
            <w:vAlign w:val="center"/>
          </w:tcPr>
          <w:p w14:paraId="51AC8E72" w14:textId="77777777" w:rsidR="00B740A8" w:rsidRPr="00C73365" w:rsidRDefault="00B740A8" w:rsidP="00D1541A">
            <w:pPr>
              <w:rPr>
                <w:rFonts w:asciiTheme="minorHAnsi" w:hAnsiTheme="minorHAnsi" w:cstheme="minorHAnsi"/>
                <w:color w:val="000000"/>
                <w:szCs w:val="20"/>
                <w:lang w:eastAsia="fr-FR"/>
              </w:rPr>
            </w:pPr>
          </w:p>
        </w:tc>
        <w:tc>
          <w:tcPr>
            <w:tcW w:w="5560" w:type="dxa"/>
            <w:shd w:val="clear" w:color="auto" w:fill="auto"/>
            <w:vAlign w:val="center"/>
          </w:tcPr>
          <w:p w14:paraId="63E19D14" w14:textId="77777777" w:rsidR="00B740A8" w:rsidRPr="00C73365" w:rsidRDefault="00B740A8" w:rsidP="00434C49">
            <w:pPr>
              <w:pStyle w:val="Paragraphedeliste"/>
              <w:numPr>
                <w:ilvl w:val="0"/>
                <w:numId w:val="95"/>
              </w:numPr>
              <w:spacing w:after="0"/>
              <w:ind w:left="198" w:right="-1629" w:hanging="142"/>
              <w:rPr>
                <w:rFonts w:asciiTheme="minorHAnsi" w:hAnsiTheme="minorHAnsi" w:cstheme="minorHAnsi"/>
                <w:b/>
                <w:bCs/>
                <w:color w:val="000000"/>
                <w:szCs w:val="20"/>
                <w:lang w:val="fr-FR" w:eastAsia="fr-FR"/>
              </w:rPr>
            </w:pPr>
            <w:r w:rsidRPr="00C73365">
              <w:rPr>
                <w:rFonts w:asciiTheme="minorHAnsi" w:hAnsiTheme="minorHAnsi" w:cstheme="minorHAnsi"/>
                <w:color w:val="000000"/>
                <w:szCs w:val="20"/>
                <w:lang w:val="fr-FR" w:eastAsia="fr-FR"/>
              </w:rPr>
              <w:t>Administrateur et membre du comité scientifique</w:t>
            </w:r>
          </w:p>
        </w:tc>
        <w:tc>
          <w:tcPr>
            <w:tcW w:w="257" w:type="dxa"/>
            <w:gridSpan w:val="3"/>
            <w:shd w:val="clear" w:color="auto" w:fill="auto"/>
            <w:noWrap/>
            <w:vAlign w:val="center"/>
          </w:tcPr>
          <w:p w14:paraId="6153F728"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14:paraId="6D3DB323" w14:textId="77777777" w:rsidR="00B740A8" w:rsidRPr="00C73365" w:rsidRDefault="00B740A8" w:rsidP="00D1541A">
            <w:pPr>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 xml:space="preserve">Hepatitis B Foundation </w:t>
            </w:r>
            <w:r w:rsidRPr="00C73365">
              <w:rPr>
                <w:rFonts w:asciiTheme="minorHAnsi" w:hAnsiTheme="minorHAnsi" w:cstheme="minorHAnsi"/>
                <w:bCs/>
                <w:color w:val="000000"/>
                <w:szCs w:val="20"/>
                <w:lang w:val="fr-FR" w:eastAsia="fr-FR"/>
              </w:rPr>
              <w:t>(Etats-Unis, Association à but non lucratif)</w:t>
            </w:r>
          </w:p>
        </w:tc>
      </w:tr>
      <w:tr w:rsidR="00B740A8" w:rsidRPr="0030056F" w14:paraId="7CEB0D6D" w14:textId="77777777" w:rsidTr="00D1541A">
        <w:trPr>
          <w:trHeight w:val="281"/>
        </w:trPr>
        <w:tc>
          <w:tcPr>
            <w:tcW w:w="1202" w:type="dxa"/>
            <w:gridSpan w:val="2"/>
            <w:shd w:val="clear" w:color="auto" w:fill="auto"/>
            <w:vAlign w:val="center"/>
          </w:tcPr>
          <w:p w14:paraId="047AC742" w14:textId="77777777" w:rsidR="00B740A8" w:rsidRPr="00C73365" w:rsidRDefault="00B740A8" w:rsidP="00D1541A">
            <w:pPr>
              <w:rPr>
                <w:rFonts w:asciiTheme="minorHAnsi" w:hAnsiTheme="minorHAnsi" w:cstheme="minorHAnsi"/>
                <w:color w:val="000000"/>
                <w:szCs w:val="20"/>
                <w:lang w:val="fr-FR" w:eastAsia="fr-FR"/>
              </w:rPr>
            </w:pPr>
          </w:p>
        </w:tc>
        <w:tc>
          <w:tcPr>
            <w:tcW w:w="441" w:type="dxa"/>
            <w:gridSpan w:val="2"/>
            <w:shd w:val="clear" w:color="auto" w:fill="auto"/>
            <w:noWrap/>
            <w:vAlign w:val="center"/>
          </w:tcPr>
          <w:p w14:paraId="753AEA3E" w14:textId="77777777" w:rsidR="00B740A8" w:rsidRPr="00C73365" w:rsidRDefault="00B740A8" w:rsidP="00D1541A">
            <w:pPr>
              <w:pStyle w:val="Paragraphedeliste"/>
              <w:ind w:left="198" w:right="-1629"/>
              <w:rPr>
                <w:rFonts w:asciiTheme="minorHAnsi" w:hAnsiTheme="minorHAnsi" w:cstheme="minorHAnsi"/>
                <w:color w:val="000000"/>
                <w:szCs w:val="20"/>
                <w:lang w:val="fr-FR" w:eastAsia="fr-FR"/>
              </w:rPr>
            </w:pPr>
          </w:p>
        </w:tc>
        <w:tc>
          <w:tcPr>
            <w:tcW w:w="5560" w:type="dxa"/>
            <w:shd w:val="clear" w:color="auto" w:fill="auto"/>
            <w:vAlign w:val="center"/>
          </w:tcPr>
          <w:p w14:paraId="7039405C" w14:textId="77777777" w:rsidR="00B740A8" w:rsidRPr="00C73365" w:rsidRDefault="00B740A8" w:rsidP="00434C49">
            <w:pPr>
              <w:pStyle w:val="Paragraphedeliste"/>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257" w:type="dxa"/>
            <w:gridSpan w:val="3"/>
            <w:shd w:val="clear" w:color="auto" w:fill="auto"/>
            <w:noWrap/>
            <w:vAlign w:val="center"/>
          </w:tcPr>
          <w:p w14:paraId="5F6702BB"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14:paraId="0DE09CC6" w14:textId="77777777" w:rsidR="00B740A8" w:rsidRPr="00C73365" w:rsidRDefault="00B740A8" w:rsidP="00D1541A">
            <w:pPr>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 xml:space="preserve">Berkeley Community Fund </w:t>
            </w:r>
            <w:r w:rsidRPr="00C73365">
              <w:rPr>
                <w:rFonts w:asciiTheme="minorHAnsi" w:hAnsiTheme="minorHAnsi" w:cstheme="minorHAnsi"/>
                <w:bCs/>
                <w:color w:val="000000"/>
                <w:szCs w:val="20"/>
                <w:lang w:val="fr-FR" w:eastAsia="fr-FR"/>
              </w:rPr>
              <w:t>(Etats-Unis, Association à but non lucratif)</w:t>
            </w:r>
          </w:p>
        </w:tc>
      </w:tr>
      <w:tr w:rsidR="00B740A8" w:rsidRPr="0030056F" w14:paraId="26E4C0F1" w14:textId="77777777" w:rsidTr="00D1541A">
        <w:trPr>
          <w:trHeight w:val="281"/>
        </w:trPr>
        <w:tc>
          <w:tcPr>
            <w:tcW w:w="1202" w:type="dxa"/>
            <w:gridSpan w:val="2"/>
            <w:shd w:val="clear" w:color="auto" w:fill="auto"/>
            <w:vAlign w:val="center"/>
          </w:tcPr>
          <w:p w14:paraId="606F02F6" w14:textId="77777777" w:rsidR="00B740A8" w:rsidRPr="00C73365" w:rsidRDefault="00B740A8" w:rsidP="00D1541A">
            <w:pPr>
              <w:rPr>
                <w:rFonts w:asciiTheme="minorHAnsi" w:hAnsiTheme="minorHAnsi" w:cstheme="minorHAnsi"/>
                <w:color w:val="000000"/>
                <w:szCs w:val="20"/>
                <w:lang w:val="fr-FR" w:eastAsia="fr-FR"/>
              </w:rPr>
            </w:pPr>
          </w:p>
        </w:tc>
        <w:tc>
          <w:tcPr>
            <w:tcW w:w="441" w:type="dxa"/>
            <w:gridSpan w:val="2"/>
            <w:shd w:val="clear" w:color="auto" w:fill="auto"/>
            <w:noWrap/>
            <w:vAlign w:val="center"/>
          </w:tcPr>
          <w:p w14:paraId="1DD174A8" w14:textId="77777777" w:rsidR="00B740A8" w:rsidRPr="00C73365" w:rsidRDefault="00B740A8" w:rsidP="00D1541A">
            <w:pPr>
              <w:rPr>
                <w:rFonts w:asciiTheme="minorHAnsi" w:hAnsiTheme="minorHAnsi" w:cstheme="minorHAnsi"/>
                <w:color w:val="000000"/>
                <w:szCs w:val="20"/>
                <w:lang w:val="fr-FR" w:eastAsia="fr-FR"/>
              </w:rPr>
            </w:pPr>
          </w:p>
        </w:tc>
        <w:tc>
          <w:tcPr>
            <w:tcW w:w="5560" w:type="dxa"/>
            <w:shd w:val="clear" w:color="auto" w:fill="auto"/>
            <w:vAlign w:val="center"/>
          </w:tcPr>
          <w:p w14:paraId="077509FB" w14:textId="77777777" w:rsidR="00B740A8" w:rsidRPr="00C73365" w:rsidRDefault="00B740A8" w:rsidP="00434C49">
            <w:pPr>
              <w:pStyle w:val="Paragraphedeliste"/>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Président du comité scientifique </w:t>
            </w:r>
          </w:p>
        </w:tc>
        <w:tc>
          <w:tcPr>
            <w:tcW w:w="257" w:type="dxa"/>
            <w:gridSpan w:val="3"/>
            <w:shd w:val="clear" w:color="auto" w:fill="auto"/>
            <w:noWrap/>
            <w:vAlign w:val="center"/>
          </w:tcPr>
          <w:p w14:paraId="300C9775"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14:paraId="6E1B42F6" w14:textId="77777777" w:rsidR="00B740A8" w:rsidRPr="00C73365" w:rsidRDefault="00B740A8" w:rsidP="00D1541A">
            <w:pPr>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ContraVir</w:t>
            </w:r>
            <w:r w:rsidRPr="00C73365">
              <w:rPr>
                <w:rFonts w:asciiTheme="minorHAnsi" w:hAnsiTheme="minorHAnsi" w:cstheme="minorHAnsi"/>
                <w:bCs/>
                <w:color w:val="000000"/>
                <w:szCs w:val="20"/>
                <w:lang w:val="fr-FR" w:eastAsia="fr-FR"/>
              </w:rPr>
              <w:t xml:space="preserve"> (Etats-Unis, cotée sur le NASDAQ)</w:t>
            </w:r>
          </w:p>
        </w:tc>
      </w:tr>
      <w:tr w:rsidR="00B740A8" w:rsidRPr="0030056F" w14:paraId="3C8F09B9" w14:textId="77777777" w:rsidTr="00D1541A">
        <w:trPr>
          <w:trHeight w:val="281"/>
        </w:trPr>
        <w:tc>
          <w:tcPr>
            <w:tcW w:w="1202" w:type="dxa"/>
            <w:gridSpan w:val="2"/>
            <w:tcBorders>
              <w:bottom w:val="single" w:sz="4" w:space="0" w:color="7030A0"/>
            </w:tcBorders>
            <w:shd w:val="clear" w:color="auto" w:fill="auto"/>
            <w:vAlign w:val="center"/>
          </w:tcPr>
          <w:p w14:paraId="30CAB4D8" w14:textId="77777777" w:rsidR="00B740A8" w:rsidRPr="00C73365" w:rsidRDefault="00B740A8" w:rsidP="00D1541A">
            <w:pPr>
              <w:rPr>
                <w:rFonts w:asciiTheme="minorHAnsi" w:hAnsiTheme="minorHAnsi" w:cstheme="minorHAnsi"/>
                <w:color w:val="000000"/>
                <w:szCs w:val="20"/>
                <w:lang w:val="fr-FR" w:eastAsia="fr-FR"/>
              </w:rPr>
            </w:pPr>
          </w:p>
        </w:tc>
        <w:tc>
          <w:tcPr>
            <w:tcW w:w="441" w:type="dxa"/>
            <w:gridSpan w:val="2"/>
            <w:shd w:val="clear" w:color="auto" w:fill="auto"/>
            <w:noWrap/>
            <w:vAlign w:val="center"/>
          </w:tcPr>
          <w:p w14:paraId="6B888D65" w14:textId="77777777" w:rsidR="00B740A8" w:rsidRPr="00C73365" w:rsidRDefault="00B740A8" w:rsidP="00D1541A">
            <w:pPr>
              <w:rPr>
                <w:rFonts w:asciiTheme="minorHAnsi" w:hAnsiTheme="minorHAnsi" w:cstheme="minorHAnsi"/>
                <w:color w:val="000000"/>
                <w:szCs w:val="20"/>
                <w:lang w:val="fr-FR" w:eastAsia="fr-FR"/>
              </w:rPr>
            </w:pPr>
          </w:p>
        </w:tc>
        <w:tc>
          <w:tcPr>
            <w:tcW w:w="5560" w:type="dxa"/>
            <w:tcBorders>
              <w:bottom w:val="single" w:sz="4" w:space="0" w:color="7030A0"/>
            </w:tcBorders>
            <w:shd w:val="clear" w:color="auto" w:fill="auto"/>
            <w:vAlign w:val="center"/>
          </w:tcPr>
          <w:p w14:paraId="70A54E1B" w14:textId="77777777" w:rsidR="00B740A8" w:rsidRPr="00C73365" w:rsidRDefault="00B740A8" w:rsidP="00434C49">
            <w:pPr>
              <w:pStyle w:val="Paragraphedeliste"/>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14:paraId="10B249BD" w14:textId="77777777" w:rsidR="00B740A8" w:rsidRPr="00C73365" w:rsidRDefault="00B740A8" w:rsidP="00D1541A">
            <w:pPr>
              <w:pStyle w:val="Paragraphedeliste"/>
              <w:ind w:left="198" w:right="-1629"/>
              <w:rPr>
                <w:rFonts w:asciiTheme="minorHAnsi" w:hAnsiTheme="minorHAnsi" w:cstheme="minorHAnsi"/>
                <w:color w:val="000000"/>
                <w:szCs w:val="20"/>
                <w:lang w:val="fr-FR" w:eastAsia="fr-FR"/>
              </w:rPr>
            </w:pPr>
          </w:p>
        </w:tc>
        <w:tc>
          <w:tcPr>
            <w:tcW w:w="257" w:type="dxa"/>
            <w:gridSpan w:val="3"/>
            <w:shd w:val="clear" w:color="auto" w:fill="auto"/>
            <w:noWrap/>
            <w:vAlign w:val="center"/>
          </w:tcPr>
          <w:p w14:paraId="22C388BE"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bottom w:val="single" w:sz="4" w:space="0" w:color="7030A0"/>
            </w:tcBorders>
            <w:shd w:val="clear" w:color="auto" w:fill="auto"/>
            <w:vAlign w:val="center"/>
          </w:tcPr>
          <w:p w14:paraId="42619386" w14:textId="77777777"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
                <w:bCs/>
                <w:color w:val="000000"/>
                <w:szCs w:val="20"/>
                <w:lang w:val="fr-FR" w:eastAsia="fr-FR"/>
              </w:rPr>
              <w:t xml:space="preserve">Galmed Pharmaceuticals </w:t>
            </w:r>
            <w:r w:rsidRPr="00C73365">
              <w:rPr>
                <w:rFonts w:asciiTheme="minorHAnsi" w:hAnsiTheme="minorHAnsi" w:cstheme="minorHAnsi"/>
                <w:bCs/>
                <w:color w:val="000000"/>
                <w:szCs w:val="20"/>
                <w:lang w:val="fr-FR" w:eastAsia="fr-FR"/>
              </w:rPr>
              <w:t>(Israël, cotée sur le NASDAQ)</w:t>
            </w:r>
          </w:p>
          <w:p w14:paraId="346565DB" w14:textId="77777777" w:rsidR="00B740A8" w:rsidRPr="00C73365" w:rsidRDefault="00B740A8" w:rsidP="00D1541A">
            <w:pPr>
              <w:rPr>
                <w:rFonts w:asciiTheme="minorHAnsi" w:hAnsiTheme="minorHAnsi" w:cstheme="minorHAnsi"/>
                <w:b/>
                <w:bCs/>
                <w:color w:val="000000"/>
                <w:szCs w:val="20"/>
                <w:lang w:val="fr-FR" w:eastAsia="fr-FR"/>
              </w:rPr>
            </w:pPr>
          </w:p>
          <w:p w14:paraId="310144CC" w14:textId="77777777" w:rsidR="00B740A8" w:rsidRPr="00C73365" w:rsidRDefault="00B740A8" w:rsidP="00D1541A">
            <w:pPr>
              <w:rPr>
                <w:rFonts w:asciiTheme="minorHAnsi" w:hAnsiTheme="minorHAnsi" w:cstheme="minorHAnsi"/>
                <w:b/>
                <w:bCs/>
                <w:color w:val="000000"/>
                <w:szCs w:val="20"/>
                <w:lang w:val="fr-FR" w:eastAsia="fr-FR"/>
              </w:rPr>
            </w:pPr>
          </w:p>
          <w:p w14:paraId="18B90F78" w14:textId="77777777" w:rsidR="00B740A8" w:rsidRPr="00C73365" w:rsidRDefault="00B740A8" w:rsidP="00D1541A">
            <w:pPr>
              <w:rPr>
                <w:rFonts w:asciiTheme="minorHAnsi" w:hAnsiTheme="minorHAnsi" w:cstheme="minorHAnsi"/>
                <w:b/>
                <w:bCs/>
                <w:color w:val="000000"/>
                <w:szCs w:val="20"/>
                <w:lang w:val="fr-FR" w:eastAsia="fr-FR"/>
              </w:rPr>
            </w:pPr>
          </w:p>
          <w:p w14:paraId="0E931B67" w14:textId="77777777" w:rsidR="00B740A8" w:rsidRPr="00C73365" w:rsidRDefault="00B740A8" w:rsidP="00D1541A">
            <w:pPr>
              <w:rPr>
                <w:rFonts w:asciiTheme="minorHAnsi" w:hAnsiTheme="minorHAnsi" w:cstheme="minorHAnsi"/>
                <w:b/>
                <w:bCs/>
                <w:color w:val="000000"/>
                <w:szCs w:val="20"/>
                <w:lang w:val="fr-FR" w:eastAsia="fr-FR"/>
              </w:rPr>
            </w:pPr>
          </w:p>
        </w:tc>
      </w:tr>
      <w:tr w:rsidR="00B740A8" w:rsidRPr="00C73365" w14:paraId="461268BA" w14:textId="77777777" w:rsidTr="00D1541A">
        <w:trPr>
          <w:trHeight w:val="281"/>
        </w:trPr>
        <w:tc>
          <w:tcPr>
            <w:tcW w:w="1202" w:type="dxa"/>
            <w:gridSpan w:val="2"/>
            <w:tcBorders>
              <w:top w:val="single" w:sz="4" w:space="0" w:color="7030A0"/>
            </w:tcBorders>
            <w:shd w:val="clear" w:color="auto" w:fill="auto"/>
            <w:vAlign w:val="center"/>
          </w:tcPr>
          <w:p w14:paraId="5674C6BD" w14:textId="77777777"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Madame Corinna zur Bonsen- Thomas</w:t>
            </w:r>
            <w:r w:rsidRPr="00C73365">
              <w:rPr>
                <w:rFonts w:asciiTheme="minorHAnsi" w:hAnsiTheme="minorHAnsi" w:cstheme="minorHAnsi"/>
                <w:i/>
                <w:spacing w:val="-3"/>
                <w:sz w:val="22"/>
                <w:szCs w:val="22"/>
                <w:lang w:val="en-GB"/>
              </w:rPr>
              <w:t xml:space="preserve"> </w:t>
            </w:r>
          </w:p>
        </w:tc>
        <w:tc>
          <w:tcPr>
            <w:tcW w:w="441" w:type="dxa"/>
            <w:gridSpan w:val="2"/>
            <w:shd w:val="clear" w:color="auto" w:fill="auto"/>
            <w:noWrap/>
            <w:vAlign w:val="center"/>
          </w:tcPr>
          <w:p w14:paraId="58F913E7" w14:textId="77777777" w:rsidR="00B740A8" w:rsidRPr="00C73365" w:rsidRDefault="00B740A8" w:rsidP="00D1541A">
            <w:pPr>
              <w:rPr>
                <w:rFonts w:asciiTheme="minorHAnsi" w:hAnsiTheme="minorHAnsi" w:cstheme="minorHAnsi"/>
                <w:color w:val="000000"/>
                <w:szCs w:val="20"/>
                <w:lang w:eastAsia="fr-FR"/>
              </w:rPr>
            </w:pPr>
          </w:p>
        </w:tc>
        <w:tc>
          <w:tcPr>
            <w:tcW w:w="5560" w:type="dxa"/>
            <w:tcBorders>
              <w:top w:val="single" w:sz="4" w:space="0" w:color="7030A0"/>
            </w:tcBorders>
            <w:shd w:val="clear" w:color="auto" w:fill="auto"/>
            <w:vAlign w:val="center"/>
          </w:tcPr>
          <w:p w14:paraId="667D7D8D" w14:textId="77777777" w:rsidR="00B740A8" w:rsidRPr="00C73365" w:rsidRDefault="00B740A8" w:rsidP="00D1541A">
            <w:pPr>
              <w:ind w:right="-1629"/>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257" w:type="dxa"/>
            <w:gridSpan w:val="3"/>
            <w:shd w:val="clear" w:color="auto" w:fill="auto"/>
            <w:noWrap/>
            <w:vAlign w:val="center"/>
          </w:tcPr>
          <w:p w14:paraId="774674FE"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vAlign w:val="center"/>
          </w:tcPr>
          <w:p w14:paraId="65032E41"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14:paraId="1152F0AB" w14:textId="77777777" w:rsidTr="00D1541A">
        <w:trPr>
          <w:trHeight w:val="281"/>
        </w:trPr>
        <w:tc>
          <w:tcPr>
            <w:tcW w:w="1202" w:type="dxa"/>
            <w:gridSpan w:val="2"/>
            <w:shd w:val="clear" w:color="auto" w:fill="auto"/>
            <w:vAlign w:val="center"/>
          </w:tcPr>
          <w:p w14:paraId="4B487DBD"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441" w:type="dxa"/>
            <w:gridSpan w:val="2"/>
            <w:shd w:val="clear" w:color="auto" w:fill="auto"/>
            <w:noWrap/>
            <w:vAlign w:val="center"/>
          </w:tcPr>
          <w:p w14:paraId="370C9127"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5560" w:type="dxa"/>
            <w:shd w:val="clear" w:color="auto" w:fill="auto"/>
            <w:vAlign w:val="center"/>
          </w:tcPr>
          <w:p w14:paraId="782968AB" w14:textId="77777777" w:rsidR="00B740A8" w:rsidRPr="00C73365" w:rsidRDefault="00B740A8" w:rsidP="00D1541A">
            <w:pPr>
              <w:rPr>
                <w:rFonts w:asciiTheme="minorHAnsi" w:hAnsiTheme="minorHAnsi" w:cstheme="minorHAnsi"/>
                <w:b/>
                <w:bCs/>
                <w:highlight w:val="yellow"/>
                <w:lang w:val="fr-FR" w:eastAsia="fr-FR"/>
              </w:rPr>
            </w:pPr>
          </w:p>
        </w:tc>
        <w:tc>
          <w:tcPr>
            <w:tcW w:w="257" w:type="dxa"/>
            <w:gridSpan w:val="3"/>
            <w:shd w:val="clear" w:color="auto" w:fill="auto"/>
            <w:noWrap/>
            <w:vAlign w:val="center"/>
          </w:tcPr>
          <w:p w14:paraId="67A170B7" w14:textId="77777777"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14:paraId="376DFB6A" w14:textId="77777777" w:rsidR="00B740A8" w:rsidRPr="00C73365" w:rsidRDefault="00B740A8" w:rsidP="00D1541A">
            <w:pPr>
              <w:rPr>
                <w:rFonts w:asciiTheme="minorHAnsi" w:hAnsiTheme="minorHAnsi" w:cstheme="minorHAnsi"/>
                <w:b/>
                <w:bCs/>
                <w:color w:val="000000"/>
                <w:szCs w:val="20"/>
                <w:lang w:val="fr-FR" w:eastAsia="fr-FR"/>
              </w:rPr>
            </w:pPr>
          </w:p>
        </w:tc>
      </w:tr>
    </w:tbl>
    <w:p w14:paraId="35E79DD3" w14:textId="77777777" w:rsidR="00B740A8" w:rsidRPr="00C73365" w:rsidRDefault="00B740A8" w:rsidP="00B740A8">
      <w:pPr>
        <w:rPr>
          <w:rFonts w:asciiTheme="minorHAnsi" w:hAnsiTheme="minorHAnsi" w:cstheme="minorHAnsi"/>
          <w:b/>
          <w:i/>
          <w:szCs w:val="20"/>
          <w:lang w:val="fr-FR"/>
        </w:rPr>
      </w:pPr>
    </w:p>
    <w:p w14:paraId="119E68FE"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Mandats exercés par les administrateurs au cours des cinq derniers exercices et ayant cessé à ce jour </w:t>
      </w:r>
    </w:p>
    <w:tbl>
      <w:tblPr>
        <w:tblW w:w="10034" w:type="dxa"/>
        <w:tblCellMar>
          <w:left w:w="70" w:type="dxa"/>
          <w:right w:w="70" w:type="dxa"/>
        </w:tblCellMar>
        <w:tblLook w:val="04A0" w:firstRow="1" w:lastRow="0" w:firstColumn="1" w:lastColumn="0" w:noHBand="0" w:noVBand="1"/>
      </w:tblPr>
      <w:tblGrid>
        <w:gridCol w:w="3212"/>
        <w:gridCol w:w="169"/>
        <w:gridCol w:w="3319"/>
        <w:gridCol w:w="166"/>
        <w:gridCol w:w="3168"/>
      </w:tblGrid>
      <w:tr w:rsidR="00B740A8" w:rsidRPr="00C73365" w14:paraId="24789B0B" w14:textId="77777777" w:rsidTr="00D1541A">
        <w:trPr>
          <w:trHeight w:val="509"/>
        </w:trPr>
        <w:tc>
          <w:tcPr>
            <w:tcW w:w="3212" w:type="dxa"/>
            <w:tcBorders>
              <w:top w:val="single" w:sz="12" w:space="0" w:color="7030A0"/>
              <w:left w:val="nil"/>
              <w:bottom w:val="single" w:sz="4" w:space="0" w:color="7030A0"/>
              <w:right w:val="nil"/>
            </w:tcBorders>
            <w:shd w:val="clear" w:color="auto" w:fill="auto"/>
            <w:vAlign w:val="center"/>
            <w:hideMark/>
          </w:tcPr>
          <w:p w14:paraId="052E9ABD"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w:t>
            </w:r>
          </w:p>
        </w:tc>
        <w:tc>
          <w:tcPr>
            <w:tcW w:w="169" w:type="dxa"/>
            <w:tcBorders>
              <w:top w:val="nil"/>
              <w:left w:val="nil"/>
              <w:bottom w:val="nil"/>
              <w:right w:val="nil"/>
            </w:tcBorders>
            <w:shd w:val="clear" w:color="auto" w:fill="auto"/>
            <w:vAlign w:val="center"/>
            <w:hideMark/>
          </w:tcPr>
          <w:p w14:paraId="67F2FC8E" w14:textId="77777777" w:rsidR="00B740A8" w:rsidRPr="00C73365" w:rsidRDefault="00B740A8" w:rsidP="00D1541A">
            <w:pPr>
              <w:rPr>
                <w:rFonts w:asciiTheme="minorHAnsi" w:hAnsiTheme="minorHAnsi" w:cstheme="minorHAnsi"/>
                <w:b/>
                <w:bCs/>
                <w:color w:val="000000"/>
                <w:szCs w:val="20"/>
                <w:lang w:val="fr-FR" w:eastAsia="fr-FR"/>
              </w:rPr>
            </w:pPr>
          </w:p>
        </w:tc>
        <w:tc>
          <w:tcPr>
            <w:tcW w:w="3319" w:type="dxa"/>
            <w:tcBorders>
              <w:top w:val="single" w:sz="12" w:space="0" w:color="7030A0"/>
              <w:left w:val="nil"/>
              <w:bottom w:val="single" w:sz="4" w:space="0" w:color="7030A0"/>
              <w:right w:val="nil"/>
            </w:tcBorders>
            <w:shd w:val="clear" w:color="auto" w:fill="auto"/>
            <w:vAlign w:val="center"/>
            <w:hideMark/>
          </w:tcPr>
          <w:p w14:paraId="6FCFC0C1" w14:textId="77777777"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mandat</w:t>
            </w:r>
          </w:p>
        </w:tc>
        <w:tc>
          <w:tcPr>
            <w:tcW w:w="166" w:type="dxa"/>
            <w:tcBorders>
              <w:top w:val="nil"/>
              <w:left w:val="nil"/>
              <w:bottom w:val="nil"/>
              <w:right w:val="nil"/>
            </w:tcBorders>
            <w:shd w:val="clear" w:color="auto" w:fill="auto"/>
            <w:vAlign w:val="center"/>
            <w:hideMark/>
          </w:tcPr>
          <w:p w14:paraId="10229EE8" w14:textId="77777777" w:rsidR="00B740A8" w:rsidRPr="00C73365" w:rsidRDefault="00B740A8" w:rsidP="00D1541A">
            <w:pPr>
              <w:jc w:val="center"/>
              <w:rPr>
                <w:rFonts w:asciiTheme="minorHAnsi" w:hAnsiTheme="minorHAnsi" w:cstheme="minorHAnsi"/>
                <w:b/>
                <w:bCs/>
                <w:color w:val="000000"/>
                <w:szCs w:val="20"/>
                <w:lang w:val="fr-FR" w:eastAsia="fr-FR"/>
              </w:rPr>
            </w:pPr>
          </w:p>
        </w:tc>
        <w:tc>
          <w:tcPr>
            <w:tcW w:w="3168" w:type="dxa"/>
            <w:tcBorders>
              <w:top w:val="single" w:sz="12" w:space="0" w:color="7030A0"/>
              <w:left w:val="nil"/>
              <w:bottom w:val="single" w:sz="4" w:space="0" w:color="7030A0"/>
              <w:right w:val="nil"/>
            </w:tcBorders>
            <w:shd w:val="clear" w:color="auto" w:fill="auto"/>
            <w:vAlign w:val="center"/>
            <w:hideMark/>
          </w:tcPr>
          <w:p w14:paraId="1B36E840" w14:textId="77777777"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Société</w:t>
            </w:r>
          </w:p>
        </w:tc>
      </w:tr>
      <w:tr w:rsidR="00B740A8" w:rsidRPr="00C73365" w14:paraId="0371CDA2" w14:textId="77777777" w:rsidTr="00D1541A">
        <w:trPr>
          <w:trHeight w:val="423"/>
        </w:trPr>
        <w:tc>
          <w:tcPr>
            <w:tcW w:w="3212" w:type="dxa"/>
            <w:tcBorders>
              <w:top w:val="single" w:sz="4" w:space="0" w:color="7030A0"/>
              <w:left w:val="nil"/>
              <w:bottom w:val="nil"/>
              <w:right w:val="nil"/>
            </w:tcBorders>
            <w:shd w:val="clear" w:color="auto" w:fill="auto"/>
            <w:noWrap/>
            <w:hideMark/>
          </w:tcPr>
          <w:p w14:paraId="41E0CCE3"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tc>
        <w:tc>
          <w:tcPr>
            <w:tcW w:w="169" w:type="dxa"/>
            <w:tcBorders>
              <w:top w:val="nil"/>
              <w:left w:val="nil"/>
              <w:bottom w:val="nil"/>
              <w:right w:val="nil"/>
            </w:tcBorders>
            <w:shd w:val="clear" w:color="auto" w:fill="auto"/>
            <w:noWrap/>
            <w:hideMark/>
          </w:tcPr>
          <w:p w14:paraId="6820FCC6"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single" w:sz="4" w:space="0" w:color="7030A0"/>
              <w:left w:val="nil"/>
              <w:bottom w:val="nil"/>
              <w:right w:val="nil"/>
            </w:tcBorders>
            <w:shd w:val="clear" w:color="auto" w:fill="auto"/>
            <w:hideMark/>
          </w:tcPr>
          <w:p w14:paraId="548E2FBD"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hideMark/>
          </w:tcPr>
          <w:p w14:paraId="6DCA5081"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nil"/>
              <w:right w:val="nil"/>
            </w:tcBorders>
            <w:shd w:val="clear" w:color="auto" w:fill="auto"/>
            <w:hideMark/>
          </w:tcPr>
          <w:p w14:paraId="057F65D2"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Carbios SA</w:t>
            </w:r>
          </w:p>
        </w:tc>
      </w:tr>
      <w:tr w:rsidR="00B740A8" w:rsidRPr="00C73365" w14:paraId="51095304" w14:textId="77777777" w:rsidTr="00D1541A">
        <w:trPr>
          <w:trHeight w:val="423"/>
        </w:trPr>
        <w:tc>
          <w:tcPr>
            <w:tcW w:w="3212" w:type="dxa"/>
            <w:tcBorders>
              <w:top w:val="nil"/>
              <w:left w:val="nil"/>
              <w:bottom w:val="nil"/>
              <w:right w:val="nil"/>
            </w:tcBorders>
            <w:shd w:val="clear" w:color="auto" w:fill="auto"/>
            <w:noWrap/>
          </w:tcPr>
          <w:p w14:paraId="3FEA7700" w14:textId="77777777"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14:paraId="20E408DA"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14:paraId="67346278"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14:paraId="5FB2762D"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14:paraId="5C6C7B5B"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Théraclion SA</w:t>
            </w:r>
          </w:p>
          <w:p w14:paraId="48C53830" w14:textId="77777777" w:rsidR="00B740A8" w:rsidRPr="00C73365" w:rsidRDefault="00B740A8" w:rsidP="00D1541A">
            <w:pPr>
              <w:rPr>
                <w:rFonts w:asciiTheme="minorHAnsi" w:hAnsiTheme="minorHAnsi" w:cstheme="minorHAnsi"/>
                <w:b/>
                <w:bCs/>
                <w:color w:val="000000"/>
                <w:szCs w:val="20"/>
                <w:lang w:val="fr-FR" w:eastAsia="fr-FR"/>
              </w:rPr>
            </w:pPr>
          </w:p>
        </w:tc>
      </w:tr>
      <w:tr w:rsidR="00292C15" w:rsidRPr="00292C15" w14:paraId="7DC85FA8" w14:textId="77777777" w:rsidTr="00D1541A">
        <w:trPr>
          <w:trHeight w:val="423"/>
        </w:trPr>
        <w:tc>
          <w:tcPr>
            <w:tcW w:w="3212" w:type="dxa"/>
            <w:tcBorders>
              <w:top w:val="nil"/>
              <w:left w:val="nil"/>
              <w:bottom w:val="nil"/>
              <w:right w:val="nil"/>
            </w:tcBorders>
            <w:shd w:val="clear" w:color="auto" w:fill="auto"/>
            <w:noWrap/>
          </w:tcPr>
          <w:p w14:paraId="4903A498" w14:textId="77777777" w:rsidR="00292C15" w:rsidRPr="00C73365" w:rsidRDefault="00292C15"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14:paraId="2BCE325D" w14:textId="77777777" w:rsidR="00292C15" w:rsidRPr="00C73365" w:rsidRDefault="00292C15"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14:paraId="206ED6C7" w14:textId="748B9725" w:rsidR="00292C15" w:rsidRPr="00C73365" w:rsidRDefault="00292C15"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14:paraId="57326496" w14:textId="77777777" w:rsidR="00292C15" w:rsidRPr="00C73365" w:rsidRDefault="00292C15"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14:paraId="4349B598" w14:textId="66E4045D" w:rsidR="00292C15" w:rsidRPr="00C73365" w:rsidRDefault="00292C15" w:rsidP="00D1541A">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t>Vexim SA</w:t>
            </w:r>
          </w:p>
        </w:tc>
      </w:tr>
      <w:tr w:rsidR="00B740A8" w:rsidRPr="00C73365" w14:paraId="09B388AA" w14:textId="77777777" w:rsidTr="00D1541A">
        <w:trPr>
          <w:trHeight w:val="423"/>
        </w:trPr>
        <w:tc>
          <w:tcPr>
            <w:tcW w:w="3212" w:type="dxa"/>
            <w:tcBorders>
              <w:top w:val="nil"/>
              <w:left w:val="nil"/>
              <w:bottom w:val="nil"/>
              <w:right w:val="nil"/>
            </w:tcBorders>
            <w:shd w:val="clear" w:color="auto" w:fill="auto"/>
            <w:noWrap/>
          </w:tcPr>
          <w:p w14:paraId="6DC2A887" w14:textId="77777777"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14:paraId="5FC82858"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14:paraId="1CC0A7FD"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14:paraId="25F95D98"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14:paraId="6A884B09"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14:paraId="3B01DB8C" w14:textId="77777777" w:rsidTr="00D1541A">
        <w:trPr>
          <w:trHeight w:val="423"/>
        </w:trPr>
        <w:tc>
          <w:tcPr>
            <w:tcW w:w="3212" w:type="dxa"/>
            <w:tcBorders>
              <w:top w:val="nil"/>
              <w:left w:val="nil"/>
              <w:bottom w:val="nil"/>
              <w:right w:val="nil"/>
            </w:tcBorders>
            <w:shd w:val="clear" w:color="auto" w:fill="auto"/>
            <w:noWrap/>
          </w:tcPr>
          <w:p w14:paraId="478EA6EB" w14:textId="77777777"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14:paraId="46A651F3"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14:paraId="75A2A32D"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 (novembre 2010 à mai 2012)</w:t>
            </w:r>
          </w:p>
        </w:tc>
        <w:tc>
          <w:tcPr>
            <w:tcW w:w="166" w:type="dxa"/>
            <w:tcBorders>
              <w:top w:val="nil"/>
              <w:left w:val="nil"/>
              <w:bottom w:val="nil"/>
              <w:right w:val="nil"/>
            </w:tcBorders>
            <w:shd w:val="clear" w:color="auto" w:fill="auto"/>
            <w:noWrap/>
          </w:tcPr>
          <w:p w14:paraId="7B5AF59F"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14:paraId="6B8DD3C3"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14:paraId="0E4B12F6" w14:textId="77777777" w:rsidTr="00D1541A">
        <w:trPr>
          <w:trHeight w:val="177"/>
        </w:trPr>
        <w:tc>
          <w:tcPr>
            <w:tcW w:w="3212" w:type="dxa"/>
            <w:tcBorders>
              <w:top w:val="nil"/>
              <w:left w:val="nil"/>
              <w:bottom w:val="nil"/>
              <w:right w:val="nil"/>
            </w:tcBorders>
            <w:shd w:val="clear" w:color="auto" w:fill="auto"/>
            <w:hideMark/>
          </w:tcPr>
          <w:p w14:paraId="51505F80" w14:textId="77777777"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14:paraId="136CA2F2"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49B3D18A"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Président Directeur Général </w:t>
            </w:r>
          </w:p>
        </w:tc>
        <w:tc>
          <w:tcPr>
            <w:tcW w:w="166" w:type="dxa"/>
            <w:tcBorders>
              <w:top w:val="nil"/>
              <w:left w:val="nil"/>
              <w:bottom w:val="nil"/>
              <w:right w:val="nil"/>
            </w:tcBorders>
            <w:shd w:val="clear" w:color="auto" w:fill="auto"/>
            <w:noWrap/>
            <w:hideMark/>
          </w:tcPr>
          <w:p w14:paraId="127A7ABF"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7FC39C2B"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14:paraId="6BA44A1D" w14:textId="77777777" w:rsidTr="00D1541A">
        <w:trPr>
          <w:trHeight w:val="283"/>
        </w:trPr>
        <w:tc>
          <w:tcPr>
            <w:tcW w:w="3212" w:type="dxa"/>
            <w:tcBorders>
              <w:top w:val="nil"/>
              <w:left w:val="nil"/>
              <w:bottom w:val="nil"/>
              <w:right w:val="nil"/>
            </w:tcBorders>
            <w:shd w:val="clear" w:color="auto" w:fill="auto"/>
            <w:hideMark/>
          </w:tcPr>
          <w:p w14:paraId="71232C39" w14:textId="77777777"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14:paraId="6D648422"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442E0F40"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(octobre 2009 à novembre 2010)</w:t>
            </w:r>
          </w:p>
        </w:tc>
        <w:tc>
          <w:tcPr>
            <w:tcW w:w="166" w:type="dxa"/>
            <w:tcBorders>
              <w:top w:val="nil"/>
              <w:left w:val="nil"/>
              <w:bottom w:val="nil"/>
              <w:right w:val="nil"/>
            </w:tcBorders>
            <w:shd w:val="clear" w:color="auto" w:fill="auto"/>
            <w:noWrap/>
            <w:hideMark/>
          </w:tcPr>
          <w:p w14:paraId="360BF0AE" w14:textId="77777777" w:rsidR="00B740A8" w:rsidRPr="00C73365" w:rsidRDefault="00B740A8" w:rsidP="00D1541A">
            <w:pPr>
              <w:rPr>
                <w:rFonts w:asciiTheme="minorHAnsi" w:hAnsiTheme="minorHAnsi" w:cstheme="minorHAnsi"/>
                <w:color w:val="000000"/>
                <w:szCs w:val="20"/>
                <w:lang w:val="fr-FR" w:eastAsia="fr-FR"/>
              </w:rPr>
            </w:pPr>
          </w:p>
          <w:p w14:paraId="031D024E"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hideMark/>
          </w:tcPr>
          <w:p w14:paraId="0AEE1B91" w14:textId="77777777" w:rsidR="00B740A8" w:rsidRPr="00C73365" w:rsidRDefault="00B740A8" w:rsidP="00D1541A">
            <w:pPr>
              <w:rPr>
                <w:rFonts w:asciiTheme="minorHAnsi" w:hAnsiTheme="minorHAnsi" w:cstheme="minorHAnsi"/>
                <w:szCs w:val="20"/>
                <w:lang w:val="fr-FR" w:eastAsia="fr-FR"/>
              </w:rPr>
            </w:pPr>
          </w:p>
        </w:tc>
      </w:tr>
      <w:tr w:rsidR="00B740A8" w:rsidRPr="00C73365" w14:paraId="3B305DAA" w14:textId="77777777" w:rsidTr="00D1541A">
        <w:trPr>
          <w:trHeight w:val="177"/>
        </w:trPr>
        <w:tc>
          <w:tcPr>
            <w:tcW w:w="3212" w:type="dxa"/>
            <w:tcBorders>
              <w:top w:val="nil"/>
              <w:left w:val="nil"/>
              <w:bottom w:val="nil"/>
              <w:right w:val="nil"/>
            </w:tcBorders>
            <w:shd w:val="clear" w:color="auto" w:fill="auto"/>
          </w:tcPr>
          <w:p w14:paraId="18BC3376" w14:textId="77777777"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tcPr>
          <w:p w14:paraId="070F0705"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tcPr>
          <w:p w14:paraId="668CF36D"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p>
        </w:tc>
        <w:tc>
          <w:tcPr>
            <w:tcW w:w="166" w:type="dxa"/>
            <w:tcBorders>
              <w:top w:val="nil"/>
              <w:left w:val="nil"/>
              <w:bottom w:val="nil"/>
              <w:right w:val="nil"/>
            </w:tcBorders>
            <w:shd w:val="clear" w:color="auto" w:fill="auto"/>
            <w:noWrap/>
          </w:tcPr>
          <w:p w14:paraId="486387AC"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tcPr>
          <w:p w14:paraId="2D589A9E" w14:textId="77777777"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b/>
                <w:bCs/>
                <w:color w:val="000000"/>
                <w:szCs w:val="20"/>
                <w:lang w:val="fr-FR" w:eastAsia="fr-FR"/>
              </w:rPr>
              <w:t>Innate Pharma SA</w:t>
            </w:r>
          </w:p>
        </w:tc>
      </w:tr>
      <w:tr w:rsidR="00B740A8" w:rsidRPr="00C73365" w14:paraId="00ED365E" w14:textId="77777777" w:rsidTr="00D1541A">
        <w:trPr>
          <w:trHeight w:val="177"/>
        </w:trPr>
        <w:tc>
          <w:tcPr>
            <w:tcW w:w="3212" w:type="dxa"/>
            <w:tcBorders>
              <w:top w:val="nil"/>
              <w:left w:val="nil"/>
              <w:bottom w:val="nil"/>
              <w:right w:val="nil"/>
            </w:tcBorders>
            <w:shd w:val="clear" w:color="auto" w:fill="auto"/>
            <w:hideMark/>
          </w:tcPr>
          <w:p w14:paraId="49861A6C" w14:textId="77777777" w:rsidR="00B740A8" w:rsidRPr="00C73365" w:rsidRDefault="00B740A8" w:rsidP="00D1541A">
            <w:pPr>
              <w:rPr>
                <w:rFonts w:asciiTheme="minorHAnsi" w:hAnsiTheme="minorHAnsi" w:cstheme="minorHAnsi"/>
                <w:szCs w:val="20"/>
                <w:lang w:val="fr-FR" w:eastAsia="fr-FR"/>
              </w:rPr>
            </w:pPr>
          </w:p>
        </w:tc>
        <w:tc>
          <w:tcPr>
            <w:tcW w:w="169" w:type="dxa"/>
            <w:tcBorders>
              <w:top w:val="nil"/>
              <w:left w:val="nil"/>
              <w:bottom w:val="nil"/>
              <w:right w:val="nil"/>
            </w:tcBorders>
            <w:shd w:val="clear" w:color="auto" w:fill="auto"/>
            <w:noWrap/>
            <w:hideMark/>
          </w:tcPr>
          <w:p w14:paraId="38B08F01"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686AF72C"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(de 2001 à 2009)</w:t>
            </w:r>
          </w:p>
        </w:tc>
        <w:tc>
          <w:tcPr>
            <w:tcW w:w="166" w:type="dxa"/>
            <w:tcBorders>
              <w:top w:val="nil"/>
              <w:left w:val="nil"/>
              <w:bottom w:val="nil"/>
              <w:right w:val="nil"/>
            </w:tcBorders>
            <w:shd w:val="clear" w:color="auto" w:fill="auto"/>
            <w:noWrap/>
            <w:hideMark/>
          </w:tcPr>
          <w:p w14:paraId="6A993CB5"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13BAD0E9"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France Biotech</w:t>
            </w:r>
          </w:p>
        </w:tc>
      </w:tr>
      <w:tr w:rsidR="00B740A8" w:rsidRPr="00C73365" w14:paraId="3FBD615A" w14:textId="77777777" w:rsidTr="00D1541A">
        <w:trPr>
          <w:trHeight w:val="177"/>
        </w:trPr>
        <w:tc>
          <w:tcPr>
            <w:tcW w:w="3212" w:type="dxa"/>
            <w:tcBorders>
              <w:top w:val="nil"/>
              <w:left w:val="nil"/>
              <w:bottom w:val="nil"/>
              <w:right w:val="nil"/>
            </w:tcBorders>
            <w:shd w:val="clear" w:color="auto" w:fill="auto"/>
            <w:hideMark/>
          </w:tcPr>
          <w:p w14:paraId="274B5EB6" w14:textId="77777777"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14:paraId="117D2631"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092EDC04"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et Administrateur</w:t>
            </w:r>
          </w:p>
        </w:tc>
        <w:tc>
          <w:tcPr>
            <w:tcW w:w="166" w:type="dxa"/>
            <w:tcBorders>
              <w:top w:val="nil"/>
              <w:left w:val="nil"/>
              <w:bottom w:val="nil"/>
              <w:right w:val="nil"/>
            </w:tcBorders>
            <w:shd w:val="clear" w:color="auto" w:fill="auto"/>
            <w:noWrap/>
            <w:hideMark/>
          </w:tcPr>
          <w:p w14:paraId="65BB35BE"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5A09A9A1"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Splicos SAS</w:t>
            </w:r>
          </w:p>
        </w:tc>
      </w:tr>
      <w:tr w:rsidR="00B740A8" w:rsidRPr="00C73365" w14:paraId="3499DB9F" w14:textId="77777777" w:rsidTr="00D1541A">
        <w:trPr>
          <w:trHeight w:val="357"/>
        </w:trPr>
        <w:tc>
          <w:tcPr>
            <w:tcW w:w="3212" w:type="dxa"/>
            <w:tcBorders>
              <w:top w:val="nil"/>
              <w:left w:val="nil"/>
              <w:bottom w:val="nil"/>
              <w:right w:val="nil"/>
            </w:tcBorders>
            <w:shd w:val="clear" w:color="auto" w:fill="auto"/>
            <w:hideMark/>
          </w:tcPr>
          <w:p w14:paraId="5F4C87B2" w14:textId="77777777"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14:paraId="15FE94E1"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62A22DB7"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p>
        </w:tc>
        <w:tc>
          <w:tcPr>
            <w:tcW w:w="166" w:type="dxa"/>
            <w:tcBorders>
              <w:top w:val="nil"/>
              <w:left w:val="nil"/>
              <w:bottom w:val="nil"/>
              <w:right w:val="nil"/>
            </w:tcBorders>
            <w:shd w:val="clear" w:color="auto" w:fill="auto"/>
            <w:noWrap/>
            <w:hideMark/>
          </w:tcPr>
          <w:p w14:paraId="02C0A53E"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338FF43F"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Cytomics SA</w:t>
            </w:r>
          </w:p>
        </w:tc>
      </w:tr>
      <w:tr w:rsidR="00B740A8" w:rsidRPr="00C73365" w14:paraId="586B4D73" w14:textId="77777777" w:rsidTr="00D1541A">
        <w:trPr>
          <w:trHeight w:val="177"/>
        </w:trPr>
        <w:tc>
          <w:tcPr>
            <w:tcW w:w="3212" w:type="dxa"/>
            <w:tcBorders>
              <w:top w:val="nil"/>
              <w:left w:val="nil"/>
              <w:bottom w:val="nil"/>
              <w:right w:val="nil"/>
            </w:tcBorders>
            <w:shd w:val="clear" w:color="auto" w:fill="auto"/>
            <w:hideMark/>
          </w:tcPr>
          <w:p w14:paraId="0D8B3F3A" w14:textId="77777777"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14:paraId="32054D18"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106B4DF7"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(jusqu’en décembre 2010)</w:t>
            </w:r>
          </w:p>
        </w:tc>
        <w:tc>
          <w:tcPr>
            <w:tcW w:w="166" w:type="dxa"/>
            <w:tcBorders>
              <w:top w:val="nil"/>
              <w:left w:val="nil"/>
              <w:bottom w:val="nil"/>
              <w:right w:val="nil"/>
            </w:tcBorders>
            <w:shd w:val="clear" w:color="auto" w:fill="auto"/>
            <w:noWrap/>
            <w:hideMark/>
          </w:tcPr>
          <w:p w14:paraId="7F9AB1B4"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hideMark/>
          </w:tcPr>
          <w:p w14:paraId="6CA03056" w14:textId="77777777" w:rsidR="00B740A8" w:rsidRPr="00C73365" w:rsidRDefault="00B740A8" w:rsidP="00D1541A">
            <w:pPr>
              <w:rPr>
                <w:rFonts w:asciiTheme="minorHAnsi" w:hAnsiTheme="minorHAnsi" w:cstheme="minorHAnsi"/>
                <w:szCs w:val="20"/>
                <w:lang w:val="fr-FR" w:eastAsia="fr-FR"/>
              </w:rPr>
            </w:pPr>
          </w:p>
        </w:tc>
      </w:tr>
      <w:tr w:rsidR="00B740A8" w:rsidRPr="00C73365" w14:paraId="063F04EF" w14:textId="77777777" w:rsidTr="00D1541A">
        <w:trPr>
          <w:trHeight w:val="177"/>
        </w:trPr>
        <w:tc>
          <w:tcPr>
            <w:tcW w:w="3212" w:type="dxa"/>
            <w:tcBorders>
              <w:top w:val="nil"/>
              <w:left w:val="nil"/>
              <w:bottom w:val="nil"/>
              <w:right w:val="nil"/>
            </w:tcBorders>
            <w:shd w:val="clear" w:color="auto" w:fill="auto"/>
            <w:hideMark/>
          </w:tcPr>
          <w:p w14:paraId="27871882" w14:textId="77777777" w:rsidR="00B740A8" w:rsidRPr="00C73365" w:rsidRDefault="00B740A8" w:rsidP="00D1541A">
            <w:pPr>
              <w:rPr>
                <w:rFonts w:asciiTheme="minorHAnsi" w:hAnsiTheme="minorHAnsi" w:cstheme="minorHAnsi"/>
                <w:szCs w:val="20"/>
                <w:lang w:val="fr-FR" w:eastAsia="fr-FR"/>
              </w:rPr>
            </w:pPr>
          </w:p>
        </w:tc>
        <w:tc>
          <w:tcPr>
            <w:tcW w:w="169" w:type="dxa"/>
            <w:tcBorders>
              <w:top w:val="nil"/>
              <w:left w:val="nil"/>
              <w:bottom w:val="nil"/>
              <w:right w:val="nil"/>
            </w:tcBorders>
            <w:shd w:val="clear" w:color="auto" w:fill="auto"/>
            <w:noWrap/>
            <w:hideMark/>
          </w:tcPr>
          <w:p w14:paraId="04C40401"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6EDA467E"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14:paraId="46CF4F73"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1A27DC66"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Wittycell SAS</w:t>
            </w:r>
          </w:p>
        </w:tc>
      </w:tr>
      <w:tr w:rsidR="00B740A8" w:rsidRPr="00C73365" w14:paraId="4B46B824" w14:textId="77777777" w:rsidTr="00D1541A">
        <w:trPr>
          <w:trHeight w:val="177"/>
        </w:trPr>
        <w:tc>
          <w:tcPr>
            <w:tcW w:w="3212" w:type="dxa"/>
            <w:tcBorders>
              <w:top w:val="nil"/>
              <w:left w:val="nil"/>
              <w:bottom w:val="nil"/>
              <w:right w:val="nil"/>
            </w:tcBorders>
            <w:shd w:val="clear" w:color="auto" w:fill="auto"/>
            <w:hideMark/>
          </w:tcPr>
          <w:p w14:paraId="3AACEA10" w14:textId="77777777"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14:paraId="169C4C38"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0524C31C"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Administrateur </w:t>
            </w:r>
          </w:p>
        </w:tc>
        <w:tc>
          <w:tcPr>
            <w:tcW w:w="166" w:type="dxa"/>
            <w:tcBorders>
              <w:top w:val="nil"/>
              <w:left w:val="nil"/>
              <w:bottom w:val="nil"/>
              <w:right w:val="nil"/>
            </w:tcBorders>
            <w:shd w:val="clear" w:color="auto" w:fill="auto"/>
            <w:noWrap/>
            <w:hideMark/>
          </w:tcPr>
          <w:p w14:paraId="6E5DB693"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1C322874"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Neovacs SA</w:t>
            </w:r>
          </w:p>
        </w:tc>
      </w:tr>
      <w:tr w:rsidR="00B740A8" w:rsidRPr="00C73365" w14:paraId="66DCD3A1" w14:textId="77777777" w:rsidTr="00D1541A">
        <w:trPr>
          <w:trHeight w:val="177"/>
        </w:trPr>
        <w:tc>
          <w:tcPr>
            <w:tcW w:w="3212" w:type="dxa"/>
            <w:tcBorders>
              <w:top w:val="nil"/>
              <w:left w:val="nil"/>
              <w:bottom w:val="nil"/>
              <w:right w:val="nil"/>
            </w:tcBorders>
            <w:shd w:val="clear" w:color="auto" w:fill="auto"/>
            <w:hideMark/>
          </w:tcPr>
          <w:p w14:paraId="73131A49" w14:textId="77777777"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14:paraId="3EE46139"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5A72A78A"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14:paraId="7B923F2F"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348ED70D"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Symetis </w:t>
            </w:r>
            <w:r w:rsidRPr="00C73365">
              <w:rPr>
                <w:rFonts w:asciiTheme="minorHAnsi" w:hAnsiTheme="minorHAnsi" w:cstheme="minorHAnsi"/>
                <w:color w:val="000000"/>
                <w:szCs w:val="20"/>
                <w:lang w:val="fr-FR" w:eastAsia="fr-FR"/>
              </w:rPr>
              <w:t>(Suisse)</w:t>
            </w:r>
          </w:p>
        </w:tc>
      </w:tr>
      <w:tr w:rsidR="00B740A8" w:rsidRPr="00C73365" w14:paraId="5DCAFC39" w14:textId="77777777" w:rsidTr="00D1541A">
        <w:trPr>
          <w:trHeight w:val="177"/>
        </w:trPr>
        <w:tc>
          <w:tcPr>
            <w:tcW w:w="3212" w:type="dxa"/>
            <w:tcBorders>
              <w:top w:val="nil"/>
              <w:left w:val="nil"/>
              <w:right w:val="nil"/>
            </w:tcBorders>
            <w:shd w:val="clear" w:color="auto" w:fill="auto"/>
            <w:hideMark/>
          </w:tcPr>
          <w:p w14:paraId="40AFB363" w14:textId="77777777"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14:paraId="2F81A605"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right w:val="nil"/>
            </w:tcBorders>
            <w:shd w:val="clear" w:color="auto" w:fill="auto"/>
            <w:hideMark/>
          </w:tcPr>
          <w:p w14:paraId="1BCAEB7B"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14:paraId="52B8831B"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hideMark/>
          </w:tcPr>
          <w:p w14:paraId="0B8A9035"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Myopowers </w:t>
            </w:r>
            <w:r w:rsidRPr="00C73365">
              <w:rPr>
                <w:rFonts w:asciiTheme="minorHAnsi" w:hAnsiTheme="minorHAnsi" w:cstheme="minorHAnsi"/>
                <w:color w:val="000000"/>
                <w:szCs w:val="20"/>
                <w:lang w:val="fr-FR" w:eastAsia="fr-FR"/>
              </w:rPr>
              <w:t>(Suisse)</w:t>
            </w:r>
          </w:p>
        </w:tc>
      </w:tr>
      <w:tr w:rsidR="00B740A8" w:rsidRPr="00C73365" w14:paraId="78C1CDE5" w14:textId="77777777" w:rsidTr="00D1541A">
        <w:trPr>
          <w:trHeight w:val="177"/>
        </w:trPr>
        <w:tc>
          <w:tcPr>
            <w:tcW w:w="3212" w:type="dxa"/>
            <w:tcBorders>
              <w:top w:val="nil"/>
              <w:left w:val="nil"/>
              <w:right w:val="nil"/>
            </w:tcBorders>
            <w:shd w:val="clear" w:color="auto" w:fill="auto"/>
          </w:tcPr>
          <w:p w14:paraId="4F3AEEAC" w14:textId="77777777"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tcPr>
          <w:p w14:paraId="22E31FC4"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right w:val="nil"/>
            </w:tcBorders>
            <w:shd w:val="clear" w:color="auto" w:fill="auto"/>
          </w:tcPr>
          <w:p w14:paraId="7E466F87"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tcPr>
          <w:p w14:paraId="6F317943"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tcPr>
          <w:p w14:paraId="5805FCD8"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Altimmune Ltd </w:t>
            </w:r>
            <w:r w:rsidRPr="00C73365">
              <w:rPr>
                <w:rFonts w:asciiTheme="minorHAnsi" w:hAnsiTheme="minorHAnsi" w:cstheme="minorHAnsi"/>
                <w:bCs/>
                <w:color w:val="000000"/>
                <w:szCs w:val="20"/>
                <w:lang w:val="fr-FR" w:eastAsia="fr-FR"/>
              </w:rPr>
              <w:t>(Etats-Unis)</w:t>
            </w:r>
          </w:p>
        </w:tc>
      </w:tr>
      <w:tr w:rsidR="00B740A8" w:rsidRPr="00C73365" w14:paraId="6EEC2677" w14:textId="77777777" w:rsidTr="00D1541A">
        <w:trPr>
          <w:trHeight w:val="177"/>
        </w:trPr>
        <w:tc>
          <w:tcPr>
            <w:tcW w:w="3212" w:type="dxa"/>
            <w:tcBorders>
              <w:top w:val="nil"/>
              <w:left w:val="nil"/>
              <w:bottom w:val="single" w:sz="4" w:space="0" w:color="7030A0"/>
              <w:right w:val="nil"/>
            </w:tcBorders>
            <w:shd w:val="clear" w:color="auto" w:fill="auto"/>
            <w:hideMark/>
          </w:tcPr>
          <w:p w14:paraId="3E04CBD1"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14:paraId="590BF40E"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14:paraId="3A9EA2D7"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w:t>
            </w:r>
          </w:p>
        </w:tc>
        <w:tc>
          <w:tcPr>
            <w:tcW w:w="166" w:type="dxa"/>
            <w:tcBorders>
              <w:top w:val="nil"/>
              <w:left w:val="nil"/>
              <w:bottom w:val="nil"/>
              <w:right w:val="nil"/>
            </w:tcBorders>
            <w:shd w:val="clear" w:color="auto" w:fill="auto"/>
            <w:noWrap/>
            <w:hideMark/>
          </w:tcPr>
          <w:p w14:paraId="72D9DF34"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14:paraId="2B54CA93"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Plasmaprime SA</w:t>
            </w:r>
          </w:p>
        </w:tc>
      </w:tr>
      <w:tr w:rsidR="00B740A8" w:rsidRPr="0030056F" w14:paraId="40317CAC" w14:textId="77777777" w:rsidTr="00D1541A">
        <w:trPr>
          <w:trHeight w:val="357"/>
        </w:trPr>
        <w:tc>
          <w:tcPr>
            <w:tcW w:w="3212" w:type="dxa"/>
            <w:tcBorders>
              <w:top w:val="single" w:sz="4" w:space="0" w:color="7030A0"/>
              <w:left w:val="nil"/>
              <w:bottom w:val="nil"/>
              <w:right w:val="nil"/>
            </w:tcBorders>
            <w:shd w:val="clear" w:color="auto" w:fill="auto"/>
            <w:hideMark/>
          </w:tcPr>
          <w:p w14:paraId="748CA4D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Joy Amundson</w:t>
            </w:r>
          </w:p>
        </w:tc>
        <w:tc>
          <w:tcPr>
            <w:tcW w:w="169" w:type="dxa"/>
            <w:tcBorders>
              <w:top w:val="nil"/>
              <w:left w:val="nil"/>
              <w:bottom w:val="nil"/>
              <w:right w:val="nil"/>
            </w:tcBorders>
            <w:shd w:val="clear" w:color="auto" w:fill="auto"/>
            <w:noWrap/>
            <w:hideMark/>
          </w:tcPr>
          <w:p w14:paraId="529D48B0"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single" w:sz="4" w:space="0" w:color="7030A0"/>
              <w:left w:val="nil"/>
              <w:bottom w:val="nil"/>
              <w:right w:val="nil"/>
            </w:tcBorders>
            <w:shd w:val="clear" w:color="auto" w:fill="auto"/>
            <w:hideMark/>
          </w:tcPr>
          <w:p w14:paraId="76FA6DC3"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w:t>
            </w:r>
          </w:p>
        </w:tc>
        <w:tc>
          <w:tcPr>
            <w:tcW w:w="166" w:type="dxa"/>
            <w:tcBorders>
              <w:top w:val="nil"/>
              <w:left w:val="nil"/>
              <w:bottom w:val="nil"/>
              <w:right w:val="nil"/>
            </w:tcBorders>
            <w:shd w:val="clear" w:color="auto" w:fill="auto"/>
            <w:noWrap/>
            <w:hideMark/>
          </w:tcPr>
          <w:p w14:paraId="0051CC47"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nil"/>
              <w:right w:val="nil"/>
            </w:tcBorders>
            <w:shd w:val="clear" w:color="auto" w:fill="auto"/>
            <w:hideMark/>
          </w:tcPr>
          <w:p w14:paraId="5D166BC6"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Baxter Bioscience Corporation </w:t>
            </w:r>
            <w:r w:rsidRPr="00C73365">
              <w:rPr>
                <w:rFonts w:asciiTheme="minorHAnsi" w:hAnsiTheme="minorHAnsi" w:cstheme="minorHAnsi"/>
                <w:color w:val="000000"/>
                <w:szCs w:val="20"/>
                <w:lang w:val="fr-FR" w:eastAsia="fr-FR"/>
              </w:rPr>
              <w:t>(Etats-Unis)</w:t>
            </w:r>
          </w:p>
        </w:tc>
      </w:tr>
      <w:tr w:rsidR="00B740A8" w:rsidRPr="0030056F" w14:paraId="146C8ECC" w14:textId="77777777" w:rsidTr="00D1541A">
        <w:trPr>
          <w:trHeight w:val="357"/>
        </w:trPr>
        <w:tc>
          <w:tcPr>
            <w:tcW w:w="3212" w:type="dxa"/>
            <w:tcBorders>
              <w:top w:val="nil"/>
              <w:left w:val="nil"/>
              <w:bottom w:val="nil"/>
              <w:right w:val="nil"/>
            </w:tcBorders>
            <w:shd w:val="clear" w:color="auto" w:fill="auto"/>
            <w:hideMark/>
          </w:tcPr>
          <w:p w14:paraId="4588B05F" w14:textId="77777777"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14:paraId="27E2F6D8"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14:paraId="49247723"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Vice-Président (Corporate Vice-President)</w:t>
            </w:r>
          </w:p>
        </w:tc>
        <w:tc>
          <w:tcPr>
            <w:tcW w:w="166" w:type="dxa"/>
            <w:tcBorders>
              <w:top w:val="nil"/>
              <w:left w:val="nil"/>
              <w:bottom w:val="nil"/>
              <w:right w:val="nil"/>
            </w:tcBorders>
            <w:shd w:val="clear" w:color="auto" w:fill="auto"/>
            <w:noWrap/>
            <w:hideMark/>
          </w:tcPr>
          <w:p w14:paraId="16FB5C2C"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440BD163"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Baxter International, Inc.</w:t>
            </w:r>
            <w:r w:rsidRPr="00C73365">
              <w:rPr>
                <w:rFonts w:asciiTheme="minorHAnsi" w:hAnsiTheme="minorHAnsi" w:cstheme="minorHAnsi"/>
                <w:color w:val="000000"/>
                <w:szCs w:val="20"/>
                <w:lang w:val="fr-FR" w:eastAsia="fr-FR"/>
              </w:rPr>
              <w:t xml:space="preserve"> (Etats-Unis) (cotée sur le New York Stock Exchange)</w:t>
            </w:r>
          </w:p>
        </w:tc>
      </w:tr>
      <w:tr w:rsidR="00B740A8" w:rsidRPr="00C73365" w14:paraId="20B35B8E" w14:textId="77777777" w:rsidTr="00D1541A">
        <w:trPr>
          <w:trHeight w:val="177"/>
        </w:trPr>
        <w:tc>
          <w:tcPr>
            <w:tcW w:w="3212" w:type="dxa"/>
            <w:tcBorders>
              <w:top w:val="nil"/>
              <w:left w:val="nil"/>
              <w:bottom w:val="nil"/>
              <w:right w:val="nil"/>
            </w:tcBorders>
            <w:shd w:val="clear" w:color="auto" w:fill="auto"/>
            <w:hideMark/>
          </w:tcPr>
          <w:p w14:paraId="23AED4B2" w14:textId="77777777"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14:paraId="05226711"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13D8A5B6"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14:paraId="7959E2DF"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08618837"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Apatech, Inc. </w:t>
            </w:r>
            <w:r w:rsidRPr="00C73365">
              <w:rPr>
                <w:rFonts w:asciiTheme="minorHAnsi" w:hAnsiTheme="minorHAnsi" w:cstheme="minorHAnsi"/>
                <w:color w:val="000000"/>
                <w:szCs w:val="20"/>
                <w:lang w:val="fr-FR" w:eastAsia="fr-FR"/>
              </w:rPr>
              <w:t xml:space="preserve">(Etats-Unis) </w:t>
            </w:r>
          </w:p>
        </w:tc>
      </w:tr>
      <w:tr w:rsidR="00B740A8" w:rsidRPr="00C73365" w14:paraId="4586514B" w14:textId="77777777" w:rsidTr="00D1541A">
        <w:trPr>
          <w:trHeight w:val="177"/>
        </w:trPr>
        <w:tc>
          <w:tcPr>
            <w:tcW w:w="3212" w:type="dxa"/>
            <w:tcBorders>
              <w:top w:val="nil"/>
              <w:left w:val="nil"/>
              <w:bottom w:val="nil"/>
              <w:right w:val="nil"/>
            </w:tcBorders>
            <w:shd w:val="clear" w:color="auto" w:fill="auto"/>
            <w:hideMark/>
          </w:tcPr>
          <w:p w14:paraId="1BCC2B8F" w14:textId="77777777"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14:paraId="02AFBFAE"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2B592890"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14:paraId="1675F88E"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46CD1AB4"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Covidien Plc.</w:t>
            </w:r>
            <w:r w:rsidRPr="00C73365">
              <w:rPr>
                <w:rFonts w:asciiTheme="minorHAnsi" w:hAnsiTheme="minorHAnsi" w:cstheme="minorHAnsi"/>
                <w:color w:val="000000"/>
                <w:szCs w:val="20"/>
                <w:lang w:val="fr-FR" w:eastAsia="fr-FR"/>
              </w:rPr>
              <w:t xml:space="preserve"> (Etats-Unis)</w:t>
            </w:r>
          </w:p>
        </w:tc>
      </w:tr>
      <w:tr w:rsidR="00B740A8" w:rsidRPr="00C73365" w14:paraId="71E393DF" w14:textId="77777777" w:rsidTr="00D1541A">
        <w:trPr>
          <w:trHeight w:val="357"/>
        </w:trPr>
        <w:tc>
          <w:tcPr>
            <w:tcW w:w="3212" w:type="dxa"/>
            <w:tcBorders>
              <w:top w:val="nil"/>
              <w:left w:val="nil"/>
              <w:bottom w:val="single" w:sz="4" w:space="0" w:color="7030A0"/>
              <w:right w:val="nil"/>
            </w:tcBorders>
            <w:shd w:val="clear" w:color="auto" w:fill="auto"/>
            <w:hideMark/>
          </w:tcPr>
          <w:p w14:paraId="4CE9854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14:paraId="35AB0F99"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14:paraId="7E821E65"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6" w:type="dxa"/>
            <w:tcBorders>
              <w:top w:val="nil"/>
              <w:left w:val="nil"/>
              <w:bottom w:val="nil"/>
              <w:right w:val="nil"/>
            </w:tcBorders>
            <w:shd w:val="clear" w:color="auto" w:fill="auto"/>
            <w:noWrap/>
            <w:hideMark/>
          </w:tcPr>
          <w:p w14:paraId="60D50346"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14:paraId="66EB7490" w14:textId="77777777"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cotée sur New York Stock Exchange</w:t>
            </w:r>
          </w:p>
        </w:tc>
      </w:tr>
      <w:tr w:rsidR="00B740A8" w:rsidRPr="00C73365" w14:paraId="498FF8D9" w14:textId="77777777" w:rsidTr="00D1541A">
        <w:trPr>
          <w:trHeight w:val="177"/>
        </w:trPr>
        <w:tc>
          <w:tcPr>
            <w:tcW w:w="3212" w:type="dxa"/>
            <w:tcBorders>
              <w:top w:val="nil"/>
              <w:left w:val="nil"/>
              <w:right w:val="nil"/>
            </w:tcBorders>
            <w:shd w:val="clear" w:color="auto" w:fill="auto"/>
            <w:hideMark/>
          </w:tcPr>
          <w:p w14:paraId="42ACD0DE"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Claude Bertrand</w:t>
            </w:r>
          </w:p>
        </w:tc>
        <w:tc>
          <w:tcPr>
            <w:tcW w:w="169" w:type="dxa"/>
            <w:tcBorders>
              <w:top w:val="nil"/>
              <w:left w:val="nil"/>
              <w:bottom w:val="nil"/>
              <w:right w:val="nil"/>
            </w:tcBorders>
            <w:shd w:val="clear" w:color="auto" w:fill="auto"/>
            <w:noWrap/>
            <w:hideMark/>
          </w:tcPr>
          <w:p w14:paraId="7AD59C0D"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3319" w:type="dxa"/>
            <w:tcBorders>
              <w:top w:val="nil"/>
              <w:left w:val="nil"/>
              <w:right w:val="nil"/>
            </w:tcBorders>
            <w:shd w:val="clear" w:color="auto" w:fill="auto"/>
            <w:hideMark/>
          </w:tcPr>
          <w:p w14:paraId="6FD0A2E5"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right w:val="nil"/>
            </w:tcBorders>
            <w:shd w:val="clear" w:color="auto" w:fill="auto"/>
            <w:noWrap/>
            <w:hideMark/>
          </w:tcPr>
          <w:p w14:paraId="320614EB"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hideMark/>
          </w:tcPr>
          <w:p w14:paraId="2E5D3A3D"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Splicos SAS</w:t>
            </w:r>
          </w:p>
        </w:tc>
      </w:tr>
      <w:tr w:rsidR="00B740A8" w:rsidRPr="00C73365" w14:paraId="27D8A885" w14:textId="77777777" w:rsidTr="00D1541A">
        <w:trPr>
          <w:trHeight w:val="177"/>
        </w:trPr>
        <w:tc>
          <w:tcPr>
            <w:tcW w:w="3212" w:type="dxa"/>
            <w:tcBorders>
              <w:top w:val="nil"/>
              <w:left w:val="nil"/>
              <w:right w:val="nil"/>
            </w:tcBorders>
            <w:shd w:val="clear" w:color="auto" w:fill="auto"/>
          </w:tcPr>
          <w:p w14:paraId="334A69A2" w14:textId="77777777"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tcPr>
          <w:p w14:paraId="48C34CA9"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3319" w:type="dxa"/>
            <w:tcBorders>
              <w:top w:val="nil"/>
              <w:left w:val="nil"/>
              <w:right w:val="nil"/>
            </w:tcBorders>
            <w:shd w:val="clear" w:color="auto" w:fill="auto"/>
          </w:tcPr>
          <w:p w14:paraId="0760BCF3"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right w:val="nil"/>
            </w:tcBorders>
            <w:shd w:val="clear" w:color="auto" w:fill="auto"/>
            <w:noWrap/>
          </w:tcPr>
          <w:p w14:paraId="253D69AE"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tcPr>
          <w:p w14:paraId="400C02EA"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INSERM</w:t>
            </w:r>
          </w:p>
        </w:tc>
      </w:tr>
      <w:tr w:rsidR="00B740A8" w:rsidRPr="00C73365" w14:paraId="35A13915" w14:textId="77777777" w:rsidTr="00D1541A">
        <w:trPr>
          <w:trHeight w:val="177"/>
        </w:trPr>
        <w:tc>
          <w:tcPr>
            <w:tcW w:w="3212" w:type="dxa"/>
            <w:tcBorders>
              <w:left w:val="nil"/>
              <w:bottom w:val="single" w:sz="4" w:space="0" w:color="7030A0"/>
              <w:right w:val="nil"/>
            </w:tcBorders>
            <w:shd w:val="clear" w:color="auto" w:fill="auto"/>
          </w:tcPr>
          <w:p w14:paraId="3DC5C42B" w14:textId="77777777"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tcPr>
          <w:p w14:paraId="670374E5"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3319" w:type="dxa"/>
            <w:tcBorders>
              <w:left w:val="nil"/>
              <w:bottom w:val="single" w:sz="4" w:space="0" w:color="7030A0"/>
              <w:right w:val="nil"/>
            </w:tcBorders>
            <w:shd w:val="clear" w:color="auto" w:fill="auto"/>
          </w:tcPr>
          <w:p w14:paraId="0AA855C7" w14:textId="77777777" w:rsidR="00B740A8" w:rsidRPr="00C73365" w:rsidRDefault="00B740A8" w:rsidP="00434C49">
            <w:pPr>
              <w:pStyle w:val="Paragraphedeliste"/>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w:t>
            </w:r>
          </w:p>
        </w:tc>
        <w:tc>
          <w:tcPr>
            <w:tcW w:w="166" w:type="dxa"/>
            <w:tcBorders>
              <w:left w:val="nil"/>
              <w:bottom w:val="nil"/>
              <w:right w:val="nil"/>
            </w:tcBorders>
            <w:shd w:val="clear" w:color="auto" w:fill="auto"/>
            <w:noWrap/>
          </w:tcPr>
          <w:p w14:paraId="76EF6BF0" w14:textId="77777777" w:rsidR="00B740A8" w:rsidRPr="00C73365" w:rsidRDefault="00B740A8" w:rsidP="00D1541A">
            <w:pPr>
              <w:rPr>
                <w:rFonts w:asciiTheme="minorHAnsi" w:hAnsiTheme="minorHAnsi" w:cstheme="minorHAnsi"/>
                <w:b/>
                <w:bCs/>
                <w:color w:val="000000"/>
                <w:szCs w:val="20"/>
                <w:lang w:val="fr-FR" w:eastAsia="fr-FR"/>
              </w:rPr>
            </w:pPr>
          </w:p>
        </w:tc>
        <w:tc>
          <w:tcPr>
            <w:tcW w:w="3168" w:type="dxa"/>
            <w:tcBorders>
              <w:left w:val="nil"/>
              <w:bottom w:val="single" w:sz="4" w:space="0" w:color="7030A0"/>
              <w:right w:val="nil"/>
            </w:tcBorders>
            <w:shd w:val="clear" w:color="auto" w:fill="auto"/>
          </w:tcPr>
          <w:p w14:paraId="5A0CBC50"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Ipsen Innovation SAS</w:t>
            </w:r>
          </w:p>
        </w:tc>
      </w:tr>
      <w:tr w:rsidR="00B740A8" w:rsidRPr="00C73365" w14:paraId="5AEC4E86" w14:textId="77777777" w:rsidTr="00D1541A">
        <w:trPr>
          <w:trHeight w:val="357"/>
        </w:trPr>
        <w:tc>
          <w:tcPr>
            <w:tcW w:w="3212" w:type="dxa"/>
            <w:tcBorders>
              <w:top w:val="nil"/>
              <w:left w:val="nil"/>
              <w:bottom w:val="nil"/>
              <w:right w:val="nil"/>
            </w:tcBorders>
            <w:shd w:val="clear" w:color="auto" w:fill="auto"/>
            <w:noWrap/>
            <w:hideMark/>
          </w:tcPr>
          <w:p w14:paraId="0517A350"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Jean-Jacques Bertrand</w:t>
            </w:r>
          </w:p>
        </w:tc>
        <w:tc>
          <w:tcPr>
            <w:tcW w:w="169" w:type="dxa"/>
            <w:tcBorders>
              <w:top w:val="nil"/>
              <w:left w:val="nil"/>
              <w:bottom w:val="nil"/>
              <w:right w:val="nil"/>
            </w:tcBorders>
            <w:shd w:val="clear" w:color="auto" w:fill="auto"/>
            <w:noWrap/>
            <w:hideMark/>
          </w:tcPr>
          <w:p w14:paraId="76E0EEE1"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14:paraId="2E391E22"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de surveillance</w:t>
            </w:r>
          </w:p>
        </w:tc>
        <w:tc>
          <w:tcPr>
            <w:tcW w:w="166" w:type="dxa"/>
            <w:tcBorders>
              <w:top w:val="nil"/>
              <w:left w:val="nil"/>
              <w:bottom w:val="nil"/>
              <w:right w:val="nil"/>
            </w:tcBorders>
            <w:shd w:val="clear" w:color="auto" w:fill="auto"/>
            <w:noWrap/>
            <w:hideMark/>
          </w:tcPr>
          <w:p w14:paraId="6045C382"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6F6A452A"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Cytheris, Inc</w:t>
            </w:r>
          </w:p>
        </w:tc>
      </w:tr>
      <w:tr w:rsidR="00B740A8" w:rsidRPr="0030056F" w14:paraId="528D5502" w14:textId="77777777" w:rsidTr="00D1541A">
        <w:trPr>
          <w:trHeight w:val="357"/>
        </w:trPr>
        <w:tc>
          <w:tcPr>
            <w:tcW w:w="3212" w:type="dxa"/>
            <w:tcBorders>
              <w:top w:val="nil"/>
              <w:left w:val="nil"/>
              <w:bottom w:val="nil"/>
              <w:right w:val="nil"/>
            </w:tcBorders>
            <w:shd w:val="clear" w:color="auto" w:fill="auto"/>
            <w:hideMark/>
          </w:tcPr>
          <w:p w14:paraId="368D44AB" w14:textId="77777777"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14:paraId="649033BA" w14:textId="77777777"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14:paraId="0B1D5E16"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de surveillance</w:t>
            </w:r>
          </w:p>
        </w:tc>
        <w:tc>
          <w:tcPr>
            <w:tcW w:w="166" w:type="dxa"/>
            <w:tcBorders>
              <w:top w:val="nil"/>
              <w:left w:val="nil"/>
              <w:bottom w:val="nil"/>
              <w:right w:val="nil"/>
            </w:tcBorders>
            <w:shd w:val="clear" w:color="auto" w:fill="auto"/>
            <w:noWrap/>
            <w:hideMark/>
          </w:tcPr>
          <w:p w14:paraId="00AF1A9C"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589C7104"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Guerbet SA </w:t>
            </w:r>
          </w:p>
          <w:p w14:paraId="04A895F4"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Cs/>
                <w:color w:val="000000"/>
                <w:szCs w:val="20"/>
                <w:lang w:val="fr-FR" w:eastAsia="fr-FR"/>
              </w:rPr>
              <w:t>(c</w:t>
            </w:r>
            <w:r w:rsidRPr="00C73365">
              <w:rPr>
                <w:rFonts w:asciiTheme="minorHAnsi" w:hAnsiTheme="minorHAnsi" w:cstheme="minorHAnsi"/>
                <w:color w:val="000000"/>
                <w:szCs w:val="20"/>
                <w:lang w:val="fr-FR" w:eastAsia="fr-FR"/>
              </w:rPr>
              <w:t>otée sur Euronext Paris, compartiment B)</w:t>
            </w:r>
          </w:p>
        </w:tc>
      </w:tr>
      <w:tr w:rsidR="00B740A8" w:rsidRPr="0030056F" w14:paraId="1E3950DC" w14:textId="77777777" w:rsidTr="00D1541A">
        <w:trPr>
          <w:trHeight w:val="357"/>
        </w:trPr>
        <w:tc>
          <w:tcPr>
            <w:tcW w:w="3212" w:type="dxa"/>
            <w:tcBorders>
              <w:top w:val="nil"/>
              <w:left w:val="nil"/>
              <w:bottom w:val="single" w:sz="4" w:space="0" w:color="7030A0"/>
              <w:right w:val="nil"/>
            </w:tcBorders>
            <w:shd w:val="clear" w:color="auto" w:fill="auto"/>
            <w:hideMark/>
          </w:tcPr>
          <w:p w14:paraId="1302FD61"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14:paraId="74BF28EF"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14:paraId="64924997"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14:paraId="5B1E0DEE"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14:paraId="2B0948C4"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Fondation de la Recherche Médicale</w:t>
            </w:r>
          </w:p>
        </w:tc>
      </w:tr>
      <w:tr w:rsidR="00B740A8" w:rsidRPr="00C73365" w14:paraId="15A61813" w14:textId="77777777" w:rsidTr="00D1541A">
        <w:trPr>
          <w:trHeight w:val="357"/>
        </w:trPr>
        <w:tc>
          <w:tcPr>
            <w:tcW w:w="3212" w:type="dxa"/>
            <w:tcBorders>
              <w:top w:val="nil"/>
              <w:left w:val="nil"/>
              <w:bottom w:val="nil"/>
              <w:right w:val="nil"/>
            </w:tcBorders>
            <w:shd w:val="clear" w:color="auto" w:fill="auto"/>
            <w:hideMark/>
          </w:tcPr>
          <w:p w14:paraId="17DFD09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Antonino Ligresti </w:t>
            </w:r>
          </w:p>
        </w:tc>
        <w:tc>
          <w:tcPr>
            <w:tcW w:w="169" w:type="dxa"/>
            <w:tcBorders>
              <w:top w:val="nil"/>
              <w:left w:val="nil"/>
              <w:bottom w:val="nil"/>
              <w:right w:val="nil"/>
            </w:tcBorders>
            <w:shd w:val="clear" w:color="auto" w:fill="auto"/>
            <w:noWrap/>
            <w:hideMark/>
          </w:tcPr>
          <w:p w14:paraId="00528522"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14:paraId="78CA0D04"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66" w:type="dxa"/>
            <w:tcBorders>
              <w:top w:val="nil"/>
              <w:left w:val="nil"/>
              <w:bottom w:val="nil"/>
              <w:right w:val="nil"/>
            </w:tcBorders>
            <w:shd w:val="clear" w:color="auto" w:fill="auto"/>
            <w:noWrap/>
            <w:hideMark/>
          </w:tcPr>
          <w:p w14:paraId="7A623DF9"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25F07ADC"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Générale de Santé</w:t>
            </w:r>
          </w:p>
        </w:tc>
      </w:tr>
      <w:tr w:rsidR="00B740A8" w:rsidRPr="00C73365" w14:paraId="3DC4DE32" w14:textId="77777777" w:rsidTr="00D1541A">
        <w:trPr>
          <w:trHeight w:val="177"/>
        </w:trPr>
        <w:tc>
          <w:tcPr>
            <w:tcW w:w="3212" w:type="dxa"/>
            <w:tcBorders>
              <w:top w:val="nil"/>
              <w:left w:val="nil"/>
              <w:bottom w:val="single" w:sz="4" w:space="0" w:color="7030A0"/>
              <w:right w:val="nil"/>
            </w:tcBorders>
            <w:shd w:val="clear" w:color="auto" w:fill="auto"/>
            <w:hideMark/>
          </w:tcPr>
          <w:p w14:paraId="1FF655B0" w14:textId="77777777"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14:paraId="48421109" w14:textId="77777777"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14:paraId="299466C7"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 actionnaire de référence</w:t>
            </w:r>
          </w:p>
        </w:tc>
        <w:tc>
          <w:tcPr>
            <w:tcW w:w="166" w:type="dxa"/>
            <w:tcBorders>
              <w:top w:val="nil"/>
              <w:left w:val="nil"/>
              <w:bottom w:val="nil"/>
              <w:right w:val="nil"/>
            </w:tcBorders>
            <w:shd w:val="clear" w:color="auto" w:fill="auto"/>
            <w:noWrap/>
            <w:hideMark/>
          </w:tcPr>
          <w:p w14:paraId="3D37B856"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noWrap/>
            <w:hideMark/>
          </w:tcPr>
          <w:p w14:paraId="1DA77F21"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14:paraId="10CE3F60" w14:textId="77777777" w:rsidTr="00D1541A">
        <w:trPr>
          <w:trHeight w:val="177"/>
        </w:trPr>
        <w:tc>
          <w:tcPr>
            <w:tcW w:w="3212" w:type="dxa"/>
            <w:tcBorders>
              <w:top w:val="single" w:sz="4" w:space="0" w:color="7030A0"/>
              <w:left w:val="nil"/>
              <w:bottom w:val="single" w:sz="4" w:space="0" w:color="7030A0"/>
              <w:right w:val="nil"/>
            </w:tcBorders>
            <w:shd w:val="clear" w:color="auto" w:fill="auto"/>
            <w:hideMark/>
          </w:tcPr>
          <w:p w14:paraId="448CE966"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Christian Pierret en tant que représentant de Truffle Capital </w:t>
            </w:r>
          </w:p>
        </w:tc>
        <w:tc>
          <w:tcPr>
            <w:tcW w:w="169" w:type="dxa"/>
            <w:tcBorders>
              <w:top w:val="nil"/>
              <w:left w:val="nil"/>
              <w:bottom w:val="nil"/>
              <w:right w:val="nil"/>
            </w:tcBorders>
            <w:shd w:val="clear" w:color="auto" w:fill="auto"/>
            <w:noWrap/>
          </w:tcPr>
          <w:p w14:paraId="6CE2C199"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3319" w:type="dxa"/>
            <w:tcBorders>
              <w:top w:val="single" w:sz="4" w:space="0" w:color="7030A0"/>
              <w:left w:val="nil"/>
              <w:bottom w:val="single" w:sz="4" w:space="0" w:color="7030A0"/>
              <w:right w:val="nil"/>
            </w:tcBorders>
            <w:shd w:val="clear" w:color="auto" w:fill="auto"/>
            <w:hideMark/>
          </w:tcPr>
          <w:p w14:paraId="5229F8BA"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directeur général</w:t>
            </w:r>
          </w:p>
          <w:p w14:paraId="2F37D203"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14:paraId="0B8079C9"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hideMark/>
          </w:tcPr>
          <w:p w14:paraId="5ACCCC70"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SEV</w:t>
            </w:r>
          </w:p>
          <w:p w14:paraId="7DCBDC45" w14:textId="77777777" w:rsidR="00B740A8" w:rsidRPr="00C73365" w:rsidRDefault="00B740A8" w:rsidP="00D1541A">
            <w:pPr>
              <w:rPr>
                <w:rFonts w:asciiTheme="minorHAnsi" w:hAnsiTheme="minorHAnsi" w:cstheme="minorHAnsi"/>
                <w:b/>
                <w:bCs/>
                <w:color w:val="000000"/>
                <w:szCs w:val="20"/>
                <w:lang w:eastAsia="fr-FR"/>
              </w:rPr>
            </w:pPr>
            <w:r w:rsidRPr="00C73365">
              <w:rPr>
                <w:rFonts w:asciiTheme="minorHAnsi" w:hAnsiTheme="minorHAnsi" w:cstheme="minorHAnsi"/>
                <w:b/>
                <w:bCs/>
                <w:color w:val="000000"/>
                <w:szCs w:val="20"/>
                <w:lang w:eastAsia="fr-FR"/>
              </w:rPr>
              <w:t>Holding Incubatrice Medical Devices SA</w:t>
            </w:r>
          </w:p>
        </w:tc>
      </w:tr>
      <w:tr w:rsidR="00B740A8" w:rsidRPr="00C73365" w14:paraId="0BEE4EC1" w14:textId="77777777" w:rsidTr="00D1541A">
        <w:trPr>
          <w:trHeight w:val="177"/>
        </w:trPr>
        <w:tc>
          <w:tcPr>
            <w:tcW w:w="3212" w:type="dxa"/>
            <w:tcBorders>
              <w:top w:val="nil"/>
              <w:left w:val="nil"/>
              <w:bottom w:val="nil"/>
              <w:right w:val="nil"/>
            </w:tcBorders>
            <w:shd w:val="clear" w:color="auto" w:fill="auto"/>
            <w:hideMark/>
          </w:tcPr>
          <w:p w14:paraId="5362068A"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Dominique Costantini</w:t>
            </w:r>
          </w:p>
        </w:tc>
        <w:tc>
          <w:tcPr>
            <w:tcW w:w="169" w:type="dxa"/>
            <w:tcBorders>
              <w:top w:val="nil"/>
              <w:left w:val="nil"/>
              <w:bottom w:val="nil"/>
              <w:right w:val="nil"/>
            </w:tcBorders>
            <w:shd w:val="clear" w:color="auto" w:fill="auto"/>
            <w:noWrap/>
          </w:tcPr>
          <w:p w14:paraId="72A1AC9A"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14:paraId="3F67934C"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66" w:type="dxa"/>
            <w:tcBorders>
              <w:top w:val="nil"/>
              <w:left w:val="nil"/>
              <w:bottom w:val="nil"/>
              <w:right w:val="nil"/>
            </w:tcBorders>
            <w:shd w:val="clear" w:color="auto" w:fill="auto"/>
            <w:noWrap/>
            <w:hideMark/>
          </w:tcPr>
          <w:p w14:paraId="038A8E20"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14:paraId="757B07FC"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BioAlliance Pharma SA</w:t>
            </w:r>
          </w:p>
        </w:tc>
      </w:tr>
      <w:tr w:rsidR="00B740A8" w:rsidRPr="00C73365" w14:paraId="79E1832E" w14:textId="77777777" w:rsidTr="00D1541A">
        <w:trPr>
          <w:trHeight w:val="177"/>
        </w:trPr>
        <w:tc>
          <w:tcPr>
            <w:tcW w:w="3212" w:type="dxa"/>
            <w:tcBorders>
              <w:top w:val="nil"/>
              <w:left w:val="nil"/>
              <w:bottom w:val="single" w:sz="4" w:space="0" w:color="7030A0"/>
              <w:right w:val="nil"/>
            </w:tcBorders>
            <w:shd w:val="clear" w:color="auto" w:fill="auto"/>
            <w:hideMark/>
          </w:tcPr>
          <w:p w14:paraId="504FED7F"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tcPr>
          <w:p w14:paraId="2557017F"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14:paraId="15E12F3E"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1997 à 2011)</w:t>
            </w:r>
          </w:p>
          <w:p w14:paraId="7ADE29A6"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166" w:type="dxa"/>
            <w:tcBorders>
              <w:top w:val="nil"/>
              <w:left w:val="nil"/>
              <w:bottom w:val="nil"/>
              <w:right w:val="nil"/>
            </w:tcBorders>
            <w:shd w:val="clear" w:color="auto" w:fill="auto"/>
            <w:noWrap/>
            <w:hideMark/>
          </w:tcPr>
          <w:p w14:paraId="37F0B420"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14:paraId="283AFBF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14:paraId="2576965D" w14:textId="77777777" w:rsidTr="00D1541A">
        <w:trPr>
          <w:trHeight w:val="177"/>
        </w:trPr>
        <w:tc>
          <w:tcPr>
            <w:tcW w:w="3212" w:type="dxa"/>
            <w:tcBorders>
              <w:top w:val="single" w:sz="4" w:space="0" w:color="7030A0"/>
              <w:left w:val="nil"/>
              <w:bottom w:val="single" w:sz="4" w:space="0" w:color="7030A0"/>
              <w:right w:val="nil"/>
            </w:tcBorders>
            <w:shd w:val="clear" w:color="auto" w:fill="auto"/>
          </w:tcPr>
          <w:p w14:paraId="5B7261FD"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Madame Carol L. Brosgart</w:t>
            </w:r>
          </w:p>
        </w:tc>
        <w:tc>
          <w:tcPr>
            <w:tcW w:w="169" w:type="dxa"/>
            <w:tcBorders>
              <w:top w:val="nil"/>
              <w:left w:val="nil"/>
              <w:bottom w:val="nil"/>
              <w:right w:val="nil"/>
            </w:tcBorders>
            <w:shd w:val="clear" w:color="auto" w:fill="auto"/>
            <w:noWrap/>
          </w:tcPr>
          <w:p w14:paraId="4E25FE80" w14:textId="77777777" w:rsidR="00B740A8" w:rsidRPr="00C73365" w:rsidRDefault="00B740A8" w:rsidP="00D1541A">
            <w:pPr>
              <w:pStyle w:val="Paragraphedeliste"/>
              <w:ind w:left="198"/>
              <w:rPr>
                <w:rFonts w:asciiTheme="minorHAnsi" w:hAnsiTheme="minorHAnsi" w:cstheme="minorHAnsi"/>
                <w:color w:val="000000"/>
                <w:szCs w:val="20"/>
                <w:lang w:val="fr-FR" w:eastAsia="fr-FR"/>
              </w:rPr>
            </w:pPr>
          </w:p>
        </w:tc>
        <w:tc>
          <w:tcPr>
            <w:tcW w:w="3319" w:type="dxa"/>
            <w:tcBorders>
              <w:top w:val="single" w:sz="4" w:space="0" w:color="7030A0"/>
              <w:left w:val="nil"/>
              <w:bottom w:val="single" w:sz="4" w:space="0" w:color="7030A0"/>
              <w:right w:val="nil"/>
            </w:tcBorders>
            <w:shd w:val="clear" w:color="auto" w:fill="auto"/>
          </w:tcPr>
          <w:p w14:paraId="22A15B4E"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14:paraId="23387AE8"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w:t>
            </w:r>
            <w:r w:rsidRPr="00C73365">
              <w:rPr>
                <w:rFonts w:asciiTheme="minorHAnsi" w:hAnsiTheme="minorHAnsi" w:cstheme="minorHAnsi"/>
                <w:bCs/>
                <w:color w:val="000000"/>
                <w:szCs w:val="20"/>
                <w:lang w:val="fr-FR" w:eastAsia="fr-FR"/>
              </w:rPr>
              <w:t>dministrateur</w:t>
            </w:r>
          </w:p>
        </w:tc>
        <w:tc>
          <w:tcPr>
            <w:tcW w:w="166" w:type="dxa"/>
            <w:tcBorders>
              <w:top w:val="nil"/>
              <w:left w:val="nil"/>
              <w:bottom w:val="nil"/>
              <w:right w:val="nil"/>
            </w:tcBorders>
            <w:shd w:val="clear" w:color="auto" w:fill="auto"/>
            <w:noWrap/>
          </w:tcPr>
          <w:p w14:paraId="48CFD944"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tcPr>
          <w:p w14:paraId="68CEEE60"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Juvaris</w:t>
            </w:r>
          </w:p>
          <w:p w14:paraId="659BCF8F"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Tobira Therapeutics</w:t>
            </w:r>
          </w:p>
        </w:tc>
      </w:tr>
      <w:tr w:rsidR="00B740A8" w:rsidRPr="00C73365" w14:paraId="48EF5ED0" w14:textId="77777777" w:rsidTr="00D1541A">
        <w:trPr>
          <w:trHeight w:val="177"/>
        </w:trPr>
        <w:tc>
          <w:tcPr>
            <w:tcW w:w="3212" w:type="dxa"/>
            <w:tcBorders>
              <w:top w:val="single" w:sz="4" w:space="0" w:color="7030A0"/>
              <w:left w:val="nil"/>
              <w:bottom w:val="single" w:sz="4" w:space="0" w:color="7030A0"/>
              <w:right w:val="nil"/>
            </w:tcBorders>
            <w:shd w:val="clear" w:color="auto" w:fill="auto"/>
          </w:tcPr>
          <w:p w14:paraId="51733976" w14:textId="77777777"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 xml:space="preserve">Madame Corinna zur Bonsen-Thomas </w:t>
            </w:r>
          </w:p>
        </w:tc>
        <w:tc>
          <w:tcPr>
            <w:tcW w:w="169" w:type="dxa"/>
            <w:tcBorders>
              <w:top w:val="nil"/>
              <w:left w:val="nil"/>
              <w:bottom w:val="nil"/>
              <w:right w:val="nil"/>
            </w:tcBorders>
            <w:shd w:val="clear" w:color="auto" w:fill="auto"/>
            <w:noWrap/>
          </w:tcPr>
          <w:p w14:paraId="4C704F3D" w14:textId="77777777" w:rsidR="00B740A8" w:rsidRPr="00C73365" w:rsidRDefault="00B740A8" w:rsidP="00D1541A">
            <w:pPr>
              <w:pStyle w:val="Paragraphedeliste"/>
              <w:ind w:left="198"/>
              <w:rPr>
                <w:rFonts w:asciiTheme="minorHAnsi" w:hAnsiTheme="minorHAnsi" w:cstheme="minorHAnsi"/>
                <w:color w:val="000000"/>
                <w:szCs w:val="20"/>
                <w:lang w:eastAsia="fr-FR"/>
              </w:rPr>
            </w:pPr>
          </w:p>
        </w:tc>
        <w:tc>
          <w:tcPr>
            <w:tcW w:w="3319" w:type="dxa"/>
            <w:tcBorders>
              <w:top w:val="single" w:sz="4" w:space="0" w:color="7030A0"/>
              <w:left w:val="nil"/>
              <w:bottom w:val="single" w:sz="4" w:space="0" w:color="7030A0"/>
              <w:right w:val="nil"/>
            </w:tcBorders>
            <w:shd w:val="clear" w:color="auto" w:fill="auto"/>
          </w:tcPr>
          <w:p w14:paraId="0B9CBC2B" w14:textId="77777777" w:rsidR="00B740A8" w:rsidRPr="00C73365" w:rsidRDefault="00B740A8" w:rsidP="00434C49">
            <w:pPr>
              <w:pStyle w:val="Paragraphedeliste"/>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r w:rsidRPr="00C73365">
              <w:rPr>
                <w:rFonts w:asciiTheme="minorHAnsi" w:hAnsiTheme="minorHAnsi" w:cstheme="minorHAnsi"/>
                <w:b/>
                <w:bCs/>
                <w:i/>
                <w:color w:val="000000"/>
                <w:szCs w:val="20"/>
                <w:lang w:val="fr-FR" w:eastAsia="fr-FR"/>
              </w:rPr>
              <w:t xml:space="preserve"> </w:t>
            </w:r>
          </w:p>
        </w:tc>
        <w:tc>
          <w:tcPr>
            <w:tcW w:w="166" w:type="dxa"/>
            <w:tcBorders>
              <w:top w:val="nil"/>
              <w:left w:val="nil"/>
              <w:bottom w:val="nil"/>
              <w:right w:val="nil"/>
            </w:tcBorders>
            <w:shd w:val="clear" w:color="auto" w:fill="auto"/>
            <w:noWrap/>
          </w:tcPr>
          <w:p w14:paraId="16EB6B68" w14:textId="77777777"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tcPr>
          <w:p w14:paraId="60842795" w14:textId="77777777"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 xml:space="preserve">Baxter AG </w:t>
            </w:r>
            <w:r w:rsidRPr="00C73365">
              <w:rPr>
                <w:rFonts w:asciiTheme="minorHAnsi" w:hAnsiTheme="minorHAnsi" w:cstheme="minorHAnsi"/>
                <w:color w:val="000000"/>
                <w:szCs w:val="20"/>
                <w:lang w:val="fr-FR" w:eastAsia="fr-FR"/>
              </w:rPr>
              <w:t>(Suisse)</w:t>
            </w:r>
          </w:p>
        </w:tc>
      </w:tr>
    </w:tbl>
    <w:p w14:paraId="221529AE" w14:textId="77777777" w:rsidR="00B740A8" w:rsidRPr="00C73365" w:rsidRDefault="00B740A8" w:rsidP="00B740A8">
      <w:pPr>
        <w:pStyle w:val="Paragraphedeliste"/>
        <w:ind w:left="0"/>
        <w:rPr>
          <w:rFonts w:asciiTheme="minorHAnsi" w:hAnsiTheme="minorHAnsi" w:cstheme="minorHAnsi"/>
          <w:szCs w:val="21"/>
          <w:lang w:val="fr-FR"/>
        </w:rPr>
      </w:pPr>
    </w:p>
    <w:p w14:paraId="20ECC311" w14:textId="77777777" w:rsidR="00B740A8" w:rsidRPr="00C73365" w:rsidRDefault="00B740A8" w:rsidP="00B740A8">
      <w:pPr>
        <w:pStyle w:val="Paragraphedeliste"/>
        <w:ind w:left="0"/>
        <w:rPr>
          <w:rFonts w:asciiTheme="minorHAnsi" w:hAnsiTheme="minorHAnsi" w:cstheme="minorHAnsi"/>
          <w:szCs w:val="21"/>
          <w:lang w:val="fr-FR"/>
        </w:rPr>
      </w:pPr>
      <w:r w:rsidRPr="00C73365">
        <w:rPr>
          <w:rFonts w:asciiTheme="minorHAnsi" w:hAnsiTheme="minorHAnsi" w:cstheme="minorHAnsi"/>
          <w:szCs w:val="21"/>
          <w:lang w:val="fr-FR"/>
        </w:rPr>
        <w:t xml:space="preserve">La Société n’a pas conclu de contrats avec ses administrateurs ou son directeur général au cours de l’exercice 2017. </w:t>
      </w:r>
    </w:p>
    <w:p w14:paraId="36042843" w14:textId="77777777"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Biographies des administrateurs et du directeur général</w:t>
      </w:r>
    </w:p>
    <w:p w14:paraId="588957F2" w14:textId="77777777" w:rsidR="00B740A8" w:rsidRPr="00C73365" w:rsidRDefault="00B740A8" w:rsidP="00B740A8">
      <w:pPr>
        <w:pStyle w:val="Paragraphedeliste"/>
        <w:ind w:left="0"/>
        <w:rPr>
          <w:rFonts w:asciiTheme="minorHAnsi" w:hAnsiTheme="minorHAnsi" w:cstheme="minorHAnsi"/>
          <w:b/>
          <w:color w:val="7030A0"/>
          <w:lang w:val="fr-FR"/>
        </w:rPr>
      </w:pPr>
    </w:p>
    <w:p w14:paraId="27FFD54D" w14:textId="77777777" w:rsidR="00B740A8" w:rsidRDefault="00B740A8" w:rsidP="00B740A8">
      <w:pPr>
        <w:pStyle w:val="Paragraphedeliste"/>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Philippe Pouletty</w:t>
      </w:r>
      <w:r w:rsidRPr="00C73365">
        <w:rPr>
          <w:rFonts w:asciiTheme="minorHAnsi" w:hAnsiTheme="minorHAnsi" w:cstheme="minorHAnsi"/>
          <w:szCs w:val="22"/>
          <w:lang w:val="fr-FR"/>
        </w:rPr>
        <w:t xml:space="preserve"> est président du conseil d’administration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Docteur en Médecine (Université Paris VI), immunologiste, ancien interne des Hôpitaux de Paris, major de l’Institut Pasteur (immunologie), Philippe Pouletty a été chercheur postdoctoral à Stanford University. Il est l’inventeur de 29 brevets, dont le deuxième brevet le plus rémunérateur pour Stanford University en sciences de la vie. En 2012, il a fait son entrée dans le prestigieux Stanford University Hall of Fame of Inventors. Philippe Pouletty est cofondateur et directeur général de Truffle Capital. Il est cofondateur de Carmat et d’une dizaine de sociétés de Truffle Capital. Il a été président de France Biotech, l’association française des entreprises de biotechnologie et ancien vice-président d’Europabio, la fédération européenne des biotechnologies. Il est également fondateur de trois sociétés de biotechnologie en Europe et aux Etats-Unis qui ont généré une capitalisation boursière de plus de 800 millions de dollars et est membre du Conseil d’administration de plusieurs entreprises de biotechnologie et d’appareils médicaux en Europe et en Amérique du Nord. Philippe Pouletty a été à l’origine de plusieurs initiatives gouvernementales en France, parmi lesquelles la loi de 1999 sur la simplification du droit des sociétés (SAS), le « Plan Biotech 2002 » pour relancer et développer la biotechnologie et le statut de la Jeune Entreprise Innovante qui accorde d’importantes exonérations fiscales aux entreprises technologiques. Philippe Pouletty est Chevalier de la légion d’honneur.</w:t>
      </w:r>
    </w:p>
    <w:p w14:paraId="6E336546" w14:textId="77777777" w:rsidR="004834A9" w:rsidRPr="00C73365" w:rsidRDefault="004834A9" w:rsidP="004834A9">
      <w:pPr>
        <w:pStyle w:val="Paragraphedeliste"/>
        <w:spacing w:after="0"/>
        <w:ind w:left="720"/>
        <w:rPr>
          <w:rFonts w:asciiTheme="minorHAnsi" w:hAnsiTheme="minorHAnsi" w:cstheme="minorHAnsi"/>
          <w:szCs w:val="22"/>
          <w:lang w:val="fr-FR"/>
        </w:rPr>
      </w:pPr>
    </w:p>
    <w:p w14:paraId="1CA6C484" w14:textId="77777777" w:rsidR="00B740A8" w:rsidRDefault="00B740A8" w:rsidP="00B740A8">
      <w:pPr>
        <w:pStyle w:val="Paragraphedeliste"/>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Madame Joy Amundson</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est l’un des fondateurs de Amundson Partners, Inc., une société de conseil dans le domaine de la santé jusqu’en 2017. D’août 2004 à octobre 2010, Joy Amundson était présidente de la société Baxter BioScience et vice-présidente de Baxter International, Inc. Avant cela, elle a travaillé plus de 20 ans pour les laboratoires Abbott, où elle exerçait des fonctions clés, telles que Senior Vice-President. Joy Amundson a commencé sa carrière professionnelle dans la vente et la gestion de marques au sein du groupe Procter &amp; Gamble de 1977 à 1982. Joy Amundson a aussi été directrice d’ApaTech, the Dial Corporation, Ilex Oncologuy, Inc., Inamed Corporation et Oridian Medical Ltd.  Forte de ces expériences passées, Joy Amundson a acquis une profonde connaissance de l’industrie médicale, elle est en outre diplômée en gestion (Kellog Graduate School of Management de l’université de Northwestern). De plus, son expérience au sein de différents conseils d’administration, dont Covidien, lui donne une perspective sur le rôle du conseil d’administration dans l’accompagnement de sociétés.</w:t>
      </w:r>
    </w:p>
    <w:p w14:paraId="44C12E7B" w14:textId="77777777" w:rsidR="004834A9" w:rsidRPr="00C73365" w:rsidRDefault="004834A9" w:rsidP="004834A9">
      <w:pPr>
        <w:pStyle w:val="Paragraphedeliste"/>
        <w:spacing w:after="0"/>
        <w:ind w:left="720"/>
        <w:rPr>
          <w:rFonts w:asciiTheme="minorHAnsi" w:hAnsiTheme="minorHAnsi" w:cstheme="minorHAnsi"/>
          <w:szCs w:val="22"/>
          <w:lang w:val="fr-FR"/>
        </w:rPr>
      </w:pPr>
    </w:p>
    <w:p w14:paraId="44CDB1C0" w14:textId="77777777" w:rsidR="00B740A8" w:rsidRDefault="00B740A8" w:rsidP="00B740A8">
      <w:pPr>
        <w:pStyle w:val="Paragraphedeliste"/>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Claude Bertrand</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Il exerce les fonctions de Directeur Exécutif Recherche et Développement et Directeur scientifique de Servier qu’il a rejoint en mars 2017. Il est également Administrateur d’Eclosion 2 et de l’HCERES. Il a débuté sa carrière chez Novartis à Bâle, en Suisse. Il a ensuite poursuivi sa carrière chez Roche (Palo Alto, CA, États-Unis) dans l’unité des maladies inflammatoires, où il a développé la plateforme pharmacologique pour les maladies respiratoires. En 1999, il est devenu Directeur Senior du département de biologie pour la R&amp;D de Pfizer en France et membre de l’équipe de Direction de Pfizer Global R&amp;D. De 2004 à 2009, Claude Bertrand a été Vice-President puis Senior Vice-President du département R&amp;D d’AstraZeneca, responsable de l’aire thérapeutique pour les maladies inflammatoires et respiratoires. Il était depuis 2009, Vice-Président Exécutif R&amp;D et directeur scientifique du Groupe Ipsen. Titulaire d’un Doctorat en Pharmacie, d’un PhD en Pharmacologie de l’Université de Strasbourg, Claude Bertrand a ensuite effectué un post-doctorat à l’Université de San Francisco sous la direction du Professeur Jay A. Nadel.</w:t>
      </w:r>
    </w:p>
    <w:p w14:paraId="42210EDB" w14:textId="77777777" w:rsidR="004834A9" w:rsidRPr="00C73365" w:rsidRDefault="004834A9" w:rsidP="004834A9">
      <w:pPr>
        <w:pStyle w:val="Paragraphedeliste"/>
        <w:spacing w:after="0"/>
        <w:ind w:left="720"/>
        <w:rPr>
          <w:rFonts w:asciiTheme="minorHAnsi" w:hAnsiTheme="minorHAnsi" w:cstheme="minorHAnsi"/>
          <w:szCs w:val="22"/>
          <w:lang w:val="fr-FR"/>
        </w:rPr>
      </w:pPr>
    </w:p>
    <w:p w14:paraId="2228FCA0" w14:textId="77777777" w:rsidR="00B740A8" w:rsidRDefault="00B740A8" w:rsidP="00B740A8">
      <w:pPr>
        <w:pStyle w:val="Paragraphedeliste"/>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Jean-Jacques Bertrand</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Il a occupé depuis 1965 différentes fonctions au sein du groupe Rhône-Poulenc et d’Aventis. Il a été notamment directeur général des opérations pharmaceutiques de Rhône-Poulenc Santé en France en 1985 puis directeur général de Rhône-Poulenc Rorer en 1990. Il a poursuivi sa carrière en 1994 au sein de Pasteur Mérieux Connaught (devenu Aventis Pasteur en 2000) en tant que Président Directeur Général jusqu’à la fin de 2002. Membre du comité exécutif de Rhône-Poulenc, en 1999 il est nommé Directeur Général délégué d’Aventis Pharma. Jean-Jacques Bertrand a été président du Syndicat Français de l’Industrie Pharmaceutique (aujourd’hui LEEM) en 2000 et 2001. Il est également Président des conseils d’administration de Neovacs, et de Viroxis, et administrateur du conseil de </w:t>
      </w:r>
      <w:r w:rsidRPr="00C73365">
        <w:rPr>
          <w:rFonts w:asciiTheme="minorHAnsi" w:hAnsiTheme="minorHAnsi" w:cstheme="minorHAnsi"/>
          <w:szCs w:val="22"/>
          <w:lang w:val="fr-FR"/>
        </w:rPr>
        <w:lastRenderedPageBreak/>
        <w:t>Pierre Fabre. Il est Vice-Président de Brive Rugby. Jean Jacques Bertrand est diplômé d’HEC et Chevalier de l’ordre du Mérite et de l’ordre de la Légion d’Honneur.</w:t>
      </w:r>
    </w:p>
    <w:p w14:paraId="0BCB3671" w14:textId="77777777" w:rsidR="004834A9" w:rsidRPr="004834A9" w:rsidRDefault="004834A9" w:rsidP="004834A9">
      <w:pPr>
        <w:spacing w:after="0"/>
        <w:rPr>
          <w:rFonts w:asciiTheme="minorHAnsi" w:hAnsiTheme="minorHAnsi" w:cstheme="minorHAnsi"/>
          <w:szCs w:val="22"/>
          <w:lang w:val="fr-FR"/>
        </w:rPr>
      </w:pPr>
    </w:p>
    <w:p w14:paraId="197052DB" w14:textId="77777777" w:rsidR="00B740A8" w:rsidRPr="004834A9" w:rsidRDefault="00B740A8" w:rsidP="00B740A8">
      <w:pPr>
        <w:pStyle w:val="Paragraphedeliste"/>
        <w:numPr>
          <w:ilvl w:val="0"/>
          <w:numId w:val="49"/>
        </w:numPr>
        <w:spacing w:after="0"/>
        <w:rPr>
          <w:rFonts w:asciiTheme="minorHAnsi" w:hAnsiTheme="minorHAnsi" w:cstheme="minorHAnsi"/>
          <w:b/>
          <w:lang w:val="fr-FR"/>
        </w:rPr>
      </w:pPr>
      <w:r w:rsidRPr="00C73365">
        <w:rPr>
          <w:rFonts w:asciiTheme="minorHAnsi" w:hAnsiTheme="minorHAnsi" w:cstheme="minorHAnsi"/>
          <w:b/>
          <w:lang w:val="fr-FR"/>
        </w:rPr>
        <w:t>Corinna zur Bonsen-Thomas</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suivi des études de droit en Allemagne et est avocat de formation. Corinna zur Bonsen-Thomas a aujourd’hui plus de trente ans d’expérience professionnelle internationale dans l’industrie pharmaceutique et biopharmaceutique, médicale et biotechnologique. Elle a notamment été l’avocat conseil de Baxalta pour la gestion de ses affaires internationales et est, depuis 2017, l’avocat conseil de Definiens. Corinna zur Bonsen-Thomas dispose déjà d’une expérience au sein de la direction d’une grande entreprise qu’elle a acquise de 1999 à 2015 en tant que membre du conseil de surveillance de la société suisse Baxter AG.</w:t>
      </w:r>
    </w:p>
    <w:p w14:paraId="0DF4324B" w14:textId="77777777" w:rsidR="004834A9" w:rsidRPr="00C73365" w:rsidRDefault="004834A9" w:rsidP="004834A9">
      <w:pPr>
        <w:pStyle w:val="Paragraphedeliste"/>
        <w:spacing w:after="0"/>
        <w:ind w:left="720"/>
        <w:rPr>
          <w:rFonts w:asciiTheme="minorHAnsi" w:hAnsiTheme="minorHAnsi" w:cstheme="minorHAnsi"/>
          <w:b/>
          <w:lang w:val="fr-FR"/>
        </w:rPr>
      </w:pPr>
    </w:p>
    <w:p w14:paraId="05274F0A" w14:textId="77777777" w:rsidR="00B740A8" w:rsidRDefault="00B740A8" w:rsidP="00B740A8">
      <w:pPr>
        <w:pStyle w:val="Paragraphedeliste"/>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Antonino Ligresti</w:t>
      </w:r>
      <w:r w:rsidRPr="00C73365">
        <w:rPr>
          <w:rFonts w:asciiTheme="minorHAnsi" w:hAnsiTheme="minorHAnsi" w:cstheme="minorHAnsi"/>
          <w:szCs w:val="22"/>
          <w:lang w:val="fr-FR"/>
        </w:rPr>
        <w:t xml:space="preserve"> est le représentant permanent de Santé Holding SRL. Antonino Ligresti a une grande expérience dans le domaine de la santé et dans les problématiques d’accès au marché. Médecin et chirurgien de formation, Antonino Ligresti s’est spécialisé en médecine interne et cardiologie. Il a débuté sa carrière au sein de la Clinique médicale de l’Université de Milan, et ensuite à l’Hôpital Fatebenefratelli de Milan. En 1979, il crée le premier groupe d’hospitalisation privée en Italie, reconnu pour la qualité des soins et la prise en charge médicale ainsi que pour la coopération avec l’enseignement et la recherche universitaires. Il cédera son groupe en 2000. Actionnaire de référence de Générale de Santé et administrateur du Groupe à partir de juin 2003, il en est devenu Président du conseil de surveillance le 19 mars 2004, puis Président du conseil d’administration le 30 juin 2011, à la suite de la mise en place d’un nouveau gouvernement d’entreprise. En octobre 2014 il cède sa participation au Groupe Australien Ramsay. Parmi ses nombreuses autres fonctions dans le domaine de la santé, Antonino Ligresti a été membre du comité exécutif de l’Institut Européen d‘oncologie, il a présidé la Fondation Générale de Santé et a été Président du comité médical. Le Dr. Ligresti jouera un rôle majeur pour l’accès au marché et le business development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w:t>
      </w:r>
    </w:p>
    <w:p w14:paraId="6C3A2549" w14:textId="77777777" w:rsidR="004834A9" w:rsidRPr="00C73365" w:rsidRDefault="004834A9" w:rsidP="004834A9">
      <w:pPr>
        <w:pStyle w:val="Paragraphedeliste"/>
        <w:spacing w:after="0"/>
        <w:ind w:left="720"/>
        <w:rPr>
          <w:rFonts w:asciiTheme="minorHAnsi" w:hAnsiTheme="minorHAnsi" w:cstheme="minorHAnsi"/>
          <w:szCs w:val="22"/>
          <w:lang w:val="fr-FR"/>
        </w:rPr>
      </w:pPr>
    </w:p>
    <w:p w14:paraId="500FDDF1" w14:textId="77777777" w:rsidR="00B740A8" w:rsidRDefault="00B740A8" w:rsidP="00B740A8">
      <w:pPr>
        <w:pStyle w:val="Paragraphedeliste"/>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Christian Pierret</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jusqu’au 22 janvier 2018 et représentant permanent de Truffle Capital au conseil d’administration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à compter de cette date. Christian Pierret est ancien Secrétaire d’Etat puis Ministre délégué à l’Industrie, les PME, le Commerce et l’Artisanat, fonction qu’il a occupée de juin 1997 à mai 2002. Christian Pierret a effectué une double carrière, politique et dans le secteur privé : rapporteur général du budget à l’Assemblée nationale (1981-1986), président de la commission de surveillance de la Caisse des Dépôts (1988-1993), vice-président du groupe Accor (1993-1996), député des Vosges de 1978 à 1993 et maire de Saint-Dié des Vosges de 1989 à 2014. Christian Pierret est un spécialiste de la réglementation des sociétés publiques, du droit des sociétés et des affaires, de l’interface public-privé (dans l’environnement par exemple) ainsi que du droit européen (concentration, concurrence, aides d’état). Il est à l’origine de la « loi Pierret » en février 2000, sur l’ouverture des marchés français de l’électricité à la concurrence et co-auteur du « paquet télécom » européen relatif à la libéralisation du secteur des télécommunications en 2002. Il est administrateur de GrDF, Pharnext et la Holding Incubatrice Medical Devices. Christian Pierret est diplômé d’un D.E.S. de Sciences Économiques (IEP Paris, 1970) et de l’ENA (1972).</w:t>
      </w:r>
    </w:p>
    <w:p w14:paraId="0DB54AA6" w14:textId="77777777" w:rsidR="004834A9" w:rsidRPr="00C73365" w:rsidRDefault="004834A9" w:rsidP="004834A9">
      <w:pPr>
        <w:pStyle w:val="Paragraphedeliste"/>
        <w:spacing w:after="0"/>
        <w:ind w:left="720"/>
        <w:rPr>
          <w:rFonts w:asciiTheme="minorHAnsi" w:hAnsiTheme="minorHAnsi" w:cstheme="minorHAnsi"/>
          <w:szCs w:val="22"/>
          <w:lang w:val="fr-FR"/>
        </w:rPr>
      </w:pPr>
    </w:p>
    <w:p w14:paraId="0BC23FF2" w14:textId="77777777" w:rsidR="00B740A8" w:rsidRDefault="00B740A8" w:rsidP="005C789C">
      <w:pPr>
        <w:pStyle w:val="Paragraphedeliste"/>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Madame Dominique Costantini</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une longue expérience de direction générale, est diplômée en médecine avec une spécialité en immunologie- Paris 5 - Necker. Elle bénéficie d’une expérience de plus de 20 ans dans l’industrie pharmaceutique et biotechnologique, où elle a notamment occupé des positions clés chez HMR (maintenant Sanofi) dans de nombreuses fonctions et unités opérationnelles de développement et de marketing. Elle est co–fondateur et Directeur Général d’OSE Immunotherapeutics (société fondée en 2012 et introduite en bourse sur Euronext en 2015). Cette société développe des immunothérapies en immuno-oncologie ou dans les maladies auto-immunes, dont la plus avancée est en clinique phase III dans le cancer du poumon invasif. La société a signé en 2016 et 2017 deux accords avec deux industriels de la pharmacie importants avec un potentiel de plus de 400 millions d’euros et des royalties sur deux autres produits du portefeuille. Précédemment en 1997, Dominique Costantini a fondé Onxeo (précédemment BioAlliance Pharma), une société focalisée en oncologie et dans les soins de support sur la base de technologies innovantes. Elle a introduit cette société en bourse en 2005 et en a été le Directeur Général jusqu’en 2011. Pendant son mandat, outre son introduction en bourse, le Dr. Costantini a levé plus de 100 millions d’euros auprès de capitaux-risqueurs ou au travers des placements privés ou publics pour développer et enregistrer des produits en Europe et aux USA. Elle a conclu des partenariats industriels au plan international (Europe - USA - Chine - Japon - Corée) avec plus de 150</w:t>
      </w:r>
      <w:r w:rsidR="00EF089C" w:rsidRPr="00C73365">
        <w:rPr>
          <w:rFonts w:asciiTheme="minorHAnsi" w:hAnsiTheme="minorHAnsi" w:cstheme="minorHAnsi"/>
          <w:szCs w:val="22"/>
          <w:lang w:val="fr-FR"/>
        </w:rPr>
        <w:t>M€</w:t>
      </w:r>
      <w:r w:rsidRPr="00C73365">
        <w:rPr>
          <w:rFonts w:asciiTheme="minorHAnsi" w:hAnsiTheme="minorHAnsi" w:cstheme="minorHAnsi"/>
          <w:szCs w:val="22"/>
          <w:lang w:val="fr-FR"/>
        </w:rPr>
        <w:t xml:space="preserve"> de contrats signés et des royalties significatives.</w:t>
      </w:r>
    </w:p>
    <w:p w14:paraId="6EEE7563" w14:textId="77777777" w:rsidR="004834A9" w:rsidRPr="00C73365" w:rsidRDefault="004834A9" w:rsidP="004834A9">
      <w:pPr>
        <w:pStyle w:val="Paragraphedeliste"/>
        <w:spacing w:after="0"/>
        <w:ind w:left="720"/>
        <w:rPr>
          <w:rFonts w:asciiTheme="minorHAnsi" w:hAnsiTheme="minorHAnsi" w:cstheme="minorHAnsi"/>
          <w:szCs w:val="22"/>
          <w:lang w:val="fr-FR"/>
        </w:rPr>
      </w:pPr>
    </w:p>
    <w:p w14:paraId="361BCEC7" w14:textId="77777777" w:rsidR="00B740A8" w:rsidRDefault="00B740A8" w:rsidP="00B740A8">
      <w:pPr>
        <w:pStyle w:val="Paragraphedeliste"/>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Madame Carol L. Brosgart</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siégé aux conseils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administration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entreprises de biotechnologie privées et publiques, ainsi qu</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au sein d’organismes non lucratifs de santé nationaux et </w:t>
      </w:r>
      <w:r w:rsidRPr="00C73365">
        <w:rPr>
          <w:rFonts w:asciiTheme="minorHAnsi" w:hAnsiTheme="minorHAnsi" w:cstheme="minorHAnsi"/>
          <w:szCs w:val="22"/>
          <w:lang w:val="fr-FR"/>
        </w:rPr>
        <w:lastRenderedPageBreak/>
        <w:t>internationaux. Elle est membre du conseil d’administration de Galmed Pharmaceuticals. Le Dr. Brosgart est président du comité consultatif scientifique de ContraVir, une entreprise de biotechnologie œuvrant dans le domaine de la guérison du VHB. Elle est également consultante auprès de Dynavax et de plusieurs sociétés de biotechnologie dans les domaines des maladies du foie et des maladies infectieuses. En outre, le Dr. Brosgart siège actuellement au conseil d’administration de la Hepatitis B Foundation, à la commission de santé de la ville de Berkeley, au comité directeur de la Table ronde nationale sur l</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hépatite virale, au comité exécutif du Forum pour la recherche concertée et au comité directeur du Forum du Groupe de guérison du VHB. Elle a occupé plusieurs postes de haute direction, notamment Directrice Médicale au sein de BioPharma (aujourd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hui J&amp;J) et Vice-présidente Sénior et Directrice Médicaleau Children</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s Hospital &amp; Research Center à Oakland, en Californie. Elle est également professeur clinicienne de médecine, de biostatistique et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épidémiologie à la Division de la santé mondiale et des maladies infectieuses de l</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Université de Californie à San Francisco (UCSF). </w:t>
      </w:r>
    </w:p>
    <w:p w14:paraId="4D1A56CB" w14:textId="77777777" w:rsidR="004834A9" w:rsidRPr="00C73365" w:rsidRDefault="004834A9" w:rsidP="004834A9">
      <w:pPr>
        <w:pStyle w:val="Paragraphedeliste"/>
        <w:spacing w:after="0"/>
        <w:ind w:left="720"/>
        <w:rPr>
          <w:rFonts w:asciiTheme="minorHAnsi" w:hAnsiTheme="minorHAnsi" w:cstheme="minorHAnsi"/>
          <w:szCs w:val="22"/>
          <w:lang w:val="fr-FR"/>
        </w:rPr>
      </w:pPr>
    </w:p>
    <w:p w14:paraId="63D8740B" w14:textId="77777777" w:rsidR="00B740A8" w:rsidRPr="00C73365" w:rsidRDefault="00B740A8" w:rsidP="00B740A8">
      <w:pPr>
        <w:pStyle w:val="Paragraphedeliste"/>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Hartmut Ehrlich</w:t>
      </w:r>
      <w:r w:rsidRPr="00C73365">
        <w:rPr>
          <w:rFonts w:asciiTheme="minorHAnsi" w:hAnsiTheme="minorHAnsi" w:cstheme="minorHAnsi"/>
          <w:szCs w:val="22"/>
          <w:lang w:val="fr-FR"/>
        </w:rPr>
        <w:t xml:space="preserve"> est directeur général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Médecin, il travaille depuis 30 ans au sein d’universités et de l’industrie biopharmaceutique (dont 20 ans au sein de Baxter et Sandoz (désormais Novartis)). Il a vécu et travaillé aux Etats-Unis (Eli Lilly et Département de Médecine de l’Université de l’Indiana), aux Pays-Bas (Laboratoire Central de la Croix Rouge néerlandaise), en Allemagne (Fondation Max Planck, Sandoz, Baxter), en Suisse (Sandoz), en Autriche (Baxter) et en France (</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Au cours des sept années précédant son arrivée chez </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en décembre 2013, Hartmut Ehrlich a mis en place et développé avec succès le portefeuille R&amp;D de Baxter BioSciences, avec plus de 50 programmes de développement précliniques et cliniques. Il fut à l’origine de l’obtention de nombreuses autorisations réglementaires dans différents domaines (hémophilie, thrombose, immunologie, neurologie, oncologie, bio-chirurgie ou vaccination). Hartmut Ehrlich a écrit et co-écrit plus de 120 publications. En 2011, Hartmut fut nommé « Professeur » par le Président autrichien et par le Ministre autrichien de la Science et de la Recherche, et a reçu le titre de « Professeur Adjoint » de l’université du Danube, Krems, en basse Autriche en 2013.</w:t>
      </w:r>
    </w:p>
    <w:p w14:paraId="01E8BC57" w14:textId="77777777" w:rsidR="00B740A8" w:rsidRPr="00C73365" w:rsidRDefault="00B740A8" w:rsidP="00B740A8">
      <w:pPr>
        <w:pStyle w:val="Paragraphedeliste"/>
        <w:ind w:left="720"/>
        <w:rPr>
          <w:rFonts w:asciiTheme="minorHAnsi" w:hAnsiTheme="minorHAnsi" w:cstheme="minorHAnsi"/>
          <w:szCs w:val="22"/>
          <w:lang w:val="fr-FR"/>
        </w:rPr>
      </w:pPr>
    </w:p>
    <w:p w14:paraId="588E1020" w14:textId="77777777" w:rsidR="00B740A8" w:rsidRPr="00C73365" w:rsidRDefault="00B740A8" w:rsidP="00B740A8">
      <w:pPr>
        <w:pStyle w:val="ConmainL2"/>
        <w:keepNext w:val="0"/>
        <w:widowControl w:val="0"/>
        <w:numPr>
          <w:ilvl w:val="1"/>
          <w:numId w:val="9"/>
        </w:numPr>
        <w:spacing w:after="0"/>
        <w:rPr>
          <w:rFonts w:asciiTheme="minorHAnsi" w:hAnsiTheme="minorHAnsi" w:cstheme="minorHAnsi"/>
          <w:sz w:val="22"/>
          <w:szCs w:val="22"/>
          <w:lang w:val="fr-FR"/>
        </w:rPr>
      </w:pPr>
      <w:bookmarkStart w:id="761" w:name="_Toc462673268"/>
      <w:bookmarkStart w:id="762" w:name="_Toc482695288"/>
      <w:bookmarkStart w:id="763" w:name="_Toc510548441"/>
      <w:bookmarkStart w:id="764" w:name="_Toc401594106"/>
      <w:r w:rsidRPr="00C73365">
        <w:rPr>
          <w:rFonts w:asciiTheme="minorHAnsi" w:hAnsiTheme="minorHAnsi" w:cstheme="minorHAnsi"/>
          <w:sz w:val="22"/>
          <w:szCs w:val="22"/>
          <w:lang w:val="fr-FR"/>
        </w:rPr>
        <w:t>Censeurs</w:t>
      </w:r>
      <w:bookmarkEnd w:id="761"/>
      <w:bookmarkEnd w:id="762"/>
      <w:bookmarkEnd w:id="763"/>
    </w:p>
    <w:p w14:paraId="5D0D7025" w14:textId="77777777" w:rsidR="00B740A8" w:rsidRPr="00C73365" w:rsidRDefault="00B740A8" w:rsidP="00B740A8">
      <w:pPr>
        <w:pStyle w:val="ConmainL2"/>
        <w:keepNext w:val="0"/>
        <w:widowControl w:val="0"/>
        <w:numPr>
          <w:ilvl w:val="0"/>
          <w:numId w:val="0"/>
        </w:numPr>
        <w:spacing w:after="0"/>
        <w:outlineLvl w:val="9"/>
        <w:rPr>
          <w:rFonts w:asciiTheme="minorHAnsi" w:hAnsiTheme="minorHAnsi" w:cstheme="minorHAnsi"/>
          <w:sz w:val="22"/>
          <w:szCs w:val="22"/>
          <w:lang w:val="fr-FR"/>
        </w:rPr>
      </w:pPr>
    </w:p>
    <w:p w14:paraId="67942816" w14:textId="77777777" w:rsidR="00B740A8" w:rsidRPr="00C73365" w:rsidRDefault="00B740A8" w:rsidP="004572A0">
      <w:pPr>
        <w:pStyle w:val="Listecontinue"/>
        <w:rPr>
          <w:rFonts w:asciiTheme="minorHAnsi" w:hAnsiTheme="minorHAnsi" w:cstheme="minorHAnsi"/>
          <w:lang w:val="fr-FR"/>
        </w:rPr>
      </w:pPr>
      <w:r w:rsidRPr="00C73365">
        <w:rPr>
          <w:rFonts w:asciiTheme="minorHAnsi" w:hAnsiTheme="minorHAnsi" w:cstheme="minorHAnsi"/>
          <w:lang w:val="fr-FR"/>
        </w:rPr>
        <w:t>Aux termes des statuts de la Société, l’assemblée générale de la Société peut procéder à la nomination de censeurs, choisis parmi les actionnaires ou en dehors d’eux. Aucun censeur n’a été nommé à ce jour.</w:t>
      </w:r>
    </w:p>
    <w:p w14:paraId="39D2BC5E" w14:textId="25664FBD" w:rsidR="00B740A8" w:rsidRPr="00C73365" w:rsidRDefault="00B740A8" w:rsidP="00B740A8">
      <w:pPr>
        <w:pStyle w:val="ConmainL2"/>
        <w:keepNext w:val="0"/>
        <w:numPr>
          <w:ilvl w:val="1"/>
          <w:numId w:val="9"/>
        </w:numPr>
        <w:spacing w:after="0"/>
        <w:rPr>
          <w:rFonts w:asciiTheme="minorHAnsi" w:hAnsiTheme="minorHAnsi" w:cstheme="minorHAnsi"/>
          <w:sz w:val="22"/>
          <w:szCs w:val="22"/>
          <w:lang w:val="fr-FR"/>
        </w:rPr>
      </w:pPr>
      <w:bookmarkStart w:id="765" w:name="_Toc462673269"/>
      <w:bookmarkStart w:id="766" w:name="_Toc467835618"/>
      <w:bookmarkStart w:id="767" w:name="_Toc482695289"/>
      <w:bookmarkStart w:id="768" w:name="_Toc510548442"/>
      <w:r w:rsidRPr="00C73365">
        <w:rPr>
          <w:rFonts w:asciiTheme="minorHAnsi" w:hAnsiTheme="minorHAnsi" w:cstheme="minorHAnsi"/>
          <w:sz w:val="22"/>
          <w:szCs w:val="22"/>
          <w:lang w:val="fr-FR"/>
        </w:rPr>
        <w:t>Conflits d’intérêts au niveau des organes d’administration et de direction générale</w:t>
      </w:r>
      <w:bookmarkEnd w:id="764"/>
      <w:bookmarkEnd w:id="765"/>
      <w:bookmarkEnd w:id="766"/>
      <w:bookmarkEnd w:id="767"/>
      <w:bookmarkEnd w:id="768"/>
    </w:p>
    <w:p w14:paraId="64913CF6" w14:textId="77777777" w:rsidR="00B740A8" w:rsidRPr="00C73365" w:rsidRDefault="00B740A8" w:rsidP="00B740A8">
      <w:pPr>
        <w:rPr>
          <w:rFonts w:asciiTheme="minorHAnsi" w:hAnsiTheme="minorHAnsi" w:cstheme="minorHAnsi"/>
          <w:lang w:val="fr-FR"/>
        </w:rPr>
      </w:pPr>
    </w:p>
    <w:p w14:paraId="32DC88E7" w14:textId="77777777" w:rsidR="00B740A8" w:rsidRPr="00C73365" w:rsidRDefault="00B740A8" w:rsidP="004572A0">
      <w:pPr>
        <w:pStyle w:val="Listecontinue"/>
        <w:rPr>
          <w:rFonts w:asciiTheme="minorHAnsi" w:hAnsiTheme="minorHAnsi" w:cstheme="minorHAnsi"/>
          <w:lang w:val="fr-FR"/>
        </w:rPr>
      </w:pPr>
      <w:r w:rsidRPr="00C73365">
        <w:rPr>
          <w:rFonts w:asciiTheme="minorHAnsi" w:hAnsiTheme="minorHAnsi" w:cstheme="minorHAnsi"/>
          <w:lang w:val="fr-FR"/>
        </w:rPr>
        <w:t>Le Président, le Directeur général et la majorité des administrateurs sont actionnaires, directement ou indirectement de la Société et/ou titulaires de valeurs mobilières donnant accès au capital de la Société (cf. section 15.1 « Rémunérations des mandataires sociaux » et chapitre 18 « Principaux actionnaires » du présent document de référence).</w:t>
      </w:r>
    </w:p>
    <w:p w14:paraId="517CD019" w14:textId="77777777" w:rsidR="00B740A8" w:rsidRPr="00C73365" w:rsidRDefault="00B740A8" w:rsidP="004572A0">
      <w:pPr>
        <w:pStyle w:val="Listecontinue"/>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et hormis les conventions réglementées listées au chapitre 19 du présent document de référence qui ont fait soit l’objet d’une autorisation préalable par le conseil d’administration avec le vote favorable d’un ou plusieurs administrateurs indépendants, soit d’une ratification en assemblée générale, il n’existe pas, à la connaissance de la Société, de conflit actuel ou potentiel entre les intérêts privés des membres du conseil d’administration de la Société et l’intérêt de la Société.</w:t>
      </w:r>
    </w:p>
    <w:p w14:paraId="3C48222E" w14:textId="77777777" w:rsidR="00B740A8" w:rsidRPr="00C73365" w:rsidRDefault="00B740A8" w:rsidP="004572A0">
      <w:pPr>
        <w:pStyle w:val="Listecontinue"/>
        <w:rPr>
          <w:rFonts w:asciiTheme="minorHAnsi" w:hAnsiTheme="minorHAnsi" w:cstheme="minorHAnsi"/>
          <w:lang w:val="fr-FR"/>
        </w:rPr>
      </w:pPr>
      <w:r w:rsidRPr="00C73365">
        <w:rPr>
          <w:rFonts w:asciiTheme="minorHAnsi" w:hAnsiTheme="minorHAnsi" w:cstheme="minorHAnsi"/>
          <w:lang w:val="fr-FR"/>
        </w:rPr>
        <w:t>Pour la notion d’administrateur indépendant, se référer aux paragraphes 14.1.1 et 16.3.1 du présent document de référence.</w:t>
      </w:r>
    </w:p>
    <w:p w14:paraId="3654030C" w14:textId="77777777" w:rsidR="00B740A8" w:rsidRPr="00C73365" w:rsidRDefault="00B740A8" w:rsidP="004572A0">
      <w:pPr>
        <w:pStyle w:val="Listecontinue"/>
        <w:rPr>
          <w:rFonts w:asciiTheme="minorHAnsi" w:hAnsiTheme="minorHAnsi" w:cstheme="minorHAnsi"/>
          <w:lang w:val="fr-FR"/>
        </w:rPr>
      </w:pPr>
      <w:r w:rsidRPr="00C73365">
        <w:rPr>
          <w:rFonts w:asciiTheme="minorHAnsi" w:hAnsiTheme="minorHAnsi" w:cstheme="minorHAnsi"/>
          <w:lang w:val="fr-FR"/>
        </w:rPr>
        <w:t>Il n’existe pas, à la connaissance de la Société, d’autre pacte ou accord quelconque conclu avec des actionnaires, clients fournisseurs ou autres aux termes duquel l’un des administrateurs de la Société a été nommé.</w:t>
      </w:r>
    </w:p>
    <w:p w14:paraId="5005B003" w14:textId="77777777" w:rsidR="00B740A8" w:rsidRPr="00C73365" w:rsidRDefault="00B740A8" w:rsidP="00B740A8">
      <w:pPr>
        <w:pStyle w:val="ConmainL1"/>
        <w:numPr>
          <w:ilvl w:val="0"/>
          <w:numId w:val="9"/>
        </w:numPr>
        <w:rPr>
          <w:rFonts w:asciiTheme="minorHAnsi" w:hAnsiTheme="minorHAnsi" w:cstheme="minorHAnsi"/>
          <w:sz w:val="22"/>
          <w:lang w:val="fr-FR"/>
        </w:rPr>
      </w:pPr>
      <w:bookmarkStart w:id="769" w:name="_Toc401594107"/>
      <w:bookmarkStart w:id="770" w:name="_Toc462673270"/>
      <w:bookmarkStart w:id="771" w:name="_Toc467835619"/>
      <w:bookmarkStart w:id="772" w:name="_Toc482695290"/>
      <w:bookmarkStart w:id="773" w:name="_Toc510548443"/>
      <w:r w:rsidRPr="00C73365">
        <w:rPr>
          <w:rFonts w:asciiTheme="minorHAnsi" w:hAnsiTheme="minorHAnsi" w:cstheme="minorHAnsi"/>
          <w:sz w:val="22"/>
          <w:lang w:val="fr-FR"/>
        </w:rPr>
        <w:lastRenderedPageBreak/>
        <w:t>REMUNERATIONS ET AVANTAGES</w:t>
      </w:r>
      <w:bookmarkEnd w:id="769"/>
      <w:bookmarkEnd w:id="770"/>
      <w:bookmarkEnd w:id="771"/>
      <w:bookmarkEnd w:id="772"/>
      <w:bookmarkEnd w:id="773"/>
    </w:p>
    <w:p w14:paraId="053E35F7" w14:textId="2F9396B9"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74" w:name="_Toc401594108"/>
      <w:bookmarkStart w:id="775" w:name="_Toc462673271"/>
      <w:bookmarkStart w:id="776" w:name="_Toc482695291"/>
      <w:bookmarkStart w:id="777" w:name="_Toc510548444"/>
      <w:r w:rsidRPr="00C73365">
        <w:rPr>
          <w:rFonts w:asciiTheme="minorHAnsi" w:hAnsiTheme="minorHAnsi" w:cstheme="minorHAnsi"/>
          <w:sz w:val="22"/>
          <w:lang w:val="fr-FR"/>
        </w:rPr>
        <w:t>Rémunérations des mandataires sociaux</w:t>
      </w:r>
      <w:bookmarkEnd w:id="774"/>
      <w:bookmarkEnd w:id="775"/>
      <w:bookmarkEnd w:id="776"/>
      <w:bookmarkEnd w:id="777"/>
      <w:r w:rsidRPr="00C73365">
        <w:rPr>
          <w:rFonts w:asciiTheme="minorHAnsi" w:hAnsiTheme="minorHAnsi" w:cstheme="minorHAnsi"/>
          <w:sz w:val="22"/>
          <w:lang w:val="fr-FR"/>
        </w:rPr>
        <w:t xml:space="preserve"> </w:t>
      </w:r>
    </w:p>
    <w:p w14:paraId="3EA8F429" w14:textId="77777777"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14:paraId="3D6F3964" w14:textId="70D9CCD0" w:rsidR="00B740A8" w:rsidRPr="00C73365" w:rsidRDefault="00B740A8" w:rsidP="009D60ED">
      <w:pPr>
        <w:pStyle w:val="Listecontinue2"/>
        <w:rPr>
          <w:rFonts w:asciiTheme="minorHAnsi" w:hAnsiTheme="minorHAnsi" w:cstheme="minorHAnsi"/>
          <w:lang w:val="fr-FR"/>
        </w:rPr>
      </w:pPr>
      <w:r w:rsidRPr="00C73365">
        <w:rPr>
          <w:rFonts w:asciiTheme="minorHAnsi" w:hAnsiTheme="minorHAnsi" w:cstheme="minorHAnsi"/>
          <w:lang w:val="fr-FR"/>
        </w:rPr>
        <w:t xml:space="preserve">L’information est établie en se référant au Code de gouvernement d’entreprise tel qu’il a été publié en décembre 2009 par Middlenext, mis à jour en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2016 et validé en tant que code de référence par l’AMF.</w:t>
      </w:r>
      <w:r w:rsidR="009D60ED">
        <w:rPr>
          <w:rFonts w:asciiTheme="minorHAnsi" w:hAnsiTheme="minorHAnsi" w:cstheme="minorHAnsi"/>
          <w:lang w:val="fr-FR"/>
        </w:rPr>
        <w:t xml:space="preserve"> </w:t>
      </w:r>
      <w:r w:rsidRPr="00C73365">
        <w:rPr>
          <w:rFonts w:asciiTheme="minorHAnsi" w:hAnsiTheme="minorHAnsi" w:cstheme="minorHAnsi"/>
          <w:lang w:val="fr-FR"/>
        </w:rPr>
        <w:t>Les tableaux du présent chapitre relèvent de l’annexe 2 de la Position-recommandation AMF n°2014-14 « Guide d’élaboration des documents de référence adapté aux valeurs moyennes – DOC 2014-14 » publiée par l’Autorité des marchés financiers le 2 décembre 2014 telle que modifiée le 13 avril 2015.</w:t>
      </w:r>
    </w:p>
    <w:p w14:paraId="6EF991C2" w14:textId="77777777" w:rsidR="00B740A8" w:rsidRPr="00C73365" w:rsidRDefault="00B740A8" w:rsidP="004572A0">
      <w:pPr>
        <w:pStyle w:val="Listecontinue2"/>
        <w:rPr>
          <w:rFonts w:asciiTheme="minorHAnsi" w:hAnsiTheme="minorHAnsi" w:cstheme="minorHAnsi"/>
          <w:b/>
          <w:lang w:val="fr-FR"/>
        </w:rPr>
      </w:pPr>
      <w:r w:rsidRPr="00C73365">
        <w:rPr>
          <w:rFonts w:asciiTheme="minorHAnsi" w:hAnsiTheme="minorHAnsi" w:cstheme="minorHAnsi"/>
          <w:b/>
          <w:lang w:val="fr-FR"/>
        </w:rPr>
        <w:t>Tableau 1 : Tableau de synthèse des rémunérations et des options et actions attribuées à chaque dirigeant mandataire social</w:t>
      </w:r>
    </w:p>
    <w:p w14:paraId="1C1A0E59" w14:textId="16BCA127" w:rsidR="0058311D" w:rsidRPr="00C73365" w:rsidRDefault="00B740A8" w:rsidP="009D60ED">
      <w:pPr>
        <w:pStyle w:val="Listecontinue2"/>
        <w:rPr>
          <w:rFonts w:asciiTheme="minorHAnsi" w:hAnsiTheme="minorHAnsi" w:cstheme="minorHAnsi"/>
          <w:lang w:val="fr-FR"/>
        </w:rPr>
      </w:pPr>
      <w:r w:rsidRPr="00C73365">
        <w:rPr>
          <w:rFonts w:asciiTheme="minorHAnsi" w:hAnsiTheme="minorHAnsi" w:cstheme="minorHAnsi"/>
          <w:lang w:val="fr-FR"/>
        </w:rPr>
        <w:t>Monsieur Philippe Pouletty ne perçoit aucune rémunération au titre de ses fonctions de président du conseil d’administration de la Société.</w:t>
      </w:r>
    </w:p>
    <w:tbl>
      <w:tblPr>
        <w:tblW w:w="8064" w:type="dxa"/>
        <w:tblInd w:w="789" w:type="dxa"/>
        <w:tblCellMar>
          <w:left w:w="70" w:type="dxa"/>
          <w:right w:w="70" w:type="dxa"/>
        </w:tblCellMar>
        <w:tblLook w:val="04A0" w:firstRow="1" w:lastRow="0" w:firstColumn="1" w:lastColumn="0" w:noHBand="0" w:noVBand="1"/>
      </w:tblPr>
      <w:tblGrid>
        <w:gridCol w:w="4033"/>
        <w:gridCol w:w="258"/>
        <w:gridCol w:w="1886"/>
        <w:gridCol w:w="1887"/>
      </w:tblGrid>
      <w:tr w:rsidR="00B740A8" w:rsidRPr="00C73365" w14:paraId="344B9BFB" w14:textId="77777777" w:rsidTr="009D60ED">
        <w:trPr>
          <w:trHeight w:val="222"/>
        </w:trPr>
        <w:tc>
          <w:tcPr>
            <w:tcW w:w="4033" w:type="dxa"/>
            <w:vMerge w:val="restart"/>
            <w:tcBorders>
              <w:top w:val="single" w:sz="8" w:space="0" w:color="7030A0"/>
              <w:left w:val="nil"/>
              <w:bottom w:val="single" w:sz="8" w:space="0" w:color="7030A0"/>
              <w:right w:val="nil"/>
            </w:tcBorders>
            <w:shd w:val="clear" w:color="000000" w:fill="FFFFFF"/>
            <w:vAlign w:val="center"/>
            <w:hideMark/>
          </w:tcPr>
          <w:p w14:paraId="47CAF72A"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Philippe Pouletty – Président du conseil d’administration</w:t>
            </w:r>
          </w:p>
        </w:tc>
        <w:tc>
          <w:tcPr>
            <w:tcW w:w="258" w:type="dxa"/>
            <w:tcBorders>
              <w:top w:val="nil"/>
              <w:left w:val="nil"/>
              <w:bottom w:val="nil"/>
              <w:right w:val="nil"/>
            </w:tcBorders>
            <w:shd w:val="clear" w:color="auto" w:fill="auto"/>
            <w:noWrap/>
            <w:vAlign w:val="bottom"/>
            <w:hideMark/>
          </w:tcPr>
          <w:p w14:paraId="5078DD19" w14:textId="77777777" w:rsidR="00B740A8" w:rsidRPr="00C73365" w:rsidRDefault="00B740A8" w:rsidP="00D1541A">
            <w:pPr>
              <w:rPr>
                <w:rFonts w:asciiTheme="minorHAnsi" w:hAnsiTheme="minorHAnsi" w:cstheme="minorHAnsi"/>
                <w:b/>
                <w:bCs/>
                <w:color w:val="000000"/>
                <w:szCs w:val="20"/>
                <w:lang w:val="fr-FR" w:eastAsia="fr-FR"/>
              </w:rPr>
            </w:pPr>
          </w:p>
        </w:tc>
        <w:tc>
          <w:tcPr>
            <w:tcW w:w="1886" w:type="dxa"/>
            <w:vMerge w:val="restart"/>
            <w:tcBorders>
              <w:top w:val="single" w:sz="8" w:space="0" w:color="7030A0"/>
              <w:left w:val="nil"/>
              <w:right w:val="nil"/>
            </w:tcBorders>
            <w:vAlign w:val="center"/>
          </w:tcPr>
          <w:p w14:paraId="47C6F5ED" w14:textId="77777777"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2016</w:t>
            </w:r>
          </w:p>
        </w:tc>
        <w:tc>
          <w:tcPr>
            <w:tcW w:w="1887" w:type="dxa"/>
            <w:vMerge w:val="restart"/>
            <w:tcBorders>
              <w:top w:val="single" w:sz="8" w:space="0" w:color="7030A0"/>
              <w:left w:val="nil"/>
              <w:bottom w:val="single" w:sz="8" w:space="0" w:color="7030A0"/>
              <w:right w:val="nil"/>
            </w:tcBorders>
            <w:shd w:val="clear" w:color="000000" w:fill="FFFFFF"/>
            <w:vAlign w:val="center"/>
            <w:hideMark/>
          </w:tcPr>
          <w:p w14:paraId="36D569E1" w14:textId="77777777"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2017</w:t>
            </w:r>
          </w:p>
        </w:tc>
      </w:tr>
      <w:tr w:rsidR="00B740A8" w:rsidRPr="00C73365" w14:paraId="2854C41B" w14:textId="77777777" w:rsidTr="009D60ED">
        <w:trPr>
          <w:trHeight w:val="393"/>
        </w:trPr>
        <w:tc>
          <w:tcPr>
            <w:tcW w:w="4033" w:type="dxa"/>
            <w:vMerge/>
            <w:tcBorders>
              <w:top w:val="single" w:sz="8" w:space="0" w:color="7030A0"/>
              <w:left w:val="nil"/>
              <w:bottom w:val="single" w:sz="8" w:space="0" w:color="7030A0"/>
              <w:right w:val="nil"/>
            </w:tcBorders>
            <w:vAlign w:val="center"/>
            <w:hideMark/>
          </w:tcPr>
          <w:p w14:paraId="53ABAB59" w14:textId="77777777" w:rsidR="00B740A8" w:rsidRPr="00C73365" w:rsidRDefault="00B740A8" w:rsidP="00D1541A">
            <w:pPr>
              <w:rPr>
                <w:rFonts w:asciiTheme="minorHAnsi" w:hAnsiTheme="minorHAnsi" w:cstheme="minorHAnsi"/>
                <w:b/>
                <w:bCs/>
                <w:color w:val="000000"/>
                <w:szCs w:val="20"/>
                <w:lang w:val="fr-FR" w:eastAsia="fr-FR"/>
              </w:rPr>
            </w:pPr>
          </w:p>
        </w:tc>
        <w:tc>
          <w:tcPr>
            <w:tcW w:w="258" w:type="dxa"/>
            <w:tcBorders>
              <w:top w:val="nil"/>
              <w:left w:val="nil"/>
              <w:bottom w:val="nil"/>
              <w:right w:val="nil"/>
            </w:tcBorders>
            <w:shd w:val="clear" w:color="000000" w:fill="FFFFFF"/>
            <w:hideMark/>
          </w:tcPr>
          <w:p w14:paraId="7BD953E3"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vMerge/>
            <w:tcBorders>
              <w:left w:val="nil"/>
              <w:bottom w:val="single" w:sz="8" w:space="0" w:color="7030A0"/>
              <w:right w:val="nil"/>
            </w:tcBorders>
            <w:vAlign w:val="center"/>
          </w:tcPr>
          <w:p w14:paraId="5B743482" w14:textId="77777777" w:rsidR="00B740A8" w:rsidRPr="00C73365" w:rsidRDefault="00B740A8" w:rsidP="00D1541A">
            <w:pPr>
              <w:rPr>
                <w:rFonts w:asciiTheme="minorHAnsi" w:hAnsiTheme="minorHAnsi" w:cstheme="minorHAnsi"/>
                <w:b/>
                <w:bCs/>
                <w:color w:val="000000"/>
                <w:szCs w:val="20"/>
                <w:lang w:val="fr-FR" w:eastAsia="fr-FR"/>
              </w:rPr>
            </w:pPr>
          </w:p>
        </w:tc>
        <w:tc>
          <w:tcPr>
            <w:tcW w:w="1887" w:type="dxa"/>
            <w:vMerge/>
            <w:tcBorders>
              <w:top w:val="single" w:sz="8" w:space="0" w:color="7030A0"/>
              <w:left w:val="nil"/>
              <w:bottom w:val="single" w:sz="8" w:space="0" w:color="7030A0"/>
              <w:right w:val="nil"/>
            </w:tcBorders>
            <w:vAlign w:val="center"/>
            <w:hideMark/>
          </w:tcPr>
          <w:p w14:paraId="140F419C" w14:textId="77777777" w:rsidR="00B740A8" w:rsidRPr="00C73365" w:rsidRDefault="00B740A8" w:rsidP="00D1541A">
            <w:pPr>
              <w:rPr>
                <w:rFonts w:asciiTheme="minorHAnsi" w:hAnsiTheme="minorHAnsi" w:cstheme="minorHAnsi"/>
                <w:b/>
                <w:bCs/>
                <w:color w:val="000000"/>
                <w:szCs w:val="20"/>
                <w:lang w:val="fr-FR" w:eastAsia="fr-FR"/>
              </w:rPr>
            </w:pPr>
          </w:p>
        </w:tc>
      </w:tr>
      <w:tr w:rsidR="00B740A8" w:rsidRPr="00C73365" w14:paraId="00C2DC64" w14:textId="77777777" w:rsidTr="009D60ED">
        <w:trPr>
          <w:trHeight w:val="419"/>
        </w:trPr>
        <w:tc>
          <w:tcPr>
            <w:tcW w:w="4033" w:type="dxa"/>
            <w:tcBorders>
              <w:top w:val="nil"/>
              <w:left w:val="nil"/>
              <w:bottom w:val="single" w:sz="8" w:space="0" w:color="7030A0"/>
              <w:right w:val="nil"/>
            </w:tcBorders>
            <w:shd w:val="clear" w:color="000000" w:fill="FFFFFF"/>
            <w:vAlign w:val="center"/>
            <w:hideMark/>
          </w:tcPr>
          <w:p w14:paraId="56F40FC2" w14:textId="77777777"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Rémunérations dues au titre de l’exercice </w:t>
            </w:r>
            <w:r w:rsidRPr="00C73365">
              <w:rPr>
                <w:rFonts w:asciiTheme="minorHAnsi" w:hAnsiTheme="minorHAnsi" w:cstheme="minorHAnsi"/>
                <w:i/>
                <w:sz w:val="18"/>
                <w:szCs w:val="20"/>
                <w:lang w:val="fr-FR" w:eastAsia="fr-FR"/>
              </w:rPr>
              <w:t>(cf. détail dans Tableau 2)</w:t>
            </w:r>
          </w:p>
        </w:tc>
        <w:tc>
          <w:tcPr>
            <w:tcW w:w="258" w:type="dxa"/>
            <w:tcBorders>
              <w:top w:val="nil"/>
              <w:left w:val="nil"/>
              <w:bottom w:val="nil"/>
              <w:right w:val="nil"/>
            </w:tcBorders>
            <w:shd w:val="clear" w:color="000000" w:fill="FFFFFF"/>
            <w:hideMark/>
          </w:tcPr>
          <w:p w14:paraId="6C0D580C"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14:paraId="56F7A4A4"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c>
          <w:tcPr>
            <w:tcW w:w="1887" w:type="dxa"/>
            <w:tcBorders>
              <w:top w:val="nil"/>
              <w:left w:val="nil"/>
              <w:bottom w:val="single" w:sz="8" w:space="0" w:color="7030A0"/>
              <w:right w:val="nil"/>
            </w:tcBorders>
            <w:shd w:val="clear" w:color="000000" w:fill="FFFFFF"/>
            <w:hideMark/>
          </w:tcPr>
          <w:p w14:paraId="75741126"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r>
      <w:tr w:rsidR="00B740A8" w:rsidRPr="00C73365" w14:paraId="45000567" w14:textId="77777777" w:rsidTr="009D60ED">
        <w:trPr>
          <w:trHeight w:val="628"/>
        </w:trPr>
        <w:tc>
          <w:tcPr>
            <w:tcW w:w="4033" w:type="dxa"/>
            <w:tcBorders>
              <w:top w:val="nil"/>
              <w:left w:val="nil"/>
              <w:bottom w:val="single" w:sz="8" w:space="0" w:color="7030A0"/>
              <w:right w:val="nil"/>
            </w:tcBorders>
            <w:shd w:val="clear" w:color="000000" w:fill="FFFFFF"/>
            <w:vAlign w:val="center"/>
            <w:hideMark/>
          </w:tcPr>
          <w:p w14:paraId="4E8D85ED" w14:textId="77777777"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Valorisation des rémunérations variables pluriannuelles attribuées au cours de l’exercice </w:t>
            </w:r>
            <w:r w:rsidRPr="00C73365">
              <w:rPr>
                <w:rFonts w:asciiTheme="minorHAnsi" w:hAnsiTheme="minorHAnsi" w:cstheme="minorHAnsi"/>
                <w:i/>
                <w:sz w:val="18"/>
                <w:szCs w:val="20"/>
                <w:lang w:val="fr-FR" w:eastAsia="fr-FR"/>
              </w:rPr>
              <w:t>(cf. détail dans Tableau 2)</w:t>
            </w:r>
          </w:p>
        </w:tc>
        <w:tc>
          <w:tcPr>
            <w:tcW w:w="258" w:type="dxa"/>
            <w:tcBorders>
              <w:top w:val="nil"/>
              <w:left w:val="nil"/>
              <w:bottom w:val="nil"/>
              <w:right w:val="nil"/>
            </w:tcBorders>
            <w:shd w:val="clear" w:color="000000" w:fill="FFFFFF"/>
            <w:hideMark/>
          </w:tcPr>
          <w:p w14:paraId="2657A546"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14:paraId="0B6C3B03"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14:paraId="522087A1"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14:paraId="7DC8D6AC" w14:textId="77777777" w:rsidTr="009D60ED">
        <w:trPr>
          <w:trHeight w:val="419"/>
        </w:trPr>
        <w:tc>
          <w:tcPr>
            <w:tcW w:w="4033" w:type="dxa"/>
            <w:tcBorders>
              <w:top w:val="nil"/>
              <w:left w:val="nil"/>
              <w:bottom w:val="single" w:sz="8" w:space="0" w:color="7030A0"/>
              <w:right w:val="nil"/>
            </w:tcBorders>
            <w:shd w:val="clear" w:color="000000" w:fill="FFFFFF"/>
            <w:vAlign w:val="center"/>
            <w:hideMark/>
          </w:tcPr>
          <w:p w14:paraId="2CDC190F" w14:textId="19F79E14" w:rsidR="00B740A8" w:rsidRPr="00C73365" w:rsidRDefault="00AA2E60" w:rsidP="00D1541A">
            <w:pPr>
              <w:rPr>
                <w:rFonts w:asciiTheme="minorHAnsi" w:hAnsiTheme="minorHAnsi" w:cstheme="minorHAnsi"/>
                <w:szCs w:val="20"/>
                <w:lang w:val="fr-FR" w:eastAsia="fr-FR"/>
              </w:rPr>
            </w:pPr>
            <w:r>
              <w:rPr>
                <w:rFonts w:asciiTheme="minorHAnsi" w:hAnsiTheme="minorHAnsi" w:cstheme="minorHAnsi"/>
                <w:szCs w:val="20"/>
                <w:lang w:val="fr-FR" w:eastAsia="fr-FR"/>
              </w:rPr>
              <w:t xml:space="preserve"> </w:t>
            </w:r>
            <w:r w:rsidR="00B740A8" w:rsidRPr="00C73365">
              <w:rPr>
                <w:rFonts w:asciiTheme="minorHAnsi" w:hAnsiTheme="minorHAnsi" w:cstheme="minorHAnsi"/>
                <w:szCs w:val="20"/>
                <w:lang w:val="fr-FR" w:eastAsia="fr-FR"/>
              </w:rPr>
              <w:t xml:space="preserve">Valorisation des options attribuées au cours de l’exercice </w:t>
            </w:r>
            <w:r w:rsidR="00B740A8" w:rsidRPr="00C73365">
              <w:rPr>
                <w:rFonts w:asciiTheme="minorHAnsi" w:hAnsiTheme="minorHAnsi" w:cstheme="minorHAnsi"/>
                <w:i/>
                <w:sz w:val="18"/>
                <w:szCs w:val="20"/>
                <w:lang w:val="fr-FR" w:eastAsia="fr-FR"/>
              </w:rPr>
              <w:t>(cf. détail dans Tableau 4)</w:t>
            </w:r>
          </w:p>
        </w:tc>
        <w:tc>
          <w:tcPr>
            <w:tcW w:w="258" w:type="dxa"/>
            <w:tcBorders>
              <w:top w:val="nil"/>
              <w:left w:val="nil"/>
              <w:bottom w:val="nil"/>
              <w:right w:val="nil"/>
            </w:tcBorders>
            <w:shd w:val="clear" w:color="000000" w:fill="FFFFFF"/>
            <w:hideMark/>
          </w:tcPr>
          <w:p w14:paraId="12BA29B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14:paraId="0ADF4672"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14:paraId="329E4BA5"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14:paraId="1265EF85" w14:textId="77777777" w:rsidTr="009D60ED">
        <w:trPr>
          <w:trHeight w:val="628"/>
        </w:trPr>
        <w:tc>
          <w:tcPr>
            <w:tcW w:w="4033" w:type="dxa"/>
            <w:tcBorders>
              <w:top w:val="nil"/>
              <w:left w:val="nil"/>
              <w:bottom w:val="single" w:sz="8" w:space="0" w:color="7030A0"/>
              <w:right w:val="nil"/>
            </w:tcBorders>
            <w:shd w:val="clear" w:color="000000" w:fill="FFFFFF"/>
            <w:vAlign w:val="center"/>
            <w:hideMark/>
          </w:tcPr>
          <w:p w14:paraId="1CE08D9B" w14:textId="77777777"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Valorisation des actions attribuées gratuitement au titre de l’exercice </w:t>
            </w:r>
            <w:r w:rsidRPr="00C73365">
              <w:rPr>
                <w:rFonts w:asciiTheme="minorHAnsi" w:hAnsiTheme="minorHAnsi" w:cstheme="minorHAnsi"/>
                <w:i/>
                <w:sz w:val="18"/>
                <w:szCs w:val="20"/>
                <w:lang w:val="fr-FR" w:eastAsia="fr-FR"/>
              </w:rPr>
              <w:t>(cf. détail dans Tableau 6)</w:t>
            </w:r>
          </w:p>
        </w:tc>
        <w:tc>
          <w:tcPr>
            <w:tcW w:w="258" w:type="dxa"/>
            <w:tcBorders>
              <w:top w:val="nil"/>
              <w:left w:val="nil"/>
              <w:bottom w:val="nil"/>
              <w:right w:val="nil"/>
            </w:tcBorders>
            <w:shd w:val="clear" w:color="000000" w:fill="FFFFFF"/>
            <w:hideMark/>
          </w:tcPr>
          <w:p w14:paraId="6DA5365E"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14:paraId="7623A3CA"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14:paraId="504F6F19"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14:paraId="06D3A3E5" w14:textId="77777777" w:rsidTr="009D60ED">
        <w:trPr>
          <w:trHeight w:val="338"/>
        </w:trPr>
        <w:tc>
          <w:tcPr>
            <w:tcW w:w="4033" w:type="dxa"/>
            <w:tcBorders>
              <w:top w:val="nil"/>
              <w:left w:val="nil"/>
              <w:bottom w:val="single" w:sz="8" w:space="0" w:color="7030A0"/>
              <w:right w:val="nil"/>
            </w:tcBorders>
            <w:shd w:val="clear" w:color="auto" w:fill="auto"/>
            <w:noWrap/>
            <w:vAlign w:val="center"/>
            <w:hideMark/>
          </w:tcPr>
          <w:p w14:paraId="6BA28832" w14:textId="77777777"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258" w:type="dxa"/>
            <w:tcBorders>
              <w:top w:val="nil"/>
              <w:left w:val="nil"/>
              <w:bottom w:val="nil"/>
              <w:right w:val="nil"/>
            </w:tcBorders>
            <w:shd w:val="clear" w:color="auto" w:fill="auto"/>
            <w:vAlign w:val="center"/>
            <w:hideMark/>
          </w:tcPr>
          <w:p w14:paraId="554FDFEC" w14:textId="77777777" w:rsidR="00B740A8" w:rsidRPr="00C73365" w:rsidRDefault="00B740A8" w:rsidP="00D1541A">
            <w:pPr>
              <w:rPr>
                <w:rFonts w:asciiTheme="minorHAnsi" w:hAnsiTheme="minorHAnsi" w:cstheme="minorHAnsi"/>
                <w:b/>
                <w:bCs/>
                <w:color w:val="7030A0"/>
                <w:szCs w:val="20"/>
                <w:lang w:val="fr-FR" w:eastAsia="fr-FR"/>
              </w:rPr>
            </w:pPr>
          </w:p>
        </w:tc>
        <w:tc>
          <w:tcPr>
            <w:tcW w:w="1886" w:type="dxa"/>
            <w:tcBorders>
              <w:top w:val="nil"/>
              <w:left w:val="nil"/>
              <w:bottom w:val="single" w:sz="8" w:space="0" w:color="7030A0"/>
              <w:right w:val="nil"/>
            </w:tcBorders>
            <w:vAlign w:val="center"/>
          </w:tcPr>
          <w:p w14:paraId="744E4104" w14:textId="77777777"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0 €</w:t>
            </w:r>
          </w:p>
        </w:tc>
        <w:tc>
          <w:tcPr>
            <w:tcW w:w="1887" w:type="dxa"/>
            <w:tcBorders>
              <w:top w:val="nil"/>
              <w:left w:val="nil"/>
              <w:bottom w:val="single" w:sz="8" w:space="0" w:color="7030A0"/>
              <w:right w:val="nil"/>
            </w:tcBorders>
            <w:shd w:val="clear" w:color="000000" w:fill="FFFFFF"/>
            <w:vAlign w:val="center"/>
            <w:hideMark/>
          </w:tcPr>
          <w:p w14:paraId="79211FF3" w14:textId="77777777"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0 €</w:t>
            </w:r>
          </w:p>
        </w:tc>
      </w:tr>
    </w:tbl>
    <w:p w14:paraId="4CB962E1" w14:textId="6E933E9F" w:rsidR="0058311D" w:rsidRDefault="0058311D" w:rsidP="00B740A8">
      <w:pPr>
        <w:tabs>
          <w:tab w:val="left" w:pos="1552"/>
        </w:tabs>
        <w:rPr>
          <w:rFonts w:asciiTheme="minorHAnsi" w:hAnsiTheme="minorHAnsi" w:cstheme="minorHAnsi"/>
          <w:szCs w:val="22"/>
          <w:lang w:val="fr-FR"/>
        </w:rPr>
      </w:pPr>
    </w:p>
    <w:tbl>
      <w:tblPr>
        <w:tblpPr w:leftFromText="180" w:rightFromText="180" w:vertAnchor="text" w:horzAnchor="margin" w:tblpXSpec="center" w:tblpY="33"/>
        <w:tblW w:w="8276" w:type="dxa"/>
        <w:tblLayout w:type="fixed"/>
        <w:tblCellMar>
          <w:left w:w="70" w:type="dxa"/>
          <w:right w:w="70" w:type="dxa"/>
        </w:tblCellMar>
        <w:tblLook w:val="04A0" w:firstRow="1" w:lastRow="0" w:firstColumn="1" w:lastColumn="0" w:noHBand="0" w:noVBand="1"/>
      </w:tblPr>
      <w:tblGrid>
        <w:gridCol w:w="4125"/>
        <w:gridCol w:w="373"/>
        <w:gridCol w:w="1873"/>
        <w:gridCol w:w="95"/>
        <w:gridCol w:w="1779"/>
        <w:gridCol w:w="31"/>
      </w:tblGrid>
      <w:tr w:rsidR="009D60ED" w:rsidRPr="00C73365" w14:paraId="32B77130" w14:textId="77777777" w:rsidTr="009D60ED">
        <w:trPr>
          <w:gridAfter w:val="1"/>
          <w:wAfter w:w="31" w:type="dxa"/>
          <w:trHeight w:val="273"/>
        </w:trPr>
        <w:tc>
          <w:tcPr>
            <w:tcW w:w="4125" w:type="dxa"/>
            <w:vMerge w:val="restart"/>
            <w:tcBorders>
              <w:top w:val="single" w:sz="8" w:space="0" w:color="7030A0"/>
              <w:left w:val="nil"/>
              <w:bottom w:val="single" w:sz="8" w:space="0" w:color="7030A0"/>
              <w:right w:val="nil"/>
            </w:tcBorders>
            <w:shd w:val="clear" w:color="auto" w:fill="FFFFFF"/>
            <w:vAlign w:val="center"/>
            <w:hideMark/>
          </w:tcPr>
          <w:p w14:paraId="45EFCAA0" w14:textId="77777777" w:rsidR="009D60ED" w:rsidRPr="00C73365" w:rsidRDefault="009D60ED" w:rsidP="009D60ED">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Hartmut Ehrlich – Directeur Général</w:t>
            </w:r>
          </w:p>
        </w:tc>
        <w:tc>
          <w:tcPr>
            <w:tcW w:w="373" w:type="dxa"/>
            <w:noWrap/>
            <w:vAlign w:val="bottom"/>
            <w:hideMark/>
          </w:tcPr>
          <w:p w14:paraId="1B3D2A0E" w14:textId="77777777" w:rsidR="009D60ED" w:rsidRPr="00C73365" w:rsidRDefault="009D60ED" w:rsidP="009D60ED">
            <w:pPr>
              <w:rPr>
                <w:rFonts w:asciiTheme="minorHAnsi" w:hAnsiTheme="minorHAnsi" w:cstheme="minorHAnsi"/>
                <w:b/>
                <w:bCs/>
                <w:color w:val="000000"/>
                <w:szCs w:val="20"/>
                <w:lang w:val="fr-FR" w:eastAsia="fr-FR"/>
              </w:rPr>
            </w:pPr>
          </w:p>
        </w:tc>
        <w:tc>
          <w:tcPr>
            <w:tcW w:w="1873" w:type="dxa"/>
            <w:vMerge w:val="restart"/>
            <w:tcBorders>
              <w:top w:val="single" w:sz="8" w:space="0" w:color="7030A0"/>
              <w:left w:val="nil"/>
              <w:bottom w:val="single" w:sz="8" w:space="0" w:color="7030A0"/>
              <w:right w:val="nil"/>
            </w:tcBorders>
            <w:shd w:val="clear" w:color="auto" w:fill="FFFFFF"/>
            <w:vAlign w:val="center"/>
            <w:hideMark/>
          </w:tcPr>
          <w:p w14:paraId="14830AF8" w14:textId="77777777" w:rsidR="009D60ED" w:rsidRPr="00C73365" w:rsidRDefault="009D60ED" w:rsidP="009D60ED">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2016</w:t>
            </w:r>
          </w:p>
        </w:tc>
        <w:tc>
          <w:tcPr>
            <w:tcW w:w="1874" w:type="dxa"/>
            <w:gridSpan w:val="2"/>
            <w:vMerge w:val="restart"/>
            <w:tcBorders>
              <w:top w:val="single" w:sz="8" w:space="0" w:color="7030A0"/>
              <w:left w:val="nil"/>
              <w:bottom w:val="single" w:sz="8" w:space="0" w:color="7030A0"/>
              <w:right w:val="nil"/>
            </w:tcBorders>
            <w:shd w:val="clear" w:color="auto" w:fill="FFFFFF"/>
            <w:vAlign w:val="center"/>
            <w:hideMark/>
          </w:tcPr>
          <w:p w14:paraId="02488232" w14:textId="77777777" w:rsidR="009D60ED" w:rsidRPr="00C73365" w:rsidRDefault="009D60ED" w:rsidP="009D60ED">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2017</w:t>
            </w:r>
          </w:p>
        </w:tc>
      </w:tr>
      <w:tr w:rsidR="009D60ED" w:rsidRPr="00C73365" w14:paraId="33C5711B" w14:textId="77777777" w:rsidTr="009D60ED">
        <w:trPr>
          <w:gridAfter w:val="1"/>
          <w:wAfter w:w="31" w:type="dxa"/>
          <w:trHeight w:val="525"/>
        </w:trPr>
        <w:tc>
          <w:tcPr>
            <w:tcW w:w="4125" w:type="dxa"/>
            <w:vMerge/>
            <w:tcBorders>
              <w:top w:val="single" w:sz="8" w:space="0" w:color="7030A0"/>
              <w:left w:val="nil"/>
              <w:bottom w:val="single" w:sz="8" w:space="0" w:color="7030A0"/>
              <w:right w:val="nil"/>
            </w:tcBorders>
            <w:vAlign w:val="center"/>
            <w:hideMark/>
          </w:tcPr>
          <w:p w14:paraId="427DFAAF" w14:textId="77777777" w:rsidR="009D60ED" w:rsidRPr="00C73365" w:rsidRDefault="009D60ED" w:rsidP="009D60ED">
            <w:pPr>
              <w:rPr>
                <w:rFonts w:asciiTheme="minorHAnsi" w:hAnsiTheme="minorHAnsi" w:cstheme="minorHAnsi"/>
                <w:b/>
                <w:bCs/>
                <w:color w:val="000000"/>
                <w:szCs w:val="20"/>
                <w:lang w:val="fr-FR" w:eastAsia="fr-FR"/>
              </w:rPr>
            </w:pPr>
          </w:p>
        </w:tc>
        <w:tc>
          <w:tcPr>
            <w:tcW w:w="373" w:type="dxa"/>
            <w:shd w:val="clear" w:color="auto" w:fill="FFFFFF"/>
            <w:hideMark/>
          </w:tcPr>
          <w:p w14:paraId="7606D78C" w14:textId="77777777"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vMerge/>
            <w:tcBorders>
              <w:top w:val="single" w:sz="8" w:space="0" w:color="7030A0"/>
              <w:left w:val="nil"/>
              <w:bottom w:val="single" w:sz="8" w:space="0" w:color="7030A0"/>
              <w:right w:val="nil"/>
            </w:tcBorders>
            <w:vAlign w:val="center"/>
            <w:hideMark/>
          </w:tcPr>
          <w:p w14:paraId="7F881D1A" w14:textId="77777777" w:rsidR="009D60ED" w:rsidRPr="00C73365" w:rsidRDefault="009D60ED" w:rsidP="009D60ED">
            <w:pPr>
              <w:rPr>
                <w:rFonts w:asciiTheme="minorHAnsi" w:hAnsiTheme="minorHAnsi" w:cstheme="minorHAnsi"/>
                <w:b/>
                <w:bCs/>
                <w:color w:val="000000"/>
                <w:szCs w:val="20"/>
                <w:lang w:val="fr-FR" w:eastAsia="fr-FR"/>
              </w:rPr>
            </w:pPr>
          </w:p>
        </w:tc>
        <w:tc>
          <w:tcPr>
            <w:tcW w:w="1874" w:type="dxa"/>
            <w:gridSpan w:val="2"/>
            <w:vMerge/>
            <w:tcBorders>
              <w:top w:val="single" w:sz="8" w:space="0" w:color="7030A0"/>
              <w:left w:val="nil"/>
              <w:bottom w:val="single" w:sz="8" w:space="0" w:color="7030A0"/>
              <w:right w:val="nil"/>
            </w:tcBorders>
            <w:vAlign w:val="center"/>
            <w:hideMark/>
          </w:tcPr>
          <w:p w14:paraId="23D16968" w14:textId="77777777" w:rsidR="009D60ED" w:rsidRPr="00C73365" w:rsidRDefault="009D60ED" w:rsidP="009D60ED">
            <w:pPr>
              <w:rPr>
                <w:rFonts w:asciiTheme="minorHAnsi" w:hAnsiTheme="minorHAnsi" w:cstheme="minorHAnsi"/>
                <w:b/>
                <w:bCs/>
                <w:color w:val="000000"/>
                <w:szCs w:val="20"/>
                <w:lang w:val="fr-FR" w:eastAsia="fr-FR"/>
              </w:rPr>
            </w:pPr>
          </w:p>
        </w:tc>
      </w:tr>
      <w:tr w:rsidR="009D60ED" w:rsidRPr="00C73365" w14:paraId="3A256E8D" w14:textId="77777777" w:rsidTr="009D60ED">
        <w:trPr>
          <w:gridAfter w:val="1"/>
          <w:wAfter w:w="31" w:type="dxa"/>
          <w:trHeight w:val="536"/>
        </w:trPr>
        <w:tc>
          <w:tcPr>
            <w:tcW w:w="4125" w:type="dxa"/>
            <w:tcBorders>
              <w:top w:val="nil"/>
              <w:left w:val="nil"/>
              <w:bottom w:val="single" w:sz="8" w:space="0" w:color="7030A0"/>
              <w:right w:val="nil"/>
            </w:tcBorders>
            <w:shd w:val="clear" w:color="auto" w:fill="FFFFFF"/>
            <w:vAlign w:val="center"/>
            <w:hideMark/>
          </w:tcPr>
          <w:p w14:paraId="3890E6BC" w14:textId="77777777"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Rémunérations versées au titre de l’exercice </w:t>
            </w:r>
            <w:r w:rsidRPr="00C73365">
              <w:rPr>
                <w:rFonts w:asciiTheme="minorHAnsi" w:hAnsiTheme="minorHAnsi" w:cstheme="minorHAnsi"/>
                <w:i/>
                <w:sz w:val="18"/>
                <w:szCs w:val="20"/>
                <w:lang w:val="fr-FR" w:eastAsia="fr-FR"/>
              </w:rPr>
              <w:t>(cf. détail dans Tableau 2)</w:t>
            </w:r>
          </w:p>
        </w:tc>
        <w:tc>
          <w:tcPr>
            <w:tcW w:w="373" w:type="dxa"/>
            <w:shd w:val="clear" w:color="auto" w:fill="FFFFFF"/>
            <w:hideMark/>
          </w:tcPr>
          <w:p w14:paraId="29F0908A" w14:textId="77777777"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14:paraId="0CE5DA99" w14:textId="77777777"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365 760 €</w:t>
            </w:r>
            <w:r w:rsidRPr="00C73365" w:rsidDel="00E41F0A">
              <w:rPr>
                <w:rFonts w:asciiTheme="minorHAnsi" w:hAnsiTheme="minorHAnsi" w:cstheme="minorHAnsi"/>
                <w:color w:val="000000"/>
                <w:szCs w:val="20"/>
                <w:lang w:val="fr-FR" w:eastAsia="fr-FR"/>
              </w:rPr>
              <w:t xml:space="preserve"> </w:t>
            </w:r>
          </w:p>
        </w:tc>
        <w:tc>
          <w:tcPr>
            <w:tcW w:w="1874" w:type="dxa"/>
            <w:gridSpan w:val="2"/>
            <w:tcBorders>
              <w:top w:val="nil"/>
              <w:left w:val="nil"/>
              <w:bottom w:val="single" w:sz="8" w:space="0" w:color="7030A0"/>
              <w:right w:val="nil"/>
            </w:tcBorders>
            <w:shd w:val="clear" w:color="auto" w:fill="FFFFFF"/>
            <w:hideMark/>
          </w:tcPr>
          <w:p w14:paraId="68FFD89A" w14:textId="77777777"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352 972 €</w:t>
            </w:r>
          </w:p>
        </w:tc>
      </w:tr>
      <w:tr w:rsidR="009D60ED" w:rsidRPr="00C73365" w14:paraId="77156024" w14:textId="77777777" w:rsidTr="009D60ED">
        <w:trPr>
          <w:gridAfter w:val="1"/>
          <w:wAfter w:w="31" w:type="dxa"/>
          <w:trHeight w:val="799"/>
        </w:trPr>
        <w:tc>
          <w:tcPr>
            <w:tcW w:w="4125" w:type="dxa"/>
            <w:tcBorders>
              <w:top w:val="nil"/>
              <w:left w:val="nil"/>
              <w:bottom w:val="single" w:sz="8" w:space="0" w:color="7030A0"/>
              <w:right w:val="nil"/>
            </w:tcBorders>
            <w:shd w:val="clear" w:color="auto" w:fill="FFFFFF"/>
            <w:vAlign w:val="center"/>
            <w:hideMark/>
          </w:tcPr>
          <w:p w14:paraId="490EF28F" w14:textId="77777777"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rémunérations variables pluriannuelles attribuées au cours de l’exercice </w:t>
            </w:r>
            <w:r w:rsidRPr="00C73365">
              <w:rPr>
                <w:rFonts w:asciiTheme="minorHAnsi" w:hAnsiTheme="minorHAnsi" w:cstheme="minorHAnsi"/>
                <w:i/>
                <w:sz w:val="18"/>
                <w:szCs w:val="20"/>
                <w:lang w:val="fr-FR" w:eastAsia="fr-FR"/>
              </w:rPr>
              <w:t>(cf. détail dans Tableau 2)</w:t>
            </w:r>
          </w:p>
        </w:tc>
        <w:tc>
          <w:tcPr>
            <w:tcW w:w="373" w:type="dxa"/>
            <w:shd w:val="clear" w:color="auto" w:fill="FFFFFF"/>
            <w:hideMark/>
          </w:tcPr>
          <w:p w14:paraId="5D7C41E5" w14:textId="77777777"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14:paraId="02F8E841" w14:textId="77777777"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14:paraId="21F2B4F8" w14:textId="77777777"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9D60ED" w:rsidRPr="009D60ED" w14:paraId="3496197B" w14:textId="77777777" w:rsidTr="009D60ED">
        <w:trPr>
          <w:gridAfter w:val="1"/>
          <w:wAfter w:w="31" w:type="dxa"/>
          <w:trHeight w:val="536"/>
        </w:trPr>
        <w:tc>
          <w:tcPr>
            <w:tcW w:w="4125" w:type="dxa"/>
            <w:tcBorders>
              <w:top w:val="nil"/>
              <w:left w:val="nil"/>
              <w:bottom w:val="single" w:sz="8" w:space="0" w:color="7030A0"/>
              <w:right w:val="nil"/>
            </w:tcBorders>
            <w:shd w:val="clear" w:color="auto" w:fill="FFFFFF"/>
            <w:vAlign w:val="center"/>
            <w:hideMark/>
          </w:tcPr>
          <w:p w14:paraId="0A1631F4" w14:textId="77777777"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options attribuées au cours de l’exercice </w:t>
            </w:r>
            <w:r w:rsidRPr="00C73365">
              <w:rPr>
                <w:rFonts w:asciiTheme="minorHAnsi" w:hAnsiTheme="minorHAnsi" w:cstheme="minorHAnsi"/>
                <w:i/>
                <w:sz w:val="18"/>
                <w:szCs w:val="20"/>
                <w:lang w:val="fr-FR" w:eastAsia="fr-FR"/>
              </w:rPr>
              <w:t>(cf. détail dans Tableau 4)</w:t>
            </w:r>
          </w:p>
        </w:tc>
        <w:tc>
          <w:tcPr>
            <w:tcW w:w="373" w:type="dxa"/>
            <w:shd w:val="clear" w:color="auto" w:fill="FFFFFF"/>
            <w:hideMark/>
          </w:tcPr>
          <w:p w14:paraId="10870E46" w14:textId="77777777"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14:paraId="283B427D" w14:textId="77777777"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14:paraId="04726B96" w14:textId="77777777" w:rsidR="009D60ED" w:rsidRPr="009D60ED" w:rsidRDefault="009D60ED" w:rsidP="009D60ED">
            <w:pPr>
              <w:jc w:val="right"/>
              <w:rPr>
                <w:rFonts w:asciiTheme="minorHAnsi" w:hAnsiTheme="minorHAnsi" w:cstheme="minorHAnsi"/>
                <w:color w:val="000000"/>
                <w:szCs w:val="20"/>
                <w:lang w:val="fr-FR" w:eastAsia="fr-FR"/>
              </w:rPr>
            </w:pPr>
            <w:r w:rsidRPr="009D60ED">
              <w:rPr>
                <w:rFonts w:asciiTheme="minorHAnsi" w:hAnsiTheme="minorHAnsi" w:cstheme="minorHAnsi"/>
                <w:b/>
                <w:color w:val="7030A0"/>
                <w:szCs w:val="20"/>
                <w:lang w:val="fr-FR" w:eastAsia="fr-FR"/>
              </w:rPr>
              <w:t>(1)</w:t>
            </w:r>
          </w:p>
        </w:tc>
      </w:tr>
      <w:tr w:rsidR="009D60ED" w:rsidRPr="00C73365" w14:paraId="4111BBF9" w14:textId="77777777" w:rsidTr="009D60ED">
        <w:trPr>
          <w:gridAfter w:val="1"/>
          <w:wAfter w:w="31" w:type="dxa"/>
          <w:trHeight w:val="799"/>
        </w:trPr>
        <w:tc>
          <w:tcPr>
            <w:tcW w:w="4125" w:type="dxa"/>
            <w:tcBorders>
              <w:top w:val="nil"/>
              <w:left w:val="nil"/>
              <w:bottom w:val="single" w:sz="8" w:space="0" w:color="7030A0"/>
              <w:right w:val="nil"/>
            </w:tcBorders>
            <w:shd w:val="clear" w:color="auto" w:fill="FFFFFF"/>
            <w:vAlign w:val="center"/>
            <w:hideMark/>
          </w:tcPr>
          <w:p w14:paraId="7D5C622A" w14:textId="77777777"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actions attribuées gratuitement au titre de l’exercice </w:t>
            </w:r>
            <w:r w:rsidRPr="00C73365">
              <w:rPr>
                <w:rFonts w:asciiTheme="minorHAnsi" w:hAnsiTheme="minorHAnsi" w:cstheme="minorHAnsi"/>
                <w:i/>
                <w:sz w:val="18"/>
                <w:szCs w:val="20"/>
                <w:lang w:val="fr-FR" w:eastAsia="fr-FR"/>
              </w:rPr>
              <w:t>(cf. détail dans Tableau 6)</w:t>
            </w:r>
          </w:p>
        </w:tc>
        <w:tc>
          <w:tcPr>
            <w:tcW w:w="373" w:type="dxa"/>
            <w:shd w:val="clear" w:color="auto" w:fill="FFFFFF"/>
            <w:hideMark/>
          </w:tcPr>
          <w:p w14:paraId="5C2EE755" w14:textId="77777777"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14:paraId="0E6D8E4F" w14:textId="77777777"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14:paraId="1BF92BCB" w14:textId="77777777"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9D60ED" w:rsidRPr="00C73365" w14:paraId="6A3D1494" w14:textId="77777777" w:rsidTr="009D60ED">
        <w:trPr>
          <w:trHeight w:val="431"/>
        </w:trPr>
        <w:tc>
          <w:tcPr>
            <w:tcW w:w="4125" w:type="dxa"/>
            <w:tcBorders>
              <w:top w:val="nil"/>
              <w:left w:val="nil"/>
              <w:bottom w:val="single" w:sz="8" w:space="0" w:color="7030A0"/>
              <w:right w:val="nil"/>
            </w:tcBorders>
            <w:noWrap/>
            <w:vAlign w:val="center"/>
            <w:hideMark/>
          </w:tcPr>
          <w:p w14:paraId="60652642" w14:textId="77777777" w:rsidR="009D60ED" w:rsidRPr="00C73365" w:rsidRDefault="009D60ED" w:rsidP="009D60ED">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373" w:type="dxa"/>
            <w:vAlign w:val="center"/>
            <w:hideMark/>
          </w:tcPr>
          <w:p w14:paraId="237993E9" w14:textId="77777777" w:rsidR="009D60ED" w:rsidRPr="00C73365" w:rsidRDefault="009D60ED" w:rsidP="009D60ED">
            <w:pPr>
              <w:rPr>
                <w:rFonts w:asciiTheme="minorHAnsi" w:hAnsiTheme="minorHAnsi" w:cstheme="minorHAnsi"/>
                <w:b/>
                <w:bCs/>
                <w:color w:val="7030A0"/>
                <w:szCs w:val="20"/>
                <w:lang w:val="fr-FR" w:eastAsia="fr-FR"/>
              </w:rPr>
            </w:pPr>
          </w:p>
        </w:tc>
        <w:tc>
          <w:tcPr>
            <w:tcW w:w="1968" w:type="dxa"/>
            <w:gridSpan w:val="2"/>
            <w:tcBorders>
              <w:top w:val="nil"/>
              <w:left w:val="nil"/>
              <w:bottom w:val="single" w:sz="8" w:space="0" w:color="7030A0"/>
              <w:right w:val="nil"/>
            </w:tcBorders>
            <w:shd w:val="clear" w:color="auto" w:fill="FFFFFF"/>
            <w:vAlign w:val="center"/>
            <w:hideMark/>
          </w:tcPr>
          <w:p w14:paraId="0A2C14A2" w14:textId="77777777" w:rsidR="009D60ED" w:rsidRPr="00C73365" w:rsidRDefault="009D60ED" w:rsidP="009D60ED">
            <w:pPr>
              <w:jc w:val="right"/>
              <w:rPr>
                <w:rFonts w:asciiTheme="minorHAnsi" w:hAnsiTheme="minorHAnsi" w:cstheme="minorHAnsi"/>
                <w:b/>
                <w:bCs/>
                <w:color w:val="7030A0"/>
                <w:szCs w:val="20"/>
                <w:lang w:val="fr-FR" w:eastAsia="fr-FR"/>
              </w:rPr>
            </w:pPr>
            <w:r>
              <w:rPr>
                <w:rFonts w:asciiTheme="minorHAnsi" w:hAnsiTheme="minorHAnsi" w:cstheme="minorHAnsi"/>
                <w:b/>
                <w:bCs/>
                <w:color w:val="7030A0"/>
                <w:szCs w:val="20"/>
                <w:lang w:val="fr-FR" w:eastAsia="fr-FR"/>
              </w:rPr>
              <w:t>365 760</w:t>
            </w:r>
            <w:r w:rsidRPr="00C73365">
              <w:rPr>
                <w:rFonts w:asciiTheme="minorHAnsi" w:hAnsiTheme="minorHAnsi" w:cstheme="minorHAnsi"/>
                <w:b/>
                <w:bCs/>
                <w:color w:val="7030A0"/>
                <w:szCs w:val="20"/>
                <w:lang w:val="fr-FR" w:eastAsia="fr-FR"/>
              </w:rPr>
              <w:t xml:space="preserve"> €</w:t>
            </w:r>
          </w:p>
        </w:tc>
        <w:tc>
          <w:tcPr>
            <w:tcW w:w="1810" w:type="dxa"/>
            <w:gridSpan w:val="2"/>
            <w:tcBorders>
              <w:top w:val="nil"/>
              <w:left w:val="nil"/>
              <w:bottom w:val="single" w:sz="8" w:space="0" w:color="7030A0"/>
              <w:right w:val="nil"/>
            </w:tcBorders>
            <w:shd w:val="clear" w:color="auto" w:fill="FFFFFF"/>
            <w:vAlign w:val="center"/>
            <w:hideMark/>
          </w:tcPr>
          <w:p w14:paraId="58204D29" w14:textId="77777777" w:rsidR="009D60ED" w:rsidRPr="00C73365" w:rsidRDefault="009D60ED" w:rsidP="009D60ED">
            <w:pPr>
              <w:jc w:val="right"/>
              <w:rPr>
                <w:rFonts w:asciiTheme="minorHAnsi" w:hAnsiTheme="minorHAnsi" w:cstheme="minorHAnsi"/>
                <w:b/>
                <w:bCs/>
                <w:color w:val="7030A0"/>
                <w:szCs w:val="20"/>
                <w:highlight w:val="red"/>
                <w:lang w:val="fr-FR" w:eastAsia="fr-FR"/>
              </w:rPr>
            </w:pPr>
            <w:r w:rsidRPr="009D60ED">
              <w:rPr>
                <w:rFonts w:asciiTheme="minorHAnsi" w:hAnsiTheme="minorHAnsi" w:cstheme="minorHAnsi"/>
                <w:b/>
                <w:bCs/>
                <w:color w:val="7030A0"/>
                <w:lang w:val="fr-FR" w:eastAsia="fr-FR"/>
              </w:rPr>
              <w:t>352 972 €</w:t>
            </w:r>
          </w:p>
        </w:tc>
      </w:tr>
    </w:tbl>
    <w:p w14:paraId="21D64BBB" w14:textId="77777777" w:rsidR="009D60ED" w:rsidRPr="00C73365" w:rsidRDefault="009D60ED" w:rsidP="00B740A8">
      <w:pPr>
        <w:tabs>
          <w:tab w:val="left" w:pos="1552"/>
        </w:tabs>
        <w:rPr>
          <w:rFonts w:asciiTheme="minorHAnsi" w:hAnsiTheme="minorHAnsi" w:cstheme="minorHAnsi"/>
          <w:szCs w:val="22"/>
          <w:lang w:val="fr-FR"/>
        </w:rPr>
      </w:pPr>
    </w:p>
    <w:p w14:paraId="33F10089" w14:textId="77777777" w:rsidR="009D60ED" w:rsidRDefault="009D60ED" w:rsidP="00B740A8">
      <w:pPr>
        <w:tabs>
          <w:tab w:val="left" w:pos="1552"/>
        </w:tabs>
        <w:rPr>
          <w:rFonts w:asciiTheme="minorHAnsi" w:hAnsiTheme="minorHAnsi" w:cstheme="minorHAnsi"/>
          <w:i/>
          <w:color w:val="7030A0"/>
          <w:sz w:val="18"/>
          <w:lang w:val="fr-FR"/>
        </w:rPr>
      </w:pPr>
    </w:p>
    <w:p w14:paraId="1F92F2F8" w14:textId="77777777" w:rsidR="009D60ED" w:rsidRDefault="009D60ED" w:rsidP="00B740A8">
      <w:pPr>
        <w:tabs>
          <w:tab w:val="left" w:pos="1552"/>
        </w:tabs>
        <w:rPr>
          <w:rFonts w:asciiTheme="minorHAnsi" w:hAnsiTheme="minorHAnsi" w:cstheme="minorHAnsi"/>
          <w:i/>
          <w:color w:val="7030A0"/>
          <w:sz w:val="18"/>
          <w:lang w:val="fr-FR"/>
        </w:rPr>
      </w:pPr>
    </w:p>
    <w:p w14:paraId="38123DF8" w14:textId="77777777" w:rsidR="009D60ED" w:rsidRDefault="009D60ED" w:rsidP="00B740A8">
      <w:pPr>
        <w:tabs>
          <w:tab w:val="left" w:pos="1552"/>
        </w:tabs>
        <w:rPr>
          <w:rFonts w:asciiTheme="minorHAnsi" w:hAnsiTheme="minorHAnsi" w:cstheme="minorHAnsi"/>
          <w:i/>
          <w:color w:val="7030A0"/>
          <w:sz w:val="18"/>
          <w:lang w:val="fr-FR"/>
        </w:rPr>
      </w:pPr>
    </w:p>
    <w:p w14:paraId="6A53910B" w14:textId="77777777" w:rsidR="009D60ED" w:rsidRDefault="009D60ED" w:rsidP="00B740A8">
      <w:pPr>
        <w:tabs>
          <w:tab w:val="left" w:pos="1552"/>
        </w:tabs>
        <w:rPr>
          <w:rFonts w:asciiTheme="minorHAnsi" w:hAnsiTheme="minorHAnsi" w:cstheme="minorHAnsi"/>
          <w:i/>
          <w:color w:val="7030A0"/>
          <w:sz w:val="18"/>
          <w:lang w:val="fr-FR"/>
        </w:rPr>
      </w:pPr>
    </w:p>
    <w:p w14:paraId="77A6695A" w14:textId="77777777" w:rsidR="009D60ED" w:rsidRDefault="009D60ED" w:rsidP="00B740A8">
      <w:pPr>
        <w:tabs>
          <w:tab w:val="left" w:pos="1552"/>
        </w:tabs>
        <w:rPr>
          <w:rFonts w:asciiTheme="minorHAnsi" w:hAnsiTheme="minorHAnsi" w:cstheme="minorHAnsi"/>
          <w:i/>
          <w:color w:val="7030A0"/>
          <w:sz w:val="18"/>
          <w:lang w:val="fr-FR"/>
        </w:rPr>
      </w:pPr>
    </w:p>
    <w:p w14:paraId="06E2409D" w14:textId="77777777" w:rsidR="009D60ED" w:rsidRDefault="009D60ED" w:rsidP="00B740A8">
      <w:pPr>
        <w:tabs>
          <w:tab w:val="left" w:pos="1552"/>
        </w:tabs>
        <w:rPr>
          <w:rFonts w:asciiTheme="minorHAnsi" w:hAnsiTheme="minorHAnsi" w:cstheme="minorHAnsi"/>
          <w:i/>
          <w:color w:val="7030A0"/>
          <w:sz w:val="18"/>
          <w:lang w:val="fr-FR"/>
        </w:rPr>
      </w:pPr>
    </w:p>
    <w:p w14:paraId="0B5647E9" w14:textId="77777777" w:rsidR="009D60ED" w:rsidRDefault="009D60ED" w:rsidP="00B740A8">
      <w:pPr>
        <w:tabs>
          <w:tab w:val="left" w:pos="1552"/>
        </w:tabs>
        <w:rPr>
          <w:rFonts w:asciiTheme="minorHAnsi" w:hAnsiTheme="minorHAnsi" w:cstheme="minorHAnsi"/>
          <w:i/>
          <w:color w:val="7030A0"/>
          <w:sz w:val="18"/>
          <w:lang w:val="fr-FR"/>
        </w:rPr>
      </w:pPr>
    </w:p>
    <w:p w14:paraId="1CB31630" w14:textId="77777777" w:rsidR="009D60ED" w:rsidRDefault="009D60ED" w:rsidP="00B740A8">
      <w:pPr>
        <w:tabs>
          <w:tab w:val="left" w:pos="1552"/>
        </w:tabs>
        <w:rPr>
          <w:rFonts w:asciiTheme="minorHAnsi" w:hAnsiTheme="minorHAnsi" w:cstheme="minorHAnsi"/>
          <w:i/>
          <w:color w:val="7030A0"/>
          <w:sz w:val="18"/>
          <w:lang w:val="fr-FR"/>
        </w:rPr>
      </w:pPr>
    </w:p>
    <w:p w14:paraId="13ADE80C" w14:textId="77777777" w:rsidR="009D60ED" w:rsidRDefault="009D60ED" w:rsidP="00B740A8">
      <w:pPr>
        <w:tabs>
          <w:tab w:val="left" w:pos="1552"/>
        </w:tabs>
        <w:rPr>
          <w:rFonts w:asciiTheme="minorHAnsi" w:hAnsiTheme="minorHAnsi" w:cstheme="minorHAnsi"/>
          <w:i/>
          <w:color w:val="7030A0"/>
          <w:sz w:val="18"/>
          <w:lang w:val="fr-FR"/>
        </w:rPr>
      </w:pPr>
    </w:p>
    <w:p w14:paraId="07A7FCB3" w14:textId="77777777" w:rsidR="009D60ED" w:rsidRDefault="009D60ED" w:rsidP="00B740A8">
      <w:pPr>
        <w:tabs>
          <w:tab w:val="left" w:pos="1552"/>
        </w:tabs>
        <w:rPr>
          <w:rFonts w:asciiTheme="minorHAnsi" w:hAnsiTheme="minorHAnsi" w:cstheme="minorHAnsi"/>
          <w:i/>
          <w:color w:val="7030A0"/>
          <w:sz w:val="18"/>
          <w:lang w:val="fr-FR"/>
        </w:rPr>
      </w:pPr>
    </w:p>
    <w:p w14:paraId="63E03E8F" w14:textId="77777777" w:rsidR="009D60ED" w:rsidRDefault="009D60ED" w:rsidP="00B740A8">
      <w:pPr>
        <w:tabs>
          <w:tab w:val="left" w:pos="1552"/>
        </w:tabs>
        <w:rPr>
          <w:rFonts w:asciiTheme="minorHAnsi" w:hAnsiTheme="minorHAnsi" w:cstheme="minorHAnsi"/>
          <w:i/>
          <w:color w:val="7030A0"/>
          <w:sz w:val="18"/>
          <w:lang w:val="fr-FR"/>
        </w:rPr>
      </w:pPr>
    </w:p>
    <w:p w14:paraId="4852EC4E" w14:textId="77777777" w:rsidR="009D60ED" w:rsidRDefault="009D60ED" w:rsidP="00B740A8">
      <w:pPr>
        <w:tabs>
          <w:tab w:val="left" w:pos="1552"/>
        </w:tabs>
        <w:rPr>
          <w:rFonts w:asciiTheme="minorHAnsi" w:hAnsiTheme="minorHAnsi" w:cstheme="minorHAnsi"/>
          <w:i/>
          <w:color w:val="7030A0"/>
          <w:sz w:val="18"/>
          <w:lang w:val="fr-FR"/>
        </w:rPr>
      </w:pPr>
    </w:p>
    <w:p w14:paraId="2C16266D" w14:textId="77777777" w:rsidR="009D60ED" w:rsidRDefault="009D60ED" w:rsidP="00B740A8">
      <w:pPr>
        <w:tabs>
          <w:tab w:val="left" w:pos="1552"/>
        </w:tabs>
        <w:rPr>
          <w:rFonts w:asciiTheme="minorHAnsi" w:hAnsiTheme="minorHAnsi" w:cstheme="minorHAnsi"/>
          <w:i/>
          <w:color w:val="7030A0"/>
          <w:sz w:val="18"/>
          <w:lang w:val="fr-FR"/>
        </w:rPr>
      </w:pPr>
    </w:p>
    <w:p w14:paraId="1AF8654D" w14:textId="6AF09D22" w:rsidR="009D60ED" w:rsidRDefault="009D60ED" w:rsidP="00036317">
      <w:pPr>
        <w:pStyle w:val="Corpsdetexte"/>
        <w:numPr>
          <w:ilvl w:val="0"/>
          <w:numId w:val="113"/>
        </w:numPr>
        <w:rPr>
          <w:rFonts w:asciiTheme="minorHAnsi" w:hAnsiTheme="minorHAnsi" w:cstheme="minorHAnsi"/>
          <w:u w:val="single"/>
          <w:lang w:val="fr-FR"/>
        </w:rPr>
      </w:pPr>
      <w:r w:rsidRPr="001F18A7">
        <w:rPr>
          <w:rFonts w:asciiTheme="minorHAnsi" w:hAnsiTheme="minorHAnsi" w:cstheme="minorHAnsi"/>
          <w:lang w:val="fr-FR"/>
        </w:rPr>
        <w:t>Hartmut Ehrlich a reçu 150 000 BSPCE</w:t>
      </w:r>
      <w:r w:rsidR="001F18A7" w:rsidRPr="001F18A7">
        <w:rPr>
          <w:rFonts w:asciiTheme="minorHAnsi" w:hAnsiTheme="minorHAnsi" w:cstheme="minorHAnsi"/>
          <w:lang w:val="fr-FR"/>
        </w:rPr>
        <w:t xml:space="preserve"> (dont une partie sous conditions d’atteinte d’objectifs)</w:t>
      </w:r>
      <w:r w:rsidR="00E418D4" w:rsidRPr="001F18A7">
        <w:rPr>
          <w:rFonts w:asciiTheme="minorHAnsi" w:hAnsiTheme="minorHAnsi" w:cstheme="minorHAnsi"/>
          <w:lang w:val="fr-FR"/>
        </w:rPr>
        <w:t xml:space="preserve"> </w:t>
      </w:r>
      <w:r w:rsidR="001F18A7" w:rsidRPr="001F18A7">
        <w:rPr>
          <w:rFonts w:asciiTheme="minorHAnsi" w:hAnsiTheme="minorHAnsi" w:cstheme="minorHAnsi"/>
          <w:lang w:val="fr-FR"/>
        </w:rPr>
        <w:t>selon la décision du conseil d’administration du 20 novembre 2017</w:t>
      </w:r>
      <w:r w:rsidRPr="001F18A7">
        <w:rPr>
          <w:rFonts w:asciiTheme="minorHAnsi" w:hAnsiTheme="minorHAnsi" w:cstheme="minorHAnsi"/>
          <w:lang w:val="fr-FR"/>
        </w:rPr>
        <w:t xml:space="preserve"> (</w:t>
      </w:r>
      <w:r w:rsidR="00682970">
        <w:rPr>
          <w:rFonts w:asciiTheme="minorHAnsi" w:hAnsiTheme="minorHAnsi" w:cstheme="minorHAnsi"/>
          <w:lang w:val="fr-FR"/>
        </w:rPr>
        <w:t>se référer au</w:t>
      </w:r>
      <w:r w:rsidR="00E418D4" w:rsidRPr="001F18A7">
        <w:rPr>
          <w:rFonts w:asciiTheme="minorHAnsi" w:hAnsiTheme="minorHAnsi" w:cstheme="minorHAnsi"/>
          <w:lang w:val="fr-FR"/>
        </w:rPr>
        <w:t xml:space="preserve"> </w:t>
      </w:r>
      <w:r w:rsidRPr="001F18A7">
        <w:rPr>
          <w:rFonts w:asciiTheme="minorHAnsi" w:hAnsiTheme="minorHAnsi" w:cstheme="minorHAnsi"/>
          <w:lang w:val="fr-FR"/>
        </w:rPr>
        <w:t>Tableau 4 ci-dessous</w:t>
      </w:r>
      <w:r w:rsidR="00E418D4" w:rsidRPr="001F18A7">
        <w:rPr>
          <w:rFonts w:asciiTheme="minorHAnsi" w:hAnsiTheme="minorHAnsi" w:cstheme="minorHAnsi"/>
          <w:lang w:val="fr-FR"/>
        </w:rPr>
        <w:t xml:space="preserve"> et au paragraphe 21.1.5 du présent document de référence</w:t>
      </w:r>
      <w:r w:rsidRPr="001F18A7">
        <w:rPr>
          <w:rFonts w:asciiTheme="minorHAnsi" w:hAnsiTheme="minorHAnsi" w:cstheme="minorHAnsi"/>
          <w:lang w:val="fr-FR"/>
        </w:rPr>
        <w:t>)</w:t>
      </w:r>
      <w:r w:rsidR="001F18A7" w:rsidRPr="001F18A7">
        <w:rPr>
          <w:rFonts w:asciiTheme="minorHAnsi" w:hAnsiTheme="minorHAnsi" w:cstheme="minorHAnsi"/>
          <w:lang w:val="fr-FR"/>
        </w:rPr>
        <w:t xml:space="preserve">. </w:t>
      </w:r>
      <w:r w:rsidR="00E418D4" w:rsidRPr="001F18A7">
        <w:rPr>
          <w:rFonts w:asciiTheme="minorHAnsi" w:hAnsiTheme="minorHAnsi" w:cstheme="minorHAnsi"/>
          <w:lang w:val="fr-FR"/>
        </w:rPr>
        <w:t xml:space="preserve">Le prix d’exercice </w:t>
      </w:r>
      <w:r w:rsidR="001F18A7" w:rsidRPr="001F18A7">
        <w:rPr>
          <w:rFonts w:asciiTheme="minorHAnsi" w:hAnsiTheme="minorHAnsi" w:cstheme="minorHAnsi"/>
          <w:lang w:val="fr-FR"/>
        </w:rPr>
        <w:t xml:space="preserve">de ces BSPCE </w:t>
      </w:r>
      <w:r w:rsidR="00E418D4" w:rsidRPr="001F18A7">
        <w:rPr>
          <w:rFonts w:asciiTheme="minorHAnsi" w:hAnsiTheme="minorHAnsi" w:cstheme="minorHAnsi"/>
          <w:lang w:val="fr-FR"/>
        </w:rPr>
        <w:t>est de 11.14 €</w:t>
      </w:r>
      <w:r w:rsidR="001F18A7" w:rsidRPr="001F18A7">
        <w:rPr>
          <w:rFonts w:asciiTheme="minorHAnsi" w:hAnsiTheme="minorHAnsi" w:cstheme="minorHAnsi"/>
          <w:lang w:val="fr-FR"/>
        </w:rPr>
        <w:t xml:space="preserve"> et la maturité de 10 années. Il ne nous apparait pas raisonable d’évaluer ces options compte tenu d’hypothèses trop incertaines à cet horizon de temps.</w:t>
      </w:r>
    </w:p>
    <w:p w14:paraId="2BC91B69" w14:textId="77777777" w:rsidR="00036317" w:rsidRPr="00036317" w:rsidRDefault="00036317" w:rsidP="00036317">
      <w:pPr>
        <w:pStyle w:val="Corpsdetexte"/>
        <w:ind w:left="360"/>
        <w:rPr>
          <w:rFonts w:asciiTheme="minorHAnsi" w:hAnsiTheme="minorHAnsi" w:cstheme="minorHAnsi"/>
          <w:u w:val="single"/>
          <w:lang w:val="fr-FR"/>
        </w:rPr>
      </w:pPr>
    </w:p>
    <w:p w14:paraId="512B183F" w14:textId="77777777" w:rsidR="009D60ED" w:rsidRPr="009D60ED" w:rsidRDefault="009D60ED" w:rsidP="005A55E9">
      <w:pPr>
        <w:pStyle w:val="Corpsdetexte"/>
        <w:spacing w:after="0"/>
        <w:rPr>
          <w:rFonts w:asciiTheme="minorHAnsi" w:hAnsiTheme="minorHAnsi" w:cstheme="minorHAnsi"/>
          <w:b/>
          <w:lang w:val="fr-FR"/>
        </w:rPr>
      </w:pPr>
    </w:p>
    <w:p w14:paraId="37CF7B0B" w14:textId="00A19057" w:rsidR="005A55E9" w:rsidRDefault="00B740A8" w:rsidP="005A55E9">
      <w:pPr>
        <w:pStyle w:val="Corpsdetexte"/>
        <w:spacing w:after="0"/>
        <w:rPr>
          <w:rFonts w:asciiTheme="minorHAnsi" w:hAnsiTheme="minorHAnsi" w:cstheme="minorHAnsi"/>
          <w:b/>
          <w:lang w:val="fr-FR"/>
        </w:rPr>
      </w:pPr>
      <w:r w:rsidRPr="00C73365">
        <w:rPr>
          <w:rFonts w:asciiTheme="minorHAnsi" w:hAnsiTheme="minorHAnsi" w:cstheme="minorHAnsi"/>
          <w:b/>
          <w:lang w:val="fr-FR"/>
        </w:rPr>
        <w:t>Tableau 2 : Tableau récapitulatif des rémunérations de chaque dirigeant mandataire social</w:t>
      </w:r>
    </w:p>
    <w:p w14:paraId="507FCAD6" w14:textId="3934C0A6" w:rsidR="00B740A8" w:rsidRPr="005A55E9" w:rsidRDefault="00B740A8" w:rsidP="005A55E9">
      <w:pPr>
        <w:pStyle w:val="Corpsdetexte"/>
        <w:spacing w:after="0"/>
        <w:rPr>
          <w:rFonts w:asciiTheme="minorHAnsi" w:hAnsiTheme="minorHAnsi" w:cstheme="minorHAnsi"/>
          <w:b/>
          <w:lang w:val="fr-FR"/>
        </w:rPr>
      </w:pPr>
      <w:r w:rsidRPr="00C73365">
        <w:rPr>
          <w:rFonts w:asciiTheme="minorHAnsi" w:hAnsiTheme="minorHAnsi" w:cstheme="minorHAnsi"/>
          <w:lang w:val="fr-FR"/>
        </w:rPr>
        <w:t>Les tableaux suivants présentent les rémunérations dues aux mandataires sociaux dirigeants au titre des exercices clos les 31 décembre 2016 et 2017 et les rémunérations perçues par ces mêmes personnes au cours de ces mêmes exercices.</w:t>
      </w:r>
    </w:p>
    <w:tbl>
      <w:tblPr>
        <w:tblW w:w="9072" w:type="dxa"/>
        <w:tblInd w:w="70" w:type="dxa"/>
        <w:tblCellMar>
          <w:left w:w="70" w:type="dxa"/>
          <w:right w:w="70" w:type="dxa"/>
        </w:tblCellMar>
        <w:tblLook w:val="04A0" w:firstRow="1" w:lastRow="0" w:firstColumn="1" w:lastColumn="0" w:noHBand="0" w:noVBand="1"/>
      </w:tblPr>
      <w:tblGrid>
        <w:gridCol w:w="3969"/>
        <w:gridCol w:w="1330"/>
        <w:gridCol w:w="1038"/>
        <w:gridCol w:w="1460"/>
        <w:gridCol w:w="1275"/>
      </w:tblGrid>
      <w:tr w:rsidR="00B740A8" w:rsidRPr="00C73365" w14:paraId="229380C4" w14:textId="77777777" w:rsidTr="00D1541A">
        <w:trPr>
          <w:trHeight w:val="298"/>
        </w:trPr>
        <w:tc>
          <w:tcPr>
            <w:tcW w:w="3969" w:type="dxa"/>
            <w:tcBorders>
              <w:top w:val="nil"/>
              <w:left w:val="nil"/>
              <w:bottom w:val="single" w:sz="8" w:space="0" w:color="7030A0"/>
              <w:right w:val="nil"/>
            </w:tcBorders>
            <w:shd w:val="clear" w:color="000000" w:fill="FFFFFF"/>
            <w:vAlign w:val="center"/>
            <w:hideMark/>
          </w:tcPr>
          <w:p w14:paraId="519562B6"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368" w:type="dxa"/>
            <w:gridSpan w:val="2"/>
            <w:tcBorders>
              <w:top w:val="nil"/>
              <w:left w:val="nil"/>
              <w:bottom w:val="single" w:sz="8" w:space="0" w:color="7030A0"/>
              <w:right w:val="nil"/>
            </w:tcBorders>
            <w:shd w:val="clear" w:color="000000" w:fill="FFFFFF"/>
            <w:vAlign w:val="center"/>
            <w:hideMark/>
          </w:tcPr>
          <w:p w14:paraId="6AF8BA54" w14:textId="77777777" w:rsidR="00B740A8" w:rsidRPr="00C73365" w:rsidRDefault="00B740A8" w:rsidP="00D1541A">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Exercice 2016</w:t>
            </w:r>
          </w:p>
        </w:tc>
        <w:tc>
          <w:tcPr>
            <w:tcW w:w="2735" w:type="dxa"/>
            <w:gridSpan w:val="2"/>
            <w:tcBorders>
              <w:top w:val="nil"/>
              <w:left w:val="nil"/>
              <w:bottom w:val="single" w:sz="8" w:space="0" w:color="7030A0"/>
              <w:right w:val="nil"/>
            </w:tcBorders>
            <w:shd w:val="clear" w:color="000000" w:fill="FFFFFF"/>
            <w:vAlign w:val="center"/>
            <w:hideMark/>
          </w:tcPr>
          <w:p w14:paraId="63111D07" w14:textId="77777777" w:rsidR="00B740A8" w:rsidRPr="00C73365" w:rsidRDefault="00B740A8" w:rsidP="00D1541A">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Exercice 2017</w:t>
            </w:r>
          </w:p>
        </w:tc>
      </w:tr>
      <w:tr w:rsidR="00B740A8" w:rsidRPr="00C73365" w14:paraId="41D05832" w14:textId="77777777" w:rsidTr="00D1541A">
        <w:trPr>
          <w:trHeight w:val="562"/>
        </w:trPr>
        <w:tc>
          <w:tcPr>
            <w:tcW w:w="3969" w:type="dxa"/>
            <w:tcBorders>
              <w:top w:val="nil"/>
              <w:left w:val="nil"/>
              <w:bottom w:val="single" w:sz="8" w:space="0" w:color="7030A0"/>
              <w:right w:val="nil"/>
            </w:tcBorders>
            <w:shd w:val="clear" w:color="000000" w:fill="FFFFFF"/>
            <w:noWrap/>
            <w:vAlign w:val="center"/>
            <w:hideMark/>
          </w:tcPr>
          <w:p w14:paraId="0FBFB646"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Philippe Pouletty – Président du conseil d’administration</w:t>
            </w:r>
          </w:p>
        </w:tc>
        <w:tc>
          <w:tcPr>
            <w:tcW w:w="1330" w:type="dxa"/>
            <w:tcBorders>
              <w:top w:val="nil"/>
              <w:left w:val="nil"/>
              <w:bottom w:val="single" w:sz="8" w:space="0" w:color="7030A0"/>
              <w:right w:val="nil"/>
            </w:tcBorders>
            <w:shd w:val="clear" w:color="000000" w:fill="FFFFFF"/>
            <w:vAlign w:val="center"/>
            <w:hideMark/>
          </w:tcPr>
          <w:p w14:paraId="48C05174" w14:textId="77777777"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Montants </w:t>
            </w:r>
          </w:p>
          <w:p w14:paraId="1501A78F" w14:textId="77777777"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Dus </w:t>
            </w:r>
            <w:r w:rsidRPr="00C73365">
              <w:rPr>
                <w:rFonts w:asciiTheme="minorHAnsi" w:hAnsiTheme="minorHAnsi" w:cstheme="minorHAnsi"/>
                <w:i/>
                <w:color w:val="7030A0"/>
                <w:sz w:val="18"/>
                <w:szCs w:val="18"/>
                <w:lang w:val="fr-FR"/>
              </w:rPr>
              <w:t>(1)</w:t>
            </w:r>
          </w:p>
        </w:tc>
        <w:tc>
          <w:tcPr>
            <w:tcW w:w="1038" w:type="dxa"/>
            <w:tcBorders>
              <w:top w:val="nil"/>
              <w:left w:val="nil"/>
              <w:bottom w:val="single" w:sz="8" w:space="0" w:color="7030A0"/>
              <w:right w:val="nil"/>
            </w:tcBorders>
            <w:shd w:val="clear" w:color="000000" w:fill="FFFFFF"/>
            <w:vAlign w:val="center"/>
            <w:hideMark/>
          </w:tcPr>
          <w:p w14:paraId="7B85D94F" w14:textId="77777777"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w:t>
            </w:r>
          </w:p>
          <w:p w14:paraId="58EEAD06" w14:textId="77777777"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 versés </w:t>
            </w:r>
            <w:r w:rsidRPr="00C73365">
              <w:rPr>
                <w:rFonts w:asciiTheme="minorHAnsi" w:hAnsiTheme="minorHAnsi" w:cstheme="minorHAnsi"/>
                <w:i/>
                <w:color w:val="7030A0"/>
                <w:sz w:val="18"/>
                <w:szCs w:val="18"/>
                <w:lang w:val="fr-FR"/>
              </w:rPr>
              <w:t>(2)</w:t>
            </w:r>
          </w:p>
        </w:tc>
        <w:tc>
          <w:tcPr>
            <w:tcW w:w="1460" w:type="dxa"/>
            <w:tcBorders>
              <w:top w:val="nil"/>
              <w:left w:val="nil"/>
              <w:bottom w:val="single" w:sz="8" w:space="0" w:color="7030A0"/>
              <w:right w:val="nil"/>
            </w:tcBorders>
            <w:shd w:val="clear" w:color="000000" w:fill="FFFFFF"/>
            <w:vAlign w:val="center"/>
            <w:hideMark/>
          </w:tcPr>
          <w:p w14:paraId="5770ACCC" w14:textId="77777777"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Montants </w:t>
            </w:r>
          </w:p>
          <w:p w14:paraId="18A20459" w14:textId="77777777"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dus</w:t>
            </w:r>
            <w:r w:rsidRPr="00C73365">
              <w:rPr>
                <w:rFonts w:asciiTheme="minorHAnsi" w:hAnsiTheme="minorHAnsi" w:cstheme="minorHAnsi"/>
                <w:b/>
                <w:bCs/>
                <w:color w:val="7030A0"/>
                <w:sz w:val="16"/>
                <w:szCs w:val="16"/>
                <w:lang w:val="fr-FR" w:eastAsia="fr-FR"/>
              </w:rPr>
              <w:t xml:space="preserve"> </w:t>
            </w:r>
            <w:r w:rsidRPr="00C73365">
              <w:rPr>
                <w:rFonts w:asciiTheme="minorHAnsi" w:hAnsiTheme="minorHAnsi" w:cstheme="minorHAnsi"/>
                <w:i/>
                <w:color w:val="7030A0"/>
                <w:sz w:val="18"/>
                <w:szCs w:val="18"/>
                <w:lang w:val="fr-FR"/>
              </w:rPr>
              <w:t>(1)</w:t>
            </w:r>
          </w:p>
        </w:tc>
        <w:tc>
          <w:tcPr>
            <w:tcW w:w="1275" w:type="dxa"/>
            <w:tcBorders>
              <w:top w:val="nil"/>
              <w:left w:val="nil"/>
              <w:bottom w:val="single" w:sz="8" w:space="0" w:color="7030A0"/>
              <w:right w:val="nil"/>
            </w:tcBorders>
            <w:shd w:val="clear" w:color="000000" w:fill="FFFFFF"/>
            <w:vAlign w:val="center"/>
            <w:hideMark/>
          </w:tcPr>
          <w:p w14:paraId="1A8D95F0" w14:textId="77777777"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w:t>
            </w:r>
          </w:p>
          <w:p w14:paraId="44BDD63A" w14:textId="77777777"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 Versés </w:t>
            </w:r>
            <w:r w:rsidRPr="00C73365">
              <w:rPr>
                <w:rFonts w:asciiTheme="minorHAnsi" w:hAnsiTheme="minorHAnsi" w:cstheme="minorHAnsi"/>
                <w:i/>
                <w:color w:val="7030A0"/>
                <w:sz w:val="18"/>
                <w:szCs w:val="18"/>
                <w:lang w:val="fr-FR"/>
              </w:rPr>
              <w:t>(2)</w:t>
            </w:r>
          </w:p>
        </w:tc>
      </w:tr>
      <w:tr w:rsidR="00B740A8" w:rsidRPr="00C73365" w14:paraId="7949E6B5" w14:textId="77777777" w:rsidTr="00D1541A">
        <w:trPr>
          <w:trHeight w:val="298"/>
        </w:trPr>
        <w:tc>
          <w:tcPr>
            <w:tcW w:w="3969" w:type="dxa"/>
            <w:tcBorders>
              <w:top w:val="nil"/>
              <w:left w:val="nil"/>
              <w:bottom w:val="single" w:sz="8" w:space="0" w:color="7030A0"/>
              <w:right w:val="nil"/>
            </w:tcBorders>
            <w:shd w:val="clear" w:color="000000" w:fill="FFFFFF"/>
            <w:noWrap/>
            <w:vAlign w:val="center"/>
            <w:hideMark/>
          </w:tcPr>
          <w:p w14:paraId="70D449EE"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fixe</w:t>
            </w:r>
          </w:p>
        </w:tc>
        <w:tc>
          <w:tcPr>
            <w:tcW w:w="1330" w:type="dxa"/>
            <w:tcBorders>
              <w:top w:val="nil"/>
              <w:left w:val="nil"/>
              <w:bottom w:val="single" w:sz="8" w:space="0" w:color="7030A0"/>
              <w:right w:val="nil"/>
            </w:tcBorders>
            <w:shd w:val="clear" w:color="000000" w:fill="FFFFFF"/>
            <w:vAlign w:val="center"/>
            <w:hideMark/>
          </w:tcPr>
          <w:p w14:paraId="1B253283"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14:paraId="7D0F9996"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14:paraId="5A841311"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14:paraId="17DC4B85"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14:paraId="1A2E0FA5" w14:textId="77777777" w:rsidTr="00D1541A">
        <w:trPr>
          <w:trHeight w:val="298"/>
        </w:trPr>
        <w:tc>
          <w:tcPr>
            <w:tcW w:w="3969" w:type="dxa"/>
            <w:tcBorders>
              <w:top w:val="nil"/>
              <w:left w:val="nil"/>
              <w:bottom w:val="single" w:sz="8" w:space="0" w:color="7030A0"/>
              <w:right w:val="nil"/>
            </w:tcBorders>
            <w:shd w:val="clear" w:color="000000" w:fill="FFFFFF"/>
            <w:noWrap/>
            <w:vAlign w:val="center"/>
            <w:hideMark/>
          </w:tcPr>
          <w:p w14:paraId="2324B334"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annuelle</w:t>
            </w:r>
          </w:p>
        </w:tc>
        <w:tc>
          <w:tcPr>
            <w:tcW w:w="1330" w:type="dxa"/>
            <w:tcBorders>
              <w:top w:val="nil"/>
              <w:left w:val="nil"/>
              <w:bottom w:val="single" w:sz="8" w:space="0" w:color="7030A0"/>
              <w:right w:val="nil"/>
            </w:tcBorders>
            <w:shd w:val="clear" w:color="000000" w:fill="FFFFFF"/>
            <w:vAlign w:val="center"/>
            <w:hideMark/>
          </w:tcPr>
          <w:p w14:paraId="51FB98B2"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14:paraId="3C1DD774"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14:paraId="5FDF6178"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14:paraId="17AB1AC1"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14:paraId="23413C2F" w14:textId="77777777" w:rsidTr="00D1541A">
        <w:trPr>
          <w:trHeight w:val="298"/>
        </w:trPr>
        <w:tc>
          <w:tcPr>
            <w:tcW w:w="3969" w:type="dxa"/>
            <w:tcBorders>
              <w:top w:val="nil"/>
              <w:left w:val="nil"/>
              <w:bottom w:val="single" w:sz="8" w:space="0" w:color="7030A0"/>
              <w:right w:val="nil"/>
            </w:tcBorders>
            <w:shd w:val="clear" w:color="000000" w:fill="FFFFFF"/>
            <w:noWrap/>
            <w:vAlign w:val="center"/>
            <w:hideMark/>
          </w:tcPr>
          <w:p w14:paraId="741AE2E3"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pluriannuelle</w:t>
            </w:r>
          </w:p>
        </w:tc>
        <w:tc>
          <w:tcPr>
            <w:tcW w:w="1330" w:type="dxa"/>
            <w:tcBorders>
              <w:top w:val="nil"/>
              <w:left w:val="nil"/>
              <w:bottom w:val="single" w:sz="8" w:space="0" w:color="7030A0"/>
              <w:right w:val="nil"/>
            </w:tcBorders>
            <w:shd w:val="clear" w:color="000000" w:fill="FFFFFF"/>
            <w:vAlign w:val="center"/>
            <w:hideMark/>
          </w:tcPr>
          <w:p w14:paraId="467F1646"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14:paraId="1486665B"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14:paraId="03116C42"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14:paraId="4E72C01F"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14:paraId="337527FC" w14:textId="77777777" w:rsidTr="00D1541A">
        <w:trPr>
          <w:trHeight w:val="298"/>
        </w:trPr>
        <w:tc>
          <w:tcPr>
            <w:tcW w:w="3969" w:type="dxa"/>
            <w:tcBorders>
              <w:top w:val="nil"/>
              <w:left w:val="nil"/>
              <w:bottom w:val="single" w:sz="8" w:space="0" w:color="7030A0"/>
              <w:right w:val="nil"/>
            </w:tcBorders>
            <w:shd w:val="clear" w:color="000000" w:fill="FFFFFF"/>
            <w:noWrap/>
            <w:vAlign w:val="center"/>
            <w:hideMark/>
          </w:tcPr>
          <w:p w14:paraId="18AE962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exceptionnelle</w:t>
            </w:r>
          </w:p>
        </w:tc>
        <w:tc>
          <w:tcPr>
            <w:tcW w:w="1330" w:type="dxa"/>
            <w:tcBorders>
              <w:top w:val="nil"/>
              <w:left w:val="nil"/>
              <w:bottom w:val="single" w:sz="8" w:space="0" w:color="7030A0"/>
              <w:right w:val="nil"/>
            </w:tcBorders>
            <w:shd w:val="clear" w:color="000000" w:fill="FFFFFF"/>
            <w:vAlign w:val="center"/>
            <w:hideMark/>
          </w:tcPr>
          <w:p w14:paraId="7CC3A0D8"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14:paraId="77FE8BA1"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14:paraId="7B3FA7C8"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14:paraId="54148D14"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14:paraId="20A9E9FC" w14:textId="77777777" w:rsidTr="00D1541A">
        <w:trPr>
          <w:trHeight w:val="298"/>
        </w:trPr>
        <w:tc>
          <w:tcPr>
            <w:tcW w:w="3969" w:type="dxa"/>
            <w:tcBorders>
              <w:top w:val="nil"/>
              <w:left w:val="nil"/>
              <w:bottom w:val="single" w:sz="8" w:space="0" w:color="7030A0"/>
              <w:right w:val="nil"/>
            </w:tcBorders>
            <w:shd w:val="clear" w:color="000000" w:fill="FFFFFF"/>
            <w:noWrap/>
            <w:vAlign w:val="center"/>
            <w:hideMark/>
          </w:tcPr>
          <w:p w14:paraId="308BC1B8"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Jetons de présence</w:t>
            </w:r>
          </w:p>
        </w:tc>
        <w:tc>
          <w:tcPr>
            <w:tcW w:w="1330" w:type="dxa"/>
            <w:tcBorders>
              <w:top w:val="nil"/>
              <w:left w:val="nil"/>
              <w:bottom w:val="single" w:sz="8" w:space="0" w:color="7030A0"/>
              <w:right w:val="nil"/>
            </w:tcBorders>
            <w:shd w:val="clear" w:color="000000" w:fill="FFFFFF"/>
            <w:vAlign w:val="center"/>
            <w:hideMark/>
          </w:tcPr>
          <w:p w14:paraId="7C937B25"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14:paraId="40E82956"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14:paraId="25869B7D"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14:paraId="3807DCAF"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14:paraId="01634135" w14:textId="77777777" w:rsidTr="00D1541A">
        <w:trPr>
          <w:trHeight w:val="298"/>
        </w:trPr>
        <w:tc>
          <w:tcPr>
            <w:tcW w:w="3969" w:type="dxa"/>
            <w:tcBorders>
              <w:top w:val="nil"/>
              <w:left w:val="nil"/>
              <w:bottom w:val="single" w:sz="8" w:space="0" w:color="7030A0"/>
              <w:right w:val="nil"/>
            </w:tcBorders>
            <w:shd w:val="clear" w:color="000000" w:fill="FFFFFF"/>
            <w:noWrap/>
            <w:vAlign w:val="center"/>
            <w:hideMark/>
          </w:tcPr>
          <w:p w14:paraId="31823C2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Avantages en nature</w:t>
            </w:r>
          </w:p>
        </w:tc>
        <w:tc>
          <w:tcPr>
            <w:tcW w:w="1330" w:type="dxa"/>
            <w:tcBorders>
              <w:top w:val="nil"/>
              <w:left w:val="nil"/>
              <w:bottom w:val="single" w:sz="8" w:space="0" w:color="7030A0"/>
              <w:right w:val="nil"/>
            </w:tcBorders>
            <w:shd w:val="clear" w:color="000000" w:fill="FFFFFF"/>
            <w:vAlign w:val="center"/>
            <w:hideMark/>
          </w:tcPr>
          <w:p w14:paraId="6C4B0C5E"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14:paraId="16266EAF"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14:paraId="5B70DEDA"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14:paraId="142242A4"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14:paraId="566B31F2" w14:textId="77777777" w:rsidTr="00D1541A">
        <w:trPr>
          <w:trHeight w:val="298"/>
        </w:trPr>
        <w:tc>
          <w:tcPr>
            <w:tcW w:w="3969" w:type="dxa"/>
            <w:tcBorders>
              <w:top w:val="nil"/>
              <w:left w:val="nil"/>
              <w:bottom w:val="single" w:sz="8" w:space="0" w:color="7030A0"/>
              <w:right w:val="nil"/>
            </w:tcBorders>
            <w:shd w:val="clear" w:color="auto" w:fill="auto"/>
            <w:noWrap/>
            <w:vAlign w:val="center"/>
            <w:hideMark/>
          </w:tcPr>
          <w:p w14:paraId="57C9477F" w14:textId="77777777"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330" w:type="dxa"/>
            <w:tcBorders>
              <w:top w:val="nil"/>
              <w:left w:val="nil"/>
              <w:bottom w:val="single" w:sz="8" w:space="0" w:color="7030A0"/>
              <w:right w:val="nil"/>
            </w:tcBorders>
            <w:shd w:val="clear" w:color="000000" w:fill="FFFFFF"/>
            <w:vAlign w:val="center"/>
            <w:hideMark/>
          </w:tcPr>
          <w:p w14:paraId="5FC8CAA6" w14:textId="77777777"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14:paraId="35131CBE" w14:textId="77777777"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14:paraId="39428814" w14:textId="77777777"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14:paraId="486B460D" w14:textId="77777777"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r>
    </w:tbl>
    <w:p w14:paraId="6967E6DB" w14:textId="77777777" w:rsidR="00B740A8" w:rsidRPr="00C73365" w:rsidRDefault="00B740A8" w:rsidP="00B740A8">
      <w:pPr>
        <w:pStyle w:val="BlockLeft"/>
        <w:rPr>
          <w:rFonts w:asciiTheme="minorHAnsi" w:hAnsiTheme="minorHAnsi" w:cstheme="minorHAnsi"/>
          <w:i/>
          <w:color w:val="7030A0"/>
          <w:sz w:val="18"/>
          <w:szCs w:val="18"/>
          <w:lang w:val="fr-FR"/>
        </w:rPr>
      </w:pPr>
    </w:p>
    <w:tbl>
      <w:tblPr>
        <w:tblW w:w="9214" w:type="dxa"/>
        <w:tblInd w:w="70" w:type="dxa"/>
        <w:tblLayout w:type="fixed"/>
        <w:tblCellMar>
          <w:left w:w="70" w:type="dxa"/>
          <w:right w:w="70" w:type="dxa"/>
        </w:tblCellMar>
        <w:tblLook w:val="04A0" w:firstRow="1" w:lastRow="0" w:firstColumn="1" w:lastColumn="0" w:noHBand="0" w:noVBand="1"/>
      </w:tblPr>
      <w:tblGrid>
        <w:gridCol w:w="3423"/>
        <w:gridCol w:w="1651"/>
        <w:gridCol w:w="1305"/>
        <w:gridCol w:w="1489"/>
        <w:gridCol w:w="1346"/>
      </w:tblGrid>
      <w:tr w:rsidR="00B740A8" w:rsidRPr="00C73365" w14:paraId="7592DE13" w14:textId="77777777" w:rsidTr="00D1541A">
        <w:trPr>
          <w:trHeight w:val="214"/>
        </w:trPr>
        <w:tc>
          <w:tcPr>
            <w:tcW w:w="3423" w:type="dxa"/>
            <w:tcBorders>
              <w:top w:val="nil"/>
              <w:left w:val="nil"/>
              <w:bottom w:val="nil"/>
              <w:right w:val="nil"/>
            </w:tcBorders>
            <w:shd w:val="clear" w:color="auto" w:fill="auto"/>
            <w:noWrap/>
            <w:vAlign w:val="bottom"/>
            <w:hideMark/>
          </w:tcPr>
          <w:p w14:paraId="52104682" w14:textId="77777777" w:rsidR="00B740A8" w:rsidRPr="00C73365" w:rsidRDefault="00B740A8" w:rsidP="00D1541A">
            <w:pPr>
              <w:rPr>
                <w:rFonts w:asciiTheme="minorHAnsi" w:hAnsiTheme="minorHAnsi" w:cstheme="minorHAnsi"/>
                <w:sz w:val="24"/>
                <w:szCs w:val="20"/>
                <w:lang w:val="fr-FR" w:eastAsia="fr-FR"/>
              </w:rPr>
            </w:pPr>
          </w:p>
        </w:tc>
        <w:tc>
          <w:tcPr>
            <w:tcW w:w="2956" w:type="dxa"/>
            <w:gridSpan w:val="2"/>
            <w:tcBorders>
              <w:top w:val="nil"/>
              <w:left w:val="nil"/>
              <w:bottom w:val="nil"/>
              <w:right w:val="nil"/>
            </w:tcBorders>
            <w:shd w:val="clear" w:color="auto" w:fill="auto"/>
            <w:noWrap/>
            <w:vAlign w:val="center"/>
            <w:hideMark/>
          </w:tcPr>
          <w:p w14:paraId="556DD918" w14:textId="77777777" w:rsidR="00B740A8" w:rsidRPr="00C73365" w:rsidRDefault="00B740A8" w:rsidP="00D1541A">
            <w:pPr>
              <w:jc w:val="center"/>
              <w:rPr>
                <w:rFonts w:asciiTheme="minorHAnsi" w:hAnsiTheme="minorHAnsi" w:cstheme="minorHAnsi"/>
                <w:b/>
                <w:bCs/>
                <w:color w:val="7030A0"/>
                <w:sz w:val="22"/>
                <w:szCs w:val="22"/>
                <w:lang w:val="fr-FR" w:eastAsia="fr-FR"/>
              </w:rPr>
            </w:pPr>
            <w:r w:rsidRPr="00C73365">
              <w:rPr>
                <w:rFonts w:asciiTheme="minorHAnsi" w:hAnsiTheme="minorHAnsi" w:cstheme="minorHAnsi"/>
                <w:b/>
                <w:bCs/>
                <w:color w:val="7030A0"/>
                <w:sz w:val="22"/>
                <w:szCs w:val="22"/>
                <w:lang w:val="fr-FR" w:eastAsia="fr-FR"/>
              </w:rPr>
              <w:t>Exercice 2016</w:t>
            </w:r>
          </w:p>
        </w:tc>
        <w:tc>
          <w:tcPr>
            <w:tcW w:w="2835" w:type="dxa"/>
            <w:gridSpan w:val="2"/>
            <w:tcBorders>
              <w:top w:val="nil"/>
              <w:left w:val="nil"/>
              <w:bottom w:val="nil"/>
              <w:right w:val="nil"/>
            </w:tcBorders>
            <w:shd w:val="clear" w:color="auto" w:fill="auto"/>
            <w:noWrap/>
            <w:vAlign w:val="center"/>
            <w:hideMark/>
          </w:tcPr>
          <w:p w14:paraId="722E4ED3" w14:textId="77777777" w:rsidR="00B740A8" w:rsidRPr="00C73365" w:rsidRDefault="00B740A8" w:rsidP="00D1541A">
            <w:pPr>
              <w:jc w:val="center"/>
              <w:rPr>
                <w:rFonts w:asciiTheme="minorHAnsi" w:hAnsiTheme="minorHAnsi" w:cstheme="minorHAnsi"/>
                <w:b/>
                <w:bCs/>
                <w:color w:val="7030A0"/>
                <w:sz w:val="22"/>
                <w:szCs w:val="22"/>
                <w:lang w:val="fr-FR" w:eastAsia="fr-FR"/>
              </w:rPr>
            </w:pPr>
            <w:r w:rsidRPr="00C73365">
              <w:rPr>
                <w:rFonts w:asciiTheme="minorHAnsi" w:hAnsiTheme="minorHAnsi" w:cstheme="minorHAnsi"/>
                <w:b/>
                <w:bCs/>
                <w:color w:val="7030A0"/>
                <w:sz w:val="22"/>
                <w:szCs w:val="22"/>
                <w:lang w:val="fr-FR" w:eastAsia="fr-FR"/>
              </w:rPr>
              <w:t>Exercice 2017</w:t>
            </w:r>
          </w:p>
        </w:tc>
      </w:tr>
      <w:tr w:rsidR="00B740A8" w:rsidRPr="00C73365" w14:paraId="0F2C4DB9" w14:textId="77777777" w:rsidTr="00D1541A">
        <w:trPr>
          <w:trHeight w:val="300"/>
        </w:trPr>
        <w:tc>
          <w:tcPr>
            <w:tcW w:w="3423" w:type="dxa"/>
            <w:tcBorders>
              <w:top w:val="single" w:sz="8" w:space="0" w:color="7030A0"/>
              <w:left w:val="nil"/>
              <w:bottom w:val="nil"/>
              <w:right w:val="nil"/>
            </w:tcBorders>
            <w:shd w:val="clear" w:color="000000" w:fill="FFFFFF"/>
            <w:noWrap/>
            <w:vAlign w:val="center"/>
            <w:hideMark/>
          </w:tcPr>
          <w:p w14:paraId="1E5E6E9F"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Hartmut Ehrlich – Directeur Général</w:t>
            </w:r>
          </w:p>
        </w:tc>
        <w:tc>
          <w:tcPr>
            <w:tcW w:w="1651" w:type="dxa"/>
            <w:vMerge w:val="restart"/>
            <w:tcBorders>
              <w:top w:val="single" w:sz="8" w:space="0" w:color="7030A0"/>
              <w:left w:val="nil"/>
              <w:bottom w:val="single" w:sz="8" w:space="0" w:color="7030A0"/>
              <w:right w:val="nil"/>
            </w:tcBorders>
            <w:shd w:val="clear" w:color="000000" w:fill="FFFFFF"/>
            <w:vAlign w:val="center"/>
            <w:hideMark/>
          </w:tcPr>
          <w:p w14:paraId="27C69D02" w14:textId="77777777"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14:paraId="09822800" w14:textId="77777777"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dus </w:t>
            </w:r>
            <w:r w:rsidRPr="00F55A34">
              <w:rPr>
                <w:rFonts w:asciiTheme="minorHAnsi" w:hAnsiTheme="minorHAnsi" w:cstheme="minorHAnsi"/>
                <w:i/>
                <w:color w:val="7030A0"/>
                <w:szCs w:val="20"/>
                <w:lang w:val="fr-FR"/>
              </w:rPr>
              <w:t>(1)</w:t>
            </w:r>
          </w:p>
        </w:tc>
        <w:tc>
          <w:tcPr>
            <w:tcW w:w="1305" w:type="dxa"/>
            <w:vMerge w:val="restart"/>
            <w:tcBorders>
              <w:top w:val="single" w:sz="8" w:space="0" w:color="7030A0"/>
              <w:left w:val="nil"/>
              <w:bottom w:val="single" w:sz="8" w:space="0" w:color="7030A0"/>
              <w:right w:val="nil"/>
            </w:tcBorders>
            <w:shd w:val="clear" w:color="000000" w:fill="FFFFFF"/>
            <w:vAlign w:val="center"/>
            <w:hideMark/>
          </w:tcPr>
          <w:p w14:paraId="61454C68" w14:textId="77777777"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14:paraId="3A912BC4" w14:textId="77777777"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versés </w:t>
            </w:r>
            <w:r w:rsidRPr="00F55A34">
              <w:rPr>
                <w:rFonts w:asciiTheme="minorHAnsi" w:hAnsiTheme="minorHAnsi" w:cstheme="minorHAnsi"/>
                <w:i/>
                <w:color w:val="7030A0"/>
                <w:szCs w:val="20"/>
                <w:lang w:val="fr-FR"/>
              </w:rPr>
              <w:t>(2)</w:t>
            </w:r>
          </w:p>
        </w:tc>
        <w:tc>
          <w:tcPr>
            <w:tcW w:w="1489" w:type="dxa"/>
            <w:vMerge w:val="restart"/>
            <w:tcBorders>
              <w:top w:val="single" w:sz="8" w:space="0" w:color="7030A0"/>
              <w:left w:val="nil"/>
              <w:bottom w:val="single" w:sz="8" w:space="0" w:color="7030A0"/>
              <w:right w:val="nil"/>
            </w:tcBorders>
            <w:shd w:val="clear" w:color="000000" w:fill="FFFFFF"/>
            <w:vAlign w:val="center"/>
            <w:hideMark/>
          </w:tcPr>
          <w:p w14:paraId="6E48CCF3" w14:textId="77777777"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14:paraId="79EB82CE" w14:textId="77777777"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Dus </w:t>
            </w:r>
            <w:r w:rsidRPr="00F55A34">
              <w:rPr>
                <w:rFonts w:asciiTheme="minorHAnsi" w:hAnsiTheme="minorHAnsi" w:cstheme="minorHAnsi"/>
                <w:i/>
                <w:color w:val="7030A0"/>
                <w:szCs w:val="20"/>
                <w:lang w:val="fr-FR"/>
              </w:rPr>
              <w:t>(1)</w:t>
            </w:r>
          </w:p>
        </w:tc>
        <w:tc>
          <w:tcPr>
            <w:tcW w:w="1346" w:type="dxa"/>
            <w:vMerge w:val="restart"/>
            <w:tcBorders>
              <w:top w:val="single" w:sz="8" w:space="0" w:color="7030A0"/>
              <w:left w:val="nil"/>
              <w:bottom w:val="single" w:sz="8" w:space="0" w:color="7030A0"/>
              <w:right w:val="nil"/>
            </w:tcBorders>
            <w:shd w:val="clear" w:color="000000" w:fill="FFFFFF"/>
            <w:vAlign w:val="center"/>
            <w:hideMark/>
          </w:tcPr>
          <w:p w14:paraId="5B0614D7" w14:textId="77777777"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14:paraId="135A6DA0" w14:textId="77777777"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Versés </w:t>
            </w:r>
            <w:r w:rsidRPr="00F55A34">
              <w:rPr>
                <w:rFonts w:asciiTheme="minorHAnsi" w:hAnsiTheme="minorHAnsi" w:cstheme="minorHAnsi"/>
                <w:i/>
                <w:color w:val="7030A0"/>
                <w:szCs w:val="20"/>
                <w:lang w:val="fr-FR"/>
              </w:rPr>
              <w:t>(2)</w:t>
            </w:r>
          </w:p>
        </w:tc>
      </w:tr>
      <w:tr w:rsidR="00B740A8" w:rsidRPr="00C73365" w14:paraId="33385BF6" w14:textId="77777777" w:rsidTr="00D1541A">
        <w:trPr>
          <w:trHeight w:val="214"/>
        </w:trPr>
        <w:tc>
          <w:tcPr>
            <w:tcW w:w="3423" w:type="dxa"/>
            <w:tcBorders>
              <w:top w:val="nil"/>
              <w:left w:val="nil"/>
              <w:bottom w:val="single" w:sz="8" w:space="0" w:color="7030A0"/>
              <w:right w:val="nil"/>
            </w:tcBorders>
            <w:shd w:val="clear" w:color="000000" w:fill="FFFFFF"/>
            <w:noWrap/>
            <w:vAlign w:val="center"/>
            <w:hideMark/>
          </w:tcPr>
          <w:p w14:paraId="31AE6755"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651" w:type="dxa"/>
            <w:vMerge/>
            <w:tcBorders>
              <w:top w:val="single" w:sz="8" w:space="0" w:color="7030A0"/>
              <w:left w:val="nil"/>
              <w:bottom w:val="single" w:sz="8" w:space="0" w:color="7030A0"/>
              <w:right w:val="nil"/>
            </w:tcBorders>
            <w:vAlign w:val="center"/>
            <w:hideMark/>
          </w:tcPr>
          <w:p w14:paraId="0ABEF968" w14:textId="77777777" w:rsidR="00B740A8" w:rsidRPr="00F55A34" w:rsidRDefault="00B740A8" w:rsidP="00D1541A">
            <w:pPr>
              <w:rPr>
                <w:rFonts w:asciiTheme="minorHAnsi" w:hAnsiTheme="minorHAnsi" w:cstheme="minorHAnsi"/>
                <w:b/>
                <w:bCs/>
                <w:color w:val="000000"/>
                <w:szCs w:val="20"/>
                <w:lang w:val="fr-FR" w:eastAsia="fr-FR"/>
              </w:rPr>
            </w:pPr>
          </w:p>
        </w:tc>
        <w:tc>
          <w:tcPr>
            <w:tcW w:w="1305" w:type="dxa"/>
            <w:vMerge/>
            <w:tcBorders>
              <w:top w:val="single" w:sz="8" w:space="0" w:color="7030A0"/>
              <w:left w:val="nil"/>
              <w:bottom w:val="single" w:sz="8" w:space="0" w:color="7030A0"/>
              <w:right w:val="nil"/>
            </w:tcBorders>
            <w:vAlign w:val="center"/>
            <w:hideMark/>
          </w:tcPr>
          <w:p w14:paraId="5B72AFDF" w14:textId="77777777" w:rsidR="00B740A8" w:rsidRPr="00F55A34" w:rsidRDefault="00B740A8" w:rsidP="00D1541A">
            <w:pPr>
              <w:rPr>
                <w:rFonts w:asciiTheme="minorHAnsi" w:hAnsiTheme="minorHAnsi" w:cstheme="minorHAnsi"/>
                <w:b/>
                <w:bCs/>
                <w:color w:val="000000"/>
                <w:szCs w:val="20"/>
                <w:lang w:val="fr-FR" w:eastAsia="fr-FR"/>
              </w:rPr>
            </w:pPr>
          </w:p>
        </w:tc>
        <w:tc>
          <w:tcPr>
            <w:tcW w:w="1489" w:type="dxa"/>
            <w:vMerge/>
            <w:tcBorders>
              <w:top w:val="single" w:sz="8" w:space="0" w:color="7030A0"/>
              <w:left w:val="nil"/>
              <w:bottom w:val="single" w:sz="8" w:space="0" w:color="7030A0"/>
              <w:right w:val="nil"/>
            </w:tcBorders>
            <w:vAlign w:val="center"/>
            <w:hideMark/>
          </w:tcPr>
          <w:p w14:paraId="59D1D47A" w14:textId="77777777" w:rsidR="00B740A8" w:rsidRPr="00F55A34" w:rsidRDefault="00B740A8" w:rsidP="00D1541A">
            <w:pPr>
              <w:rPr>
                <w:rFonts w:asciiTheme="minorHAnsi" w:hAnsiTheme="minorHAnsi" w:cstheme="minorHAnsi"/>
                <w:b/>
                <w:bCs/>
                <w:color w:val="000000"/>
                <w:szCs w:val="20"/>
                <w:lang w:val="fr-FR" w:eastAsia="fr-FR"/>
              </w:rPr>
            </w:pPr>
          </w:p>
        </w:tc>
        <w:tc>
          <w:tcPr>
            <w:tcW w:w="1346" w:type="dxa"/>
            <w:vMerge/>
            <w:tcBorders>
              <w:top w:val="single" w:sz="8" w:space="0" w:color="7030A0"/>
              <w:left w:val="nil"/>
              <w:bottom w:val="single" w:sz="8" w:space="0" w:color="7030A0"/>
              <w:right w:val="nil"/>
            </w:tcBorders>
            <w:vAlign w:val="center"/>
            <w:hideMark/>
          </w:tcPr>
          <w:p w14:paraId="61D13DAF" w14:textId="77777777" w:rsidR="00B740A8" w:rsidRPr="00F55A34" w:rsidRDefault="00B740A8" w:rsidP="00D1541A">
            <w:pPr>
              <w:rPr>
                <w:rFonts w:asciiTheme="minorHAnsi" w:hAnsiTheme="minorHAnsi" w:cstheme="minorHAnsi"/>
                <w:b/>
                <w:bCs/>
                <w:color w:val="000000"/>
                <w:szCs w:val="20"/>
                <w:lang w:val="fr-FR" w:eastAsia="fr-FR"/>
              </w:rPr>
            </w:pPr>
          </w:p>
        </w:tc>
      </w:tr>
      <w:tr w:rsidR="00B740A8" w:rsidRPr="00C73365" w14:paraId="21990FA0" w14:textId="77777777" w:rsidTr="00D1541A">
        <w:trPr>
          <w:trHeight w:val="214"/>
        </w:trPr>
        <w:tc>
          <w:tcPr>
            <w:tcW w:w="3423" w:type="dxa"/>
            <w:tcBorders>
              <w:top w:val="nil"/>
              <w:left w:val="nil"/>
              <w:bottom w:val="single" w:sz="8" w:space="0" w:color="7030A0"/>
              <w:right w:val="nil"/>
            </w:tcBorders>
            <w:shd w:val="clear" w:color="000000" w:fill="FFFFFF"/>
            <w:noWrap/>
            <w:vAlign w:val="center"/>
            <w:hideMark/>
          </w:tcPr>
          <w:p w14:paraId="142CA9BD"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fixe</w:t>
            </w:r>
          </w:p>
        </w:tc>
        <w:tc>
          <w:tcPr>
            <w:tcW w:w="1651" w:type="dxa"/>
            <w:tcBorders>
              <w:top w:val="nil"/>
              <w:left w:val="nil"/>
              <w:bottom w:val="single" w:sz="8" w:space="0" w:color="7030A0"/>
              <w:right w:val="nil"/>
            </w:tcBorders>
            <w:shd w:val="clear" w:color="000000" w:fill="FFFFFF"/>
            <w:hideMark/>
          </w:tcPr>
          <w:p w14:paraId="10786213" w14:textId="77777777"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 xml:space="preserve">260 000 </w:t>
            </w:r>
          </w:p>
        </w:tc>
        <w:tc>
          <w:tcPr>
            <w:tcW w:w="1305" w:type="dxa"/>
            <w:tcBorders>
              <w:top w:val="nil"/>
              <w:left w:val="nil"/>
              <w:bottom w:val="single" w:sz="8" w:space="0" w:color="7030A0"/>
              <w:right w:val="nil"/>
            </w:tcBorders>
            <w:shd w:val="clear" w:color="000000" w:fill="FFFFFF"/>
            <w:hideMark/>
          </w:tcPr>
          <w:p w14:paraId="75571F08" w14:textId="77777777" w:rsidR="00B740A8" w:rsidRPr="00F55A34" w:rsidRDefault="00C12E6B"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264 987</w:t>
            </w:r>
            <w:r w:rsidRPr="00F55A34">
              <w:rPr>
                <w:rFonts w:asciiTheme="minorHAnsi" w:hAnsiTheme="minorHAnsi" w:cstheme="minorHAnsi"/>
                <w:szCs w:val="20"/>
                <w:vertAlign w:val="superscript"/>
                <w:lang w:val="fr-FR" w:eastAsia="fr-FR"/>
              </w:rPr>
              <w:t>1</w:t>
            </w:r>
          </w:p>
        </w:tc>
        <w:tc>
          <w:tcPr>
            <w:tcW w:w="1489" w:type="dxa"/>
            <w:tcBorders>
              <w:top w:val="nil"/>
              <w:left w:val="nil"/>
              <w:bottom w:val="single" w:sz="8" w:space="0" w:color="7030A0"/>
              <w:right w:val="nil"/>
            </w:tcBorders>
            <w:shd w:val="clear" w:color="000000" w:fill="FFFFFF"/>
          </w:tcPr>
          <w:p w14:paraId="2A4E7596" w14:textId="77777777" w:rsidR="00B740A8" w:rsidRPr="00F55A34" w:rsidRDefault="00B740A8" w:rsidP="00D1541A">
            <w:pPr>
              <w:jc w:val="right"/>
              <w:rPr>
                <w:rFonts w:asciiTheme="minorHAnsi" w:hAnsiTheme="minorHAnsi" w:cstheme="minorHAnsi"/>
                <w:szCs w:val="20"/>
                <w:vertAlign w:val="superscript"/>
                <w:lang w:val="fr-FR"/>
              </w:rPr>
            </w:pPr>
            <w:r w:rsidRPr="00F55A34">
              <w:rPr>
                <w:rFonts w:asciiTheme="minorHAnsi" w:hAnsiTheme="minorHAnsi" w:cstheme="minorHAnsi"/>
                <w:szCs w:val="20"/>
                <w:lang w:val="fr-FR" w:eastAsia="fr-FR"/>
              </w:rPr>
              <w:t>267</w:t>
            </w:r>
            <w:r w:rsidR="00867006" w:rsidRPr="00F55A34">
              <w:rPr>
                <w:rFonts w:asciiTheme="minorHAnsi" w:hAnsiTheme="minorHAnsi" w:cstheme="minorHAnsi"/>
                <w:szCs w:val="20"/>
                <w:lang w:val="fr-FR" w:eastAsia="fr-FR"/>
              </w:rPr>
              <w:t> </w:t>
            </w:r>
            <w:r w:rsidRPr="00F55A34">
              <w:rPr>
                <w:rFonts w:asciiTheme="minorHAnsi" w:hAnsiTheme="minorHAnsi" w:cstheme="minorHAnsi"/>
                <w:szCs w:val="20"/>
                <w:lang w:val="fr-FR" w:eastAsia="fr-FR"/>
              </w:rPr>
              <w:t>800</w:t>
            </w:r>
            <w:r w:rsidR="00867006" w:rsidRPr="00F55A34">
              <w:rPr>
                <w:rFonts w:asciiTheme="minorHAnsi" w:hAnsiTheme="minorHAnsi" w:cstheme="minorHAnsi"/>
                <w:szCs w:val="20"/>
                <w:vertAlign w:val="superscript"/>
                <w:lang w:val="fr-FR" w:eastAsia="fr-FR"/>
              </w:rPr>
              <w:t>1</w:t>
            </w:r>
          </w:p>
        </w:tc>
        <w:tc>
          <w:tcPr>
            <w:tcW w:w="1346" w:type="dxa"/>
            <w:tcBorders>
              <w:top w:val="nil"/>
              <w:left w:val="nil"/>
              <w:bottom w:val="single" w:sz="8" w:space="0" w:color="7030A0"/>
              <w:right w:val="nil"/>
            </w:tcBorders>
            <w:shd w:val="clear" w:color="000000" w:fill="FFFFFF"/>
          </w:tcPr>
          <w:p w14:paraId="1F01C2C0"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267 800</w:t>
            </w:r>
            <w:r w:rsidRPr="00F55A34">
              <w:rPr>
                <w:rFonts w:asciiTheme="minorHAnsi" w:hAnsiTheme="minorHAnsi" w:cstheme="minorHAnsi"/>
                <w:szCs w:val="20"/>
                <w:vertAlign w:val="superscript"/>
                <w:lang w:val="fr-FR" w:eastAsia="fr-FR"/>
              </w:rPr>
              <w:t>1</w:t>
            </w:r>
            <w:r w:rsidRPr="00F55A34">
              <w:rPr>
                <w:rFonts w:asciiTheme="minorHAnsi" w:hAnsiTheme="minorHAnsi" w:cstheme="minorHAnsi"/>
                <w:szCs w:val="20"/>
                <w:lang w:val="fr-FR" w:eastAsia="fr-FR"/>
              </w:rPr>
              <w:t xml:space="preserve">      </w:t>
            </w:r>
          </w:p>
        </w:tc>
      </w:tr>
      <w:tr w:rsidR="00B740A8" w:rsidRPr="00C73365" w14:paraId="7482CD56" w14:textId="77777777" w:rsidTr="00D1541A">
        <w:trPr>
          <w:trHeight w:val="214"/>
        </w:trPr>
        <w:tc>
          <w:tcPr>
            <w:tcW w:w="3423" w:type="dxa"/>
            <w:tcBorders>
              <w:top w:val="nil"/>
              <w:left w:val="nil"/>
              <w:bottom w:val="single" w:sz="8" w:space="0" w:color="7030A0"/>
              <w:right w:val="nil"/>
            </w:tcBorders>
            <w:shd w:val="clear" w:color="000000" w:fill="FFFFFF"/>
            <w:noWrap/>
            <w:vAlign w:val="center"/>
            <w:hideMark/>
          </w:tcPr>
          <w:p w14:paraId="07F938BB" w14:textId="36AFCFBF"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annuelle</w:t>
            </w:r>
            <w:r w:rsidR="00666DFD">
              <w:rPr>
                <w:rFonts w:asciiTheme="minorHAnsi" w:hAnsiTheme="minorHAnsi" w:cstheme="minorHAnsi"/>
                <w:color w:val="000000"/>
                <w:szCs w:val="20"/>
                <w:vertAlign w:val="superscript"/>
                <w:lang w:val="fr-FR" w:eastAsia="fr-FR"/>
              </w:rPr>
              <w:t>3</w:t>
            </w:r>
          </w:p>
        </w:tc>
        <w:tc>
          <w:tcPr>
            <w:tcW w:w="1651" w:type="dxa"/>
            <w:tcBorders>
              <w:top w:val="nil"/>
              <w:left w:val="nil"/>
              <w:bottom w:val="single" w:sz="8" w:space="0" w:color="7030A0"/>
              <w:right w:val="nil"/>
            </w:tcBorders>
            <w:shd w:val="clear" w:color="000000" w:fill="FFFFFF"/>
            <w:hideMark/>
          </w:tcPr>
          <w:p w14:paraId="7F021BF8" w14:textId="77777777" w:rsidR="00B740A8" w:rsidRPr="00F55A34" w:rsidRDefault="00F77BC7"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78 000</w:t>
            </w:r>
          </w:p>
        </w:tc>
        <w:tc>
          <w:tcPr>
            <w:tcW w:w="1305" w:type="dxa"/>
            <w:tcBorders>
              <w:top w:val="nil"/>
              <w:left w:val="nil"/>
              <w:bottom w:val="single" w:sz="8" w:space="0" w:color="7030A0"/>
              <w:right w:val="nil"/>
            </w:tcBorders>
            <w:shd w:val="clear" w:color="000000" w:fill="FFFFFF"/>
            <w:hideMark/>
          </w:tcPr>
          <w:p w14:paraId="0EF80896" w14:textId="77777777" w:rsidR="00B740A8" w:rsidRPr="00F55A34" w:rsidRDefault="00F77BC7"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93 600</w:t>
            </w:r>
          </w:p>
        </w:tc>
        <w:tc>
          <w:tcPr>
            <w:tcW w:w="1489" w:type="dxa"/>
            <w:tcBorders>
              <w:top w:val="nil"/>
              <w:left w:val="nil"/>
              <w:bottom w:val="single" w:sz="8" w:space="0" w:color="7030A0"/>
              <w:right w:val="nil"/>
            </w:tcBorders>
            <w:shd w:val="clear" w:color="000000" w:fill="FFFFFF"/>
          </w:tcPr>
          <w:p w14:paraId="5C6E0FF9" w14:textId="77777777" w:rsidR="00B740A8" w:rsidRPr="00F55A34" w:rsidRDefault="00F77BC7" w:rsidP="00D1541A">
            <w:pPr>
              <w:jc w:val="right"/>
              <w:rPr>
                <w:rFonts w:asciiTheme="minorHAnsi" w:hAnsiTheme="minorHAnsi" w:cstheme="minorHAnsi"/>
                <w:szCs w:val="20"/>
                <w:lang w:val="fr-FR"/>
              </w:rPr>
            </w:pPr>
            <w:r w:rsidRPr="00F55A34">
              <w:rPr>
                <w:rFonts w:asciiTheme="minorHAnsi" w:hAnsiTheme="minorHAnsi" w:cstheme="minorHAnsi"/>
                <w:szCs w:val="20"/>
                <w:lang w:val="fr-FR" w:eastAsia="fr-FR"/>
              </w:rPr>
              <w:t>96 408</w:t>
            </w:r>
          </w:p>
        </w:tc>
        <w:tc>
          <w:tcPr>
            <w:tcW w:w="1346" w:type="dxa"/>
            <w:tcBorders>
              <w:top w:val="nil"/>
              <w:left w:val="nil"/>
              <w:bottom w:val="single" w:sz="8" w:space="0" w:color="7030A0"/>
              <w:right w:val="nil"/>
            </w:tcBorders>
            <w:shd w:val="clear" w:color="000000" w:fill="FFFFFF"/>
          </w:tcPr>
          <w:p w14:paraId="0567A71E" w14:textId="77777777" w:rsidR="00B740A8" w:rsidRPr="00F55A34" w:rsidRDefault="00867006" w:rsidP="00D1541A">
            <w:pPr>
              <w:jc w:val="right"/>
              <w:rPr>
                <w:rFonts w:asciiTheme="minorHAnsi" w:hAnsiTheme="minorHAnsi" w:cstheme="minorHAnsi"/>
                <w:szCs w:val="20"/>
                <w:lang w:val="fr-FR"/>
              </w:rPr>
            </w:pPr>
            <w:r w:rsidRPr="00F55A34">
              <w:rPr>
                <w:rFonts w:asciiTheme="minorHAnsi" w:hAnsiTheme="minorHAnsi" w:cstheme="minorHAnsi"/>
                <w:szCs w:val="20"/>
                <w:lang w:val="fr-FR" w:eastAsia="fr-FR"/>
              </w:rPr>
              <w:t>78 000</w:t>
            </w:r>
            <w:r w:rsidRPr="00F55A34">
              <w:rPr>
                <w:rFonts w:asciiTheme="minorHAnsi" w:hAnsiTheme="minorHAnsi" w:cstheme="minorHAnsi"/>
                <w:szCs w:val="20"/>
                <w:vertAlign w:val="superscript"/>
                <w:lang w:val="fr-FR" w:eastAsia="fr-FR"/>
              </w:rPr>
              <w:t>2</w:t>
            </w:r>
          </w:p>
        </w:tc>
      </w:tr>
      <w:tr w:rsidR="00B740A8" w:rsidRPr="00C73365" w14:paraId="00000592" w14:textId="77777777" w:rsidTr="00D1541A">
        <w:trPr>
          <w:trHeight w:val="214"/>
        </w:trPr>
        <w:tc>
          <w:tcPr>
            <w:tcW w:w="3423" w:type="dxa"/>
            <w:tcBorders>
              <w:top w:val="nil"/>
              <w:left w:val="nil"/>
              <w:bottom w:val="single" w:sz="8" w:space="0" w:color="7030A0"/>
              <w:right w:val="nil"/>
            </w:tcBorders>
            <w:shd w:val="clear" w:color="000000" w:fill="FFFFFF"/>
            <w:noWrap/>
            <w:vAlign w:val="center"/>
            <w:hideMark/>
          </w:tcPr>
          <w:p w14:paraId="590C593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pluriannuelle</w:t>
            </w:r>
          </w:p>
        </w:tc>
        <w:tc>
          <w:tcPr>
            <w:tcW w:w="1651" w:type="dxa"/>
            <w:tcBorders>
              <w:top w:val="nil"/>
              <w:left w:val="nil"/>
              <w:bottom w:val="single" w:sz="8" w:space="0" w:color="7030A0"/>
              <w:right w:val="nil"/>
            </w:tcBorders>
            <w:shd w:val="clear" w:color="000000" w:fill="FFFFFF"/>
            <w:hideMark/>
          </w:tcPr>
          <w:p w14:paraId="49C7B8A6"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305" w:type="dxa"/>
            <w:tcBorders>
              <w:top w:val="nil"/>
              <w:left w:val="nil"/>
              <w:bottom w:val="single" w:sz="8" w:space="0" w:color="7030A0"/>
              <w:right w:val="nil"/>
            </w:tcBorders>
            <w:shd w:val="clear" w:color="000000" w:fill="FFFFFF"/>
            <w:hideMark/>
          </w:tcPr>
          <w:p w14:paraId="0E038316"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489" w:type="dxa"/>
            <w:tcBorders>
              <w:top w:val="nil"/>
              <w:left w:val="nil"/>
              <w:bottom w:val="single" w:sz="8" w:space="0" w:color="7030A0"/>
              <w:right w:val="nil"/>
            </w:tcBorders>
            <w:shd w:val="clear" w:color="000000" w:fill="FFFFFF"/>
          </w:tcPr>
          <w:p w14:paraId="37C8A11C"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346" w:type="dxa"/>
            <w:tcBorders>
              <w:top w:val="nil"/>
              <w:left w:val="nil"/>
              <w:bottom w:val="single" w:sz="8" w:space="0" w:color="7030A0"/>
              <w:right w:val="nil"/>
            </w:tcBorders>
            <w:shd w:val="clear" w:color="000000" w:fill="FFFFFF"/>
          </w:tcPr>
          <w:p w14:paraId="26D978E7"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r>
      <w:tr w:rsidR="00B740A8" w:rsidRPr="00C73365" w14:paraId="7C3FC27E" w14:textId="77777777" w:rsidTr="00D1541A">
        <w:trPr>
          <w:trHeight w:val="214"/>
        </w:trPr>
        <w:tc>
          <w:tcPr>
            <w:tcW w:w="3423" w:type="dxa"/>
            <w:tcBorders>
              <w:top w:val="nil"/>
              <w:left w:val="nil"/>
              <w:bottom w:val="single" w:sz="8" w:space="0" w:color="7030A0"/>
              <w:right w:val="nil"/>
            </w:tcBorders>
            <w:shd w:val="clear" w:color="000000" w:fill="FFFFFF"/>
            <w:noWrap/>
            <w:vAlign w:val="center"/>
            <w:hideMark/>
          </w:tcPr>
          <w:p w14:paraId="1BE268BD"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exceptionnelle</w:t>
            </w:r>
          </w:p>
        </w:tc>
        <w:tc>
          <w:tcPr>
            <w:tcW w:w="1651" w:type="dxa"/>
            <w:tcBorders>
              <w:top w:val="nil"/>
              <w:left w:val="nil"/>
              <w:bottom w:val="single" w:sz="8" w:space="0" w:color="7030A0"/>
              <w:right w:val="nil"/>
            </w:tcBorders>
            <w:shd w:val="clear" w:color="000000" w:fill="FFFFFF"/>
            <w:hideMark/>
          </w:tcPr>
          <w:p w14:paraId="57D8E510" w14:textId="77777777"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 xml:space="preserve">Néant </w:t>
            </w:r>
          </w:p>
        </w:tc>
        <w:tc>
          <w:tcPr>
            <w:tcW w:w="1305" w:type="dxa"/>
            <w:tcBorders>
              <w:top w:val="nil"/>
              <w:left w:val="nil"/>
              <w:bottom w:val="single" w:sz="8" w:space="0" w:color="7030A0"/>
              <w:right w:val="nil"/>
            </w:tcBorders>
            <w:shd w:val="clear" w:color="000000" w:fill="FFFFFF"/>
            <w:hideMark/>
          </w:tcPr>
          <w:p w14:paraId="36D88C9A"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489" w:type="dxa"/>
            <w:tcBorders>
              <w:top w:val="nil"/>
              <w:left w:val="nil"/>
              <w:bottom w:val="single" w:sz="8" w:space="0" w:color="7030A0"/>
              <w:right w:val="nil"/>
            </w:tcBorders>
            <w:shd w:val="clear" w:color="000000" w:fill="FFFFFF"/>
          </w:tcPr>
          <w:p w14:paraId="2C96B81A"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 xml:space="preserve">Néant </w:t>
            </w:r>
          </w:p>
        </w:tc>
        <w:tc>
          <w:tcPr>
            <w:tcW w:w="1346" w:type="dxa"/>
            <w:tcBorders>
              <w:top w:val="nil"/>
              <w:left w:val="nil"/>
              <w:bottom w:val="single" w:sz="8" w:space="0" w:color="7030A0"/>
              <w:right w:val="nil"/>
            </w:tcBorders>
            <w:shd w:val="clear" w:color="000000" w:fill="FFFFFF"/>
          </w:tcPr>
          <w:p w14:paraId="2D219437"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r>
      <w:tr w:rsidR="00B740A8" w:rsidRPr="00C73365" w14:paraId="3050B3B3" w14:textId="77777777" w:rsidTr="00D1541A">
        <w:trPr>
          <w:trHeight w:hRule="exact" w:val="232"/>
        </w:trPr>
        <w:tc>
          <w:tcPr>
            <w:tcW w:w="3423" w:type="dxa"/>
            <w:tcBorders>
              <w:top w:val="nil"/>
              <w:left w:val="nil"/>
              <w:bottom w:val="single" w:sz="8" w:space="0" w:color="7030A0"/>
              <w:right w:val="nil"/>
            </w:tcBorders>
            <w:shd w:val="clear" w:color="000000" w:fill="FFFFFF"/>
            <w:noWrap/>
            <w:vAlign w:val="center"/>
            <w:hideMark/>
          </w:tcPr>
          <w:p w14:paraId="351544AD"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Jetons de présence</w:t>
            </w:r>
          </w:p>
          <w:p w14:paraId="0BF85FB7" w14:textId="77777777" w:rsidR="00B740A8" w:rsidRPr="00C73365" w:rsidRDefault="00B740A8" w:rsidP="00D1541A">
            <w:pPr>
              <w:rPr>
                <w:rFonts w:asciiTheme="minorHAnsi" w:hAnsiTheme="minorHAnsi" w:cstheme="minorHAnsi"/>
                <w:color w:val="000000"/>
                <w:szCs w:val="20"/>
                <w:lang w:val="fr-FR" w:eastAsia="fr-FR"/>
              </w:rPr>
            </w:pPr>
          </w:p>
        </w:tc>
        <w:tc>
          <w:tcPr>
            <w:tcW w:w="1651" w:type="dxa"/>
            <w:tcBorders>
              <w:top w:val="nil"/>
              <w:left w:val="nil"/>
              <w:bottom w:val="single" w:sz="8" w:space="0" w:color="7030A0"/>
              <w:right w:val="nil"/>
            </w:tcBorders>
            <w:shd w:val="clear" w:color="000000" w:fill="FFFFFF"/>
            <w:hideMark/>
          </w:tcPr>
          <w:p w14:paraId="527CB22A"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305" w:type="dxa"/>
            <w:tcBorders>
              <w:top w:val="nil"/>
              <w:left w:val="nil"/>
              <w:bottom w:val="single" w:sz="8" w:space="0" w:color="7030A0"/>
              <w:right w:val="nil"/>
            </w:tcBorders>
            <w:shd w:val="clear" w:color="000000" w:fill="FFFFFF"/>
            <w:hideMark/>
          </w:tcPr>
          <w:p w14:paraId="14CBE86D"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489" w:type="dxa"/>
            <w:tcBorders>
              <w:top w:val="nil"/>
              <w:left w:val="nil"/>
              <w:bottom w:val="single" w:sz="8" w:space="0" w:color="7030A0"/>
              <w:right w:val="nil"/>
            </w:tcBorders>
            <w:shd w:val="clear" w:color="000000" w:fill="FFFFFF"/>
          </w:tcPr>
          <w:p w14:paraId="6DA0580A"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346" w:type="dxa"/>
            <w:tcBorders>
              <w:top w:val="nil"/>
              <w:left w:val="nil"/>
              <w:bottom w:val="single" w:sz="8" w:space="0" w:color="7030A0"/>
              <w:right w:val="nil"/>
            </w:tcBorders>
            <w:shd w:val="clear" w:color="000000" w:fill="FFFFFF"/>
          </w:tcPr>
          <w:p w14:paraId="3B5E6B8C"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r>
      <w:tr w:rsidR="00B740A8" w:rsidRPr="00C73365" w14:paraId="75B504B9" w14:textId="77777777" w:rsidTr="00D1541A">
        <w:trPr>
          <w:trHeight w:val="214"/>
        </w:trPr>
        <w:tc>
          <w:tcPr>
            <w:tcW w:w="3423" w:type="dxa"/>
            <w:tcBorders>
              <w:top w:val="nil"/>
              <w:left w:val="nil"/>
              <w:bottom w:val="single" w:sz="8" w:space="0" w:color="7030A0"/>
              <w:right w:val="nil"/>
            </w:tcBorders>
            <w:shd w:val="clear" w:color="000000" w:fill="FFFFFF"/>
            <w:noWrap/>
            <w:vAlign w:val="center"/>
            <w:hideMark/>
          </w:tcPr>
          <w:p w14:paraId="230AABB4"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Avantages en nature</w:t>
            </w:r>
            <w:r w:rsidRPr="00C73365">
              <w:rPr>
                <w:rFonts w:asciiTheme="minorHAnsi" w:hAnsiTheme="minorHAnsi" w:cstheme="minorHAnsi"/>
                <w:color w:val="000000"/>
                <w:szCs w:val="20"/>
                <w:vertAlign w:val="superscript"/>
                <w:lang w:val="fr-FR" w:eastAsia="fr-FR"/>
              </w:rPr>
              <w:t>4</w:t>
            </w:r>
          </w:p>
        </w:tc>
        <w:tc>
          <w:tcPr>
            <w:tcW w:w="1651" w:type="dxa"/>
            <w:tcBorders>
              <w:top w:val="nil"/>
              <w:left w:val="nil"/>
              <w:bottom w:val="single" w:sz="8" w:space="0" w:color="7030A0"/>
              <w:right w:val="nil"/>
            </w:tcBorders>
            <w:shd w:val="clear" w:color="000000" w:fill="FFFFFF"/>
            <w:hideMark/>
          </w:tcPr>
          <w:p w14:paraId="6B69CB6A" w14:textId="77777777"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7 172</w:t>
            </w:r>
          </w:p>
        </w:tc>
        <w:tc>
          <w:tcPr>
            <w:tcW w:w="1305" w:type="dxa"/>
            <w:tcBorders>
              <w:top w:val="nil"/>
              <w:left w:val="nil"/>
              <w:bottom w:val="single" w:sz="8" w:space="0" w:color="7030A0"/>
              <w:right w:val="nil"/>
            </w:tcBorders>
            <w:shd w:val="clear" w:color="000000" w:fill="FFFFFF"/>
            <w:hideMark/>
          </w:tcPr>
          <w:p w14:paraId="54AD9618"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c>
          <w:tcPr>
            <w:tcW w:w="1489" w:type="dxa"/>
            <w:tcBorders>
              <w:top w:val="nil"/>
              <w:left w:val="nil"/>
              <w:bottom w:val="single" w:sz="8" w:space="0" w:color="7030A0"/>
              <w:right w:val="nil"/>
            </w:tcBorders>
            <w:shd w:val="clear" w:color="000000" w:fill="FFFFFF"/>
          </w:tcPr>
          <w:p w14:paraId="226408D6"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c>
          <w:tcPr>
            <w:tcW w:w="1346" w:type="dxa"/>
            <w:tcBorders>
              <w:top w:val="nil"/>
              <w:left w:val="nil"/>
              <w:bottom w:val="single" w:sz="8" w:space="0" w:color="7030A0"/>
              <w:right w:val="nil"/>
            </w:tcBorders>
            <w:shd w:val="clear" w:color="000000" w:fill="FFFFFF"/>
          </w:tcPr>
          <w:p w14:paraId="72B3C5B7" w14:textId="77777777"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r>
      <w:tr w:rsidR="00B740A8" w:rsidRPr="00C73365" w14:paraId="793186FF" w14:textId="77777777" w:rsidTr="00D1541A">
        <w:trPr>
          <w:trHeight w:val="403"/>
        </w:trPr>
        <w:tc>
          <w:tcPr>
            <w:tcW w:w="3423" w:type="dxa"/>
            <w:tcBorders>
              <w:top w:val="nil"/>
              <w:left w:val="nil"/>
              <w:bottom w:val="single" w:sz="8" w:space="0" w:color="7030A0"/>
              <w:right w:val="nil"/>
            </w:tcBorders>
            <w:shd w:val="clear" w:color="auto" w:fill="auto"/>
            <w:noWrap/>
            <w:vAlign w:val="center"/>
            <w:hideMark/>
          </w:tcPr>
          <w:p w14:paraId="3C83282A" w14:textId="77777777"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651" w:type="dxa"/>
            <w:tcBorders>
              <w:top w:val="nil"/>
              <w:left w:val="nil"/>
              <w:bottom w:val="single" w:sz="8" w:space="0" w:color="7030A0"/>
              <w:right w:val="nil"/>
            </w:tcBorders>
            <w:shd w:val="clear" w:color="000000" w:fill="FFFFFF"/>
            <w:vAlign w:val="center"/>
            <w:hideMark/>
          </w:tcPr>
          <w:p w14:paraId="0EA8AFF3" w14:textId="77777777" w:rsidR="00B740A8" w:rsidRPr="00F55A34" w:rsidRDefault="00C3153E"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345</w:t>
            </w:r>
            <w:r w:rsidR="00C12E6B" w:rsidRPr="00F55A34">
              <w:rPr>
                <w:rFonts w:asciiTheme="minorHAnsi" w:hAnsiTheme="minorHAnsi" w:cstheme="minorHAnsi"/>
                <w:b/>
                <w:bCs/>
                <w:color w:val="7030A0"/>
                <w:szCs w:val="20"/>
                <w:lang w:val="fr-FR" w:eastAsia="fr-FR"/>
              </w:rPr>
              <w:t> </w:t>
            </w:r>
            <w:r w:rsidRPr="00F55A34">
              <w:rPr>
                <w:rFonts w:asciiTheme="minorHAnsi" w:hAnsiTheme="minorHAnsi" w:cstheme="minorHAnsi"/>
                <w:b/>
                <w:bCs/>
                <w:color w:val="7030A0"/>
                <w:szCs w:val="20"/>
                <w:lang w:val="fr-FR" w:eastAsia="fr-FR"/>
              </w:rPr>
              <w:t>172</w:t>
            </w:r>
            <w:r w:rsidR="00C12E6B" w:rsidRPr="00F55A34">
              <w:rPr>
                <w:rFonts w:asciiTheme="minorHAnsi" w:hAnsiTheme="minorHAnsi" w:cstheme="minorHAnsi"/>
                <w:b/>
                <w:bCs/>
                <w:color w:val="7030A0"/>
                <w:szCs w:val="20"/>
                <w:lang w:val="fr-FR" w:eastAsia="fr-FR"/>
              </w:rPr>
              <w:t xml:space="preserve"> </w:t>
            </w:r>
            <w:r w:rsidR="00B740A8" w:rsidRPr="00F55A34">
              <w:rPr>
                <w:rFonts w:asciiTheme="minorHAnsi" w:hAnsiTheme="minorHAnsi" w:cstheme="minorHAnsi"/>
                <w:b/>
                <w:bCs/>
                <w:color w:val="7030A0"/>
                <w:szCs w:val="20"/>
                <w:lang w:val="fr-FR" w:eastAsia="fr-FR"/>
              </w:rPr>
              <w:t>€</w:t>
            </w:r>
          </w:p>
        </w:tc>
        <w:tc>
          <w:tcPr>
            <w:tcW w:w="1305" w:type="dxa"/>
            <w:tcBorders>
              <w:top w:val="nil"/>
              <w:left w:val="nil"/>
              <w:bottom w:val="single" w:sz="8" w:space="0" w:color="7030A0"/>
              <w:right w:val="nil"/>
            </w:tcBorders>
            <w:shd w:val="clear" w:color="000000" w:fill="FFFFFF"/>
            <w:vAlign w:val="center"/>
            <w:hideMark/>
          </w:tcPr>
          <w:p w14:paraId="7872A4D6" w14:textId="77777777" w:rsidR="00B740A8" w:rsidRPr="00F55A34" w:rsidRDefault="00C12E6B"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 xml:space="preserve">365 760 </w:t>
            </w:r>
            <w:r w:rsidR="00B740A8" w:rsidRPr="00F55A34">
              <w:rPr>
                <w:rFonts w:asciiTheme="minorHAnsi" w:hAnsiTheme="minorHAnsi" w:cstheme="minorHAnsi"/>
                <w:b/>
                <w:bCs/>
                <w:color w:val="7030A0"/>
                <w:szCs w:val="20"/>
                <w:lang w:val="fr-FR" w:eastAsia="fr-FR"/>
              </w:rPr>
              <w:t>€</w:t>
            </w:r>
          </w:p>
        </w:tc>
        <w:tc>
          <w:tcPr>
            <w:tcW w:w="1489" w:type="dxa"/>
            <w:tcBorders>
              <w:top w:val="nil"/>
              <w:left w:val="nil"/>
              <w:bottom w:val="single" w:sz="8" w:space="0" w:color="7030A0"/>
              <w:right w:val="nil"/>
            </w:tcBorders>
            <w:shd w:val="clear" w:color="000000" w:fill="FFFFFF"/>
            <w:vAlign w:val="center"/>
          </w:tcPr>
          <w:p w14:paraId="612AA259" w14:textId="77777777" w:rsidR="00B740A8" w:rsidRPr="00F55A34" w:rsidRDefault="001577DF"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382 092</w:t>
            </w:r>
            <w:r w:rsidR="00B740A8" w:rsidRPr="00F55A34">
              <w:rPr>
                <w:rFonts w:asciiTheme="minorHAnsi" w:hAnsiTheme="minorHAnsi" w:cstheme="minorHAnsi"/>
                <w:b/>
                <w:bCs/>
                <w:color w:val="7030A0"/>
                <w:szCs w:val="20"/>
                <w:lang w:val="fr-FR" w:eastAsia="fr-FR"/>
              </w:rPr>
              <w:t xml:space="preserve"> €</w:t>
            </w:r>
          </w:p>
        </w:tc>
        <w:tc>
          <w:tcPr>
            <w:tcW w:w="1346" w:type="dxa"/>
            <w:tcBorders>
              <w:top w:val="nil"/>
              <w:left w:val="nil"/>
              <w:bottom w:val="single" w:sz="8" w:space="0" w:color="7030A0"/>
              <w:right w:val="nil"/>
            </w:tcBorders>
            <w:shd w:val="clear" w:color="000000" w:fill="FFFFFF"/>
            <w:vAlign w:val="center"/>
          </w:tcPr>
          <w:p w14:paraId="3BA30CDE" w14:textId="77777777" w:rsidR="00B740A8" w:rsidRPr="00F55A34" w:rsidRDefault="005C789C"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352 972</w:t>
            </w:r>
            <w:r w:rsidR="00B740A8" w:rsidRPr="00F55A34">
              <w:rPr>
                <w:rFonts w:asciiTheme="minorHAnsi" w:hAnsiTheme="minorHAnsi" w:cstheme="minorHAnsi"/>
                <w:b/>
                <w:bCs/>
                <w:color w:val="7030A0"/>
                <w:szCs w:val="20"/>
                <w:lang w:val="fr-FR" w:eastAsia="fr-FR"/>
              </w:rPr>
              <w:t xml:space="preserve"> €</w:t>
            </w:r>
          </w:p>
        </w:tc>
      </w:tr>
    </w:tbl>
    <w:p w14:paraId="7C14E97B" w14:textId="3FA4DE29" w:rsidR="00B740A8" w:rsidRPr="008B709B" w:rsidRDefault="008B709B" w:rsidP="008B709B">
      <w:pPr>
        <w:pStyle w:val="BlockLeft"/>
        <w:ind w:left="720"/>
        <w:jc w:val="center"/>
        <w:rPr>
          <w:rFonts w:asciiTheme="minorHAnsi" w:hAnsiTheme="minorHAnsi" w:cstheme="minorHAnsi"/>
          <w:color w:val="000000"/>
          <w:vertAlign w:val="superscript"/>
          <w:lang w:val="fr-FR" w:eastAsia="fr-FR"/>
        </w:rPr>
      </w:pPr>
      <w:r>
        <w:rPr>
          <w:rFonts w:asciiTheme="minorHAnsi" w:hAnsiTheme="minorHAnsi" w:cstheme="minorHAnsi"/>
          <w:i/>
          <w:color w:val="7030A0"/>
          <w:lang w:val="fr-FR"/>
        </w:rPr>
        <w:t xml:space="preserve">(1) </w:t>
      </w:r>
      <w:r w:rsidRPr="001F18A7">
        <w:rPr>
          <w:rFonts w:asciiTheme="minorHAnsi" w:hAnsiTheme="minorHAnsi" w:cstheme="minorHAnsi"/>
          <w:i/>
          <w:color w:val="7030A0"/>
          <w:lang w:val="fr-FR"/>
        </w:rPr>
        <w:t>au titre de l’exercice (2) au cours de l’exercic</w:t>
      </w:r>
      <w:r>
        <w:rPr>
          <w:rFonts w:asciiTheme="minorHAnsi" w:hAnsiTheme="minorHAnsi" w:cstheme="minorHAnsi"/>
          <w:i/>
          <w:color w:val="7030A0"/>
          <w:lang w:val="fr-FR"/>
        </w:rPr>
        <w:t>e</w:t>
      </w:r>
    </w:p>
    <w:p w14:paraId="53A879D9" w14:textId="653495BC" w:rsidR="00B740A8" w:rsidRPr="008B709B" w:rsidRDefault="00B740A8" w:rsidP="008B709B">
      <w:pPr>
        <w:pStyle w:val="BlockLeft"/>
        <w:rPr>
          <w:rFonts w:asciiTheme="minorHAnsi" w:hAnsiTheme="minorHAnsi" w:cstheme="minorHAnsi"/>
          <w:i/>
          <w:color w:val="7030A0"/>
          <w:lang w:val="fr-FR"/>
        </w:rPr>
      </w:pPr>
      <w:r w:rsidRPr="001F18A7">
        <w:rPr>
          <w:rFonts w:asciiTheme="minorHAnsi" w:hAnsiTheme="minorHAnsi" w:cstheme="minorHAnsi"/>
          <w:color w:val="000000"/>
          <w:vertAlign w:val="superscript"/>
          <w:lang w:val="fr-FR" w:eastAsia="fr-FR"/>
        </w:rPr>
        <w:t xml:space="preserve">1 </w:t>
      </w:r>
      <w:r w:rsidRPr="001F18A7">
        <w:rPr>
          <w:rFonts w:asciiTheme="minorHAnsi" w:hAnsiTheme="minorHAnsi" w:cstheme="minorHAnsi"/>
          <w:color w:val="000000"/>
          <w:lang w:val="fr-FR" w:eastAsia="fr-FR"/>
        </w:rPr>
        <w:t>La rémunération annuelle de Monsieur Ehrlich pour l’exercice 2017 comprend une part fixe d’un montant de 267.800 euros brut annuel.</w:t>
      </w:r>
      <w:r w:rsidR="00C12E6B" w:rsidRPr="001F18A7">
        <w:rPr>
          <w:rFonts w:asciiTheme="minorHAnsi" w:hAnsiTheme="minorHAnsi" w:cstheme="minorHAnsi"/>
          <w:color w:val="000000"/>
          <w:lang w:val="fr-FR" w:eastAsia="fr-FR"/>
        </w:rPr>
        <w:t xml:space="preserve"> En 2016, la rémunération fixe de Monsieur Ehrlich</w:t>
      </w:r>
      <w:r w:rsidR="005B066C" w:rsidRPr="001F18A7">
        <w:rPr>
          <w:rFonts w:asciiTheme="minorHAnsi" w:hAnsiTheme="minorHAnsi" w:cstheme="minorHAnsi"/>
          <w:color w:val="000000"/>
          <w:lang w:val="fr-FR" w:eastAsia="fr-FR"/>
        </w:rPr>
        <w:t xml:space="preserve"> était de 260 000 € à laquelle </w:t>
      </w:r>
      <w:r w:rsidR="00C12E6B" w:rsidRPr="001F18A7">
        <w:rPr>
          <w:rFonts w:asciiTheme="minorHAnsi" w:hAnsiTheme="minorHAnsi" w:cstheme="minorHAnsi"/>
          <w:color w:val="000000"/>
          <w:lang w:val="fr-FR" w:eastAsia="fr-FR"/>
        </w:rPr>
        <w:t>s’est ajouté</w:t>
      </w:r>
      <w:r w:rsidR="005B066C" w:rsidRPr="001F18A7">
        <w:rPr>
          <w:rFonts w:asciiTheme="minorHAnsi" w:hAnsiTheme="minorHAnsi" w:cstheme="minorHAnsi"/>
          <w:color w:val="000000"/>
          <w:lang w:val="fr-FR" w:eastAsia="fr-FR"/>
        </w:rPr>
        <w:t>e</w:t>
      </w:r>
      <w:r w:rsidR="00C12E6B" w:rsidRPr="001F18A7">
        <w:rPr>
          <w:rFonts w:asciiTheme="minorHAnsi" w:hAnsiTheme="minorHAnsi" w:cstheme="minorHAnsi"/>
          <w:color w:val="000000"/>
          <w:lang w:val="fr-FR" w:eastAsia="fr-FR"/>
        </w:rPr>
        <w:t xml:space="preserve"> une rectification des salaires 2015 de 4 987 € en mars 2016.</w:t>
      </w:r>
    </w:p>
    <w:p w14:paraId="01576223" w14:textId="6A7132DB" w:rsidR="00B740A8" w:rsidRPr="001F18A7" w:rsidRDefault="00B740A8" w:rsidP="00B740A8">
      <w:pPr>
        <w:pStyle w:val="BlockLeft"/>
        <w:rPr>
          <w:rFonts w:asciiTheme="minorHAnsi" w:hAnsiTheme="minorHAnsi" w:cstheme="minorHAnsi"/>
          <w:color w:val="000000"/>
          <w:lang w:val="fr-FR" w:eastAsia="fr-FR"/>
        </w:rPr>
      </w:pPr>
      <w:r w:rsidRPr="001F18A7">
        <w:rPr>
          <w:rFonts w:asciiTheme="minorHAnsi" w:hAnsiTheme="minorHAnsi" w:cstheme="minorHAnsi"/>
          <w:color w:val="000000"/>
          <w:vertAlign w:val="superscript"/>
          <w:lang w:val="fr-FR" w:eastAsia="fr-FR"/>
        </w:rPr>
        <w:t>2</w:t>
      </w:r>
      <w:r w:rsidRPr="001F18A7">
        <w:rPr>
          <w:rFonts w:asciiTheme="minorHAnsi" w:hAnsiTheme="minorHAnsi" w:cstheme="minorHAnsi"/>
          <w:color w:val="000000"/>
          <w:lang w:val="fr-FR" w:eastAsia="fr-FR"/>
        </w:rPr>
        <w:t xml:space="preserve">Monsieur Ehrlich a perçu, outre la part fixe de sa rémunération, une rémunération variable dont le montant maximum brut a été fixé par le conseil d’administration en date du 13 mars 2017 à 40% de sa rémunération fixe pour l’année 2017 sous réserve de l’atteinte d’objectifs personnels et d’entreprise établis par le conseil d’administration de la Société. Sur proposition du comité des rémunérations, le conseil d’administration de la Société en date du 22 janvier 2018 a attribué à Monsieur Ehrlich une rémunération variable brute d’un montant de </w:t>
      </w:r>
      <w:r w:rsidR="00867006" w:rsidRPr="001F18A7">
        <w:rPr>
          <w:rFonts w:asciiTheme="minorHAnsi" w:hAnsiTheme="minorHAnsi" w:cstheme="minorHAnsi"/>
          <w:color w:val="000000"/>
          <w:lang w:val="fr-FR" w:eastAsia="fr-FR"/>
        </w:rPr>
        <w:t>96 408</w:t>
      </w:r>
      <w:r w:rsidRPr="001F18A7">
        <w:rPr>
          <w:rFonts w:asciiTheme="minorHAnsi" w:hAnsiTheme="minorHAnsi" w:cstheme="minorHAnsi"/>
          <w:color w:val="000000"/>
          <w:lang w:val="fr-FR" w:eastAsia="fr-FR"/>
        </w:rPr>
        <w:t xml:space="preserve"> euros pour l’année 2017. Cette rémunération variable </w:t>
      </w:r>
      <w:r w:rsidR="001577DF" w:rsidRPr="001F18A7">
        <w:rPr>
          <w:rFonts w:asciiTheme="minorHAnsi" w:hAnsiTheme="minorHAnsi" w:cstheme="minorHAnsi"/>
          <w:color w:val="000000"/>
          <w:lang w:val="fr-FR" w:eastAsia="fr-FR"/>
        </w:rPr>
        <w:t>a été versée en février 2018</w:t>
      </w:r>
      <w:r w:rsidRPr="001F18A7">
        <w:rPr>
          <w:rFonts w:asciiTheme="minorHAnsi" w:hAnsiTheme="minorHAnsi" w:cstheme="minorHAnsi"/>
          <w:color w:val="000000"/>
          <w:lang w:val="fr-FR" w:eastAsia="fr-FR"/>
        </w:rPr>
        <w:t>.</w:t>
      </w:r>
    </w:p>
    <w:p w14:paraId="105C8633" w14:textId="35FEEECB" w:rsidR="00B740A8" w:rsidRPr="001F18A7" w:rsidRDefault="00B740A8" w:rsidP="00B740A8">
      <w:pPr>
        <w:pStyle w:val="BlockLeft"/>
        <w:rPr>
          <w:rFonts w:asciiTheme="minorHAnsi" w:hAnsiTheme="minorHAnsi" w:cstheme="minorHAnsi"/>
          <w:color w:val="000000"/>
          <w:lang w:val="fr-FR" w:eastAsia="fr-FR"/>
        </w:rPr>
      </w:pPr>
      <w:r w:rsidRPr="001F18A7">
        <w:rPr>
          <w:rFonts w:asciiTheme="minorHAnsi" w:hAnsiTheme="minorHAnsi" w:cstheme="minorHAnsi"/>
          <w:color w:val="000000"/>
          <w:vertAlign w:val="superscript"/>
          <w:lang w:val="fr-FR" w:eastAsia="fr-FR"/>
        </w:rPr>
        <w:t>3</w:t>
      </w:r>
      <w:r w:rsidR="001F18A7">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La rémunération variable versée au titre de l’exercice correspond à celle due au titre de l’exercice précédent.</w:t>
      </w:r>
    </w:p>
    <w:p w14:paraId="0EC07941" w14:textId="1EAAB1E0" w:rsidR="005A55E9" w:rsidRPr="00C73365" w:rsidRDefault="00B740A8" w:rsidP="00B740A8">
      <w:pPr>
        <w:pStyle w:val="BlockLeft"/>
        <w:rPr>
          <w:rFonts w:asciiTheme="minorHAnsi" w:hAnsiTheme="minorHAnsi" w:cstheme="minorHAnsi"/>
          <w:color w:val="000000"/>
          <w:lang w:val="fr-FR" w:eastAsia="fr-FR"/>
        </w:rPr>
      </w:pPr>
      <w:r w:rsidRPr="001F18A7">
        <w:rPr>
          <w:rFonts w:asciiTheme="minorHAnsi" w:hAnsiTheme="minorHAnsi" w:cstheme="minorHAnsi"/>
          <w:color w:val="000000"/>
          <w:vertAlign w:val="superscript"/>
          <w:lang w:val="fr-FR" w:eastAsia="fr-FR"/>
        </w:rPr>
        <w:t>4</w:t>
      </w:r>
      <w:r w:rsidRPr="001F18A7">
        <w:rPr>
          <w:rFonts w:asciiTheme="minorHAnsi" w:hAnsiTheme="minorHAnsi" w:cstheme="minorHAnsi"/>
          <w:color w:val="000000"/>
          <w:lang w:val="fr-FR" w:eastAsia="fr-FR"/>
        </w:rPr>
        <w:t>Monsieur Hartmut Ehrlich bénéficie d’une voiture de fonction</w:t>
      </w:r>
      <w:r w:rsidRPr="00C73365">
        <w:rPr>
          <w:rFonts w:asciiTheme="minorHAnsi" w:hAnsiTheme="minorHAnsi" w:cstheme="minorHAnsi"/>
          <w:color w:val="000000"/>
          <w:lang w:val="fr-FR" w:eastAsia="fr-FR"/>
        </w:rPr>
        <w:t>.</w:t>
      </w:r>
    </w:p>
    <w:p w14:paraId="78E2B884" w14:textId="02BF1F64" w:rsidR="005A55E9" w:rsidRDefault="00B740A8" w:rsidP="005A55E9">
      <w:pPr>
        <w:pStyle w:val="Corpsdetexte"/>
        <w:spacing w:after="0"/>
        <w:rPr>
          <w:rFonts w:asciiTheme="minorHAnsi" w:hAnsiTheme="minorHAnsi" w:cstheme="minorHAnsi"/>
          <w:b/>
          <w:lang w:val="fr-FR"/>
        </w:rPr>
      </w:pPr>
      <w:r w:rsidRPr="00C73365">
        <w:rPr>
          <w:rFonts w:asciiTheme="minorHAnsi" w:hAnsiTheme="minorHAnsi" w:cstheme="minorHAnsi"/>
          <w:b/>
          <w:lang w:val="fr-FR"/>
        </w:rPr>
        <w:t>Tableau 3 : Tableau sur les jetons de présence et les autres rémunérations perçus par les mandataires sociaux non dirigeants</w:t>
      </w:r>
    </w:p>
    <w:p w14:paraId="7923DF65" w14:textId="77777777" w:rsidR="00FF5A22" w:rsidRDefault="00FF5A22" w:rsidP="005A55E9">
      <w:pPr>
        <w:pStyle w:val="Corpsdetexte"/>
        <w:spacing w:after="0"/>
        <w:rPr>
          <w:rFonts w:asciiTheme="minorHAnsi" w:hAnsiTheme="minorHAnsi" w:cstheme="minorHAnsi"/>
          <w:b/>
          <w:lang w:val="fr-FR"/>
        </w:rPr>
      </w:pPr>
    </w:p>
    <w:p w14:paraId="1CD4C812" w14:textId="688607B6" w:rsidR="00B740A8" w:rsidRPr="005A55E9" w:rsidRDefault="00B740A8" w:rsidP="005A55E9">
      <w:pPr>
        <w:pStyle w:val="Corpsdetexte"/>
        <w:spacing w:after="0"/>
        <w:rPr>
          <w:rFonts w:asciiTheme="minorHAnsi" w:hAnsiTheme="minorHAnsi" w:cstheme="minorHAnsi"/>
          <w:b/>
          <w:lang w:val="fr-FR"/>
        </w:rPr>
      </w:pPr>
      <w:r w:rsidRPr="00C73365">
        <w:rPr>
          <w:rFonts w:asciiTheme="minorHAnsi" w:hAnsiTheme="minorHAnsi" w:cstheme="minorHAnsi"/>
          <w:spacing w:val="-2"/>
          <w:lang w:val="fr-FR"/>
        </w:rPr>
        <w:t xml:space="preserve">L’assemblée générale mixte en date du 23 juin 2017 a décidé d’allouer aux administrateurs, </w:t>
      </w:r>
      <w:r w:rsidRPr="00C73365">
        <w:rPr>
          <w:rFonts w:asciiTheme="minorHAnsi" w:hAnsiTheme="minorHAnsi" w:cstheme="minorHAnsi"/>
          <w:lang w:val="fr-FR"/>
        </w:rPr>
        <w:t xml:space="preserve">en rémunération de leur activité, une somme annuelle, nette, maximale et globale de 110.000 euros hors forfait social pour l’exercice clos le 31 décembre 2017 à titre de jetons de présence. Le conseil d’administration du </w:t>
      </w:r>
      <w:r w:rsidRPr="00C73365">
        <w:rPr>
          <w:rFonts w:asciiTheme="minorHAnsi" w:hAnsiTheme="minorHAnsi" w:cstheme="minorHAnsi"/>
          <w:iCs/>
          <w:lang w:val="fr-FR"/>
        </w:rPr>
        <w:t>15 mars 2018</w:t>
      </w:r>
      <w:r w:rsidRPr="00C73365">
        <w:rPr>
          <w:rFonts w:asciiTheme="minorHAnsi" w:hAnsiTheme="minorHAnsi" w:cstheme="minorHAnsi"/>
          <w:lang w:val="fr-FR"/>
        </w:rPr>
        <w:t xml:space="preserve"> a décidé de l’affectation des jetons de présence</w:t>
      </w:r>
      <w:r w:rsidRPr="00C73365">
        <w:rPr>
          <w:rFonts w:asciiTheme="minorHAnsi" w:hAnsiTheme="minorHAnsi" w:cstheme="minorHAnsi"/>
          <w:iCs/>
          <w:lang w:val="fr-FR"/>
        </w:rPr>
        <w:t xml:space="preserve"> au titre de l’exercice 2017</w:t>
      </w:r>
      <w:r w:rsidRPr="00C73365">
        <w:rPr>
          <w:rFonts w:asciiTheme="minorHAnsi" w:hAnsiTheme="minorHAnsi" w:cstheme="minorHAnsi"/>
          <w:lang w:val="fr-FR"/>
        </w:rPr>
        <w:t>.</w:t>
      </w:r>
    </w:p>
    <w:tbl>
      <w:tblPr>
        <w:tblW w:w="7519" w:type="dxa"/>
        <w:tblInd w:w="1128" w:type="dxa"/>
        <w:tblCellMar>
          <w:left w:w="70" w:type="dxa"/>
          <w:right w:w="70" w:type="dxa"/>
        </w:tblCellMar>
        <w:tblLook w:val="04A0" w:firstRow="1" w:lastRow="0" w:firstColumn="1" w:lastColumn="0" w:noHBand="0" w:noVBand="1"/>
      </w:tblPr>
      <w:tblGrid>
        <w:gridCol w:w="4184"/>
        <w:gridCol w:w="186"/>
        <w:gridCol w:w="1387"/>
        <w:gridCol w:w="186"/>
        <w:gridCol w:w="1576"/>
      </w:tblGrid>
      <w:tr w:rsidR="00B740A8" w:rsidRPr="00036317" w14:paraId="1D8B5633" w14:textId="77777777" w:rsidTr="008B709B">
        <w:trPr>
          <w:trHeight w:val="599"/>
        </w:trPr>
        <w:tc>
          <w:tcPr>
            <w:tcW w:w="4184" w:type="dxa"/>
            <w:vMerge w:val="restart"/>
            <w:tcBorders>
              <w:top w:val="single" w:sz="8" w:space="0" w:color="7030A0"/>
              <w:left w:val="nil"/>
              <w:bottom w:val="single" w:sz="8" w:space="0" w:color="7030A0"/>
              <w:right w:val="nil"/>
            </w:tcBorders>
            <w:shd w:val="clear" w:color="auto" w:fill="FFFFFF"/>
            <w:vAlign w:val="center"/>
            <w:hideMark/>
          </w:tcPr>
          <w:p w14:paraId="2A0C0C25" w14:textId="77777777" w:rsidR="00B740A8" w:rsidRPr="00C73365" w:rsidRDefault="00B740A8" w:rsidP="00D1541A">
            <w:pPr>
              <w:rPr>
                <w:rFonts w:asciiTheme="minorHAnsi" w:hAnsiTheme="minorHAnsi" w:cstheme="minorHAnsi"/>
                <w:b/>
                <w:color w:val="000000"/>
                <w:lang w:val="fr-FR"/>
              </w:rPr>
            </w:pPr>
            <w:r w:rsidRPr="00C73365">
              <w:rPr>
                <w:rFonts w:asciiTheme="minorHAnsi" w:hAnsiTheme="minorHAnsi" w:cstheme="minorHAnsi"/>
                <w:b/>
                <w:color w:val="000000"/>
                <w:lang w:val="fr-FR"/>
              </w:rPr>
              <w:lastRenderedPageBreak/>
              <w:t>Mandataires sociaux non dirigeants</w:t>
            </w:r>
          </w:p>
        </w:tc>
        <w:tc>
          <w:tcPr>
            <w:tcW w:w="186" w:type="dxa"/>
            <w:noWrap/>
            <w:vAlign w:val="bottom"/>
            <w:hideMark/>
          </w:tcPr>
          <w:p w14:paraId="2B3AA45C" w14:textId="77777777" w:rsidR="00B740A8" w:rsidRPr="00C73365" w:rsidRDefault="00B740A8" w:rsidP="00D1541A">
            <w:pPr>
              <w:rPr>
                <w:rFonts w:asciiTheme="minorHAnsi" w:hAnsiTheme="minorHAnsi" w:cstheme="minorHAnsi"/>
                <w:b/>
                <w:color w:val="000000"/>
                <w:lang w:val="fr-FR"/>
              </w:rPr>
            </w:pPr>
          </w:p>
        </w:tc>
        <w:tc>
          <w:tcPr>
            <w:tcW w:w="1387" w:type="dxa"/>
            <w:vMerge w:val="restart"/>
            <w:tcBorders>
              <w:top w:val="single" w:sz="8" w:space="0" w:color="7030A0"/>
              <w:left w:val="nil"/>
              <w:bottom w:val="single" w:sz="8" w:space="0" w:color="7030A0"/>
              <w:right w:val="nil"/>
            </w:tcBorders>
            <w:shd w:val="clear" w:color="auto" w:fill="FFFFFF"/>
            <w:vAlign w:val="center"/>
            <w:hideMark/>
          </w:tcPr>
          <w:p w14:paraId="03C02AC0" w14:textId="77777777"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Montants versés au cours de l</w:t>
            </w:r>
            <w:r w:rsidR="004572A0" w:rsidRPr="00C73365">
              <w:rPr>
                <w:rFonts w:asciiTheme="minorHAnsi" w:hAnsiTheme="minorHAnsi" w:cstheme="minorHAnsi"/>
                <w:b/>
                <w:color w:val="000000"/>
                <w:lang w:val="fr-FR"/>
              </w:rPr>
              <w:t>’</w:t>
            </w:r>
            <w:r w:rsidRPr="00C73365">
              <w:rPr>
                <w:rFonts w:asciiTheme="minorHAnsi" w:hAnsiTheme="minorHAnsi" w:cstheme="minorHAnsi"/>
                <w:b/>
                <w:color w:val="000000"/>
                <w:lang w:val="fr-FR"/>
              </w:rPr>
              <w:t>exercice 2016</w:t>
            </w:r>
          </w:p>
        </w:tc>
        <w:tc>
          <w:tcPr>
            <w:tcW w:w="186" w:type="dxa"/>
            <w:noWrap/>
            <w:vAlign w:val="bottom"/>
            <w:hideMark/>
          </w:tcPr>
          <w:p w14:paraId="7E34CC9B" w14:textId="77777777" w:rsidR="00B740A8" w:rsidRPr="00C73365" w:rsidRDefault="00B740A8" w:rsidP="00D1541A">
            <w:pPr>
              <w:rPr>
                <w:rFonts w:asciiTheme="minorHAnsi" w:hAnsiTheme="minorHAnsi" w:cstheme="minorHAnsi"/>
                <w:b/>
                <w:color w:val="000000"/>
                <w:lang w:val="fr-FR"/>
              </w:rPr>
            </w:pPr>
          </w:p>
        </w:tc>
        <w:tc>
          <w:tcPr>
            <w:tcW w:w="1576" w:type="dxa"/>
            <w:vMerge w:val="restart"/>
            <w:tcBorders>
              <w:top w:val="single" w:sz="8" w:space="0" w:color="7030A0"/>
              <w:left w:val="nil"/>
              <w:bottom w:val="single" w:sz="8" w:space="0" w:color="7030A0"/>
              <w:right w:val="nil"/>
            </w:tcBorders>
            <w:shd w:val="clear" w:color="auto" w:fill="FFFFFF"/>
            <w:vAlign w:val="center"/>
            <w:hideMark/>
          </w:tcPr>
          <w:p w14:paraId="4A9A53BD" w14:textId="77777777"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Montants versés au cours de l</w:t>
            </w:r>
            <w:r w:rsidR="004572A0" w:rsidRPr="00C73365">
              <w:rPr>
                <w:rFonts w:asciiTheme="minorHAnsi" w:hAnsiTheme="minorHAnsi" w:cstheme="minorHAnsi"/>
                <w:b/>
                <w:color w:val="000000"/>
                <w:lang w:val="fr-FR"/>
              </w:rPr>
              <w:t>’</w:t>
            </w:r>
            <w:r w:rsidRPr="00C73365">
              <w:rPr>
                <w:rFonts w:asciiTheme="minorHAnsi" w:hAnsiTheme="minorHAnsi" w:cstheme="minorHAnsi"/>
                <w:b/>
                <w:color w:val="000000"/>
                <w:lang w:val="fr-FR"/>
              </w:rPr>
              <w:t>exercice 2017</w:t>
            </w:r>
          </w:p>
        </w:tc>
      </w:tr>
      <w:tr w:rsidR="00B740A8" w:rsidRPr="00036317" w14:paraId="72B13574" w14:textId="77777777" w:rsidTr="008B709B">
        <w:trPr>
          <w:trHeight w:val="34"/>
        </w:trPr>
        <w:tc>
          <w:tcPr>
            <w:tcW w:w="0" w:type="auto"/>
            <w:vMerge/>
            <w:tcBorders>
              <w:top w:val="single" w:sz="8" w:space="0" w:color="7030A0"/>
              <w:left w:val="nil"/>
              <w:bottom w:val="single" w:sz="8" w:space="0" w:color="7030A0"/>
              <w:right w:val="nil"/>
            </w:tcBorders>
            <w:vAlign w:val="center"/>
            <w:hideMark/>
          </w:tcPr>
          <w:p w14:paraId="0576A285" w14:textId="77777777" w:rsidR="00B740A8" w:rsidRPr="00C73365" w:rsidRDefault="00B740A8" w:rsidP="00D1541A">
            <w:pPr>
              <w:rPr>
                <w:rFonts w:asciiTheme="minorHAnsi" w:hAnsiTheme="minorHAnsi" w:cstheme="minorHAnsi"/>
                <w:b/>
                <w:color w:val="000000"/>
                <w:lang w:val="fr-FR"/>
              </w:rPr>
            </w:pPr>
          </w:p>
        </w:tc>
        <w:tc>
          <w:tcPr>
            <w:tcW w:w="186" w:type="dxa"/>
            <w:shd w:val="clear" w:color="auto" w:fill="FFFFFF"/>
            <w:hideMark/>
          </w:tcPr>
          <w:p w14:paraId="33458070"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0" w:type="auto"/>
            <w:vMerge/>
            <w:tcBorders>
              <w:top w:val="single" w:sz="8" w:space="0" w:color="7030A0"/>
              <w:left w:val="nil"/>
              <w:bottom w:val="single" w:sz="8" w:space="0" w:color="7030A0"/>
              <w:right w:val="nil"/>
            </w:tcBorders>
            <w:vAlign w:val="center"/>
            <w:hideMark/>
          </w:tcPr>
          <w:p w14:paraId="0C5D2467" w14:textId="77777777" w:rsidR="00B740A8" w:rsidRPr="00C73365" w:rsidRDefault="00B740A8" w:rsidP="00D1541A">
            <w:pPr>
              <w:rPr>
                <w:rFonts w:asciiTheme="minorHAnsi" w:hAnsiTheme="minorHAnsi" w:cstheme="minorHAnsi"/>
                <w:b/>
                <w:color w:val="000000"/>
                <w:lang w:val="fr-FR"/>
              </w:rPr>
            </w:pPr>
          </w:p>
        </w:tc>
        <w:tc>
          <w:tcPr>
            <w:tcW w:w="186" w:type="dxa"/>
            <w:shd w:val="clear" w:color="auto" w:fill="FFFFFF"/>
            <w:hideMark/>
          </w:tcPr>
          <w:p w14:paraId="6C4A437B" w14:textId="77777777"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 </w:t>
            </w:r>
          </w:p>
        </w:tc>
        <w:tc>
          <w:tcPr>
            <w:tcW w:w="1576" w:type="dxa"/>
            <w:vMerge/>
            <w:tcBorders>
              <w:top w:val="single" w:sz="8" w:space="0" w:color="7030A0"/>
              <w:left w:val="nil"/>
              <w:bottom w:val="single" w:sz="8" w:space="0" w:color="7030A0"/>
              <w:right w:val="nil"/>
            </w:tcBorders>
            <w:vAlign w:val="center"/>
            <w:hideMark/>
          </w:tcPr>
          <w:p w14:paraId="780BAB22" w14:textId="77777777" w:rsidR="00B740A8" w:rsidRPr="00C73365" w:rsidRDefault="00B740A8" w:rsidP="00D1541A">
            <w:pPr>
              <w:rPr>
                <w:rFonts w:asciiTheme="minorHAnsi" w:hAnsiTheme="minorHAnsi" w:cstheme="minorHAnsi"/>
                <w:b/>
                <w:color w:val="000000"/>
                <w:lang w:val="fr-FR"/>
              </w:rPr>
            </w:pPr>
          </w:p>
        </w:tc>
      </w:tr>
      <w:tr w:rsidR="00B740A8" w:rsidRPr="00C73365" w14:paraId="39CCEB10" w14:textId="77777777" w:rsidTr="008B709B">
        <w:trPr>
          <w:trHeight w:val="245"/>
        </w:trPr>
        <w:tc>
          <w:tcPr>
            <w:tcW w:w="4184" w:type="dxa"/>
            <w:shd w:val="clear" w:color="auto" w:fill="FFFFFF"/>
            <w:noWrap/>
            <w:vAlign w:val="center"/>
            <w:hideMark/>
          </w:tcPr>
          <w:p w14:paraId="135C97F5" w14:textId="77777777" w:rsidR="00B740A8" w:rsidRPr="00C73365" w:rsidRDefault="00B740A8" w:rsidP="00D1541A">
            <w:pPr>
              <w:rPr>
                <w:rFonts w:asciiTheme="minorHAnsi" w:hAnsiTheme="minorHAnsi" w:cstheme="minorHAnsi"/>
                <w:b/>
              </w:rPr>
            </w:pPr>
            <w:r w:rsidRPr="00C73365">
              <w:rPr>
                <w:rFonts w:asciiTheme="minorHAnsi" w:hAnsiTheme="minorHAnsi" w:cstheme="minorHAnsi"/>
                <w:b/>
              </w:rPr>
              <w:t xml:space="preserve">Madame Joy Amundson </w:t>
            </w:r>
          </w:p>
        </w:tc>
        <w:tc>
          <w:tcPr>
            <w:tcW w:w="186" w:type="dxa"/>
            <w:shd w:val="clear" w:color="auto" w:fill="FFFFFF"/>
            <w:hideMark/>
          </w:tcPr>
          <w:p w14:paraId="623E4C5F" w14:textId="77777777" w:rsidR="00B740A8" w:rsidRPr="00C73365" w:rsidRDefault="00B740A8" w:rsidP="00D1541A">
            <w:pPr>
              <w:rPr>
                <w:rFonts w:asciiTheme="minorHAnsi" w:hAnsiTheme="minorHAnsi" w:cstheme="minorHAnsi"/>
                <w:color w:val="000000"/>
              </w:rPr>
            </w:pPr>
            <w:r w:rsidRPr="00C73365">
              <w:rPr>
                <w:rFonts w:asciiTheme="minorHAnsi" w:hAnsiTheme="minorHAnsi" w:cstheme="minorHAnsi"/>
                <w:color w:val="000000"/>
              </w:rPr>
              <w:t> </w:t>
            </w:r>
          </w:p>
        </w:tc>
        <w:tc>
          <w:tcPr>
            <w:tcW w:w="1387" w:type="dxa"/>
            <w:noWrap/>
            <w:vAlign w:val="bottom"/>
            <w:hideMark/>
          </w:tcPr>
          <w:p w14:paraId="0B04C576" w14:textId="77777777" w:rsidR="00B740A8" w:rsidRPr="00C73365" w:rsidRDefault="00B740A8" w:rsidP="00D1541A">
            <w:pPr>
              <w:rPr>
                <w:rFonts w:asciiTheme="minorHAnsi" w:hAnsiTheme="minorHAnsi" w:cstheme="minorHAnsi"/>
                <w:color w:val="000000"/>
              </w:rPr>
            </w:pPr>
          </w:p>
        </w:tc>
        <w:tc>
          <w:tcPr>
            <w:tcW w:w="186" w:type="dxa"/>
            <w:noWrap/>
            <w:vAlign w:val="bottom"/>
            <w:hideMark/>
          </w:tcPr>
          <w:p w14:paraId="5117F763" w14:textId="77777777" w:rsidR="00B740A8" w:rsidRPr="00C73365" w:rsidRDefault="00B740A8" w:rsidP="00D1541A">
            <w:pPr>
              <w:rPr>
                <w:rFonts w:asciiTheme="minorHAnsi" w:hAnsiTheme="minorHAnsi" w:cstheme="minorHAnsi"/>
                <w:szCs w:val="20"/>
                <w:highlight w:val="yellow"/>
                <w:lang w:eastAsia="fr-FR"/>
              </w:rPr>
            </w:pPr>
          </w:p>
        </w:tc>
        <w:tc>
          <w:tcPr>
            <w:tcW w:w="1576" w:type="dxa"/>
            <w:noWrap/>
            <w:vAlign w:val="bottom"/>
            <w:hideMark/>
          </w:tcPr>
          <w:p w14:paraId="1F7A81A9" w14:textId="77777777" w:rsidR="00B740A8" w:rsidRPr="00C73365" w:rsidRDefault="00B740A8" w:rsidP="00D1541A">
            <w:pPr>
              <w:rPr>
                <w:rFonts w:asciiTheme="minorHAnsi" w:hAnsiTheme="minorHAnsi" w:cstheme="minorHAnsi"/>
                <w:szCs w:val="20"/>
                <w:highlight w:val="yellow"/>
                <w:lang w:eastAsia="fr-FR"/>
              </w:rPr>
            </w:pPr>
          </w:p>
        </w:tc>
      </w:tr>
      <w:tr w:rsidR="00B740A8" w:rsidRPr="00C73365" w14:paraId="089D87DB" w14:textId="77777777" w:rsidTr="008B709B">
        <w:trPr>
          <w:trHeight w:val="245"/>
        </w:trPr>
        <w:tc>
          <w:tcPr>
            <w:tcW w:w="4184" w:type="dxa"/>
            <w:shd w:val="clear" w:color="auto" w:fill="FFFFFF"/>
            <w:vAlign w:val="center"/>
            <w:hideMark/>
          </w:tcPr>
          <w:p w14:paraId="0562A746"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14:paraId="34B7CF78"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0A9EFA6D" w14:textId="77777777"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2 800 €</w:t>
            </w:r>
          </w:p>
        </w:tc>
        <w:tc>
          <w:tcPr>
            <w:tcW w:w="186" w:type="dxa"/>
            <w:noWrap/>
            <w:vAlign w:val="bottom"/>
            <w:hideMark/>
          </w:tcPr>
          <w:p w14:paraId="0FF9D42F"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14:paraId="7E4DC578"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2 275 €</w:t>
            </w:r>
          </w:p>
        </w:tc>
      </w:tr>
      <w:tr w:rsidR="00B740A8" w:rsidRPr="00C73365" w14:paraId="48A440F4" w14:textId="77777777" w:rsidTr="008B709B">
        <w:trPr>
          <w:trHeight w:val="326"/>
        </w:trPr>
        <w:tc>
          <w:tcPr>
            <w:tcW w:w="4184" w:type="dxa"/>
            <w:tcBorders>
              <w:top w:val="nil"/>
              <w:left w:val="nil"/>
              <w:bottom w:val="single" w:sz="8" w:space="0" w:color="7030A0"/>
              <w:right w:val="nil"/>
            </w:tcBorders>
            <w:shd w:val="clear" w:color="auto" w:fill="FFFFFF"/>
            <w:vAlign w:val="center"/>
            <w:hideMark/>
          </w:tcPr>
          <w:p w14:paraId="1E718865"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14:paraId="048A4823"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14:paraId="47FE1818" w14:textId="77777777"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14:paraId="79EF1F17"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14:paraId="6588B568" w14:textId="77777777"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14:paraId="71A39971" w14:textId="77777777" w:rsidTr="008B709B">
        <w:trPr>
          <w:trHeight w:val="245"/>
        </w:trPr>
        <w:tc>
          <w:tcPr>
            <w:tcW w:w="4184" w:type="dxa"/>
            <w:shd w:val="clear" w:color="auto" w:fill="FFFFFF"/>
            <w:noWrap/>
            <w:vAlign w:val="center"/>
            <w:hideMark/>
          </w:tcPr>
          <w:p w14:paraId="605CB93D" w14:textId="77777777"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Claude Bertrand</w:t>
            </w:r>
          </w:p>
        </w:tc>
        <w:tc>
          <w:tcPr>
            <w:tcW w:w="186" w:type="dxa"/>
            <w:shd w:val="clear" w:color="auto" w:fill="FFFFFF"/>
            <w:hideMark/>
          </w:tcPr>
          <w:p w14:paraId="603B48E0"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5D67B2E8" w14:textId="77777777" w:rsidR="00B740A8" w:rsidRPr="00C73365" w:rsidRDefault="00B740A8" w:rsidP="00D1541A">
            <w:pPr>
              <w:rPr>
                <w:rFonts w:asciiTheme="minorHAnsi" w:hAnsiTheme="minorHAnsi" w:cstheme="minorHAnsi"/>
                <w:color w:val="000000"/>
                <w:lang w:val="fr-FR"/>
              </w:rPr>
            </w:pPr>
          </w:p>
        </w:tc>
        <w:tc>
          <w:tcPr>
            <w:tcW w:w="186" w:type="dxa"/>
            <w:noWrap/>
            <w:vAlign w:val="bottom"/>
            <w:hideMark/>
          </w:tcPr>
          <w:p w14:paraId="6E475FF2"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hideMark/>
          </w:tcPr>
          <w:p w14:paraId="4338B5CF" w14:textId="77777777" w:rsidR="00B740A8" w:rsidRPr="00C73365" w:rsidRDefault="00B740A8" w:rsidP="00D1541A">
            <w:pPr>
              <w:rPr>
                <w:rFonts w:asciiTheme="minorHAnsi" w:hAnsiTheme="minorHAnsi" w:cstheme="minorHAnsi"/>
                <w:szCs w:val="20"/>
                <w:lang w:val="fr-FR" w:eastAsia="fr-FR"/>
              </w:rPr>
            </w:pPr>
          </w:p>
        </w:tc>
      </w:tr>
      <w:tr w:rsidR="00B740A8" w:rsidRPr="00C73365" w14:paraId="12276A5F" w14:textId="77777777" w:rsidTr="008B709B">
        <w:trPr>
          <w:trHeight w:val="245"/>
        </w:trPr>
        <w:tc>
          <w:tcPr>
            <w:tcW w:w="4184" w:type="dxa"/>
            <w:shd w:val="clear" w:color="auto" w:fill="FFFFFF"/>
            <w:vAlign w:val="center"/>
            <w:hideMark/>
          </w:tcPr>
          <w:p w14:paraId="2C427CB0"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14:paraId="0DB63080"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216F59B2" w14:textId="77777777"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7 900 €</w:t>
            </w:r>
          </w:p>
        </w:tc>
        <w:tc>
          <w:tcPr>
            <w:tcW w:w="186" w:type="dxa"/>
            <w:noWrap/>
            <w:vAlign w:val="bottom"/>
            <w:hideMark/>
          </w:tcPr>
          <w:p w14:paraId="47D0C82C"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14:paraId="2F9C16E7"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2 900 €</w:t>
            </w:r>
          </w:p>
        </w:tc>
      </w:tr>
      <w:tr w:rsidR="00B740A8" w:rsidRPr="00C73365" w14:paraId="32D310B7" w14:textId="77777777" w:rsidTr="008B709B">
        <w:trPr>
          <w:trHeight w:val="255"/>
        </w:trPr>
        <w:tc>
          <w:tcPr>
            <w:tcW w:w="4184" w:type="dxa"/>
            <w:tcBorders>
              <w:top w:val="nil"/>
              <w:left w:val="nil"/>
              <w:bottom w:val="single" w:sz="8" w:space="0" w:color="7030A0"/>
              <w:right w:val="nil"/>
            </w:tcBorders>
            <w:shd w:val="clear" w:color="auto" w:fill="FFFFFF"/>
            <w:vAlign w:val="center"/>
            <w:hideMark/>
          </w:tcPr>
          <w:p w14:paraId="0D2878CF"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14:paraId="64AF5CD0"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14:paraId="36887992" w14:textId="77777777"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14:paraId="2CAC9FFF"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14:paraId="7582B7D3" w14:textId="77777777"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14:paraId="3ABC2EB2" w14:textId="77777777" w:rsidTr="008B709B">
        <w:trPr>
          <w:trHeight w:val="245"/>
        </w:trPr>
        <w:tc>
          <w:tcPr>
            <w:tcW w:w="4184" w:type="dxa"/>
            <w:shd w:val="clear" w:color="auto" w:fill="FFFFFF"/>
            <w:noWrap/>
            <w:vAlign w:val="center"/>
            <w:hideMark/>
          </w:tcPr>
          <w:p w14:paraId="66350815" w14:textId="77777777"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Jean-Jacques Bertrand</w:t>
            </w:r>
          </w:p>
        </w:tc>
        <w:tc>
          <w:tcPr>
            <w:tcW w:w="186" w:type="dxa"/>
            <w:shd w:val="clear" w:color="auto" w:fill="FFFFFF"/>
            <w:hideMark/>
          </w:tcPr>
          <w:p w14:paraId="1B83F209"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2FE90608" w14:textId="77777777" w:rsidR="00B740A8" w:rsidRPr="00C73365" w:rsidRDefault="00B740A8" w:rsidP="00D1541A">
            <w:pPr>
              <w:rPr>
                <w:rFonts w:asciiTheme="minorHAnsi" w:hAnsiTheme="minorHAnsi" w:cstheme="minorHAnsi"/>
                <w:color w:val="000000"/>
                <w:lang w:val="fr-FR"/>
              </w:rPr>
            </w:pPr>
          </w:p>
        </w:tc>
        <w:tc>
          <w:tcPr>
            <w:tcW w:w="186" w:type="dxa"/>
            <w:noWrap/>
            <w:vAlign w:val="bottom"/>
            <w:hideMark/>
          </w:tcPr>
          <w:p w14:paraId="199934AE"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14:paraId="2586AD89" w14:textId="77777777" w:rsidR="00B740A8" w:rsidRPr="00C73365" w:rsidRDefault="00B740A8" w:rsidP="00D1541A">
            <w:pPr>
              <w:rPr>
                <w:rFonts w:asciiTheme="minorHAnsi" w:hAnsiTheme="minorHAnsi" w:cstheme="minorHAnsi"/>
                <w:szCs w:val="20"/>
                <w:lang w:val="fr-FR" w:eastAsia="fr-FR"/>
              </w:rPr>
            </w:pPr>
          </w:p>
        </w:tc>
      </w:tr>
      <w:tr w:rsidR="00B740A8" w:rsidRPr="00C73365" w14:paraId="28FC28FF" w14:textId="77777777" w:rsidTr="008B709B">
        <w:trPr>
          <w:trHeight w:val="245"/>
        </w:trPr>
        <w:tc>
          <w:tcPr>
            <w:tcW w:w="4184" w:type="dxa"/>
            <w:shd w:val="clear" w:color="auto" w:fill="FFFFFF"/>
            <w:vAlign w:val="center"/>
            <w:hideMark/>
          </w:tcPr>
          <w:p w14:paraId="605838E8"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14:paraId="338BF8BE"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1BD27069" w14:textId="77777777"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6 650 €</w:t>
            </w:r>
          </w:p>
        </w:tc>
        <w:tc>
          <w:tcPr>
            <w:tcW w:w="186" w:type="dxa"/>
            <w:noWrap/>
            <w:vAlign w:val="bottom"/>
            <w:hideMark/>
          </w:tcPr>
          <w:p w14:paraId="732F2862"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14:paraId="732D394D"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6 250 €</w:t>
            </w:r>
          </w:p>
        </w:tc>
      </w:tr>
      <w:tr w:rsidR="00B740A8" w:rsidRPr="00C73365" w14:paraId="4D2B84BC" w14:textId="77777777" w:rsidTr="008B709B">
        <w:trPr>
          <w:trHeight w:val="255"/>
        </w:trPr>
        <w:tc>
          <w:tcPr>
            <w:tcW w:w="4184" w:type="dxa"/>
            <w:tcBorders>
              <w:top w:val="nil"/>
              <w:left w:val="nil"/>
              <w:bottom w:val="single" w:sz="8" w:space="0" w:color="7030A0"/>
              <w:right w:val="nil"/>
            </w:tcBorders>
            <w:shd w:val="clear" w:color="auto" w:fill="FFFFFF"/>
            <w:vAlign w:val="center"/>
            <w:hideMark/>
          </w:tcPr>
          <w:p w14:paraId="6CBD995F"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14:paraId="40B1D071"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14:paraId="00964D81" w14:textId="77777777"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14:paraId="21280829"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14:paraId="17CDCC83" w14:textId="77777777"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036317" w14:paraId="02DB5724" w14:textId="77777777" w:rsidTr="008B709B">
        <w:trPr>
          <w:trHeight w:val="245"/>
        </w:trPr>
        <w:tc>
          <w:tcPr>
            <w:tcW w:w="4184" w:type="dxa"/>
            <w:shd w:val="clear" w:color="auto" w:fill="FFFFFF"/>
            <w:noWrap/>
            <w:vAlign w:val="center"/>
            <w:hideMark/>
          </w:tcPr>
          <w:p w14:paraId="198FF8E7" w14:textId="77777777"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Antoine Pau (Truffle Capital)</w:t>
            </w:r>
          </w:p>
        </w:tc>
        <w:tc>
          <w:tcPr>
            <w:tcW w:w="186" w:type="dxa"/>
            <w:shd w:val="clear" w:color="auto" w:fill="FFFFFF"/>
            <w:hideMark/>
          </w:tcPr>
          <w:p w14:paraId="434C748F"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67206617" w14:textId="77777777" w:rsidR="00B740A8" w:rsidRPr="00C73365" w:rsidRDefault="00B740A8" w:rsidP="00D1541A">
            <w:pPr>
              <w:rPr>
                <w:rFonts w:asciiTheme="minorHAnsi" w:hAnsiTheme="minorHAnsi" w:cstheme="minorHAnsi"/>
                <w:color w:val="000000"/>
                <w:lang w:val="fr-FR"/>
              </w:rPr>
            </w:pPr>
          </w:p>
        </w:tc>
        <w:tc>
          <w:tcPr>
            <w:tcW w:w="186" w:type="dxa"/>
            <w:noWrap/>
            <w:vAlign w:val="bottom"/>
            <w:hideMark/>
          </w:tcPr>
          <w:p w14:paraId="60F97FE2"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14:paraId="5EABE0C9" w14:textId="77777777" w:rsidR="00B740A8" w:rsidRPr="00C73365" w:rsidRDefault="00B740A8" w:rsidP="00D1541A">
            <w:pPr>
              <w:rPr>
                <w:rFonts w:asciiTheme="minorHAnsi" w:hAnsiTheme="minorHAnsi" w:cstheme="minorHAnsi"/>
                <w:szCs w:val="20"/>
                <w:lang w:val="fr-FR" w:eastAsia="fr-FR"/>
              </w:rPr>
            </w:pPr>
          </w:p>
        </w:tc>
      </w:tr>
      <w:tr w:rsidR="00B740A8" w:rsidRPr="00C73365" w14:paraId="0B64606E" w14:textId="77777777" w:rsidTr="008B709B">
        <w:trPr>
          <w:trHeight w:val="245"/>
        </w:trPr>
        <w:tc>
          <w:tcPr>
            <w:tcW w:w="4184" w:type="dxa"/>
            <w:shd w:val="clear" w:color="auto" w:fill="FFFFFF"/>
            <w:vAlign w:val="center"/>
            <w:hideMark/>
          </w:tcPr>
          <w:p w14:paraId="33AAA492"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14:paraId="34783A20"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035ABA3E" w14:textId="77777777"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0 €</w:t>
            </w:r>
          </w:p>
        </w:tc>
        <w:tc>
          <w:tcPr>
            <w:tcW w:w="186" w:type="dxa"/>
            <w:noWrap/>
            <w:vAlign w:val="bottom"/>
            <w:hideMark/>
          </w:tcPr>
          <w:p w14:paraId="4AA77D1E"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14:paraId="1677C244"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r>
      <w:tr w:rsidR="00B740A8" w:rsidRPr="00C73365" w14:paraId="3406F327" w14:textId="77777777" w:rsidTr="008B709B">
        <w:trPr>
          <w:trHeight w:val="255"/>
        </w:trPr>
        <w:tc>
          <w:tcPr>
            <w:tcW w:w="4184" w:type="dxa"/>
            <w:tcBorders>
              <w:top w:val="nil"/>
              <w:left w:val="nil"/>
              <w:bottom w:val="single" w:sz="8" w:space="0" w:color="7030A0"/>
              <w:right w:val="nil"/>
            </w:tcBorders>
            <w:shd w:val="clear" w:color="auto" w:fill="FFFFFF"/>
            <w:vAlign w:val="center"/>
            <w:hideMark/>
          </w:tcPr>
          <w:p w14:paraId="24D41881"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14:paraId="77BCDDB5"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14:paraId="23926895" w14:textId="77777777"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14:paraId="42C2F179"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14:paraId="4BB68486" w14:textId="77777777"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14:paraId="1C2FAD4F" w14:textId="77777777" w:rsidTr="008B709B">
        <w:trPr>
          <w:trHeight w:val="245"/>
        </w:trPr>
        <w:tc>
          <w:tcPr>
            <w:tcW w:w="4184" w:type="dxa"/>
            <w:shd w:val="clear" w:color="auto" w:fill="FFFFFF"/>
            <w:noWrap/>
            <w:vAlign w:val="center"/>
            <w:hideMark/>
          </w:tcPr>
          <w:p w14:paraId="09AAFD48" w14:textId="77777777"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Christian Pierret</w:t>
            </w:r>
          </w:p>
        </w:tc>
        <w:tc>
          <w:tcPr>
            <w:tcW w:w="186" w:type="dxa"/>
            <w:shd w:val="clear" w:color="auto" w:fill="FFFFFF"/>
            <w:hideMark/>
          </w:tcPr>
          <w:p w14:paraId="7FC36C06"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07141D37" w14:textId="77777777" w:rsidR="00B740A8" w:rsidRPr="00C73365" w:rsidRDefault="00B740A8" w:rsidP="00D1541A">
            <w:pPr>
              <w:rPr>
                <w:rFonts w:asciiTheme="minorHAnsi" w:hAnsiTheme="minorHAnsi" w:cstheme="minorHAnsi"/>
                <w:color w:val="000000"/>
                <w:lang w:val="fr-FR"/>
              </w:rPr>
            </w:pPr>
          </w:p>
        </w:tc>
        <w:tc>
          <w:tcPr>
            <w:tcW w:w="186" w:type="dxa"/>
            <w:noWrap/>
            <w:vAlign w:val="bottom"/>
            <w:hideMark/>
          </w:tcPr>
          <w:p w14:paraId="29B18459"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14:paraId="1A2F1B1B" w14:textId="77777777" w:rsidR="00B740A8" w:rsidRPr="00C73365" w:rsidRDefault="00B740A8" w:rsidP="00D1541A">
            <w:pPr>
              <w:rPr>
                <w:rFonts w:asciiTheme="minorHAnsi" w:hAnsiTheme="minorHAnsi" w:cstheme="minorHAnsi"/>
                <w:szCs w:val="20"/>
                <w:lang w:val="fr-FR" w:eastAsia="fr-FR"/>
              </w:rPr>
            </w:pPr>
          </w:p>
        </w:tc>
      </w:tr>
      <w:tr w:rsidR="00B740A8" w:rsidRPr="00C73365" w14:paraId="2521B76A" w14:textId="77777777" w:rsidTr="008B709B">
        <w:trPr>
          <w:trHeight w:val="245"/>
        </w:trPr>
        <w:tc>
          <w:tcPr>
            <w:tcW w:w="4184" w:type="dxa"/>
            <w:shd w:val="clear" w:color="auto" w:fill="FFFFFF"/>
            <w:vAlign w:val="center"/>
            <w:hideMark/>
          </w:tcPr>
          <w:p w14:paraId="6C1862A6"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14:paraId="7E8D67EC"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11D8BF0D" w14:textId="77777777"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10 400 €</w:t>
            </w:r>
          </w:p>
        </w:tc>
        <w:tc>
          <w:tcPr>
            <w:tcW w:w="186" w:type="dxa"/>
            <w:noWrap/>
            <w:vAlign w:val="bottom"/>
            <w:hideMark/>
          </w:tcPr>
          <w:p w14:paraId="43260201"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14:paraId="2427C79E"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6 650 €</w:t>
            </w:r>
          </w:p>
        </w:tc>
      </w:tr>
      <w:tr w:rsidR="00B740A8" w:rsidRPr="00C73365" w14:paraId="7D9E68E7" w14:textId="77777777" w:rsidTr="008B709B">
        <w:trPr>
          <w:trHeight w:val="255"/>
        </w:trPr>
        <w:tc>
          <w:tcPr>
            <w:tcW w:w="4184" w:type="dxa"/>
            <w:tcBorders>
              <w:top w:val="nil"/>
              <w:left w:val="nil"/>
              <w:bottom w:val="single" w:sz="8" w:space="0" w:color="7030A0"/>
              <w:right w:val="nil"/>
            </w:tcBorders>
            <w:shd w:val="clear" w:color="auto" w:fill="FFFFFF"/>
            <w:vAlign w:val="center"/>
            <w:hideMark/>
          </w:tcPr>
          <w:p w14:paraId="19862E22"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14:paraId="4BA492E9"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14:paraId="03A4D635" w14:textId="77777777"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14:paraId="65BA4F65"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14:paraId="3784D2F9" w14:textId="77777777"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14:paraId="2335BAEE" w14:textId="77777777" w:rsidTr="008B709B">
        <w:trPr>
          <w:trHeight w:val="245"/>
        </w:trPr>
        <w:tc>
          <w:tcPr>
            <w:tcW w:w="4184" w:type="dxa"/>
            <w:shd w:val="clear" w:color="auto" w:fill="FFFFFF"/>
            <w:noWrap/>
            <w:vAlign w:val="center"/>
            <w:hideMark/>
          </w:tcPr>
          <w:p w14:paraId="412B6CF0" w14:textId="77777777"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Jean-Paul Prieels</w:t>
            </w:r>
          </w:p>
        </w:tc>
        <w:tc>
          <w:tcPr>
            <w:tcW w:w="186" w:type="dxa"/>
            <w:shd w:val="clear" w:color="auto" w:fill="FFFFFF"/>
            <w:hideMark/>
          </w:tcPr>
          <w:p w14:paraId="39FF1951"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0A7B0202" w14:textId="77777777" w:rsidR="00B740A8" w:rsidRPr="00C73365" w:rsidRDefault="00B740A8" w:rsidP="00D1541A">
            <w:pPr>
              <w:rPr>
                <w:rFonts w:asciiTheme="minorHAnsi" w:hAnsiTheme="minorHAnsi" w:cstheme="minorHAnsi"/>
                <w:color w:val="000000"/>
                <w:lang w:val="fr-FR"/>
              </w:rPr>
            </w:pPr>
          </w:p>
        </w:tc>
        <w:tc>
          <w:tcPr>
            <w:tcW w:w="186" w:type="dxa"/>
            <w:noWrap/>
            <w:vAlign w:val="bottom"/>
            <w:hideMark/>
          </w:tcPr>
          <w:p w14:paraId="2C08C871"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14:paraId="67FE55FD" w14:textId="77777777" w:rsidR="00B740A8" w:rsidRPr="00C73365" w:rsidRDefault="00B740A8" w:rsidP="00D1541A">
            <w:pPr>
              <w:rPr>
                <w:rFonts w:asciiTheme="minorHAnsi" w:hAnsiTheme="minorHAnsi" w:cstheme="minorHAnsi"/>
                <w:szCs w:val="20"/>
                <w:highlight w:val="yellow"/>
                <w:lang w:val="fr-FR" w:eastAsia="fr-FR"/>
              </w:rPr>
            </w:pPr>
          </w:p>
        </w:tc>
      </w:tr>
      <w:tr w:rsidR="00B740A8" w:rsidRPr="00C73365" w14:paraId="19AA4CB8" w14:textId="77777777" w:rsidTr="008B709B">
        <w:trPr>
          <w:trHeight w:val="245"/>
        </w:trPr>
        <w:tc>
          <w:tcPr>
            <w:tcW w:w="4184" w:type="dxa"/>
            <w:shd w:val="clear" w:color="auto" w:fill="FFFFFF"/>
            <w:vAlign w:val="center"/>
            <w:hideMark/>
          </w:tcPr>
          <w:p w14:paraId="5F510524"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14:paraId="423F1743"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096C2F5F" w14:textId="77777777"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4 950 €</w:t>
            </w:r>
          </w:p>
        </w:tc>
        <w:tc>
          <w:tcPr>
            <w:tcW w:w="186" w:type="dxa"/>
            <w:noWrap/>
            <w:vAlign w:val="bottom"/>
            <w:hideMark/>
          </w:tcPr>
          <w:p w14:paraId="166214AC"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14:paraId="4BBFD710"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2 870 €</w:t>
            </w:r>
          </w:p>
        </w:tc>
      </w:tr>
      <w:tr w:rsidR="00B740A8" w:rsidRPr="00C73365" w14:paraId="56CCF5D3" w14:textId="77777777" w:rsidTr="008B709B">
        <w:trPr>
          <w:trHeight w:val="255"/>
        </w:trPr>
        <w:tc>
          <w:tcPr>
            <w:tcW w:w="4184" w:type="dxa"/>
            <w:tcBorders>
              <w:top w:val="nil"/>
              <w:left w:val="nil"/>
              <w:bottom w:val="single" w:sz="8" w:space="0" w:color="7030A0"/>
              <w:right w:val="nil"/>
            </w:tcBorders>
            <w:shd w:val="clear" w:color="auto" w:fill="FFFFFF"/>
            <w:vAlign w:val="center"/>
            <w:hideMark/>
          </w:tcPr>
          <w:p w14:paraId="354DE265"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14:paraId="07F31556"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14:paraId="13863326" w14:textId="77777777"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14:paraId="1E650768"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14:paraId="24D9E904" w14:textId="77777777"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14:paraId="03451086" w14:textId="77777777" w:rsidTr="008B709B">
        <w:trPr>
          <w:trHeight w:val="245"/>
        </w:trPr>
        <w:tc>
          <w:tcPr>
            <w:tcW w:w="4184" w:type="dxa"/>
            <w:shd w:val="clear" w:color="auto" w:fill="FFFFFF"/>
            <w:noWrap/>
            <w:vAlign w:val="center"/>
            <w:hideMark/>
          </w:tcPr>
          <w:p w14:paraId="0FFF8269" w14:textId="77777777"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Miguel Sieler</w:t>
            </w:r>
          </w:p>
        </w:tc>
        <w:tc>
          <w:tcPr>
            <w:tcW w:w="186" w:type="dxa"/>
            <w:shd w:val="clear" w:color="auto" w:fill="FFFFFF"/>
            <w:hideMark/>
          </w:tcPr>
          <w:p w14:paraId="583AB90E"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5FDA2FCA" w14:textId="77777777" w:rsidR="00B740A8" w:rsidRPr="00C73365" w:rsidRDefault="00B740A8" w:rsidP="00D1541A">
            <w:pPr>
              <w:rPr>
                <w:rFonts w:asciiTheme="minorHAnsi" w:hAnsiTheme="minorHAnsi" w:cstheme="minorHAnsi"/>
                <w:color w:val="000000"/>
                <w:lang w:val="fr-FR"/>
              </w:rPr>
            </w:pPr>
          </w:p>
        </w:tc>
        <w:tc>
          <w:tcPr>
            <w:tcW w:w="186" w:type="dxa"/>
            <w:noWrap/>
            <w:vAlign w:val="bottom"/>
            <w:hideMark/>
          </w:tcPr>
          <w:p w14:paraId="50685331"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14:paraId="4D4C4D7A" w14:textId="77777777" w:rsidR="00B740A8" w:rsidRPr="00C73365" w:rsidRDefault="00B740A8" w:rsidP="00D1541A">
            <w:pPr>
              <w:rPr>
                <w:rFonts w:asciiTheme="minorHAnsi" w:hAnsiTheme="minorHAnsi" w:cstheme="minorHAnsi"/>
                <w:szCs w:val="20"/>
                <w:highlight w:val="yellow"/>
                <w:lang w:val="fr-FR" w:eastAsia="fr-FR"/>
              </w:rPr>
            </w:pPr>
          </w:p>
        </w:tc>
      </w:tr>
      <w:tr w:rsidR="00B740A8" w:rsidRPr="00C73365" w14:paraId="212EA5D5" w14:textId="77777777" w:rsidTr="008B709B">
        <w:trPr>
          <w:trHeight w:val="65"/>
        </w:trPr>
        <w:tc>
          <w:tcPr>
            <w:tcW w:w="4184" w:type="dxa"/>
            <w:shd w:val="clear" w:color="auto" w:fill="FFFFFF"/>
            <w:vAlign w:val="center"/>
            <w:hideMark/>
          </w:tcPr>
          <w:p w14:paraId="0B9797EF"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14:paraId="51AC6898"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5E35659A" w14:textId="77777777"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lang w:val="fr-FR"/>
              </w:rPr>
              <w:t>Néant</w:t>
            </w:r>
          </w:p>
        </w:tc>
        <w:tc>
          <w:tcPr>
            <w:tcW w:w="186" w:type="dxa"/>
            <w:noWrap/>
            <w:vAlign w:val="bottom"/>
            <w:hideMark/>
          </w:tcPr>
          <w:p w14:paraId="4187A00F"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center"/>
          </w:tcPr>
          <w:p w14:paraId="0B14347F"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lang w:val="fr-FR"/>
              </w:rPr>
              <w:t>Néant</w:t>
            </w:r>
          </w:p>
        </w:tc>
      </w:tr>
      <w:tr w:rsidR="00B740A8" w:rsidRPr="00C73365" w14:paraId="3B5B7B66" w14:textId="77777777" w:rsidTr="008B709B">
        <w:trPr>
          <w:trHeight w:val="255"/>
        </w:trPr>
        <w:tc>
          <w:tcPr>
            <w:tcW w:w="4184" w:type="dxa"/>
            <w:tcBorders>
              <w:top w:val="nil"/>
              <w:left w:val="nil"/>
              <w:bottom w:val="single" w:sz="8" w:space="0" w:color="7030A0"/>
              <w:right w:val="nil"/>
            </w:tcBorders>
            <w:shd w:val="clear" w:color="auto" w:fill="FFFFFF"/>
            <w:vAlign w:val="center"/>
            <w:hideMark/>
          </w:tcPr>
          <w:p w14:paraId="159CB0FA"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14:paraId="373E1D12"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14:paraId="64EE027F" w14:textId="77777777"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14:paraId="19E29C81"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14:paraId="259AB697"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lang w:val="fr-FR"/>
              </w:rPr>
              <w:t>Néant</w:t>
            </w:r>
          </w:p>
        </w:tc>
      </w:tr>
      <w:tr w:rsidR="00B740A8" w:rsidRPr="00C73365" w14:paraId="139E1550" w14:textId="77777777" w:rsidTr="008B709B">
        <w:trPr>
          <w:trHeight w:val="245"/>
        </w:trPr>
        <w:tc>
          <w:tcPr>
            <w:tcW w:w="4184" w:type="dxa"/>
            <w:shd w:val="clear" w:color="auto" w:fill="FFFFFF"/>
            <w:noWrap/>
            <w:vAlign w:val="center"/>
            <w:hideMark/>
          </w:tcPr>
          <w:p w14:paraId="3F99C8E7" w14:textId="77777777"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Antonino Ligresti (</w:t>
            </w:r>
            <w:r w:rsidRPr="00C73365">
              <w:rPr>
                <w:rFonts w:asciiTheme="minorHAnsi" w:hAnsiTheme="minorHAnsi" w:cstheme="minorHAnsi"/>
                <w:b/>
                <w:bCs/>
                <w:szCs w:val="20"/>
                <w:lang w:val="fr-FR" w:eastAsia="fr-FR"/>
              </w:rPr>
              <w:t>Santé</w:t>
            </w:r>
            <w:r w:rsidRPr="00C73365">
              <w:rPr>
                <w:rFonts w:asciiTheme="minorHAnsi" w:hAnsiTheme="minorHAnsi" w:cstheme="minorHAnsi"/>
                <w:b/>
                <w:lang w:val="fr-FR"/>
              </w:rPr>
              <w:t xml:space="preserve"> Holding SRL)</w:t>
            </w:r>
          </w:p>
        </w:tc>
        <w:tc>
          <w:tcPr>
            <w:tcW w:w="186" w:type="dxa"/>
            <w:shd w:val="clear" w:color="auto" w:fill="FFFFFF"/>
            <w:hideMark/>
          </w:tcPr>
          <w:p w14:paraId="09BD1F63"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3769C7CC" w14:textId="77777777" w:rsidR="00B740A8" w:rsidRPr="00C73365" w:rsidRDefault="00B740A8" w:rsidP="00D1541A">
            <w:pPr>
              <w:rPr>
                <w:rFonts w:asciiTheme="minorHAnsi" w:hAnsiTheme="minorHAnsi" w:cstheme="minorHAnsi"/>
                <w:color w:val="000000"/>
                <w:lang w:val="fr-FR"/>
              </w:rPr>
            </w:pPr>
          </w:p>
        </w:tc>
        <w:tc>
          <w:tcPr>
            <w:tcW w:w="186" w:type="dxa"/>
            <w:noWrap/>
            <w:vAlign w:val="bottom"/>
            <w:hideMark/>
          </w:tcPr>
          <w:p w14:paraId="7022A4BD"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14:paraId="7C16D95F" w14:textId="77777777" w:rsidR="00B740A8" w:rsidRPr="00C73365" w:rsidRDefault="00B740A8" w:rsidP="00D1541A">
            <w:pPr>
              <w:rPr>
                <w:rFonts w:asciiTheme="minorHAnsi" w:hAnsiTheme="minorHAnsi" w:cstheme="minorHAnsi"/>
                <w:szCs w:val="20"/>
                <w:highlight w:val="yellow"/>
                <w:lang w:val="fr-FR" w:eastAsia="fr-FR"/>
              </w:rPr>
            </w:pPr>
          </w:p>
        </w:tc>
      </w:tr>
      <w:tr w:rsidR="00B740A8" w:rsidRPr="00C73365" w14:paraId="6904BD6F" w14:textId="77777777" w:rsidTr="008B709B">
        <w:trPr>
          <w:trHeight w:val="245"/>
        </w:trPr>
        <w:tc>
          <w:tcPr>
            <w:tcW w:w="4184" w:type="dxa"/>
            <w:shd w:val="clear" w:color="auto" w:fill="FFFFFF"/>
            <w:vAlign w:val="center"/>
            <w:hideMark/>
          </w:tcPr>
          <w:p w14:paraId="32A46505"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14:paraId="67C44B2E"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7084FFCC" w14:textId="77777777"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4 950 €</w:t>
            </w:r>
          </w:p>
        </w:tc>
        <w:tc>
          <w:tcPr>
            <w:tcW w:w="186" w:type="dxa"/>
            <w:noWrap/>
            <w:vAlign w:val="bottom"/>
            <w:hideMark/>
          </w:tcPr>
          <w:p w14:paraId="39561804"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14:paraId="36E4224D"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560 €</w:t>
            </w:r>
          </w:p>
        </w:tc>
      </w:tr>
      <w:tr w:rsidR="00B740A8" w:rsidRPr="00C73365" w14:paraId="3D2AD0C9" w14:textId="77777777" w:rsidTr="008B709B">
        <w:trPr>
          <w:trHeight w:val="255"/>
        </w:trPr>
        <w:tc>
          <w:tcPr>
            <w:tcW w:w="4184" w:type="dxa"/>
            <w:tcBorders>
              <w:top w:val="nil"/>
              <w:left w:val="nil"/>
              <w:bottom w:val="single" w:sz="8" w:space="0" w:color="7030A0"/>
              <w:right w:val="nil"/>
            </w:tcBorders>
            <w:shd w:val="clear" w:color="auto" w:fill="FFFFFF"/>
            <w:vAlign w:val="center"/>
            <w:hideMark/>
          </w:tcPr>
          <w:p w14:paraId="75E446E1"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14:paraId="518013BB"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14:paraId="3981DFA6" w14:textId="77777777"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14:paraId="466DC0AA"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14:paraId="7B852008" w14:textId="77777777"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Néant</w:t>
            </w:r>
          </w:p>
        </w:tc>
      </w:tr>
      <w:tr w:rsidR="00B740A8" w:rsidRPr="00C73365" w14:paraId="06912132" w14:textId="77777777" w:rsidTr="008B709B">
        <w:trPr>
          <w:trHeight w:val="245"/>
        </w:trPr>
        <w:tc>
          <w:tcPr>
            <w:tcW w:w="4184" w:type="dxa"/>
            <w:shd w:val="clear" w:color="auto" w:fill="FFFFFF"/>
            <w:noWrap/>
            <w:vAlign w:val="center"/>
            <w:hideMark/>
          </w:tcPr>
          <w:p w14:paraId="2E988EDB" w14:textId="77777777"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Madame Dominique Costantini</w:t>
            </w:r>
          </w:p>
        </w:tc>
        <w:tc>
          <w:tcPr>
            <w:tcW w:w="186" w:type="dxa"/>
            <w:shd w:val="clear" w:color="auto" w:fill="FFFFFF"/>
            <w:hideMark/>
          </w:tcPr>
          <w:p w14:paraId="2DAD2740"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66C784DC" w14:textId="77777777" w:rsidR="00B740A8" w:rsidRPr="00C73365" w:rsidRDefault="00B740A8" w:rsidP="00D1541A">
            <w:pPr>
              <w:rPr>
                <w:rFonts w:asciiTheme="minorHAnsi" w:hAnsiTheme="minorHAnsi" w:cstheme="minorHAnsi"/>
                <w:color w:val="000000"/>
                <w:lang w:val="fr-FR"/>
              </w:rPr>
            </w:pPr>
          </w:p>
        </w:tc>
        <w:tc>
          <w:tcPr>
            <w:tcW w:w="186" w:type="dxa"/>
            <w:noWrap/>
            <w:vAlign w:val="bottom"/>
            <w:hideMark/>
          </w:tcPr>
          <w:p w14:paraId="0F40D81F"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14:paraId="45AFDBD4" w14:textId="77777777" w:rsidR="00B740A8" w:rsidRPr="00C73365" w:rsidRDefault="00B740A8" w:rsidP="00D1541A">
            <w:pPr>
              <w:rPr>
                <w:rFonts w:asciiTheme="minorHAnsi" w:hAnsiTheme="minorHAnsi" w:cstheme="minorHAnsi"/>
                <w:szCs w:val="20"/>
                <w:lang w:val="fr-FR" w:eastAsia="fr-FR"/>
              </w:rPr>
            </w:pPr>
          </w:p>
        </w:tc>
      </w:tr>
      <w:tr w:rsidR="00B740A8" w:rsidRPr="00C73365" w14:paraId="5B569887" w14:textId="77777777" w:rsidTr="008B709B">
        <w:trPr>
          <w:trHeight w:val="245"/>
        </w:trPr>
        <w:tc>
          <w:tcPr>
            <w:tcW w:w="4184" w:type="dxa"/>
            <w:shd w:val="clear" w:color="auto" w:fill="FFFFFF"/>
            <w:vAlign w:val="center"/>
            <w:hideMark/>
          </w:tcPr>
          <w:p w14:paraId="08B33217"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14:paraId="5D95554D"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14:paraId="44F6469C" w14:textId="77777777"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3 750 €</w:t>
            </w:r>
          </w:p>
        </w:tc>
        <w:tc>
          <w:tcPr>
            <w:tcW w:w="186" w:type="dxa"/>
            <w:noWrap/>
            <w:vAlign w:val="bottom"/>
            <w:hideMark/>
          </w:tcPr>
          <w:p w14:paraId="36FFAE22" w14:textId="77777777"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14:paraId="09C81191"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w:t>
            </w:r>
          </w:p>
        </w:tc>
      </w:tr>
      <w:tr w:rsidR="00B740A8" w:rsidRPr="00C73365" w14:paraId="3F0B038A" w14:textId="77777777" w:rsidTr="008B709B">
        <w:trPr>
          <w:trHeight w:val="255"/>
        </w:trPr>
        <w:tc>
          <w:tcPr>
            <w:tcW w:w="4184" w:type="dxa"/>
            <w:tcBorders>
              <w:top w:val="nil"/>
              <w:left w:val="nil"/>
              <w:bottom w:val="single" w:sz="8" w:space="0" w:color="7030A0"/>
              <w:right w:val="nil"/>
            </w:tcBorders>
            <w:shd w:val="clear" w:color="auto" w:fill="FFFFFF"/>
            <w:vAlign w:val="center"/>
            <w:hideMark/>
          </w:tcPr>
          <w:p w14:paraId="24265D5E"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14:paraId="6ED8AF52" w14:textId="77777777"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14:paraId="09CAC445" w14:textId="77777777"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14:paraId="42D838B3"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14:paraId="7C03F641" w14:textId="77777777"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14:paraId="5C3AA084" w14:textId="77777777" w:rsidTr="008B709B">
        <w:trPr>
          <w:trHeight w:val="255"/>
        </w:trPr>
        <w:tc>
          <w:tcPr>
            <w:tcW w:w="4184" w:type="dxa"/>
            <w:tcBorders>
              <w:top w:val="single" w:sz="8" w:space="0" w:color="7030A0"/>
              <w:left w:val="nil"/>
              <w:bottom w:val="single" w:sz="4" w:space="0" w:color="FFFFFF" w:themeColor="background1"/>
              <w:right w:val="nil"/>
            </w:tcBorders>
            <w:shd w:val="clear" w:color="auto" w:fill="FFFFFF"/>
          </w:tcPr>
          <w:p w14:paraId="24939C93" w14:textId="77777777" w:rsidR="00B740A8" w:rsidRPr="00C73365" w:rsidRDefault="00B740A8" w:rsidP="00D1541A">
            <w:pPr>
              <w:rPr>
                <w:rFonts w:asciiTheme="minorHAnsi" w:hAnsiTheme="minorHAnsi" w:cstheme="minorHAnsi"/>
                <w:b/>
                <w:szCs w:val="20"/>
                <w:highlight w:val="yellow"/>
                <w:lang w:eastAsia="fr-FR"/>
              </w:rPr>
            </w:pPr>
            <w:r w:rsidRPr="00C73365">
              <w:rPr>
                <w:rFonts w:asciiTheme="minorHAnsi" w:hAnsiTheme="minorHAnsi" w:cstheme="minorHAnsi"/>
                <w:b/>
              </w:rPr>
              <w:t>Madame Corinna zur Bonsen-Thomas</w:t>
            </w:r>
          </w:p>
        </w:tc>
        <w:tc>
          <w:tcPr>
            <w:tcW w:w="186" w:type="dxa"/>
            <w:shd w:val="clear" w:color="auto" w:fill="FFFFFF"/>
          </w:tcPr>
          <w:p w14:paraId="4DEA8C44" w14:textId="77777777" w:rsidR="00B740A8" w:rsidRPr="00C73365" w:rsidRDefault="00B740A8" w:rsidP="00D1541A">
            <w:pPr>
              <w:rPr>
                <w:rFonts w:asciiTheme="minorHAnsi" w:hAnsiTheme="minorHAnsi" w:cstheme="minorHAnsi"/>
                <w:color w:val="000000"/>
                <w:szCs w:val="20"/>
                <w:highlight w:val="yellow"/>
                <w:lang w:eastAsia="fr-FR"/>
              </w:rPr>
            </w:pPr>
            <w:r w:rsidRPr="00C73365">
              <w:rPr>
                <w:rFonts w:asciiTheme="minorHAnsi" w:hAnsiTheme="minorHAnsi" w:cstheme="minorHAnsi"/>
              </w:rPr>
              <w:t xml:space="preserve"> </w:t>
            </w:r>
          </w:p>
        </w:tc>
        <w:tc>
          <w:tcPr>
            <w:tcW w:w="1387" w:type="dxa"/>
            <w:tcBorders>
              <w:top w:val="single" w:sz="8" w:space="0" w:color="7030A0"/>
              <w:left w:val="nil"/>
              <w:bottom w:val="single" w:sz="4" w:space="0" w:color="FFFFFF" w:themeColor="background1"/>
              <w:right w:val="nil"/>
            </w:tcBorders>
            <w:shd w:val="clear" w:color="auto" w:fill="FFFFFF"/>
          </w:tcPr>
          <w:p w14:paraId="3A13F6E1" w14:textId="77777777" w:rsidR="00B740A8" w:rsidRPr="00C73365" w:rsidRDefault="00B740A8" w:rsidP="00D1541A">
            <w:pPr>
              <w:jc w:val="right"/>
              <w:rPr>
                <w:rFonts w:asciiTheme="minorHAnsi" w:hAnsiTheme="minorHAnsi" w:cstheme="minorHAnsi"/>
                <w:szCs w:val="20"/>
                <w:highlight w:val="yellow"/>
                <w:lang w:eastAsia="fr-FR"/>
              </w:rPr>
            </w:pPr>
          </w:p>
        </w:tc>
        <w:tc>
          <w:tcPr>
            <w:tcW w:w="186" w:type="dxa"/>
            <w:noWrap/>
          </w:tcPr>
          <w:p w14:paraId="2AF2D7FA" w14:textId="77777777" w:rsidR="00B740A8" w:rsidRPr="00C73365" w:rsidRDefault="00B740A8" w:rsidP="00D1541A">
            <w:pPr>
              <w:rPr>
                <w:rFonts w:asciiTheme="minorHAnsi" w:hAnsiTheme="minorHAnsi" w:cstheme="minorHAnsi"/>
                <w:szCs w:val="20"/>
                <w:highlight w:val="yellow"/>
                <w:lang w:eastAsia="fr-FR"/>
              </w:rPr>
            </w:pPr>
          </w:p>
        </w:tc>
        <w:tc>
          <w:tcPr>
            <w:tcW w:w="1576" w:type="dxa"/>
            <w:tcBorders>
              <w:top w:val="single" w:sz="8" w:space="0" w:color="7030A0"/>
              <w:left w:val="nil"/>
              <w:bottom w:val="single" w:sz="4" w:space="0" w:color="FFFFFF" w:themeColor="background1"/>
              <w:right w:val="nil"/>
            </w:tcBorders>
            <w:shd w:val="clear" w:color="auto" w:fill="FFFFFF"/>
          </w:tcPr>
          <w:p w14:paraId="41545B2D" w14:textId="77777777" w:rsidR="00B740A8" w:rsidRPr="00C73365" w:rsidDel="006E30A2" w:rsidRDefault="00B740A8" w:rsidP="00D1541A">
            <w:pPr>
              <w:jc w:val="right"/>
              <w:rPr>
                <w:rFonts w:asciiTheme="minorHAnsi" w:hAnsiTheme="minorHAnsi" w:cstheme="minorHAnsi"/>
                <w:szCs w:val="20"/>
                <w:highlight w:val="yellow"/>
                <w:lang w:eastAsia="fr-FR"/>
              </w:rPr>
            </w:pPr>
          </w:p>
        </w:tc>
      </w:tr>
      <w:tr w:rsidR="00B740A8" w:rsidRPr="00C73365" w14:paraId="271D8E30" w14:textId="77777777" w:rsidTr="008B709B">
        <w:trPr>
          <w:trHeight w:val="255"/>
        </w:trPr>
        <w:tc>
          <w:tcPr>
            <w:tcW w:w="4184" w:type="dxa"/>
            <w:tcBorders>
              <w:top w:val="single" w:sz="4" w:space="0" w:color="FFFFFF" w:themeColor="background1"/>
              <w:left w:val="nil"/>
              <w:bottom w:val="single" w:sz="4" w:space="0" w:color="FFFFFF" w:themeColor="background1"/>
              <w:right w:val="nil"/>
            </w:tcBorders>
            <w:shd w:val="clear" w:color="auto" w:fill="FFFFFF"/>
          </w:tcPr>
          <w:p w14:paraId="502CD99E" w14:textId="77777777" w:rsidR="00B740A8" w:rsidRPr="00C73365" w:rsidRDefault="00B740A8" w:rsidP="00D1541A">
            <w:pPr>
              <w:rPr>
                <w:rFonts w:asciiTheme="minorHAnsi" w:hAnsiTheme="minorHAnsi" w:cstheme="minorHAnsi"/>
                <w:szCs w:val="20"/>
                <w:highlight w:val="yellow"/>
                <w:lang w:val="fr-FR" w:eastAsia="fr-FR"/>
              </w:rPr>
            </w:pPr>
            <w:r w:rsidRPr="00C73365">
              <w:rPr>
                <w:rFonts w:asciiTheme="minorHAnsi" w:hAnsiTheme="minorHAnsi" w:cstheme="minorHAnsi"/>
                <w:lang w:val="fr-FR"/>
              </w:rPr>
              <w:t>Jetons de présence</w:t>
            </w:r>
          </w:p>
        </w:tc>
        <w:tc>
          <w:tcPr>
            <w:tcW w:w="186" w:type="dxa"/>
            <w:shd w:val="clear" w:color="auto" w:fill="FFFFFF"/>
          </w:tcPr>
          <w:p w14:paraId="63A5714A" w14:textId="77777777" w:rsidR="00B740A8" w:rsidRPr="00C73365" w:rsidRDefault="00B740A8" w:rsidP="00D1541A">
            <w:pPr>
              <w:rPr>
                <w:rFonts w:asciiTheme="minorHAnsi" w:hAnsiTheme="minorHAnsi" w:cstheme="minorHAnsi"/>
                <w:color w:val="000000"/>
                <w:szCs w:val="20"/>
                <w:highlight w:val="yellow"/>
                <w:lang w:val="fr-FR" w:eastAsia="fr-FR"/>
              </w:rPr>
            </w:pPr>
            <w:r w:rsidRPr="00C73365">
              <w:rPr>
                <w:rFonts w:asciiTheme="minorHAnsi" w:hAnsiTheme="minorHAnsi" w:cstheme="minorHAnsi"/>
              </w:rPr>
              <w:t xml:space="preserve"> </w:t>
            </w:r>
          </w:p>
        </w:tc>
        <w:tc>
          <w:tcPr>
            <w:tcW w:w="1387" w:type="dxa"/>
            <w:tcBorders>
              <w:top w:val="single" w:sz="4" w:space="0" w:color="FFFFFF" w:themeColor="background1"/>
              <w:left w:val="nil"/>
              <w:bottom w:val="single" w:sz="4" w:space="0" w:color="FFFFFF" w:themeColor="background1"/>
              <w:right w:val="nil"/>
            </w:tcBorders>
            <w:shd w:val="clear" w:color="auto" w:fill="FFFFFF"/>
            <w:vAlign w:val="bottom"/>
          </w:tcPr>
          <w:p w14:paraId="5CF81D7D"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bottom w:val="single" w:sz="4" w:space="0" w:color="FFFFFF" w:themeColor="background1"/>
            </w:tcBorders>
            <w:noWrap/>
          </w:tcPr>
          <w:p w14:paraId="35903D0C"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4" w:space="0" w:color="FFFFFF" w:themeColor="background1"/>
              <w:right w:val="nil"/>
            </w:tcBorders>
            <w:shd w:val="clear" w:color="auto" w:fill="FFFFFF"/>
          </w:tcPr>
          <w:p w14:paraId="7982B9C4" w14:textId="77777777" w:rsidR="00B740A8" w:rsidRPr="00C73365" w:rsidDel="006E30A2"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5A55E9" w14:paraId="1898B996" w14:textId="77777777" w:rsidTr="008B709B">
        <w:trPr>
          <w:trHeight w:val="255"/>
        </w:trPr>
        <w:tc>
          <w:tcPr>
            <w:tcW w:w="4184" w:type="dxa"/>
            <w:tcBorders>
              <w:top w:val="single" w:sz="4" w:space="0" w:color="FFFFFF" w:themeColor="background1"/>
              <w:left w:val="nil"/>
              <w:bottom w:val="single" w:sz="8" w:space="0" w:color="7030A0"/>
              <w:right w:val="nil"/>
            </w:tcBorders>
            <w:shd w:val="clear" w:color="auto" w:fill="FFFFFF"/>
          </w:tcPr>
          <w:p w14:paraId="33E49630" w14:textId="77777777" w:rsidR="00B740A8" w:rsidRPr="00C73365" w:rsidRDefault="00B740A8" w:rsidP="00D1541A">
            <w:pPr>
              <w:rPr>
                <w:rFonts w:asciiTheme="minorHAnsi" w:hAnsiTheme="minorHAnsi" w:cstheme="minorHAnsi"/>
                <w:szCs w:val="20"/>
                <w:highlight w:val="yellow"/>
                <w:lang w:val="fr-FR" w:eastAsia="fr-FR"/>
              </w:rPr>
            </w:pPr>
            <w:r w:rsidRPr="00C73365">
              <w:rPr>
                <w:rFonts w:asciiTheme="minorHAnsi" w:hAnsiTheme="minorHAnsi" w:cstheme="minorHAnsi"/>
                <w:lang w:val="fr-FR"/>
              </w:rPr>
              <w:t>Autres rémunérations</w:t>
            </w:r>
          </w:p>
        </w:tc>
        <w:tc>
          <w:tcPr>
            <w:tcW w:w="186" w:type="dxa"/>
            <w:shd w:val="clear" w:color="auto" w:fill="FFFFFF"/>
          </w:tcPr>
          <w:p w14:paraId="6362859A" w14:textId="77777777" w:rsidR="00B740A8" w:rsidRPr="00C73365" w:rsidRDefault="00B740A8" w:rsidP="00D1541A">
            <w:pPr>
              <w:rPr>
                <w:rFonts w:asciiTheme="minorHAnsi" w:hAnsiTheme="minorHAnsi" w:cstheme="minorHAnsi"/>
                <w:color w:val="000000"/>
                <w:szCs w:val="20"/>
                <w:highlight w:val="yellow"/>
                <w:lang w:val="fr-FR" w:eastAsia="fr-FR"/>
              </w:rPr>
            </w:pPr>
            <w:r w:rsidRPr="00C73365">
              <w:rPr>
                <w:rFonts w:asciiTheme="minorHAnsi" w:hAnsiTheme="minorHAnsi" w:cstheme="minorHAnsi"/>
              </w:rPr>
              <w:t xml:space="preserve"> </w:t>
            </w:r>
          </w:p>
        </w:tc>
        <w:tc>
          <w:tcPr>
            <w:tcW w:w="1387" w:type="dxa"/>
            <w:tcBorders>
              <w:top w:val="single" w:sz="4" w:space="0" w:color="FFFFFF" w:themeColor="background1"/>
              <w:left w:val="nil"/>
              <w:bottom w:val="single" w:sz="8" w:space="0" w:color="7030A0"/>
              <w:right w:val="nil"/>
            </w:tcBorders>
            <w:shd w:val="clear" w:color="auto" w:fill="auto"/>
            <w:vAlign w:val="center"/>
          </w:tcPr>
          <w:p w14:paraId="55AC60CD"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top w:val="single" w:sz="4" w:space="0" w:color="FFFFFF" w:themeColor="background1"/>
            </w:tcBorders>
            <w:noWrap/>
          </w:tcPr>
          <w:p w14:paraId="510A7BFA"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8" w:space="0" w:color="7030A0"/>
              <w:right w:val="nil"/>
            </w:tcBorders>
            <w:shd w:val="clear" w:color="auto" w:fill="auto"/>
          </w:tcPr>
          <w:p w14:paraId="1A43080E" w14:textId="2A41281D" w:rsidR="00432FBC" w:rsidRPr="005A55E9" w:rsidDel="006E30A2" w:rsidRDefault="001F18A7" w:rsidP="005B066C">
            <w:pPr>
              <w:jc w:val="right"/>
              <w:rPr>
                <w:rFonts w:asciiTheme="minorHAnsi" w:hAnsiTheme="minorHAnsi" w:cstheme="minorHAnsi"/>
                <w:szCs w:val="20"/>
                <w:highlight w:val="yellow"/>
                <w:lang w:val="fr-FR" w:eastAsia="fr-FR"/>
              </w:rPr>
            </w:pPr>
            <w:r w:rsidRPr="001F18A7">
              <w:rPr>
                <w:rFonts w:asciiTheme="minorHAnsi" w:hAnsiTheme="minorHAnsi" w:cstheme="minorHAnsi"/>
                <w:szCs w:val="20"/>
                <w:lang w:val="fr-FR" w:eastAsia="fr-FR"/>
              </w:rPr>
              <w:t>(1)</w:t>
            </w:r>
            <w:r w:rsidR="005B066C" w:rsidRPr="001F18A7">
              <w:rPr>
                <w:rFonts w:asciiTheme="minorHAnsi" w:hAnsiTheme="minorHAnsi" w:cstheme="minorHAnsi"/>
                <w:szCs w:val="20"/>
                <w:lang w:val="fr-FR" w:eastAsia="fr-FR"/>
              </w:rPr>
              <w:t xml:space="preserve"> </w:t>
            </w:r>
          </w:p>
        </w:tc>
      </w:tr>
      <w:tr w:rsidR="00B740A8" w:rsidRPr="00C73365" w14:paraId="6AAFF4A8" w14:textId="77777777" w:rsidTr="008B709B">
        <w:trPr>
          <w:trHeight w:val="255"/>
        </w:trPr>
        <w:tc>
          <w:tcPr>
            <w:tcW w:w="4184" w:type="dxa"/>
            <w:tcBorders>
              <w:top w:val="single" w:sz="8" w:space="0" w:color="7030A0"/>
              <w:left w:val="nil"/>
              <w:bottom w:val="single" w:sz="4" w:space="0" w:color="FFFFFF" w:themeColor="background1"/>
              <w:right w:val="nil"/>
            </w:tcBorders>
            <w:shd w:val="clear" w:color="auto" w:fill="FFFFFF"/>
          </w:tcPr>
          <w:p w14:paraId="36146152"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b/>
                <w:lang w:val="fr-FR"/>
              </w:rPr>
              <w:t>Madame Carol L. Brosgart</w:t>
            </w:r>
          </w:p>
        </w:tc>
        <w:tc>
          <w:tcPr>
            <w:tcW w:w="186" w:type="dxa"/>
            <w:shd w:val="clear" w:color="auto" w:fill="FFFFFF"/>
          </w:tcPr>
          <w:p w14:paraId="46E6589C"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 xml:space="preserve"> </w:t>
            </w:r>
          </w:p>
        </w:tc>
        <w:tc>
          <w:tcPr>
            <w:tcW w:w="1387" w:type="dxa"/>
            <w:tcBorders>
              <w:top w:val="single" w:sz="8" w:space="0" w:color="7030A0"/>
              <w:left w:val="nil"/>
              <w:bottom w:val="single" w:sz="4" w:space="0" w:color="FFFFFF" w:themeColor="background1"/>
              <w:right w:val="nil"/>
            </w:tcBorders>
            <w:shd w:val="clear" w:color="auto" w:fill="FFFFFF"/>
          </w:tcPr>
          <w:p w14:paraId="0DE24000" w14:textId="77777777" w:rsidR="00B740A8" w:rsidRPr="00C73365" w:rsidRDefault="00B740A8" w:rsidP="00D1541A">
            <w:pPr>
              <w:jc w:val="right"/>
              <w:rPr>
                <w:rFonts w:asciiTheme="minorHAnsi" w:hAnsiTheme="minorHAnsi" w:cstheme="minorHAnsi"/>
                <w:color w:val="000000"/>
                <w:szCs w:val="20"/>
                <w:lang w:val="fr-FR" w:eastAsia="fr-FR"/>
              </w:rPr>
            </w:pPr>
          </w:p>
        </w:tc>
        <w:tc>
          <w:tcPr>
            <w:tcW w:w="186" w:type="dxa"/>
            <w:noWrap/>
          </w:tcPr>
          <w:p w14:paraId="3BBE05FC"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8" w:space="0" w:color="7030A0"/>
              <w:left w:val="nil"/>
              <w:bottom w:val="single" w:sz="4" w:space="0" w:color="FFFFFF" w:themeColor="background1"/>
              <w:right w:val="nil"/>
            </w:tcBorders>
            <w:shd w:val="clear" w:color="auto" w:fill="FFFFFF"/>
          </w:tcPr>
          <w:p w14:paraId="03F8610D" w14:textId="77777777" w:rsidR="00B740A8" w:rsidRPr="00C73365" w:rsidRDefault="00B740A8" w:rsidP="00D1541A">
            <w:pPr>
              <w:jc w:val="right"/>
              <w:rPr>
                <w:rFonts w:asciiTheme="minorHAnsi" w:hAnsiTheme="minorHAnsi" w:cstheme="minorHAnsi"/>
                <w:szCs w:val="20"/>
                <w:lang w:val="fr-FR" w:eastAsia="fr-FR"/>
              </w:rPr>
            </w:pPr>
          </w:p>
        </w:tc>
      </w:tr>
      <w:tr w:rsidR="00B740A8" w:rsidRPr="00C73365" w14:paraId="3999EC5D" w14:textId="77777777" w:rsidTr="008B709B">
        <w:trPr>
          <w:trHeight w:val="255"/>
        </w:trPr>
        <w:tc>
          <w:tcPr>
            <w:tcW w:w="4184" w:type="dxa"/>
            <w:tcBorders>
              <w:top w:val="single" w:sz="4" w:space="0" w:color="FFFFFF" w:themeColor="background1"/>
              <w:left w:val="nil"/>
              <w:bottom w:val="single" w:sz="4" w:space="0" w:color="FFFFFF" w:themeColor="background1"/>
              <w:right w:val="nil"/>
            </w:tcBorders>
            <w:shd w:val="clear" w:color="auto" w:fill="FFFFFF"/>
          </w:tcPr>
          <w:p w14:paraId="7B49AF10"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tcPr>
          <w:p w14:paraId="54CDF771"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 xml:space="preserve"> </w:t>
            </w:r>
          </w:p>
        </w:tc>
        <w:tc>
          <w:tcPr>
            <w:tcW w:w="1387" w:type="dxa"/>
            <w:tcBorders>
              <w:top w:val="single" w:sz="4" w:space="0" w:color="FFFFFF" w:themeColor="background1"/>
              <w:left w:val="nil"/>
              <w:bottom w:val="single" w:sz="4" w:space="0" w:color="FFFFFF" w:themeColor="background1"/>
              <w:right w:val="nil"/>
            </w:tcBorders>
            <w:shd w:val="clear" w:color="auto" w:fill="FFFFFF"/>
            <w:vAlign w:val="bottom"/>
          </w:tcPr>
          <w:p w14:paraId="7C9A82FD"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bottom w:val="single" w:sz="4" w:space="0" w:color="FFFFFF" w:themeColor="background1"/>
            </w:tcBorders>
            <w:noWrap/>
          </w:tcPr>
          <w:p w14:paraId="4EA0150D"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4" w:space="0" w:color="FFFFFF" w:themeColor="background1"/>
              <w:right w:val="nil"/>
            </w:tcBorders>
            <w:shd w:val="clear" w:color="auto" w:fill="FFFFFF"/>
          </w:tcPr>
          <w:p w14:paraId="6E547859" w14:textId="77777777"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N/A</w:t>
            </w:r>
          </w:p>
        </w:tc>
      </w:tr>
      <w:tr w:rsidR="00B740A8" w:rsidRPr="00C73365" w14:paraId="164A64F6" w14:textId="77777777" w:rsidTr="008B709B">
        <w:trPr>
          <w:trHeight w:val="255"/>
        </w:trPr>
        <w:tc>
          <w:tcPr>
            <w:tcW w:w="4184" w:type="dxa"/>
            <w:tcBorders>
              <w:top w:val="single" w:sz="4" w:space="0" w:color="FFFFFF" w:themeColor="background1"/>
              <w:left w:val="nil"/>
              <w:bottom w:val="single" w:sz="8" w:space="0" w:color="7030A0"/>
              <w:right w:val="nil"/>
            </w:tcBorders>
            <w:shd w:val="clear" w:color="auto" w:fill="FFFFFF"/>
          </w:tcPr>
          <w:p w14:paraId="610D7357"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tcPr>
          <w:p w14:paraId="5C0EBC5A" w14:textId="77777777"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 xml:space="preserve"> </w:t>
            </w:r>
          </w:p>
        </w:tc>
        <w:tc>
          <w:tcPr>
            <w:tcW w:w="1387" w:type="dxa"/>
            <w:tcBorders>
              <w:top w:val="single" w:sz="4" w:space="0" w:color="FFFFFF" w:themeColor="background1"/>
              <w:left w:val="nil"/>
              <w:bottom w:val="single" w:sz="8" w:space="0" w:color="7030A0"/>
              <w:right w:val="nil"/>
            </w:tcBorders>
            <w:shd w:val="clear" w:color="auto" w:fill="auto"/>
            <w:vAlign w:val="center"/>
          </w:tcPr>
          <w:p w14:paraId="3C5CAA2D" w14:textId="77777777"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top w:val="single" w:sz="4" w:space="0" w:color="FFFFFF" w:themeColor="background1"/>
            </w:tcBorders>
            <w:noWrap/>
          </w:tcPr>
          <w:p w14:paraId="49F96640" w14:textId="77777777"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8" w:space="0" w:color="7030A0"/>
              <w:right w:val="nil"/>
            </w:tcBorders>
            <w:shd w:val="clear" w:color="auto" w:fill="FFFFFF"/>
          </w:tcPr>
          <w:p w14:paraId="7FD48049" w14:textId="77777777"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N/A</w:t>
            </w:r>
          </w:p>
        </w:tc>
      </w:tr>
      <w:tr w:rsidR="00B740A8" w:rsidRPr="008B709B" w14:paraId="65DE07E0" w14:textId="77777777" w:rsidTr="008B709B">
        <w:trPr>
          <w:trHeight w:val="350"/>
        </w:trPr>
        <w:tc>
          <w:tcPr>
            <w:tcW w:w="4184" w:type="dxa"/>
            <w:tcBorders>
              <w:top w:val="nil"/>
              <w:left w:val="nil"/>
              <w:bottom w:val="single" w:sz="8" w:space="0" w:color="7030A0"/>
              <w:right w:val="nil"/>
            </w:tcBorders>
            <w:noWrap/>
            <w:vAlign w:val="center"/>
            <w:hideMark/>
          </w:tcPr>
          <w:p w14:paraId="3F0FEF55" w14:textId="77777777" w:rsidR="00B740A8" w:rsidRPr="00C73365" w:rsidRDefault="00B740A8" w:rsidP="00D1541A">
            <w:pPr>
              <w:rPr>
                <w:rFonts w:asciiTheme="minorHAnsi" w:hAnsiTheme="minorHAnsi" w:cstheme="minorHAnsi"/>
                <w:b/>
                <w:color w:val="7030A0"/>
                <w:lang w:val="fr-FR"/>
              </w:rPr>
            </w:pPr>
            <w:r w:rsidRPr="00C73365">
              <w:rPr>
                <w:rFonts w:asciiTheme="minorHAnsi" w:hAnsiTheme="minorHAnsi" w:cstheme="minorHAnsi"/>
                <w:b/>
                <w:color w:val="7030A0"/>
                <w:lang w:val="fr-FR"/>
              </w:rPr>
              <w:t>Total</w:t>
            </w:r>
          </w:p>
        </w:tc>
        <w:tc>
          <w:tcPr>
            <w:tcW w:w="186" w:type="dxa"/>
            <w:vAlign w:val="center"/>
            <w:hideMark/>
          </w:tcPr>
          <w:p w14:paraId="615D7209" w14:textId="77777777" w:rsidR="00B740A8" w:rsidRPr="00C73365" w:rsidRDefault="00B740A8" w:rsidP="00D1541A">
            <w:pPr>
              <w:rPr>
                <w:rFonts w:asciiTheme="minorHAnsi" w:hAnsiTheme="minorHAnsi" w:cstheme="minorHAnsi"/>
                <w:b/>
                <w:color w:val="7030A0"/>
                <w:lang w:val="fr-FR"/>
              </w:rPr>
            </w:pPr>
          </w:p>
        </w:tc>
        <w:tc>
          <w:tcPr>
            <w:tcW w:w="1387" w:type="dxa"/>
            <w:tcBorders>
              <w:top w:val="nil"/>
              <w:left w:val="nil"/>
              <w:bottom w:val="single" w:sz="8" w:space="0" w:color="7030A0"/>
              <w:right w:val="nil"/>
            </w:tcBorders>
            <w:shd w:val="clear" w:color="auto" w:fill="FFFFFF"/>
            <w:vAlign w:val="center"/>
            <w:hideMark/>
          </w:tcPr>
          <w:p w14:paraId="58EC9B29" w14:textId="6661E0E4" w:rsidR="00B740A8" w:rsidRPr="00C73365" w:rsidRDefault="00B740A8" w:rsidP="00D1541A">
            <w:pPr>
              <w:jc w:val="right"/>
              <w:rPr>
                <w:rFonts w:asciiTheme="minorHAnsi" w:hAnsiTheme="minorHAnsi" w:cstheme="minorHAnsi"/>
                <w:b/>
                <w:color w:val="7030A0"/>
                <w:lang w:val="fr-FR"/>
              </w:rPr>
            </w:pPr>
            <w:r w:rsidRPr="00C73365">
              <w:rPr>
                <w:rFonts w:asciiTheme="minorHAnsi" w:hAnsiTheme="minorHAnsi" w:cstheme="minorHAnsi"/>
                <w:b/>
                <w:color w:val="7030A0"/>
                <w:lang w:val="fr-FR"/>
              </w:rPr>
              <w:t>41</w:t>
            </w:r>
            <w:r w:rsidR="008B709B">
              <w:rPr>
                <w:rFonts w:asciiTheme="minorHAnsi" w:hAnsiTheme="minorHAnsi" w:cstheme="minorHAnsi"/>
                <w:b/>
                <w:color w:val="7030A0"/>
                <w:lang w:val="fr-FR"/>
              </w:rPr>
              <w:t> </w:t>
            </w:r>
            <w:r w:rsidRPr="00C73365">
              <w:rPr>
                <w:rFonts w:asciiTheme="minorHAnsi" w:hAnsiTheme="minorHAnsi" w:cstheme="minorHAnsi"/>
                <w:b/>
                <w:color w:val="7030A0"/>
                <w:lang w:val="fr-FR"/>
              </w:rPr>
              <w:t>400</w:t>
            </w:r>
            <w:r w:rsidR="008B709B">
              <w:rPr>
                <w:rFonts w:asciiTheme="minorHAnsi" w:hAnsiTheme="minorHAnsi" w:cstheme="minorHAnsi"/>
                <w:b/>
                <w:color w:val="7030A0"/>
                <w:lang w:val="fr-FR"/>
              </w:rPr>
              <w:t xml:space="preserve"> </w:t>
            </w:r>
            <w:r w:rsidRPr="00C73365">
              <w:rPr>
                <w:rFonts w:asciiTheme="minorHAnsi" w:hAnsiTheme="minorHAnsi" w:cstheme="minorHAnsi"/>
                <w:b/>
                <w:color w:val="7030A0"/>
                <w:lang w:val="fr-FR"/>
              </w:rPr>
              <w:t>€</w:t>
            </w:r>
            <w:r w:rsidR="00810FB0">
              <w:rPr>
                <w:rFonts w:asciiTheme="minorHAnsi" w:hAnsiTheme="minorHAnsi" w:cstheme="minorHAnsi"/>
                <w:b/>
                <w:color w:val="7030A0"/>
                <w:lang w:val="fr-FR"/>
              </w:rPr>
              <w:t xml:space="preserve"> </w:t>
            </w:r>
            <w:r w:rsidR="00810FB0" w:rsidRPr="002B2B3D">
              <w:rPr>
                <w:rFonts w:asciiTheme="minorHAnsi" w:hAnsiTheme="minorHAnsi" w:cstheme="minorHAnsi"/>
                <w:lang w:val="fr-FR"/>
              </w:rPr>
              <w:t>(2)</w:t>
            </w:r>
          </w:p>
        </w:tc>
        <w:tc>
          <w:tcPr>
            <w:tcW w:w="186" w:type="dxa"/>
            <w:noWrap/>
            <w:vAlign w:val="center"/>
            <w:hideMark/>
          </w:tcPr>
          <w:p w14:paraId="08095036" w14:textId="77777777" w:rsidR="00B740A8" w:rsidRPr="00C73365" w:rsidRDefault="00B740A8" w:rsidP="00D1541A">
            <w:pPr>
              <w:rPr>
                <w:rFonts w:asciiTheme="minorHAnsi" w:hAnsiTheme="minorHAnsi" w:cstheme="minorHAnsi"/>
                <w:b/>
                <w:bCs/>
                <w:color w:val="7030A0"/>
                <w:szCs w:val="20"/>
                <w:highlight w:val="yellow"/>
                <w:lang w:val="fr-FR" w:eastAsia="fr-FR"/>
              </w:rPr>
            </w:pPr>
          </w:p>
        </w:tc>
        <w:tc>
          <w:tcPr>
            <w:tcW w:w="1576" w:type="dxa"/>
            <w:tcBorders>
              <w:top w:val="nil"/>
              <w:left w:val="nil"/>
              <w:bottom w:val="single" w:sz="8" w:space="0" w:color="7030A0"/>
              <w:right w:val="nil"/>
            </w:tcBorders>
            <w:shd w:val="clear" w:color="auto" w:fill="auto"/>
            <w:vAlign w:val="center"/>
          </w:tcPr>
          <w:p w14:paraId="6856D2B3" w14:textId="64F87AA3" w:rsidR="00B740A8" w:rsidRPr="008B709B" w:rsidRDefault="008B709B" w:rsidP="00D1541A">
            <w:pPr>
              <w:jc w:val="right"/>
              <w:rPr>
                <w:rFonts w:asciiTheme="minorHAnsi" w:hAnsiTheme="minorHAnsi" w:cstheme="minorHAnsi"/>
                <w:b/>
                <w:bCs/>
                <w:color w:val="7030A0"/>
                <w:szCs w:val="20"/>
                <w:lang w:val="fr-FR" w:eastAsia="fr-FR"/>
              </w:rPr>
            </w:pPr>
            <w:r w:rsidRPr="008B709B">
              <w:rPr>
                <w:rFonts w:asciiTheme="minorHAnsi" w:hAnsiTheme="minorHAnsi" w:cstheme="minorHAnsi"/>
                <w:b/>
                <w:bCs/>
                <w:color w:val="7030A0"/>
                <w:szCs w:val="20"/>
                <w:lang w:val="fr-FR" w:eastAsia="fr-FR"/>
              </w:rPr>
              <w:t>24 005</w:t>
            </w:r>
            <w:r w:rsidR="005B066C" w:rsidRPr="008B709B">
              <w:rPr>
                <w:rFonts w:asciiTheme="minorHAnsi" w:hAnsiTheme="minorHAnsi" w:cstheme="minorHAnsi"/>
                <w:b/>
                <w:bCs/>
                <w:color w:val="7030A0"/>
                <w:szCs w:val="20"/>
                <w:lang w:val="fr-FR" w:eastAsia="fr-FR"/>
              </w:rPr>
              <w:t xml:space="preserve"> € </w:t>
            </w:r>
          </w:p>
        </w:tc>
      </w:tr>
    </w:tbl>
    <w:p w14:paraId="62963356" w14:textId="77777777" w:rsidR="00B46293" w:rsidRDefault="00B46293" w:rsidP="00FF5A22">
      <w:pPr>
        <w:tabs>
          <w:tab w:val="left" w:pos="5736"/>
        </w:tabs>
        <w:spacing w:line="264" w:lineRule="auto"/>
        <w:rPr>
          <w:rFonts w:asciiTheme="minorHAnsi" w:hAnsiTheme="minorHAnsi" w:cstheme="minorHAnsi"/>
          <w:sz w:val="18"/>
          <w:lang w:val="fr-FR"/>
        </w:rPr>
      </w:pPr>
    </w:p>
    <w:p w14:paraId="208B5655" w14:textId="4D403F17" w:rsidR="00872F5A" w:rsidRPr="008B709B" w:rsidRDefault="00872F5A" w:rsidP="00FF5A22">
      <w:pPr>
        <w:tabs>
          <w:tab w:val="left" w:pos="5736"/>
        </w:tabs>
        <w:spacing w:line="264" w:lineRule="auto"/>
        <w:rPr>
          <w:rFonts w:asciiTheme="minorHAnsi" w:hAnsiTheme="minorHAnsi" w:cstheme="minorHAnsi"/>
          <w:szCs w:val="20"/>
          <w:lang w:val="fr-FR"/>
        </w:rPr>
      </w:pPr>
      <w:r w:rsidRPr="008B709B">
        <w:rPr>
          <w:rFonts w:asciiTheme="minorHAnsi" w:hAnsiTheme="minorHAnsi" w:cstheme="minorHAnsi"/>
          <w:szCs w:val="20"/>
          <w:lang w:val="fr-FR"/>
        </w:rPr>
        <w:lastRenderedPageBreak/>
        <w:t>(1)</w:t>
      </w:r>
      <w:r w:rsidR="008B709B" w:rsidRPr="008B709B">
        <w:rPr>
          <w:rFonts w:asciiTheme="minorHAnsi" w:hAnsiTheme="minorHAnsi" w:cstheme="minorHAnsi"/>
          <w:szCs w:val="20"/>
          <w:lang w:val="fr-FR"/>
        </w:rPr>
        <w:t xml:space="preserve"> Corinna zur Bonsen-Thomas a reçu </w:t>
      </w:r>
      <w:r w:rsidR="008B709B">
        <w:rPr>
          <w:rFonts w:asciiTheme="minorHAnsi" w:hAnsiTheme="minorHAnsi" w:cstheme="minorHAnsi"/>
          <w:szCs w:val="20"/>
          <w:lang w:val="fr-FR"/>
        </w:rPr>
        <w:t>16 400 titres BSA</w:t>
      </w:r>
      <w:r w:rsidR="008B709B" w:rsidRPr="008B709B">
        <w:rPr>
          <w:rFonts w:asciiTheme="minorHAnsi" w:hAnsiTheme="minorHAnsi" w:cstheme="minorHAnsi"/>
          <w:szCs w:val="20"/>
          <w:lang w:val="fr-FR"/>
        </w:rPr>
        <w:t xml:space="preserve"> selon la décision du conseil d’administration</w:t>
      </w:r>
      <w:r w:rsidR="008B709B">
        <w:rPr>
          <w:rFonts w:asciiTheme="minorHAnsi" w:hAnsiTheme="minorHAnsi" w:cstheme="minorHAnsi"/>
          <w:szCs w:val="20"/>
          <w:lang w:val="fr-FR"/>
        </w:rPr>
        <w:t xml:space="preserve"> du</w:t>
      </w:r>
      <w:r w:rsidR="008B709B" w:rsidRPr="008B709B">
        <w:rPr>
          <w:rFonts w:asciiTheme="minorHAnsi" w:hAnsiTheme="minorHAnsi" w:cstheme="minorHAnsi"/>
          <w:szCs w:val="20"/>
          <w:lang w:val="fr-FR"/>
        </w:rPr>
        <w:t xml:space="preserve"> 18</w:t>
      </w:r>
      <w:r w:rsidR="008B709B">
        <w:rPr>
          <w:rFonts w:asciiTheme="minorHAnsi" w:hAnsiTheme="minorHAnsi" w:cstheme="minorHAnsi"/>
          <w:szCs w:val="20"/>
          <w:lang w:val="fr-FR"/>
        </w:rPr>
        <w:t xml:space="preserve"> septembre </w:t>
      </w:r>
      <w:r w:rsidR="008B709B" w:rsidRPr="008B709B">
        <w:rPr>
          <w:rFonts w:asciiTheme="minorHAnsi" w:hAnsiTheme="minorHAnsi" w:cstheme="minorHAnsi"/>
          <w:szCs w:val="20"/>
          <w:lang w:val="fr-FR"/>
        </w:rPr>
        <w:t>2017</w:t>
      </w:r>
      <w:r w:rsidR="00682970">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 xml:space="preserve">Le prix </w:t>
      </w:r>
      <w:r w:rsidR="008B709B">
        <w:rPr>
          <w:rFonts w:asciiTheme="minorHAnsi" w:hAnsiTheme="minorHAnsi" w:cstheme="minorHAnsi"/>
          <w:szCs w:val="20"/>
          <w:lang w:val="fr-FR"/>
        </w:rPr>
        <w:t xml:space="preserve">d’achat de ces BSA est de 1.29€ par titre et le prix </w:t>
      </w:r>
      <w:r w:rsidR="008B709B" w:rsidRPr="008B709B">
        <w:rPr>
          <w:rFonts w:asciiTheme="minorHAnsi" w:hAnsiTheme="minorHAnsi" w:cstheme="minorHAnsi"/>
          <w:szCs w:val="20"/>
          <w:lang w:val="fr-FR"/>
        </w:rPr>
        <w:t>d’exercice de 11.</w:t>
      </w:r>
      <w:r w:rsidR="008B709B">
        <w:rPr>
          <w:rFonts w:asciiTheme="minorHAnsi" w:hAnsiTheme="minorHAnsi" w:cstheme="minorHAnsi"/>
          <w:szCs w:val="20"/>
          <w:lang w:val="fr-FR"/>
        </w:rPr>
        <w:t>57</w:t>
      </w:r>
      <w:r w:rsidR="008B709B" w:rsidRPr="008B709B">
        <w:rPr>
          <w:rFonts w:asciiTheme="minorHAnsi" w:hAnsiTheme="minorHAnsi" w:cstheme="minorHAnsi"/>
          <w:szCs w:val="20"/>
          <w:lang w:val="fr-FR"/>
        </w:rPr>
        <w:t>€</w:t>
      </w:r>
      <w:r w:rsidR="00682970">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la maturité de 10 années. Il ne nous apparait pas raisonable d’évaluer ces options compte tenu d’hypothèses trop incertaines à cet horizon de temps</w:t>
      </w:r>
      <w:r w:rsidRPr="008B709B">
        <w:rPr>
          <w:rFonts w:asciiTheme="minorHAnsi" w:hAnsiTheme="minorHAnsi" w:cstheme="minorHAnsi"/>
          <w:szCs w:val="20"/>
          <w:lang w:val="fr-FR"/>
        </w:rPr>
        <w:t xml:space="preserve">. </w:t>
      </w:r>
      <w:r w:rsidR="00682970">
        <w:rPr>
          <w:rFonts w:asciiTheme="minorHAnsi" w:hAnsiTheme="minorHAnsi" w:cstheme="minorHAnsi"/>
          <w:szCs w:val="20"/>
          <w:lang w:val="fr-FR"/>
        </w:rPr>
        <w:t>Pour information, c</w:t>
      </w:r>
      <w:r w:rsidRPr="008B709B">
        <w:rPr>
          <w:rFonts w:asciiTheme="minorHAnsi" w:hAnsiTheme="minorHAnsi" w:cstheme="minorHAnsi"/>
          <w:szCs w:val="20"/>
          <w:lang w:val="fr-FR"/>
        </w:rPr>
        <w:t>es BSA ont été attribués sur la base d’un prix de souscription égal à 10 % du cours moyen pondéré de l’action de la Société au cours des 20 dernières séances de bourse précédenat le jour de l’émission des BSA par le Conseil d’administration et d’un prix d’exercice égal à 90 % de cette valeur. Ces BSA sont exerçables progressivement en trois tranches (se référer au paragraphe 21.1.5 du présent document de référence).</w:t>
      </w:r>
    </w:p>
    <w:p w14:paraId="7E6F2C5B" w14:textId="72C9F090" w:rsidR="00B740A8" w:rsidRPr="008B709B" w:rsidRDefault="00B46293" w:rsidP="00FF5A22">
      <w:pPr>
        <w:tabs>
          <w:tab w:val="left" w:pos="5736"/>
        </w:tabs>
        <w:spacing w:line="264" w:lineRule="auto"/>
        <w:rPr>
          <w:rFonts w:asciiTheme="minorHAnsi" w:hAnsiTheme="minorHAnsi" w:cstheme="minorHAnsi"/>
          <w:b/>
          <w:color w:val="7030A0"/>
          <w:szCs w:val="20"/>
          <w:lang w:val="fr-FR"/>
        </w:rPr>
      </w:pPr>
      <w:r w:rsidRPr="008B709B">
        <w:rPr>
          <w:rStyle w:val="Appelnotedebasdep"/>
          <w:rFonts w:asciiTheme="minorHAnsi" w:hAnsiTheme="minorHAnsi" w:cstheme="minorHAnsi"/>
          <w:szCs w:val="20"/>
          <w:lang w:val="fr-FR"/>
        </w:rPr>
        <w:t xml:space="preserve"> </w:t>
      </w:r>
      <w:r w:rsidRPr="008B709B">
        <w:rPr>
          <w:rFonts w:asciiTheme="minorHAnsi" w:hAnsiTheme="minorHAnsi" w:cstheme="minorHAnsi"/>
          <w:szCs w:val="20"/>
          <w:lang w:val="fr-FR"/>
        </w:rPr>
        <w:t xml:space="preserve">(2) </w:t>
      </w:r>
      <w:r w:rsidR="00B740A8" w:rsidRPr="008B709B">
        <w:rPr>
          <w:rFonts w:asciiTheme="minorHAnsi" w:hAnsiTheme="minorHAnsi" w:cstheme="minorHAnsi"/>
          <w:szCs w:val="20"/>
          <w:lang w:val="fr-FR"/>
        </w:rPr>
        <w:t xml:space="preserve">Dont 5 800 </w:t>
      </w:r>
      <w:r w:rsidR="00EF089C" w:rsidRPr="008B709B">
        <w:rPr>
          <w:rFonts w:asciiTheme="minorHAnsi" w:hAnsiTheme="minorHAnsi" w:cstheme="minorHAnsi"/>
          <w:szCs w:val="20"/>
          <w:lang w:val="fr-FR"/>
        </w:rPr>
        <w:t>K€</w:t>
      </w:r>
      <w:r w:rsidR="00B740A8" w:rsidRPr="008B709B">
        <w:rPr>
          <w:rFonts w:asciiTheme="minorHAnsi" w:hAnsiTheme="minorHAnsi" w:cstheme="minorHAnsi"/>
          <w:szCs w:val="20"/>
          <w:lang w:val="fr-FR"/>
        </w:rPr>
        <w:t xml:space="preserve"> versés sur le premier trimestre 2017.</w:t>
      </w:r>
    </w:p>
    <w:p w14:paraId="7A6A41E5" w14:textId="77777777" w:rsidR="00B740A8" w:rsidRPr="00C73365" w:rsidRDefault="00B740A8" w:rsidP="00B740A8">
      <w:pPr>
        <w:spacing w:line="264" w:lineRule="auto"/>
        <w:rPr>
          <w:rFonts w:asciiTheme="minorHAnsi" w:hAnsiTheme="minorHAnsi" w:cstheme="minorHAnsi"/>
          <w:b/>
          <w:color w:val="7030A0"/>
          <w:szCs w:val="20"/>
          <w:lang w:val="fr-FR"/>
        </w:rPr>
      </w:pPr>
    </w:p>
    <w:p w14:paraId="1057A375" w14:textId="202F3150" w:rsidR="00B740A8" w:rsidRPr="00FF5A22" w:rsidRDefault="00B740A8" w:rsidP="00FF5A22">
      <w:pPr>
        <w:pStyle w:val="Corpsdetexte"/>
        <w:rPr>
          <w:rFonts w:asciiTheme="minorHAnsi" w:hAnsiTheme="minorHAnsi" w:cstheme="minorHAnsi"/>
          <w:b/>
          <w:lang w:val="fr-FR"/>
        </w:rPr>
      </w:pPr>
      <w:r w:rsidRPr="00C73365">
        <w:rPr>
          <w:rFonts w:asciiTheme="minorHAnsi" w:hAnsiTheme="minorHAnsi" w:cstheme="minorHAnsi"/>
          <w:b/>
          <w:lang w:val="fr-FR"/>
        </w:rPr>
        <w:t>Tableau 4 : Options de souscription ou d’achat d’actions attribuées durant l’exercice à chaque dirigeant mandataire social par l’émetteur et par toutes les sociétés du groupe</w:t>
      </w:r>
    </w:p>
    <w:tbl>
      <w:tblPr>
        <w:tblStyle w:val="Grilledutableau"/>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344"/>
        <w:gridCol w:w="1563"/>
        <w:gridCol w:w="1363"/>
        <w:gridCol w:w="1352"/>
        <w:gridCol w:w="1328"/>
        <w:gridCol w:w="1326"/>
        <w:gridCol w:w="1353"/>
      </w:tblGrid>
      <w:tr w:rsidR="00B740A8" w:rsidRPr="00C73365" w14:paraId="66A5BB76" w14:textId="77777777" w:rsidTr="00D1541A">
        <w:trPr>
          <w:trHeight w:val="1647"/>
          <w:jc w:val="center"/>
        </w:trPr>
        <w:tc>
          <w:tcPr>
            <w:tcW w:w="1375" w:type="dxa"/>
            <w:vAlign w:val="center"/>
          </w:tcPr>
          <w:p w14:paraId="0D268125"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 du dirigeant mandataire social</w:t>
            </w:r>
          </w:p>
        </w:tc>
        <w:tc>
          <w:tcPr>
            <w:tcW w:w="1375" w:type="dxa"/>
            <w:vAlign w:val="center"/>
          </w:tcPr>
          <w:p w14:paraId="1935206A"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 xml:space="preserve">N° et date du plan </w:t>
            </w:r>
          </w:p>
        </w:tc>
        <w:tc>
          <w:tcPr>
            <w:tcW w:w="1375" w:type="dxa"/>
            <w:vAlign w:val="center"/>
          </w:tcPr>
          <w:p w14:paraId="26295049"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Nature des options (achat ou souscription)</w:t>
            </w:r>
          </w:p>
        </w:tc>
        <w:tc>
          <w:tcPr>
            <w:tcW w:w="1376" w:type="dxa"/>
            <w:vAlign w:val="center"/>
          </w:tcPr>
          <w:p w14:paraId="19F9C8D4"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Valorisation des options selon la méthode retenue pour les comptes consolidés</w:t>
            </w:r>
          </w:p>
        </w:tc>
        <w:tc>
          <w:tcPr>
            <w:tcW w:w="1376" w:type="dxa"/>
            <w:vAlign w:val="center"/>
          </w:tcPr>
          <w:p w14:paraId="1E9A2B5C"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Nombre d’options attribuées durant l’exercice</w:t>
            </w:r>
          </w:p>
        </w:tc>
        <w:tc>
          <w:tcPr>
            <w:tcW w:w="1376" w:type="dxa"/>
            <w:vAlign w:val="center"/>
          </w:tcPr>
          <w:p w14:paraId="1B7E20B2"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Prix d’exercice</w:t>
            </w:r>
          </w:p>
        </w:tc>
        <w:tc>
          <w:tcPr>
            <w:tcW w:w="1376" w:type="dxa"/>
            <w:vAlign w:val="center"/>
          </w:tcPr>
          <w:p w14:paraId="50B90FF3"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Période d’exercice / Date d’expiration</w:t>
            </w:r>
          </w:p>
        </w:tc>
      </w:tr>
      <w:tr w:rsidR="00B740A8" w:rsidRPr="00C73365" w14:paraId="798BB12B" w14:textId="77777777" w:rsidTr="00D1541A">
        <w:trPr>
          <w:trHeight w:val="704"/>
          <w:jc w:val="center"/>
        </w:trPr>
        <w:tc>
          <w:tcPr>
            <w:tcW w:w="1375" w:type="dxa"/>
            <w:vAlign w:val="center"/>
          </w:tcPr>
          <w:p w14:paraId="7F158411" w14:textId="77777777"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 xml:space="preserve">Monsieur Hartmut Ehrlich </w:t>
            </w:r>
          </w:p>
        </w:tc>
        <w:tc>
          <w:tcPr>
            <w:tcW w:w="1375" w:type="dxa"/>
            <w:vAlign w:val="center"/>
          </w:tcPr>
          <w:p w14:paraId="77787715" w14:textId="77777777"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BCE 2017-2</w:t>
            </w:r>
          </w:p>
          <w:p w14:paraId="637D6B05" w14:textId="77777777"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(Conseil d’administration du 20/11/2017)</w:t>
            </w:r>
          </w:p>
        </w:tc>
        <w:tc>
          <w:tcPr>
            <w:tcW w:w="1375" w:type="dxa"/>
            <w:vAlign w:val="center"/>
          </w:tcPr>
          <w:p w14:paraId="5D7F8B89" w14:textId="77777777"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BSPCE</w:t>
            </w:r>
          </w:p>
        </w:tc>
        <w:tc>
          <w:tcPr>
            <w:tcW w:w="1376" w:type="dxa"/>
            <w:vAlign w:val="center"/>
          </w:tcPr>
          <w:p w14:paraId="0118F61E" w14:textId="4C89F628" w:rsidR="00B740A8" w:rsidRPr="00C73365" w:rsidRDefault="00682970" w:rsidP="005B066C">
            <w:pPr>
              <w:spacing w:line="264" w:lineRule="auto"/>
              <w:jc w:val="center"/>
              <w:rPr>
                <w:rFonts w:asciiTheme="minorHAnsi" w:hAnsiTheme="minorHAnsi" w:cstheme="minorHAnsi"/>
                <w:szCs w:val="20"/>
                <w:lang w:val="fr-FR"/>
              </w:rPr>
            </w:pPr>
            <w:r w:rsidRPr="00682970">
              <w:rPr>
                <w:rFonts w:asciiTheme="minorHAnsi" w:hAnsiTheme="minorHAnsi" w:cstheme="minorHAnsi"/>
                <w:szCs w:val="20"/>
                <w:lang w:val="fr-FR"/>
              </w:rPr>
              <w:t>-</w:t>
            </w:r>
          </w:p>
        </w:tc>
        <w:tc>
          <w:tcPr>
            <w:tcW w:w="1376" w:type="dxa"/>
            <w:vAlign w:val="center"/>
          </w:tcPr>
          <w:p w14:paraId="35A68D3A" w14:textId="77777777"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150 000</w:t>
            </w:r>
          </w:p>
        </w:tc>
        <w:tc>
          <w:tcPr>
            <w:tcW w:w="1376" w:type="dxa"/>
            <w:vAlign w:val="center"/>
          </w:tcPr>
          <w:p w14:paraId="5184C9FB" w14:textId="77777777"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11,14€</w:t>
            </w:r>
          </w:p>
        </w:tc>
        <w:tc>
          <w:tcPr>
            <w:tcW w:w="1376" w:type="dxa"/>
            <w:vAlign w:val="center"/>
          </w:tcPr>
          <w:p w14:paraId="6E45744D" w14:textId="77777777"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20/11/2027</w:t>
            </w:r>
          </w:p>
        </w:tc>
      </w:tr>
      <w:tr w:rsidR="00B740A8" w:rsidRPr="00C73365" w14:paraId="217A0632" w14:textId="77777777" w:rsidTr="00D1541A">
        <w:trPr>
          <w:trHeight w:val="226"/>
          <w:jc w:val="center"/>
        </w:trPr>
        <w:tc>
          <w:tcPr>
            <w:tcW w:w="1375" w:type="dxa"/>
            <w:tcBorders>
              <w:bottom w:val="single" w:sz="4" w:space="0" w:color="7030A0"/>
            </w:tcBorders>
            <w:vAlign w:val="center"/>
          </w:tcPr>
          <w:p w14:paraId="7F18C0EB"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Total</w:t>
            </w:r>
          </w:p>
        </w:tc>
        <w:tc>
          <w:tcPr>
            <w:tcW w:w="1375" w:type="dxa"/>
            <w:tcBorders>
              <w:bottom w:val="single" w:sz="4" w:space="0" w:color="7030A0"/>
            </w:tcBorders>
            <w:vAlign w:val="center"/>
          </w:tcPr>
          <w:p w14:paraId="73ADF2C6" w14:textId="77777777" w:rsidR="00B740A8" w:rsidRPr="00C73365" w:rsidRDefault="00B740A8" w:rsidP="00D1541A">
            <w:pPr>
              <w:spacing w:line="264" w:lineRule="auto"/>
              <w:rPr>
                <w:rFonts w:asciiTheme="minorHAnsi" w:hAnsiTheme="minorHAnsi" w:cstheme="minorHAnsi"/>
                <w:szCs w:val="20"/>
                <w:lang w:val="fr-FR"/>
              </w:rPr>
            </w:pPr>
          </w:p>
        </w:tc>
        <w:tc>
          <w:tcPr>
            <w:tcW w:w="1375" w:type="dxa"/>
            <w:tcBorders>
              <w:bottom w:val="single" w:sz="4" w:space="0" w:color="7030A0"/>
            </w:tcBorders>
            <w:vAlign w:val="center"/>
          </w:tcPr>
          <w:p w14:paraId="73479C6C" w14:textId="77777777"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14:paraId="1D48DD3D" w14:textId="77777777"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14:paraId="0F5C2655" w14:textId="77777777" w:rsidR="00B740A8" w:rsidRPr="00C73365" w:rsidRDefault="00B740A8" w:rsidP="004834A9">
            <w:pPr>
              <w:spacing w:line="264" w:lineRule="auto"/>
              <w:jc w:val="right"/>
              <w:rPr>
                <w:rFonts w:asciiTheme="minorHAnsi" w:hAnsiTheme="minorHAnsi" w:cstheme="minorHAnsi"/>
                <w:b/>
                <w:szCs w:val="20"/>
                <w:lang w:val="fr-FR"/>
              </w:rPr>
            </w:pPr>
            <w:r w:rsidRPr="00C73365">
              <w:rPr>
                <w:rFonts w:asciiTheme="minorHAnsi" w:hAnsiTheme="minorHAnsi" w:cstheme="minorHAnsi"/>
                <w:b/>
                <w:szCs w:val="20"/>
                <w:lang w:val="fr-FR"/>
              </w:rPr>
              <w:t>150 000</w:t>
            </w:r>
          </w:p>
        </w:tc>
        <w:tc>
          <w:tcPr>
            <w:tcW w:w="1376" w:type="dxa"/>
            <w:tcBorders>
              <w:bottom w:val="single" w:sz="4" w:space="0" w:color="7030A0"/>
            </w:tcBorders>
            <w:vAlign w:val="center"/>
          </w:tcPr>
          <w:p w14:paraId="5D37550E" w14:textId="77777777"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14:paraId="2EC6F38C" w14:textId="77777777" w:rsidR="00B740A8" w:rsidRPr="00C73365" w:rsidRDefault="00B740A8" w:rsidP="00D1541A">
            <w:pPr>
              <w:spacing w:line="264" w:lineRule="auto"/>
              <w:rPr>
                <w:rFonts w:asciiTheme="minorHAnsi" w:hAnsiTheme="minorHAnsi" w:cstheme="minorHAnsi"/>
                <w:szCs w:val="20"/>
                <w:lang w:val="fr-FR"/>
              </w:rPr>
            </w:pPr>
          </w:p>
        </w:tc>
      </w:tr>
    </w:tbl>
    <w:p w14:paraId="614C78D0" w14:textId="77777777" w:rsidR="00B740A8" w:rsidRPr="00C73365" w:rsidRDefault="00B740A8" w:rsidP="00B740A8">
      <w:pPr>
        <w:spacing w:line="264" w:lineRule="auto"/>
        <w:rPr>
          <w:rFonts w:asciiTheme="minorHAnsi" w:hAnsiTheme="minorHAnsi" w:cstheme="minorHAnsi"/>
          <w:szCs w:val="20"/>
          <w:lang w:val="fr-FR"/>
        </w:rPr>
      </w:pPr>
    </w:p>
    <w:p w14:paraId="4DC3BCCC" w14:textId="77777777" w:rsidR="00B740A8" w:rsidRPr="00C73365" w:rsidRDefault="00B740A8" w:rsidP="00B740A8">
      <w:pPr>
        <w:spacing w:line="264" w:lineRule="auto"/>
        <w:rPr>
          <w:rFonts w:asciiTheme="minorHAnsi" w:hAnsiTheme="minorHAnsi" w:cstheme="minorHAnsi"/>
          <w:szCs w:val="20"/>
          <w:lang w:val="fr-FR"/>
        </w:rPr>
      </w:pPr>
    </w:p>
    <w:p w14:paraId="692EB3E6"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Tableau 5 : Options de souscription ou d’achat d’actions levées durant l’exercice par chaque dirigeant mandataire social</w:t>
      </w:r>
    </w:p>
    <w:tbl>
      <w:tblPr>
        <w:tblStyle w:val="Grilledutableau"/>
        <w:tblW w:w="5000"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408"/>
        <w:gridCol w:w="2407"/>
        <w:gridCol w:w="2407"/>
        <w:gridCol w:w="2407"/>
      </w:tblGrid>
      <w:tr w:rsidR="00B740A8" w:rsidRPr="00C73365" w14:paraId="014A9807" w14:textId="77777777" w:rsidTr="00D1541A">
        <w:trPr>
          <w:jc w:val="center"/>
        </w:trPr>
        <w:tc>
          <w:tcPr>
            <w:tcW w:w="1250" w:type="pct"/>
            <w:vAlign w:val="center"/>
          </w:tcPr>
          <w:p w14:paraId="3FB87DEF"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 du dirigeant mandataire social</w:t>
            </w:r>
          </w:p>
        </w:tc>
        <w:tc>
          <w:tcPr>
            <w:tcW w:w="1250" w:type="pct"/>
            <w:vAlign w:val="center"/>
          </w:tcPr>
          <w:p w14:paraId="23C40B93"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 xml:space="preserve">N° et date du plan </w:t>
            </w:r>
          </w:p>
        </w:tc>
        <w:tc>
          <w:tcPr>
            <w:tcW w:w="1250" w:type="pct"/>
            <w:vAlign w:val="center"/>
          </w:tcPr>
          <w:p w14:paraId="32FCC066"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Nombre d’options levées durant l’exercice</w:t>
            </w:r>
          </w:p>
        </w:tc>
        <w:tc>
          <w:tcPr>
            <w:tcW w:w="1250" w:type="pct"/>
            <w:vAlign w:val="center"/>
          </w:tcPr>
          <w:p w14:paraId="256DD329"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Prix d’exercice</w:t>
            </w:r>
          </w:p>
        </w:tc>
      </w:tr>
      <w:tr w:rsidR="00B740A8" w:rsidRPr="00C73365" w14:paraId="21186E33" w14:textId="77777777" w:rsidTr="00D1541A">
        <w:trPr>
          <w:jc w:val="center"/>
        </w:trPr>
        <w:tc>
          <w:tcPr>
            <w:tcW w:w="1250" w:type="pct"/>
            <w:vAlign w:val="center"/>
          </w:tcPr>
          <w:p w14:paraId="25B6E6A3" w14:textId="77777777"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 xml:space="preserve">Monsieur Hartmut Ehrlich </w:t>
            </w:r>
          </w:p>
        </w:tc>
        <w:tc>
          <w:tcPr>
            <w:tcW w:w="1250" w:type="pct"/>
            <w:vAlign w:val="center"/>
          </w:tcPr>
          <w:p w14:paraId="74BAC77D" w14:textId="77777777"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BCE 2014-2 (Conseil d’administration du 11/03/2014)</w:t>
            </w:r>
          </w:p>
        </w:tc>
        <w:tc>
          <w:tcPr>
            <w:tcW w:w="1250" w:type="pct"/>
            <w:vAlign w:val="center"/>
          </w:tcPr>
          <w:p w14:paraId="3C840EAB" w14:textId="77777777"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40 000</w:t>
            </w:r>
          </w:p>
        </w:tc>
        <w:tc>
          <w:tcPr>
            <w:tcW w:w="1250" w:type="pct"/>
            <w:vAlign w:val="center"/>
          </w:tcPr>
          <w:p w14:paraId="313388EB" w14:textId="77777777"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0,01€</w:t>
            </w:r>
          </w:p>
        </w:tc>
      </w:tr>
      <w:tr w:rsidR="00B740A8" w:rsidRPr="00C73365" w14:paraId="000368C1" w14:textId="77777777" w:rsidTr="00D1541A">
        <w:trPr>
          <w:jc w:val="center"/>
        </w:trPr>
        <w:tc>
          <w:tcPr>
            <w:tcW w:w="1250" w:type="pct"/>
            <w:vAlign w:val="center"/>
          </w:tcPr>
          <w:p w14:paraId="4148514D" w14:textId="77777777"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Total</w:t>
            </w:r>
          </w:p>
        </w:tc>
        <w:tc>
          <w:tcPr>
            <w:tcW w:w="1250" w:type="pct"/>
            <w:vAlign w:val="center"/>
          </w:tcPr>
          <w:p w14:paraId="0E63C859" w14:textId="77777777" w:rsidR="00B740A8" w:rsidRPr="00C73365" w:rsidRDefault="00B740A8" w:rsidP="00D1541A">
            <w:pPr>
              <w:spacing w:line="264" w:lineRule="auto"/>
              <w:rPr>
                <w:rFonts w:asciiTheme="minorHAnsi" w:hAnsiTheme="minorHAnsi" w:cstheme="minorHAnsi"/>
                <w:szCs w:val="20"/>
                <w:lang w:val="fr-FR"/>
              </w:rPr>
            </w:pPr>
          </w:p>
        </w:tc>
        <w:tc>
          <w:tcPr>
            <w:tcW w:w="1250" w:type="pct"/>
            <w:vAlign w:val="center"/>
          </w:tcPr>
          <w:p w14:paraId="2509BBDA" w14:textId="77777777" w:rsidR="00B740A8" w:rsidRPr="00C73365" w:rsidRDefault="00B740A8" w:rsidP="00D1541A">
            <w:pPr>
              <w:spacing w:line="264" w:lineRule="auto"/>
              <w:jc w:val="right"/>
              <w:rPr>
                <w:rFonts w:asciiTheme="minorHAnsi" w:hAnsiTheme="minorHAnsi" w:cstheme="minorHAnsi"/>
                <w:b/>
                <w:szCs w:val="20"/>
                <w:lang w:val="fr-FR"/>
              </w:rPr>
            </w:pPr>
            <w:r w:rsidRPr="00C73365">
              <w:rPr>
                <w:rFonts w:asciiTheme="minorHAnsi" w:hAnsiTheme="minorHAnsi" w:cstheme="minorHAnsi"/>
                <w:b/>
                <w:szCs w:val="20"/>
                <w:lang w:val="fr-FR"/>
              </w:rPr>
              <w:t>40 000</w:t>
            </w:r>
          </w:p>
        </w:tc>
        <w:tc>
          <w:tcPr>
            <w:tcW w:w="1250" w:type="pct"/>
            <w:vAlign w:val="center"/>
          </w:tcPr>
          <w:p w14:paraId="0178528C" w14:textId="77777777" w:rsidR="00B740A8" w:rsidRPr="00C73365" w:rsidRDefault="00B740A8" w:rsidP="00D1541A">
            <w:pPr>
              <w:spacing w:line="264" w:lineRule="auto"/>
              <w:rPr>
                <w:rFonts w:asciiTheme="minorHAnsi" w:hAnsiTheme="minorHAnsi" w:cstheme="minorHAnsi"/>
                <w:szCs w:val="20"/>
                <w:lang w:val="fr-FR"/>
              </w:rPr>
            </w:pPr>
          </w:p>
        </w:tc>
      </w:tr>
    </w:tbl>
    <w:p w14:paraId="1DD667D1" w14:textId="77777777" w:rsidR="00B740A8" w:rsidRPr="00C73365" w:rsidRDefault="00B740A8" w:rsidP="00B740A8">
      <w:pPr>
        <w:rPr>
          <w:rFonts w:asciiTheme="minorHAnsi" w:hAnsiTheme="minorHAnsi" w:cstheme="minorHAnsi"/>
          <w:szCs w:val="20"/>
          <w:lang w:val="fr-FR"/>
        </w:rPr>
      </w:pPr>
    </w:p>
    <w:p w14:paraId="455988A4" w14:textId="77777777" w:rsidR="00B740A8" w:rsidRPr="00C73365" w:rsidRDefault="00B740A8" w:rsidP="00B740A8">
      <w:pPr>
        <w:rPr>
          <w:rFonts w:asciiTheme="minorHAnsi" w:hAnsiTheme="minorHAnsi" w:cstheme="minorHAnsi"/>
          <w:szCs w:val="20"/>
          <w:lang w:val="fr-FR"/>
        </w:rPr>
      </w:pPr>
    </w:p>
    <w:p w14:paraId="16DBC29D"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Tableau 6 : Actions attribuées gratuitement durant l’exercice à chaque mandataire social</w:t>
      </w:r>
    </w:p>
    <w:p w14:paraId="07C5BC02"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Néant.</w:t>
      </w:r>
    </w:p>
    <w:p w14:paraId="47CA4A54"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Tableau 7 : Actions attribuées gratuitement devenues disponibles pour chaque mandataire social</w:t>
      </w:r>
    </w:p>
    <w:p w14:paraId="36925BCC" w14:textId="77777777" w:rsidR="00B740A8"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Néant.</w:t>
      </w:r>
    </w:p>
    <w:p w14:paraId="144ACA36" w14:textId="77777777" w:rsidR="004834A9" w:rsidRPr="00C73365" w:rsidRDefault="004834A9" w:rsidP="004572A0">
      <w:pPr>
        <w:pStyle w:val="Corpsdetexte"/>
        <w:rPr>
          <w:rFonts w:asciiTheme="minorHAnsi" w:hAnsiTheme="minorHAnsi" w:cstheme="minorHAnsi"/>
          <w:lang w:val="fr-FR"/>
        </w:rPr>
      </w:pPr>
    </w:p>
    <w:p w14:paraId="27D86E70"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lastRenderedPageBreak/>
        <w:t>Tableau 8 : Historique des attributions d’options de souscriptions ou d’achat d’actions – Informations sur les bons de souscription d’actions (BSA) et les bons de souscription de parts de créateur d’entreprise (BSPCE) attribués aux mandataires sociaux</w:t>
      </w:r>
    </w:p>
    <w:p w14:paraId="3511838C" w14:textId="4EA39F06" w:rsidR="00B740A8" w:rsidRPr="00C73365" w:rsidRDefault="00B740A8" w:rsidP="00710D60">
      <w:pPr>
        <w:pStyle w:val="Corpsdetexte"/>
        <w:rPr>
          <w:rFonts w:asciiTheme="minorHAnsi" w:hAnsiTheme="minorHAnsi" w:cstheme="minorHAnsi"/>
          <w:lang w:val="fr-FR"/>
        </w:rPr>
      </w:pPr>
      <w:r w:rsidRPr="00C73365">
        <w:rPr>
          <w:rFonts w:asciiTheme="minorHAnsi" w:hAnsiTheme="minorHAnsi" w:cstheme="minorHAnsi"/>
          <w:lang w:val="fr-FR"/>
        </w:rPr>
        <w:t>Se reporter aux tableaux figurant au paragraphe 21.1.5</w:t>
      </w:r>
      <w:r w:rsidR="00CA545C">
        <w:rPr>
          <w:rFonts w:asciiTheme="minorHAnsi" w:hAnsiTheme="minorHAnsi" w:cstheme="minorHAnsi"/>
          <w:lang w:val="fr-FR"/>
        </w:rPr>
        <w:t xml:space="preserve">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w:t>
      </w:r>
      <w:r w:rsidRPr="00C73365">
        <w:rPr>
          <w:rFonts w:asciiTheme="minorHAnsi" w:hAnsiTheme="minorHAnsi" w:cstheme="minorHAnsi"/>
          <w:lang w:val="fr-FR"/>
        </w:rPr>
        <w:t>.</w:t>
      </w:r>
    </w:p>
    <w:p w14:paraId="50F6287C" w14:textId="77777777" w:rsidR="00B740A8" w:rsidRPr="00C73365" w:rsidRDefault="00B740A8" w:rsidP="00B740A8">
      <w:pPr>
        <w:spacing w:before="120"/>
        <w:contextualSpacing/>
        <w:rPr>
          <w:rFonts w:asciiTheme="minorHAnsi" w:hAnsiTheme="minorHAnsi" w:cstheme="minorHAnsi"/>
          <w:b/>
          <w:color w:val="7030A0"/>
          <w:szCs w:val="20"/>
          <w:lang w:val="fr-FR"/>
        </w:rPr>
      </w:pPr>
    </w:p>
    <w:p w14:paraId="0E7BF58A" w14:textId="77777777" w:rsidR="00B740A8" w:rsidRPr="00C73365" w:rsidRDefault="00B740A8" w:rsidP="004572A0">
      <w:pPr>
        <w:pStyle w:val="Corpsdetexte"/>
        <w:rPr>
          <w:rFonts w:asciiTheme="minorHAnsi" w:hAnsiTheme="minorHAnsi" w:cstheme="minorHAnsi"/>
          <w:b/>
          <w:lang w:val="fr-FR"/>
        </w:rPr>
      </w:pPr>
      <w:bookmarkStart w:id="778" w:name="_Toc401594109"/>
      <w:r w:rsidRPr="00C73365">
        <w:rPr>
          <w:rFonts w:asciiTheme="minorHAnsi" w:hAnsiTheme="minorHAnsi" w:cstheme="minorHAnsi"/>
          <w:b/>
          <w:lang w:val="fr-FR"/>
        </w:rPr>
        <w:t xml:space="preserve">Tableau N°9 : Options de souscription ou d’achat d’actions consenties aux dix premiers salariés non mandataires sociaux attributaires et options levées par ces derniers au cours de l’exercice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1"/>
        <w:gridCol w:w="1415"/>
        <w:gridCol w:w="1077"/>
        <w:gridCol w:w="1077"/>
        <w:gridCol w:w="1077"/>
        <w:gridCol w:w="1077"/>
        <w:gridCol w:w="1075"/>
      </w:tblGrid>
      <w:tr w:rsidR="00B740A8" w:rsidRPr="00C73365" w14:paraId="26C948F6" w14:textId="77777777" w:rsidTr="00D1541A">
        <w:trPr>
          <w:trHeight w:val="175"/>
          <w:jc w:val="center"/>
        </w:trPr>
        <w:tc>
          <w:tcPr>
            <w:tcW w:w="1470" w:type="pct"/>
            <w:vMerge w:val="restart"/>
            <w:tcBorders>
              <w:top w:val="single" w:sz="4" w:space="0" w:color="7030A0"/>
              <w:left w:val="single" w:sz="4" w:space="0" w:color="7030A0"/>
              <w:right w:val="single" w:sz="4" w:space="0" w:color="7030A0"/>
            </w:tcBorders>
            <w:shd w:val="clear" w:color="auto" w:fill="FFFFFF"/>
            <w:hideMark/>
          </w:tcPr>
          <w:p w14:paraId="44877677" w14:textId="77777777"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Options de souscription ou d’achat d’actions, BSPCE et BSA consentis aux dix premiers salariés non mandataires sociaux et attributaires et options, BSPCE et BSA levés par ces derniers</w:t>
            </w:r>
          </w:p>
        </w:tc>
        <w:tc>
          <w:tcPr>
            <w:tcW w:w="735" w:type="pct"/>
            <w:tcBorders>
              <w:top w:val="single" w:sz="4" w:space="0" w:color="7030A0"/>
              <w:left w:val="single" w:sz="4" w:space="0" w:color="7030A0"/>
              <w:bottom w:val="nil"/>
              <w:right w:val="single" w:sz="4" w:space="0" w:color="7030A0"/>
            </w:tcBorders>
            <w:noWrap/>
            <w:hideMark/>
          </w:tcPr>
          <w:p w14:paraId="1BD88A13" w14:textId="77777777" w:rsidR="00B740A8" w:rsidRPr="00C73365" w:rsidRDefault="00B740A8" w:rsidP="00D1541A">
            <w:pPr>
              <w:rPr>
                <w:rFonts w:asciiTheme="minorHAnsi" w:hAnsiTheme="minorHAnsi" w:cstheme="minorHAnsi"/>
                <w:b/>
                <w:color w:val="000000"/>
                <w:highlight w:val="yellow"/>
                <w:lang w:val="fr-FR"/>
              </w:rPr>
            </w:pPr>
            <w:r w:rsidRPr="00C73365">
              <w:rPr>
                <w:rFonts w:asciiTheme="minorHAnsi" w:hAnsiTheme="minorHAnsi" w:cstheme="minorHAnsi"/>
                <w:b/>
                <w:bCs/>
                <w:color w:val="000000"/>
                <w:szCs w:val="20"/>
                <w:lang w:val="fr-FR" w:eastAsia="fr-FR"/>
              </w:rPr>
              <w:t>Nombre total d’options, BSPCE et BSA attribués / d’actions souscrites ou achetées</w:t>
            </w:r>
          </w:p>
        </w:tc>
        <w:tc>
          <w:tcPr>
            <w:tcW w:w="559" w:type="pct"/>
            <w:vMerge w:val="restart"/>
            <w:tcBorders>
              <w:top w:val="single" w:sz="4" w:space="0" w:color="7030A0"/>
              <w:left w:val="single" w:sz="4" w:space="0" w:color="7030A0"/>
              <w:right w:val="single" w:sz="4" w:space="0" w:color="7030A0"/>
            </w:tcBorders>
            <w:shd w:val="clear" w:color="auto" w:fill="FFFFFF"/>
            <w:hideMark/>
          </w:tcPr>
          <w:p w14:paraId="5D35C262" w14:textId="77777777"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Prix moyen pondéré</w:t>
            </w:r>
          </w:p>
        </w:tc>
        <w:tc>
          <w:tcPr>
            <w:tcW w:w="559" w:type="pct"/>
            <w:tcBorders>
              <w:top w:val="single" w:sz="4" w:space="0" w:color="7030A0"/>
              <w:left w:val="single" w:sz="4" w:space="0" w:color="7030A0"/>
              <w:bottom w:val="nil"/>
              <w:right w:val="single" w:sz="4" w:space="0" w:color="7030A0"/>
            </w:tcBorders>
            <w:noWrap/>
            <w:hideMark/>
          </w:tcPr>
          <w:p w14:paraId="726F0E61" w14:textId="77777777"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2017-1</w:t>
            </w:r>
          </w:p>
          <w:p w14:paraId="298784D8" w14:textId="77777777" w:rsidR="00B740A8" w:rsidRPr="00C73365" w:rsidRDefault="00B740A8" w:rsidP="00D1541A">
            <w:pPr>
              <w:jc w:val="center"/>
              <w:rPr>
                <w:rFonts w:asciiTheme="minorHAnsi" w:hAnsiTheme="minorHAnsi" w:cstheme="minorHAnsi"/>
                <w:b/>
                <w:color w:val="000000"/>
                <w:lang w:val="fr-FR"/>
              </w:rPr>
            </w:pPr>
          </w:p>
        </w:tc>
        <w:tc>
          <w:tcPr>
            <w:tcW w:w="559" w:type="pct"/>
            <w:vMerge w:val="restart"/>
            <w:tcBorders>
              <w:left w:val="single" w:sz="4" w:space="0" w:color="7030A0"/>
              <w:right w:val="single" w:sz="4" w:space="0" w:color="7030A0"/>
            </w:tcBorders>
            <w:shd w:val="clear" w:color="auto" w:fill="FFFFFF"/>
            <w:hideMark/>
          </w:tcPr>
          <w:p w14:paraId="4F0011A2" w14:textId="77777777"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2017-3</w:t>
            </w:r>
          </w:p>
        </w:tc>
        <w:tc>
          <w:tcPr>
            <w:tcW w:w="559" w:type="pct"/>
            <w:tcBorders>
              <w:left w:val="single" w:sz="4" w:space="0" w:color="7030A0"/>
              <w:bottom w:val="nil"/>
              <w:right w:val="single" w:sz="4" w:space="0" w:color="7030A0"/>
            </w:tcBorders>
            <w:shd w:val="clear" w:color="auto" w:fill="FFFFFF"/>
          </w:tcPr>
          <w:p w14:paraId="50B15269" w14:textId="77777777"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2017-4</w:t>
            </w:r>
          </w:p>
        </w:tc>
        <w:tc>
          <w:tcPr>
            <w:tcW w:w="558" w:type="pct"/>
            <w:tcBorders>
              <w:left w:val="single" w:sz="4" w:space="0" w:color="7030A0"/>
              <w:bottom w:val="nil"/>
              <w:right w:val="single" w:sz="4" w:space="0" w:color="7030A0"/>
            </w:tcBorders>
            <w:shd w:val="clear" w:color="auto" w:fill="FFFFFF"/>
          </w:tcPr>
          <w:p w14:paraId="3DB368D3" w14:textId="77777777"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2017-5</w:t>
            </w:r>
          </w:p>
        </w:tc>
      </w:tr>
      <w:tr w:rsidR="00B740A8" w:rsidRPr="00C73365" w14:paraId="0FD612D3" w14:textId="77777777" w:rsidTr="00D1541A">
        <w:trPr>
          <w:trHeight w:val="175"/>
          <w:jc w:val="center"/>
        </w:trPr>
        <w:tc>
          <w:tcPr>
            <w:tcW w:w="1470" w:type="pct"/>
            <w:vMerge/>
            <w:tcBorders>
              <w:left w:val="single" w:sz="4" w:space="0" w:color="7030A0"/>
              <w:bottom w:val="single" w:sz="4" w:space="0" w:color="7030A0"/>
              <w:right w:val="single" w:sz="4" w:space="0" w:color="7030A0"/>
            </w:tcBorders>
            <w:hideMark/>
          </w:tcPr>
          <w:p w14:paraId="1300C4D6" w14:textId="77777777" w:rsidR="00B740A8" w:rsidRPr="00C73365" w:rsidRDefault="00B740A8" w:rsidP="00D1541A">
            <w:pPr>
              <w:rPr>
                <w:rFonts w:asciiTheme="minorHAnsi" w:hAnsiTheme="minorHAnsi" w:cstheme="minorHAnsi"/>
                <w:b/>
                <w:bCs/>
                <w:color w:val="000000"/>
                <w:szCs w:val="20"/>
                <w:lang w:val="fr-FR" w:eastAsia="fr-FR"/>
              </w:rPr>
            </w:pPr>
          </w:p>
        </w:tc>
        <w:tc>
          <w:tcPr>
            <w:tcW w:w="735" w:type="pct"/>
            <w:tcBorders>
              <w:top w:val="nil"/>
              <w:left w:val="single" w:sz="4" w:space="0" w:color="7030A0"/>
              <w:bottom w:val="single" w:sz="4" w:space="0" w:color="7030A0"/>
              <w:right w:val="single" w:sz="4" w:space="0" w:color="7030A0"/>
            </w:tcBorders>
            <w:shd w:val="clear" w:color="auto" w:fill="FFFFFF"/>
            <w:hideMark/>
          </w:tcPr>
          <w:p w14:paraId="1F8BF373" w14:textId="77777777"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559" w:type="pct"/>
            <w:vMerge/>
            <w:tcBorders>
              <w:left w:val="single" w:sz="4" w:space="0" w:color="7030A0"/>
              <w:bottom w:val="single" w:sz="4" w:space="0" w:color="7030A0"/>
              <w:right w:val="single" w:sz="4" w:space="0" w:color="7030A0"/>
            </w:tcBorders>
            <w:hideMark/>
          </w:tcPr>
          <w:p w14:paraId="570754F9" w14:textId="77777777" w:rsidR="00B740A8" w:rsidRPr="00C73365" w:rsidRDefault="00B740A8" w:rsidP="00D1541A">
            <w:pPr>
              <w:rPr>
                <w:rFonts w:asciiTheme="minorHAnsi" w:hAnsiTheme="minorHAnsi" w:cstheme="minorHAnsi"/>
                <w:b/>
                <w:color w:val="000000"/>
                <w:lang w:val="fr-FR"/>
              </w:rPr>
            </w:pPr>
          </w:p>
        </w:tc>
        <w:tc>
          <w:tcPr>
            <w:tcW w:w="559" w:type="pct"/>
            <w:tcBorders>
              <w:top w:val="nil"/>
              <w:left w:val="single" w:sz="4" w:space="0" w:color="7030A0"/>
              <w:bottom w:val="single" w:sz="4" w:space="0" w:color="7030A0"/>
              <w:right w:val="single" w:sz="4" w:space="0" w:color="7030A0"/>
            </w:tcBorders>
            <w:noWrap/>
            <w:hideMark/>
          </w:tcPr>
          <w:p w14:paraId="4F53B843" w14:textId="77777777" w:rsidR="00B740A8" w:rsidRPr="00C73365" w:rsidRDefault="00B740A8" w:rsidP="00D1541A">
            <w:pPr>
              <w:rPr>
                <w:rFonts w:asciiTheme="minorHAnsi" w:hAnsiTheme="minorHAnsi" w:cstheme="minorHAnsi"/>
                <w:b/>
                <w:color w:val="000000"/>
                <w:lang w:val="fr-FR"/>
              </w:rPr>
            </w:pPr>
          </w:p>
        </w:tc>
        <w:tc>
          <w:tcPr>
            <w:tcW w:w="559" w:type="pct"/>
            <w:vMerge/>
            <w:tcBorders>
              <w:left w:val="single" w:sz="4" w:space="0" w:color="7030A0"/>
              <w:bottom w:val="single" w:sz="4" w:space="0" w:color="7030A0"/>
              <w:right w:val="single" w:sz="4" w:space="0" w:color="7030A0"/>
            </w:tcBorders>
            <w:hideMark/>
          </w:tcPr>
          <w:p w14:paraId="59D0BA14" w14:textId="77777777" w:rsidR="00B740A8" w:rsidRPr="00C73365" w:rsidRDefault="00B740A8" w:rsidP="00D1541A">
            <w:pPr>
              <w:rPr>
                <w:rFonts w:asciiTheme="minorHAnsi" w:hAnsiTheme="minorHAnsi" w:cstheme="minorHAnsi"/>
                <w:b/>
                <w:color w:val="000000"/>
                <w:lang w:val="fr-FR"/>
              </w:rPr>
            </w:pPr>
          </w:p>
        </w:tc>
        <w:tc>
          <w:tcPr>
            <w:tcW w:w="559" w:type="pct"/>
            <w:tcBorders>
              <w:top w:val="nil"/>
              <w:left w:val="single" w:sz="4" w:space="0" w:color="7030A0"/>
              <w:bottom w:val="single" w:sz="4" w:space="0" w:color="7030A0"/>
            </w:tcBorders>
          </w:tcPr>
          <w:p w14:paraId="377F8601" w14:textId="77777777" w:rsidR="00B740A8" w:rsidRPr="00C73365" w:rsidRDefault="00B740A8" w:rsidP="00D1541A">
            <w:pPr>
              <w:rPr>
                <w:rFonts w:asciiTheme="minorHAnsi" w:hAnsiTheme="minorHAnsi" w:cstheme="minorHAnsi"/>
                <w:b/>
                <w:color w:val="000000"/>
                <w:lang w:val="fr-FR"/>
              </w:rPr>
            </w:pPr>
          </w:p>
        </w:tc>
        <w:tc>
          <w:tcPr>
            <w:tcW w:w="558" w:type="pct"/>
            <w:tcBorders>
              <w:top w:val="nil"/>
            </w:tcBorders>
          </w:tcPr>
          <w:p w14:paraId="3244AE0E" w14:textId="77777777" w:rsidR="00B740A8" w:rsidRPr="00C73365" w:rsidRDefault="00B740A8" w:rsidP="00D1541A">
            <w:pPr>
              <w:rPr>
                <w:rFonts w:asciiTheme="minorHAnsi" w:hAnsiTheme="minorHAnsi" w:cstheme="minorHAnsi"/>
                <w:b/>
                <w:color w:val="000000"/>
                <w:lang w:val="fr-FR"/>
              </w:rPr>
            </w:pPr>
          </w:p>
        </w:tc>
      </w:tr>
      <w:tr w:rsidR="00B740A8" w:rsidRPr="00C73365" w14:paraId="199EB3E9" w14:textId="77777777" w:rsidTr="00D1541A">
        <w:trPr>
          <w:trHeight w:val="646"/>
          <w:jc w:val="center"/>
        </w:trPr>
        <w:tc>
          <w:tcPr>
            <w:tcW w:w="1470" w:type="pct"/>
            <w:tcBorders>
              <w:top w:val="single" w:sz="4" w:space="0" w:color="7030A0"/>
              <w:left w:val="single" w:sz="4" w:space="0" w:color="7030A0"/>
              <w:bottom w:val="single" w:sz="4" w:space="0" w:color="7030A0"/>
              <w:right w:val="single" w:sz="4" w:space="0" w:color="7030A0"/>
            </w:tcBorders>
            <w:shd w:val="clear" w:color="auto" w:fill="FFFFFF"/>
            <w:hideMark/>
          </w:tcPr>
          <w:p w14:paraId="717E7395" w14:textId="2119325A" w:rsidR="00B740A8" w:rsidRPr="00C73365" w:rsidRDefault="00B740A8" w:rsidP="00AB71BE">
            <w:pPr>
              <w:autoSpaceDE w:val="0"/>
              <w:autoSpaceDN w:val="0"/>
              <w:adjustRightInd w:val="0"/>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Options consenties, du</w:t>
            </w:r>
            <w:r w:rsidR="00AB71BE">
              <w:rPr>
                <w:rFonts w:asciiTheme="minorHAnsi" w:hAnsiTheme="minorHAnsi" w:cstheme="minorHAnsi"/>
                <w:bCs/>
                <w:color w:val="000000"/>
                <w:szCs w:val="20"/>
                <w:lang w:val="fr-FR" w:eastAsia="fr-FR"/>
              </w:rPr>
              <w:t xml:space="preserve">rant l’exercice, par l’émetteur </w:t>
            </w:r>
            <w:r w:rsidRPr="00C73365">
              <w:rPr>
                <w:rFonts w:asciiTheme="minorHAnsi" w:hAnsiTheme="minorHAnsi" w:cstheme="minorHAnsi"/>
                <w:bCs/>
                <w:color w:val="000000"/>
                <w:szCs w:val="20"/>
                <w:lang w:val="fr-FR" w:eastAsia="fr-FR"/>
              </w:rPr>
              <w:t>et toute société</w:t>
            </w:r>
            <w:r w:rsidR="00AB71BE">
              <w:rPr>
                <w:rFonts w:asciiTheme="minorHAnsi" w:hAnsiTheme="minorHAnsi" w:cstheme="minorHAnsi"/>
                <w:bCs/>
                <w:color w:val="000000"/>
                <w:szCs w:val="20"/>
                <w:lang w:val="fr-FR" w:eastAsia="fr-FR"/>
              </w:rPr>
              <w:t xml:space="preserve"> comprise dans le périmètre </w:t>
            </w:r>
            <w:r w:rsidRPr="00C73365">
              <w:rPr>
                <w:rFonts w:asciiTheme="minorHAnsi" w:hAnsiTheme="minorHAnsi" w:cstheme="minorHAnsi"/>
                <w:bCs/>
                <w:color w:val="000000"/>
                <w:szCs w:val="20"/>
                <w:lang w:val="fr-FR" w:eastAsia="fr-FR"/>
              </w:rPr>
              <w:t>d’attribution d</w:t>
            </w:r>
            <w:r w:rsidR="00AB71BE">
              <w:rPr>
                <w:rFonts w:asciiTheme="minorHAnsi" w:hAnsiTheme="minorHAnsi" w:cstheme="minorHAnsi"/>
                <w:bCs/>
                <w:color w:val="000000"/>
                <w:szCs w:val="20"/>
                <w:lang w:val="fr-FR" w:eastAsia="fr-FR"/>
              </w:rPr>
              <w:t xml:space="preserve">es options, aux dix salariés de </w:t>
            </w:r>
            <w:r w:rsidRPr="00C73365">
              <w:rPr>
                <w:rFonts w:asciiTheme="minorHAnsi" w:hAnsiTheme="minorHAnsi" w:cstheme="minorHAnsi"/>
                <w:bCs/>
                <w:color w:val="000000"/>
                <w:szCs w:val="20"/>
                <w:lang w:val="fr-FR" w:eastAsia="fr-FR"/>
              </w:rPr>
              <w:t>l’émetteur et de</w:t>
            </w:r>
            <w:r w:rsidR="00AB71BE">
              <w:rPr>
                <w:rFonts w:asciiTheme="minorHAnsi" w:hAnsiTheme="minorHAnsi" w:cstheme="minorHAnsi"/>
                <w:bCs/>
                <w:color w:val="000000"/>
                <w:szCs w:val="20"/>
                <w:lang w:val="fr-FR" w:eastAsia="fr-FR"/>
              </w:rPr>
              <w:t xml:space="preserve"> toute société comprise dans ce </w:t>
            </w:r>
            <w:r w:rsidRPr="00C73365">
              <w:rPr>
                <w:rFonts w:asciiTheme="minorHAnsi" w:hAnsiTheme="minorHAnsi" w:cstheme="minorHAnsi"/>
                <w:bCs/>
                <w:color w:val="000000"/>
                <w:szCs w:val="20"/>
                <w:lang w:val="fr-FR" w:eastAsia="fr-FR"/>
              </w:rPr>
              <w:t>périmètre, dont le no</w:t>
            </w:r>
            <w:r w:rsidR="00AB71BE">
              <w:rPr>
                <w:rFonts w:asciiTheme="minorHAnsi" w:hAnsiTheme="minorHAnsi" w:cstheme="minorHAnsi"/>
                <w:bCs/>
                <w:color w:val="000000"/>
                <w:szCs w:val="20"/>
                <w:lang w:val="fr-FR" w:eastAsia="fr-FR"/>
              </w:rPr>
              <w:t xml:space="preserve">mbre d’options ainsi consenties </w:t>
            </w:r>
            <w:r w:rsidRPr="00C73365">
              <w:rPr>
                <w:rFonts w:asciiTheme="minorHAnsi" w:hAnsiTheme="minorHAnsi" w:cstheme="minorHAnsi"/>
                <w:bCs/>
                <w:color w:val="000000"/>
                <w:szCs w:val="20"/>
                <w:lang w:val="fr-FR" w:eastAsia="fr-FR"/>
              </w:rPr>
              <w:t>est le plus élevé</w:t>
            </w:r>
          </w:p>
        </w:tc>
        <w:tc>
          <w:tcPr>
            <w:tcW w:w="735"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1B2521A1"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lang w:val="fr-FR"/>
              </w:rPr>
              <w:t>303 183</w:t>
            </w:r>
          </w:p>
        </w:tc>
        <w:tc>
          <w:tcPr>
            <w:tcW w:w="559" w:type="pct"/>
            <w:tcBorders>
              <w:top w:val="single" w:sz="4" w:space="0" w:color="7030A0"/>
              <w:left w:val="single" w:sz="4" w:space="0" w:color="7030A0"/>
              <w:bottom w:val="single" w:sz="4" w:space="0" w:color="7030A0"/>
            </w:tcBorders>
            <w:shd w:val="clear" w:color="auto" w:fill="FFFFFF"/>
            <w:vAlign w:val="center"/>
            <w:hideMark/>
          </w:tcPr>
          <w:p w14:paraId="7A87D2C2" w14:textId="77777777"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11,14€</w:t>
            </w:r>
          </w:p>
        </w:tc>
        <w:tc>
          <w:tcPr>
            <w:tcW w:w="559" w:type="pct"/>
            <w:tcBorders>
              <w:top w:val="single" w:sz="4" w:space="0" w:color="7030A0"/>
              <w:bottom w:val="single" w:sz="4" w:space="0" w:color="7030A0"/>
              <w:right w:val="single" w:sz="4" w:space="0" w:color="7030A0"/>
            </w:tcBorders>
            <w:shd w:val="clear" w:color="auto" w:fill="FFFFFF"/>
            <w:vAlign w:val="center"/>
          </w:tcPr>
          <w:p w14:paraId="47AD624C" w14:textId="77777777"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tcPr>
          <w:p w14:paraId="61A0E755" w14:textId="77777777"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101 061</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tcPr>
          <w:p w14:paraId="74D78D07" w14:textId="77777777"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c>
          <w:tcPr>
            <w:tcW w:w="558" w:type="pct"/>
            <w:tcBorders>
              <w:left w:val="single" w:sz="4" w:space="0" w:color="7030A0"/>
              <w:bottom w:val="single" w:sz="4" w:space="0" w:color="7030A0"/>
              <w:right w:val="single" w:sz="4" w:space="0" w:color="7030A0"/>
            </w:tcBorders>
            <w:shd w:val="clear" w:color="auto" w:fill="FFFFFF"/>
            <w:vAlign w:val="center"/>
          </w:tcPr>
          <w:p w14:paraId="0C4A4DFE" w14:textId="77777777"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r>
      <w:tr w:rsidR="00B740A8" w:rsidRPr="00C73365" w14:paraId="2088C04E" w14:textId="77777777" w:rsidTr="00D1541A">
        <w:trPr>
          <w:trHeight w:hRule="exact" w:val="2384"/>
          <w:jc w:val="center"/>
        </w:trPr>
        <w:tc>
          <w:tcPr>
            <w:tcW w:w="1470" w:type="pct"/>
            <w:tcBorders>
              <w:top w:val="single" w:sz="4" w:space="0" w:color="7030A0"/>
              <w:bottom w:val="single" w:sz="4" w:space="0" w:color="7030A0"/>
              <w:right w:val="single" w:sz="4" w:space="0" w:color="7030A0"/>
            </w:tcBorders>
            <w:shd w:val="clear" w:color="auto" w:fill="FFFFFF"/>
            <w:hideMark/>
          </w:tcPr>
          <w:p w14:paraId="419145AF" w14:textId="0A94FEB6" w:rsidR="00B740A8" w:rsidRPr="00C73365" w:rsidRDefault="00B740A8" w:rsidP="00AB71BE">
            <w:pPr>
              <w:autoSpaceDE w:val="0"/>
              <w:autoSpaceDN w:val="0"/>
              <w:adjustRightInd w:val="0"/>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Options détenues </w:t>
            </w:r>
            <w:r w:rsidR="00AB71BE">
              <w:rPr>
                <w:rFonts w:asciiTheme="minorHAnsi" w:hAnsiTheme="minorHAnsi" w:cstheme="minorHAnsi"/>
                <w:bCs/>
                <w:color w:val="000000"/>
                <w:szCs w:val="20"/>
                <w:lang w:val="fr-FR" w:eastAsia="fr-FR"/>
              </w:rPr>
              <w:t xml:space="preserve">sur l’émetteur et les sociétés </w:t>
            </w:r>
            <w:r w:rsidRPr="00C73365">
              <w:rPr>
                <w:rFonts w:asciiTheme="minorHAnsi" w:hAnsiTheme="minorHAnsi" w:cstheme="minorHAnsi"/>
                <w:bCs/>
                <w:color w:val="000000"/>
                <w:szCs w:val="20"/>
                <w:lang w:val="fr-FR" w:eastAsia="fr-FR"/>
              </w:rPr>
              <w:t>visées précédemment,</w:t>
            </w:r>
            <w:r w:rsidR="00AB71BE">
              <w:rPr>
                <w:rFonts w:asciiTheme="minorHAnsi" w:hAnsiTheme="minorHAnsi" w:cstheme="minorHAnsi"/>
                <w:bCs/>
                <w:color w:val="000000"/>
                <w:szCs w:val="20"/>
                <w:lang w:val="fr-FR" w:eastAsia="fr-FR"/>
              </w:rPr>
              <w:t xml:space="preserve"> levées, durant l’exercice, par </w:t>
            </w:r>
            <w:r w:rsidRPr="00C73365">
              <w:rPr>
                <w:rFonts w:asciiTheme="minorHAnsi" w:hAnsiTheme="minorHAnsi" w:cstheme="minorHAnsi"/>
                <w:bCs/>
                <w:color w:val="000000"/>
                <w:szCs w:val="20"/>
                <w:lang w:val="fr-FR" w:eastAsia="fr-FR"/>
              </w:rPr>
              <w:t>les dix salariés de l’ém</w:t>
            </w:r>
            <w:r w:rsidR="00AB71BE">
              <w:rPr>
                <w:rFonts w:asciiTheme="minorHAnsi" w:hAnsiTheme="minorHAnsi" w:cstheme="minorHAnsi"/>
                <w:bCs/>
                <w:color w:val="000000"/>
                <w:szCs w:val="20"/>
                <w:lang w:val="fr-FR" w:eastAsia="fr-FR"/>
              </w:rPr>
              <w:t xml:space="preserve">etteur et de ces sociétés, dont </w:t>
            </w:r>
            <w:r w:rsidRPr="00C73365">
              <w:rPr>
                <w:rFonts w:asciiTheme="minorHAnsi" w:hAnsiTheme="minorHAnsi" w:cstheme="minorHAnsi"/>
                <w:bCs/>
                <w:color w:val="000000"/>
                <w:szCs w:val="20"/>
                <w:lang w:val="fr-FR" w:eastAsia="fr-FR"/>
              </w:rPr>
              <w:t>le nombre d’options a</w:t>
            </w:r>
            <w:r w:rsidR="00AB71BE">
              <w:rPr>
                <w:rFonts w:asciiTheme="minorHAnsi" w:hAnsiTheme="minorHAnsi" w:cstheme="minorHAnsi"/>
                <w:bCs/>
                <w:color w:val="000000"/>
                <w:szCs w:val="20"/>
                <w:lang w:val="fr-FR" w:eastAsia="fr-FR"/>
              </w:rPr>
              <w:t xml:space="preserve">insi achetées ou souscrites est </w:t>
            </w:r>
            <w:r w:rsidRPr="00C73365">
              <w:rPr>
                <w:rFonts w:asciiTheme="minorHAnsi" w:hAnsiTheme="minorHAnsi" w:cstheme="minorHAnsi"/>
                <w:bCs/>
                <w:color w:val="000000"/>
                <w:szCs w:val="20"/>
                <w:lang w:val="fr-FR" w:eastAsia="fr-FR"/>
              </w:rPr>
              <w:t>le plus élevé</w:t>
            </w:r>
          </w:p>
        </w:tc>
        <w:tc>
          <w:tcPr>
            <w:tcW w:w="735"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7D2B34F8"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right w:val="single" w:sz="4" w:space="0" w:color="7030A0"/>
            </w:tcBorders>
            <w:shd w:val="clear" w:color="auto" w:fill="FFFFFF"/>
            <w:vAlign w:val="center"/>
            <w:hideMark/>
          </w:tcPr>
          <w:p w14:paraId="7D9C0B98"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noWrap/>
            <w:vAlign w:val="center"/>
            <w:hideMark/>
          </w:tcPr>
          <w:p w14:paraId="6675D003"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50B9DE6D" w14:textId="77777777" w:rsidR="00B740A8" w:rsidRPr="00C73365" w:rsidRDefault="00B740A8" w:rsidP="00D1541A">
            <w:pPr>
              <w:jc w:val="center"/>
              <w:rPr>
                <w:rFonts w:asciiTheme="minorHAnsi" w:hAnsiTheme="minorHAnsi" w:cstheme="minorHAnsi"/>
                <w:b/>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noWrap/>
            <w:vAlign w:val="center"/>
            <w:hideMark/>
          </w:tcPr>
          <w:p w14:paraId="0596E58D"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8" w:type="pct"/>
            <w:tcBorders>
              <w:top w:val="single" w:sz="4" w:space="0" w:color="7030A0"/>
              <w:left w:val="single" w:sz="4" w:space="0" w:color="7030A0"/>
              <w:bottom w:val="single" w:sz="4" w:space="0" w:color="7030A0"/>
              <w:right w:val="single" w:sz="4" w:space="0" w:color="7030A0"/>
            </w:tcBorders>
            <w:vAlign w:val="center"/>
          </w:tcPr>
          <w:p w14:paraId="08F0FF8F"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r>
    </w:tbl>
    <w:p w14:paraId="39464262" w14:textId="77777777" w:rsidR="00B740A8" w:rsidRPr="00C73365" w:rsidRDefault="00B740A8" w:rsidP="00B740A8">
      <w:pPr>
        <w:spacing w:line="264" w:lineRule="auto"/>
        <w:rPr>
          <w:rFonts w:asciiTheme="minorHAnsi" w:hAnsiTheme="minorHAnsi" w:cstheme="minorHAnsi"/>
          <w:b/>
          <w:color w:val="7030A0"/>
          <w:szCs w:val="22"/>
          <w:lang w:val="fr-FR"/>
        </w:rPr>
      </w:pPr>
    </w:p>
    <w:p w14:paraId="576D7F78"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Tableau N°10 : Historique des attributions gratuites d’actions</w:t>
      </w:r>
    </w:p>
    <w:p w14:paraId="57DF01F6" w14:textId="3859744A" w:rsidR="00B740A8" w:rsidRPr="00FF5A22" w:rsidRDefault="00B740A8" w:rsidP="00FF5A22">
      <w:pPr>
        <w:pStyle w:val="Corpsdetexte"/>
        <w:rPr>
          <w:rFonts w:asciiTheme="minorHAnsi" w:hAnsiTheme="minorHAnsi" w:cstheme="minorHAnsi"/>
          <w:lang w:val="fr-FR"/>
        </w:rPr>
      </w:pPr>
      <w:r w:rsidRPr="00C73365">
        <w:rPr>
          <w:rFonts w:asciiTheme="minorHAnsi" w:hAnsiTheme="minorHAnsi" w:cstheme="minorHAnsi"/>
          <w:lang w:val="fr-FR"/>
        </w:rPr>
        <w:t>Néant.</w:t>
      </w:r>
    </w:p>
    <w:p w14:paraId="215B188E"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Tableau N°11 : Précisions quant aux conditions de rémunération et autres avantages consentis aux mandataires sociaux dirigeants</w:t>
      </w:r>
    </w:p>
    <w:tbl>
      <w:tblPr>
        <w:tblW w:w="9316" w:type="dxa"/>
        <w:tblCellMar>
          <w:left w:w="70" w:type="dxa"/>
          <w:right w:w="70" w:type="dxa"/>
        </w:tblCellMar>
        <w:tblLook w:val="04A0" w:firstRow="1" w:lastRow="0" w:firstColumn="1" w:lastColumn="0" w:noHBand="0" w:noVBand="1"/>
      </w:tblPr>
      <w:tblGrid>
        <w:gridCol w:w="1699"/>
        <w:gridCol w:w="6"/>
        <w:gridCol w:w="951"/>
        <w:gridCol w:w="951"/>
        <w:gridCol w:w="951"/>
        <w:gridCol w:w="952"/>
        <w:gridCol w:w="951"/>
        <w:gridCol w:w="952"/>
        <w:gridCol w:w="951"/>
        <w:gridCol w:w="952"/>
      </w:tblGrid>
      <w:tr w:rsidR="00B740A8" w:rsidRPr="00036317" w14:paraId="0C5F9A62" w14:textId="77777777" w:rsidTr="00D1541A">
        <w:trPr>
          <w:trHeight w:val="1050"/>
        </w:trPr>
        <w:tc>
          <w:tcPr>
            <w:tcW w:w="1699" w:type="dxa"/>
            <w:tcBorders>
              <w:top w:val="single" w:sz="4" w:space="0" w:color="7030A0"/>
              <w:left w:val="nil"/>
              <w:right w:val="nil"/>
            </w:tcBorders>
            <w:shd w:val="clear" w:color="auto" w:fill="auto"/>
            <w:vAlign w:val="center"/>
            <w:hideMark/>
          </w:tcPr>
          <w:p w14:paraId="3EC9BF6D" w14:textId="77777777"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Dirigeants mandataires sociaux</w:t>
            </w:r>
          </w:p>
        </w:tc>
        <w:tc>
          <w:tcPr>
            <w:tcW w:w="1908" w:type="dxa"/>
            <w:gridSpan w:val="3"/>
            <w:tcBorders>
              <w:top w:val="single" w:sz="4" w:space="0" w:color="7030A0"/>
              <w:left w:val="nil"/>
              <w:right w:val="nil"/>
            </w:tcBorders>
            <w:shd w:val="clear" w:color="auto" w:fill="auto"/>
            <w:vAlign w:val="center"/>
            <w:hideMark/>
          </w:tcPr>
          <w:p w14:paraId="5CC18925" w14:textId="77777777"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Contrat de travail</w:t>
            </w:r>
          </w:p>
        </w:tc>
        <w:tc>
          <w:tcPr>
            <w:tcW w:w="1903" w:type="dxa"/>
            <w:gridSpan w:val="2"/>
            <w:tcBorders>
              <w:top w:val="single" w:sz="4" w:space="0" w:color="7030A0"/>
              <w:left w:val="nil"/>
              <w:right w:val="nil"/>
            </w:tcBorders>
            <w:shd w:val="clear" w:color="auto" w:fill="auto"/>
            <w:vAlign w:val="center"/>
            <w:hideMark/>
          </w:tcPr>
          <w:p w14:paraId="07B73466" w14:textId="77777777"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Régime de retraite supplémentaire</w:t>
            </w:r>
          </w:p>
        </w:tc>
        <w:tc>
          <w:tcPr>
            <w:tcW w:w="1903" w:type="dxa"/>
            <w:gridSpan w:val="2"/>
            <w:tcBorders>
              <w:top w:val="single" w:sz="4" w:space="0" w:color="7030A0"/>
              <w:left w:val="nil"/>
              <w:right w:val="nil"/>
            </w:tcBorders>
            <w:shd w:val="clear" w:color="auto" w:fill="auto"/>
            <w:vAlign w:val="center"/>
            <w:hideMark/>
          </w:tcPr>
          <w:p w14:paraId="1A61EC5F" w14:textId="77777777"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Indemnités ou avantages dus ou susceptibles d’être dus à raison de la cessation ou du changement de fonction</w:t>
            </w:r>
          </w:p>
        </w:tc>
        <w:tc>
          <w:tcPr>
            <w:tcW w:w="1903" w:type="dxa"/>
            <w:gridSpan w:val="2"/>
            <w:tcBorders>
              <w:top w:val="single" w:sz="4" w:space="0" w:color="7030A0"/>
              <w:left w:val="nil"/>
            </w:tcBorders>
            <w:shd w:val="clear" w:color="auto" w:fill="auto"/>
            <w:vAlign w:val="center"/>
            <w:hideMark/>
          </w:tcPr>
          <w:p w14:paraId="39B5BEA5" w14:textId="77777777"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Indemnités relatives à une clause de non-concurrence</w:t>
            </w:r>
          </w:p>
        </w:tc>
      </w:tr>
      <w:tr w:rsidR="00B740A8" w:rsidRPr="00C73365" w14:paraId="779340D2" w14:textId="77777777" w:rsidTr="00D1541A">
        <w:trPr>
          <w:trHeight w:val="229"/>
        </w:trPr>
        <w:tc>
          <w:tcPr>
            <w:tcW w:w="1705" w:type="dxa"/>
            <w:gridSpan w:val="2"/>
            <w:tcBorders>
              <w:top w:val="single" w:sz="8" w:space="0" w:color="7030A0"/>
              <w:left w:val="nil"/>
              <w:bottom w:val="nil"/>
              <w:right w:val="nil"/>
            </w:tcBorders>
            <w:shd w:val="clear" w:color="auto" w:fill="auto"/>
            <w:vAlign w:val="center"/>
            <w:hideMark/>
          </w:tcPr>
          <w:p w14:paraId="4AB25E4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1" w:type="dxa"/>
            <w:tcBorders>
              <w:top w:val="single" w:sz="8" w:space="0" w:color="7030A0"/>
              <w:left w:val="single" w:sz="4" w:space="0" w:color="7030A0"/>
              <w:bottom w:val="nil"/>
              <w:right w:val="single" w:sz="4" w:space="0" w:color="7030A0"/>
            </w:tcBorders>
            <w:shd w:val="clear" w:color="auto" w:fill="auto"/>
            <w:vAlign w:val="center"/>
            <w:hideMark/>
          </w:tcPr>
          <w:p w14:paraId="37D84208"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1" w:type="dxa"/>
            <w:tcBorders>
              <w:top w:val="single" w:sz="8" w:space="0" w:color="7030A0"/>
              <w:left w:val="nil"/>
              <w:bottom w:val="nil"/>
              <w:right w:val="single" w:sz="4" w:space="0" w:color="7030A0"/>
            </w:tcBorders>
            <w:shd w:val="clear" w:color="auto" w:fill="auto"/>
            <w:vAlign w:val="center"/>
            <w:hideMark/>
          </w:tcPr>
          <w:p w14:paraId="7E69FE20"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14:paraId="43470DEE"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14:paraId="17EE4A7D"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14:paraId="2BAC6DE2"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14:paraId="11005417"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14:paraId="54A6B9CA"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14:paraId="1B326682"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r>
      <w:tr w:rsidR="00B740A8" w:rsidRPr="00C73365" w14:paraId="65EB11F3" w14:textId="77777777" w:rsidTr="00D1541A">
        <w:trPr>
          <w:trHeight w:val="663"/>
        </w:trPr>
        <w:tc>
          <w:tcPr>
            <w:tcW w:w="1705" w:type="dxa"/>
            <w:gridSpan w:val="2"/>
            <w:tcBorders>
              <w:top w:val="single" w:sz="4" w:space="0" w:color="7030A0"/>
              <w:left w:val="nil"/>
              <w:bottom w:val="nil"/>
              <w:right w:val="nil"/>
            </w:tcBorders>
            <w:shd w:val="clear" w:color="auto" w:fill="auto"/>
            <w:vAlign w:val="center"/>
            <w:hideMark/>
          </w:tcPr>
          <w:p w14:paraId="672AAFF3" w14:textId="77777777"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 xml:space="preserve">Monsieur Philippe Pouletty – Président du </w:t>
            </w:r>
            <w:r w:rsidRPr="00C73365">
              <w:rPr>
                <w:rFonts w:asciiTheme="minorHAnsi" w:hAnsiTheme="minorHAnsi" w:cstheme="minorHAnsi"/>
                <w:b/>
                <w:color w:val="000000"/>
                <w:szCs w:val="20"/>
                <w:lang w:val="fr-FR" w:eastAsia="fr-FR"/>
              </w:rPr>
              <w:lastRenderedPageBreak/>
              <w:t>conseil d’administration</w:t>
            </w:r>
          </w:p>
        </w:tc>
        <w:tc>
          <w:tcPr>
            <w:tcW w:w="951" w:type="dxa"/>
            <w:tcBorders>
              <w:top w:val="single" w:sz="4" w:space="0" w:color="7030A0"/>
              <w:left w:val="single" w:sz="4" w:space="0" w:color="7030A0"/>
              <w:bottom w:val="nil"/>
              <w:right w:val="single" w:sz="4" w:space="0" w:color="7030A0"/>
            </w:tcBorders>
            <w:shd w:val="clear" w:color="auto" w:fill="auto"/>
            <w:vAlign w:val="center"/>
            <w:hideMark/>
          </w:tcPr>
          <w:p w14:paraId="6BACDA43"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 </w:t>
            </w:r>
          </w:p>
        </w:tc>
        <w:tc>
          <w:tcPr>
            <w:tcW w:w="951" w:type="dxa"/>
            <w:tcBorders>
              <w:top w:val="single" w:sz="4" w:space="0" w:color="7030A0"/>
              <w:left w:val="nil"/>
              <w:bottom w:val="nil"/>
              <w:right w:val="single" w:sz="4" w:space="0" w:color="7030A0"/>
            </w:tcBorders>
            <w:shd w:val="clear" w:color="auto" w:fill="auto"/>
            <w:vAlign w:val="center"/>
            <w:hideMark/>
          </w:tcPr>
          <w:p w14:paraId="613E2623"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nil"/>
              <w:right w:val="single" w:sz="4" w:space="0" w:color="7030A0"/>
            </w:tcBorders>
            <w:shd w:val="clear" w:color="auto" w:fill="auto"/>
            <w:vAlign w:val="center"/>
            <w:hideMark/>
          </w:tcPr>
          <w:p w14:paraId="2849F8D7"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nil"/>
              <w:right w:val="single" w:sz="4" w:space="0" w:color="7030A0"/>
            </w:tcBorders>
            <w:shd w:val="clear" w:color="auto" w:fill="auto"/>
            <w:vAlign w:val="center"/>
            <w:hideMark/>
          </w:tcPr>
          <w:p w14:paraId="38DC07B4"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nil"/>
              <w:right w:val="single" w:sz="4" w:space="0" w:color="7030A0"/>
            </w:tcBorders>
            <w:shd w:val="clear" w:color="auto" w:fill="auto"/>
            <w:vAlign w:val="center"/>
            <w:hideMark/>
          </w:tcPr>
          <w:p w14:paraId="6C2055AF"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nil"/>
              <w:right w:val="single" w:sz="4" w:space="0" w:color="7030A0"/>
            </w:tcBorders>
            <w:shd w:val="clear" w:color="auto" w:fill="auto"/>
            <w:vAlign w:val="center"/>
            <w:hideMark/>
          </w:tcPr>
          <w:p w14:paraId="2F841DDA"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nil"/>
              <w:right w:val="single" w:sz="4" w:space="0" w:color="7030A0"/>
            </w:tcBorders>
            <w:shd w:val="clear" w:color="auto" w:fill="auto"/>
            <w:vAlign w:val="center"/>
            <w:hideMark/>
          </w:tcPr>
          <w:p w14:paraId="7A79F0A9"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nil"/>
              <w:right w:val="single" w:sz="4" w:space="0" w:color="7030A0"/>
            </w:tcBorders>
            <w:shd w:val="clear" w:color="auto" w:fill="auto"/>
            <w:vAlign w:val="center"/>
            <w:hideMark/>
          </w:tcPr>
          <w:p w14:paraId="331273A3"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r>
      <w:tr w:rsidR="00B740A8" w:rsidRPr="00036317" w14:paraId="10AFCFA6" w14:textId="77777777" w:rsidTr="00D1541A">
        <w:trPr>
          <w:trHeight w:val="229"/>
        </w:trPr>
        <w:tc>
          <w:tcPr>
            <w:tcW w:w="1705" w:type="dxa"/>
            <w:gridSpan w:val="2"/>
            <w:tcBorders>
              <w:top w:val="single" w:sz="4" w:space="0" w:color="7030A0"/>
              <w:left w:val="nil"/>
              <w:bottom w:val="nil"/>
              <w:right w:val="nil"/>
            </w:tcBorders>
            <w:shd w:val="clear" w:color="auto" w:fill="auto"/>
            <w:vAlign w:val="center"/>
            <w:hideMark/>
          </w:tcPr>
          <w:p w14:paraId="061C7A0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Date début mandat :</w:t>
            </w:r>
          </w:p>
          <w:p w14:paraId="0D826E2F"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w:t>
            </w:r>
          </w:p>
          <w:p w14:paraId="5FC9BC6A" w14:textId="77777777" w:rsidR="00B740A8" w:rsidRPr="00C73365" w:rsidRDefault="00B740A8" w:rsidP="00D1541A">
            <w:pPr>
              <w:rPr>
                <w:rFonts w:asciiTheme="minorHAnsi" w:hAnsiTheme="minorHAnsi" w:cstheme="minorHAnsi"/>
                <w:color w:val="000000"/>
                <w:szCs w:val="20"/>
                <w:lang w:val="fr-FR" w:eastAsia="fr-FR"/>
              </w:rPr>
            </w:pPr>
          </w:p>
        </w:tc>
        <w:tc>
          <w:tcPr>
            <w:tcW w:w="7611" w:type="dxa"/>
            <w:gridSpan w:val="8"/>
            <w:tcBorders>
              <w:top w:val="single" w:sz="4" w:space="0" w:color="7030A0"/>
              <w:left w:val="nil"/>
              <w:bottom w:val="nil"/>
              <w:right w:val="nil"/>
            </w:tcBorders>
            <w:shd w:val="clear" w:color="auto" w:fill="auto"/>
            <w:noWrap/>
            <w:vAlign w:val="center"/>
            <w:hideMark/>
          </w:tcPr>
          <w:p w14:paraId="594E2950"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dans les statuts constitutifs de la Société en date du 4 décembre 2013 et renouvelé par l’assemblée générale mixte en date du 23 juin 2017.</w:t>
            </w:r>
          </w:p>
          <w:p w14:paraId="2693D71A"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036317" w14:paraId="19216CE7" w14:textId="77777777" w:rsidTr="00D1541A">
        <w:trPr>
          <w:trHeight w:val="229"/>
        </w:trPr>
        <w:tc>
          <w:tcPr>
            <w:tcW w:w="1705" w:type="dxa"/>
            <w:gridSpan w:val="2"/>
            <w:tcBorders>
              <w:top w:val="nil"/>
              <w:left w:val="nil"/>
              <w:bottom w:val="single" w:sz="4" w:space="0" w:color="7030A0"/>
              <w:right w:val="nil"/>
            </w:tcBorders>
            <w:shd w:val="clear" w:color="auto" w:fill="auto"/>
            <w:hideMark/>
          </w:tcPr>
          <w:p w14:paraId="43BDC68E"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Date fin mandat :</w:t>
            </w:r>
          </w:p>
        </w:tc>
        <w:tc>
          <w:tcPr>
            <w:tcW w:w="7611" w:type="dxa"/>
            <w:gridSpan w:val="8"/>
            <w:tcBorders>
              <w:top w:val="nil"/>
              <w:left w:val="nil"/>
              <w:bottom w:val="single" w:sz="4" w:space="0" w:color="7030A0"/>
              <w:right w:val="nil"/>
            </w:tcBorders>
            <w:shd w:val="clear" w:color="auto" w:fill="auto"/>
            <w:vAlign w:val="center"/>
            <w:hideMark/>
          </w:tcPr>
          <w:p w14:paraId="627718B7"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Assemblée générale ordinaire des actionnaires statuant sur les comptes de l’exercice clos au 31 décembre 2020.</w:t>
            </w:r>
          </w:p>
          <w:p w14:paraId="0DFC0A3D"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14:paraId="1DAC4CF6" w14:textId="77777777" w:rsidTr="00D1541A">
        <w:trPr>
          <w:trHeight w:val="229"/>
        </w:trPr>
        <w:tc>
          <w:tcPr>
            <w:tcW w:w="1705" w:type="dxa"/>
            <w:gridSpan w:val="2"/>
            <w:tcBorders>
              <w:top w:val="nil"/>
              <w:left w:val="nil"/>
              <w:bottom w:val="nil"/>
              <w:right w:val="nil"/>
            </w:tcBorders>
            <w:shd w:val="clear" w:color="auto" w:fill="auto"/>
            <w:vAlign w:val="center"/>
            <w:hideMark/>
          </w:tcPr>
          <w:p w14:paraId="325B89E0" w14:textId="77777777" w:rsidR="00B740A8" w:rsidRPr="00C73365" w:rsidRDefault="00B740A8" w:rsidP="00D1541A">
            <w:pPr>
              <w:rPr>
                <w:rFonts w:asciiTheme="minorHAnsi" w:hAnsiTheme="minorHAnsi" w:cstheme="minorHAnsi"/>
                <w:szCs w:val="20"/>
                <w:lang w:val="fr-FR" w:eastAsia="fr-FR"/>
              </w:rPr>
            </w:pPr>
          </w:p>
        </w:tc>
        <w:tc>
          <w:tcPr>
            <w:tcW w:w="951" w:type="dxa"/>
            <w:tcBorders>
              <w:top w:val="single" w:sz="8" w:space="0" w:color="7030A0"/>
              <w:left w:val="single" w:sz="4" w:space="0" w:color="7030A0"/>
              <w:bottom w:val="nil"/>
              <w:right w:val="single" w:sz="4" w:space="0" w:color="7030A0"/>
            </w:tcBorders>
            <w:shd w:val="clear" w:color="auto" w:fill="auto"/>
            <w:vAlign w:val="center"/>
            <w:hideMark/>
          </w:tcPr>
          <w:p w14:paraId="7CC51370"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1" w:type="dxa"/>
            <w:tcBorders>
              <w:top w:val="single" w:sz="8" w:space="0" w:color="7030A0"/>
              <w:left w:val="nil"/>
              <w:bottom w:val="nil"/>
              <w:right w:val="single" w:sz="4" w:space="0" w:color="7030A0"/>
            </w:tcBorders>
            <w:shd w:val="clear" w:color="auto" w:fill="auto"/>
            <w:vAlign w:val="center"/>
            <w:hideMark/>
          </w:tcPr>
          <w:p w14:paraId="2F87B151"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14:paraId="03AA2D32"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14:paraId="3294968E"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14:paraId="096092B1"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14:paraId="58E84041"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14:paraId="60F5E10B"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14:paraId="53C73E42"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r>
      <w:tr w:rsidR="00B740A8" w:rsidRPr="00C73365" w14:paraId="18BE8A45" w14:textId="77777777" w:rsidTr="00D1541A">
        <w:trPr>
          <w:trHeight w:val="500"/>
        </w:trPr>
        <w:tc>
          <w:tcPr>
            <w:tcW w:w="1705" w:type="dxa"/>
            <w:gridSpan w:val="2"/>
            <w:tcBorders>
              <w:top w:val="single" w:sz="4" w:space="0" w:color="7030A0"/>
              <w:left w:val="nil"/>
              <w:bottom w:val="single" w:sz="4" w:space="0" w:color="7030A0"/>
              <w:right w:val="nil"/>
            </w:tcBorders>
            <w:shd w:val="clear" w:color="auto" w:fill="auto"/>
            <w:vAlign w:val="center"/>
            <w:hideMark/>
          </w:tcPr>
          <w:p w14:paraId="76112AD1" w14:textId="77777777"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 xml:space="preserve">Monsieur Hartmut Ehrlich – </w:t>
            </w:r>
          </w:p>
          <w:p w14:paraId="0BA48FA3"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color w:val="000000"/>
                <w:szCs w:val="20"/>
                <w:lang w:val="fr-FR" w:eastAsia="fr-FR"/>
              </w:rPr>
              <w:t>Directeur général</w:t>
            </w:r>
          </w:p>
        </w:tc>
        <w:tc>
          <w:tcPr>
            <w:tcW w:w="951"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3270F7F"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14:paraId="4C8A4637"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14:paraId="6FB485F7"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single" w:sz="4" w:space="0" w:color="7030A0"/>
              <w:right w:val="single" w:sz="4" w:space="0" w:color="7030A0"/>
            </w:tcBorders>
            <w:shd w:val="clear" w:color="auto" w:fill="auto"/>
            <w:vAlign w:val="center"/>
            <w:hideMark/>
          </w:tcPr>
          <w:p w14:paraId="7B845AB3"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14:paraId="1F987C8A"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single" w:sz="4" w:space="0" w:color="7030A0"/>
              <w:right w:val="single" w:sz="4" w:space="0" w:color="7030A0"/>
            </w:tcBorders>
            <w:shd w:val="clear" w:color="auto" w:fill="auto"/>
            <w:vAlign w:val="center"/>
            <w:hideMark/>
          </w:tcPr>
          <w:p w14:paraId="37EE892F"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14:paraId="55119BC0"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single" w:sz="4" w:space="0" w:color="7030A0"/>
              <w:right w:val="single" w:sz="4" w:space="0" w:color="7030A0"/>
            </w:tcBorders>
            <w:shd w:val="clear" w:color="auto" w:fill="auto"/>
            <w:vAlign w:val="center"/>
            <w:hideMark/>
          </w:tcPr>
          <w:p w14:paraId="1F910020"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r>
      <w:tr w:rsidR="00B740A8" w:rsidRPr="00036317" w14:paraId="4C428901" w14:textId="77777777" w:rsidTr="00D1541A">
        <w:trPr>
          <w:trHeight w:val="229"/>
        </w:trPr>
        <w:tc>
          <w:tcPr>
            <w:tcW w:w="1705" w:type="dxa"/>
            <w:gridSpan w:val="2"/>
            <w:tcBorders>
              <w:top w:val="nil"/>
              <w:left w:val="nil"/>
              <w:bottom w:val="nil"/>
              <w:right w:val="nil"/>
            </w:tcBorders>
            <w:shd w:val="clear" w:color="auto" w:fill="auto"/>
            <w:vAlign w:val="center"/>
            <w:hideMark/>
          </w:tcPr>
          <w:p w14:paraId="60CB26D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Date début mandat : </w:t>
            </w:r>
          </w:p>
        </w:tc>
        <w:tc>
          <w:tcPr>
            <w:tcW w:w="7611" w:type="dxa"/>
            <w:gridSpan w:val="8"/>
            <w:vMerge w:val="restart"/>
            <w:tcBorders>
              <w:top w:val="single" w:sz="4" w:space="0" w:color="7030A0"/>
              <w:left w:val="nil"/>
              <w:bottom w:val="single" w:sz="4" w:space="0" w:color="7030A0"/>
              <w:right w:val="nil"/>
            </w:tcBorders>
            <w:shd w:val="clear" w:color="auto" w:fill="auto"/>
            <w:vAlign w:val="center"/>
            <w:hideMark/>
          </w:tcPr>
          <w:p w14:paraId="6C9E2BFF"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Conseil d’administration du 4 décembre 2013, renouvelé le 13 juillet 2017.</w:t>
            </w:r>
          </w:p>
          <w:p w14:paraId="0B0AB553" w14:textId="77777777" w:rsidR="00B740A8" w:rsidRPr="00C73365" w:rsidRDefault="00B740A8" w:rsidP="00D1541A">
            <w:pPr>
              <w:rPr>
                <w:rFonts w:asciiTheme="minorHAnsi" w:hAnsiTheme="minorHAnsi" w:cstheme="minorHAnsi"/>
                <w:color w:val="000000"/>
                <w:szCs w:val="20"/>
                <w:lang w:val="fr-FR" w:eastAsia="fr-FR"/>
              </w:rPr>
            </w:pPr>
          </w:p>
          <w:p w14:paraId="34DAE2F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Assemblée générale ordinaire des actionnaires statuant sur les comptes de l’exercice clos au 31 décembre 2020.</w:t>
            </w:r>
          </w:p>
        </w:tc>
      </w:tr>
      <w:tr w:rsidR="00B740A8" w:rsidRPr="00C73365" w14:paraId="198C1A1E" w14:textId="77777777" w:rsidTr="00D1541A">
        <w:trPr>
          <w:trHeight w:val="229"/>
        </w:trPr>
        <w:tc>
          <w:tcPr>
            <w:tcW w:w="1705" w:type="dxa"/>
            <w:gridSpan w:val="2"/>
            <w:tcBorders>
              <w:top w:val="nil"/>
              <w:left w:val="nil"/>
              <w:bottom w:val="single" w:sz="4" w:space="0" w:color="7030A0"/>
              <w:right w:val="nil"/>
            </w:tcBorders>
            <w:shd w:val="clear" w:color="auto" w:fill="auto"/>
            <w:hideMark/>
          </w:tcPr>
          <w:p w14:paraId="2F8ED2B1" w14:textId="77777777" w:rsidR="00B740A8" w:rsidRPr="00C73365" w:rsidRDefault="00B740A8" w:rsidP="00D1541A">
            <w:pPr>
              <w:rPr>
                <w:rFonts w:asciiTheme="minorHAnsi" w:hAnsiTheme="minorHAnsi" w:cstheme="minorHAnsi"/>
                <w:color w:val="000000"/>
                <w:szCs w:val="20"/>
                <w:lang w:val="fr-FR" w:eastAsia="fr-FR"/>
              </w:rPr>
            </w:pPr>
          </w:p>
          <w:p w14:paraId="1535964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Date fin mandat :</w:t>
            </w:r>
          </w:p>
        </w:tc>
        <w:tc>
          <w:tcPr>
            <w:tcW w:w="7611" w:type="dxa"/>
            <w:gridSpan w:val="8"/>
            <w:vMerge/>
            <w:tcBorders>
              <w:top w:val="nil"/>
              <w:left w:val="nil"/>
              <w:bottom w:val="single" w:sz="4" w:space="0" w:color="7030A0"/>
              <w:right w:val="nil"/>
            </w:tcBorders>
            <w:vAlign w:val="center"/>
            <w:hideMark/>
          </w:tcPr>
          <w:p w14:paraId="43D33B05" w14:textId="77777777" w:rsidR="00B740A8" w:rsidRPr="00C73365" w:rsidRDefault="00B740A8" w:rsidP="00D1541A">
            <w:pPr>
              <w:rPr>
                <w:rFonts w:asciiTheme="minorHAnsi" w:hAnsiTheme="minorHAnsi" w:cstheme="minorHAnsi"/>
                <w:color w:val="000000"/>
                <w:szCs w:val="20"/>
                <w:lang w:val="fr-FR" w:eastAsia="fr-FR"/>
              </w:rPr>
            </w:pPr>
          </w:p>
        </w:tc>
      </w:tr>
    </w:tbl>
    <w:p w14:paraId="2ED2A892" w14:textId="77777777" w:rsidR="00B740A8" w:rsidRPr="00C73365" w:rsidRDefault="00B740A8" w:rsidP="00B740A8">
      <w:pPr>
        <w:rPr>
          <w:rFonts w:asciiTheme="minorHAnsi" w:hAnsiTheme="minorHAnsi" w:cstheme="minorHAnsi"/>
          <w:color w:val="7030A0"/>
          <w:szCs w:val="22"/>
          <w:lang w:val="fr-FR"/>
        </w:rPr>
      </w:pPr>
    </w:p>
    <w:p w14:paraId="6299C14E" w14:textId="77777777"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79" w:name="_Toc462673272"/>
      <w:bookmarkStart w:id="780" w:name="_Toc467835621"/>
      <w:bookmarkStart w:id="781" w:name="_Toc482695292"/>
      <w:bookmarkStart w:id="782" w:name="_Toc510548445"/>
      <w:r w:rsidRPr="00C73365">
        <w:rPr>
          <w:rFonts w:asciiTheme="minorHAnsi" w:hAnsiTheme="minorHAnsi" w:cstheme="minorHAnsi"/>
          <w:sz w:val="22"/>
          <w:lang w:val="fr-FR"/>
        </w:rPr>
        <w:t>Sommes provisionnées par la Société aux fins de versement de pensions, retraites et autres avantages au profit des mandataires sociaux</w:t>
      </w:r>
      <w:bookmarkEnd w:id="778"/>
      <w:bookmarkEnd w:id="779"/>
      <w:bookmarkEnd w:id="780"/>
      <w:bookmarkEnd w:id="781"/>
      <w:bookmarkEnd w:id="782"/>
    </w:p>
    <w:p w14:paraId="3F99A620" w14:textId="77777777" w:rsidR="00B740A8" w:rsidRPr="00C73365" w:rsidRDefault="00B740A8" w:rsidP="00B740A8">
      <w:pPr>
        <w:pStyle w:val="ConmainL2"/>
        <w:numPr>
          <w:ilvl w:val="0"/>
          <w:numId w:val="0"/>
        </w:numPr>
        <w:spacing w:after="0"/>
        <w:outlineLvl w:val="9"/>
        <w:rPr>
          <w:rFonts w:asciiTheme="minorHAnsi" w:hAnsiTheme="minorHAnsi" w:cstheme="minorHAnsi"/>
          <w:lang w:val="fr-FR"/>
        </w:rPr>
      </w:pPr>
    </w:p>
    <w:p w14:paraId="0486FCD6"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Néant.</w:t>
      </w:r>
    </w:p>
    <w:p w14:paraId="499E3DBC" w14:textId="77777777"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3" w:name="_Toc402884161"/>
      <w:bookmarkStart w:id="784" w:name="_Toc462673273"/>
      <w:bookmarkStart w:id="785" w:name="_Toc467835622"/>
      <w:bookmarkStart w:id="786" w:name="_Toc482695293"/>
      <w:bookmarkStart w:id="787" w:name="_Toc510548446"/>
      <w:r w:rsidRPr="00C73365">
        <w:rPr>
          <w:rFonts w:asciiTheme="minorHAnsi" w:hAnsiTheme="minorHAnsi" w:cstheme="minorHAnsi"/>
          <w:sz w:val="22"/>
          <w:lang w:val="fr-FR"/>
        </w:rPr>
        <w:t>Actions attribuées gratuitement, bons de souscription d’actions et options de souscription d’actions attribuées aux mandataires sociaux</w:t>
      </w:r>
      <w:bookmarkEnd w:id="783"/>
      <w:bookmarkEnd w:id="784"/>
      <w:bookmarkEnd w:id="785"/>
      <w:bookmarkEnd w:id="786"/>
      <w:bookmarkEnd w:id="787"/>
    </w:p>
    <w:p w14:paraId="56B344A4" w14:textId="77777777" w:rsidR="00B740A8" w:rsidRPr="00C73365" w:rsidRDefault="00B740A8" w:rsidP="00B740A8">
      <w:pPr>
        <w:rPr>
          <w:rFonts w:asciiTheme="minorHAnsi" w:hAnsiTheme="minorHAnsi" w:cstheme="minorHAnsi"/>
          <w:szCs w:val="20"/>
          <w:lang w:val="fr-FR"/>
        </w:rPr>
      </w:pPr>
    </w:p>
    <w:p w14:paraId="365D1E45" w14:textId="23419AFA"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Une description détaillée des termes de chacun des plans mentionnés ci-dessus figure au paragraphe 21.1.5 «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 xml:space="preserve"> </w:t>
      </w:r>
      <w:r w:rsidRPr="00C73365">
        <w:rPr>
          <w:rFonts w:asciiTheme="minorHAnsi" w:hAnsiTheme="minorHAnsi" w:cstheme="minorHAnsi"/>
          <w:lang w:val="fr-FR"/>
        </w:rPr>
        <w:t>» du présent document de référence. Les chiffres indiqués correspondent au nombre d’actions pouvant être souscrites par exercice de chacun des droits ou des valeurs mobilières donnant accès au capital.</w:t>
      </w:r>
      <w:r w:rsidRPr="00C73365">
        <w:rPr>
          <w:rFonts w:asciiTheme="minorHAnsi" w:hAnsiTheme="minorHAnsi" w:cstheme="minorHAnsi"/>
          <w:highlight w:val="yellow"/>
          <w:lang w:val="fr-FR"/>
        </w:rPr>
        <w:t xml:space="preserve"> </w:t>
      </w:r>
    </w:p>
    <w:p w14:paraId="2D5F1CFA" w14:textId="77777777" w:rsidR="00B740A8" w:rsidRPr="00C73365" w:rsidRDefault="00B740A8" w:rsidP="00B740A8">
      <w:pPr>
        <w:rPr>
          <w:rFonts w:asciiTheme="minorHAnsi" w:hAnsiTheme="minorHAnsi" w:cstheme="minorHAnsi"/>
          <w:lang w:val="fr-FR"/>
        </w:rPr>
      </w:pPr>
    </w:p>
    <w:p w14:paraId="34E7697B" w14:textId="77777777"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8" w:name="_Toc510548447"/>
      <w:r w:rsidRPr="00C73365">
        <w:rPr>
          <w:rFonts w:asciiTheme="minorHAnsi" w:hAnsiTheme="minorHAnsi" w:cstheme="minorHAnsi"/>
          <w:sz w:val="22"/>
          <w:lang w:val="fr-FR"/>
        </w:rPr>
        <w:t>Eléments de rémunérations et avantages dus ou susceptibles d’être dus à raison ou postérieurement à la cessation des fonctions de dirigeants de la Société</w:t>
      </w:r>
      <w:bookmarkEnd w:id="788"/>
    </w:p>
    <w:p w14:paraId="2CC6522D" w14:textId="77777777" w:rsidR="00B740A8" w:rsidRPr="00C73365" w:rsidRDefault="00B740A8" w:rsidP="00B740A8">
      <w:pPr>
        <w:rPr>
          <w:rFonts w:asciiTheme="minorHAnsi" w:hAnsiTheme="minorHAnsi" w:cstheme="minorHAnsi"/>
          <w:b/>
          <w:lang w:val="fr-FR"/>
        </w:rPr>
      </w:pPr>
    </w:p>
    <w:p w14:paraId="4F4B4E8E" w14:textId="77777777" w:rsidR="00B740A8"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Néant. </w:t>
      </w:r>
    </w:p>
    <w:p w14:paraId="143C315E" w14:textId="77777777" w:rsidR="004834A9" w:rsidRPr="00C73365" w:rsidRDefault="004834A9" w:rsidP="004572A0">
      <w:pPr>
        <w:pStyle w:val="Corpsdetexte"/>
        <w:rPr>
          <w:rFonts w:asciiTheme="minorHAnsi" w:hAnsiTheme="minorHAnsi" w:cstheme="minorHAnsi"/>
          <w:lang w:val="fr-FR"/>
        </w:rPr>
      </w:pPr>
    </w:p>
    <w:p w14:paraId="17117EFF" w14:textId="77777777"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9" w:name="_Toc510548448"/>
      <w:r w:rsidRPr="00C73365">
        <w:rPr>
          <w:rFonts w:asciiTheme="minorHAnsi" w:hAnsiTheme="minorHAnsi" w:cstheme="minorHAnsi"/>
          <w:sz w:val="22"/>
          <w:lang w:val="fr-FR"/>
        </w:rPr>
        <w:t>Prêts et garanties accordés aux dirigeants</w:t>
      </w:r>
      <w:bookmarkEnd w:id="789"/>
    </w:p>
    <w:p w14:paraId="1541B536" w14:textId="77777777" w:rsidR="00B740A8" w:rsidRPr="00C73365" w:rsidRDefault="00B740A8" w:rsidP="00B740A8">
      <w:pPr>
        <w:rPr>
          <w:rFonts w:asciiTheme="minorHAnsi" w:hAnsiTheme="minorHAnsi" w:cstheme="minorHAnsi"/>
          <w:sz w:val="22"/>
          <w:lang w:val="fr-FR"/>
        </w:rPr>
      </w:pPr>
    </w:p>
    <w:p w14:paraId="14D1916A" w14:textId="77777777" w:rsidR="00B740A8" w:rsidRPr="00C73365" w:rsidRDefault="00B740A8" w:rsidP="00710D60">
      <w:pPr>
        <w:pStyle w:val="Listecontinue2"/>
        <w:ind w:left="0"/>
        <w:rPr>
          <w:rFonts w:asciiTheme="minorHAnsi" w:hAnsiTheme="minorHAnsi" w:cstheme="minorHAnsi"/>
          <w:lang w:val="fr-FR"/>
        </w:rPr>
      </w:pPr>
      <w:r w:rsidRPr="00C73365">
        <w:rPr>
          <w:rFonts w:asciiTheme="minorHAnsi" w:hAnsiTheme="minorHAnsi" w:cstheme="minorHAnsi"/>
          <w:lang w:val="fr-FR"/>
        </w:rPr>
        <w:t>Néant.</w:t>
      </w:r>
    </w:p>
    <w:p w14:paraId="14611191" w14:textId="77777777" w:rsidR="00B740A8" w:rsidRPr="00C73365" w:rsidRDefault="00B740A8" w:rsidP="00B740A8">
      <w:pPr>
        <w:rPr>
          <w:rFonts w:asciiTheme="minorHAnsi" w:hAnsiTheme="minorHAnsi" w:cstheme="minorHAnsi"/>
          <w:sz w:val="22"/>
          <w:lang w:val="fr-FR"/>
        </w:rPr>
      </w:pPr>
    </w:p>
    <w:p w14:paraId="6AEBB586" w14:textId="77777777" w:rsidR="00B740A8" w:rsidRPr="00C73365" w:rsidRDefault="00B740A8" w:rsidP="00B740A8">
      <w:pPr>
        <w:pStyle w:val="ConmainL2"/>
        <w:numPr>
          <w:ilvl w:val="1"/>
          <w:numId w:val="9"/>
        </w:numPr>
        <w:spacing w:after="0"/>
        <w:rPr>
          <w:rFonts w:asciiTheme="minorHAnsi" w:hAnsiTheme="minorHAnsi" w:cstheme="minorHAnsi"/>
          <w:lang w:val="fr-FR"/>
        </w:rPr>
      </w:pPr>
      <w:bookmarkStart w:id="790" w:name="_Toc510548449"/>
      <w:r w:rsidRPr="00C73365">
        <w:rPr>
          <w:rFonts w:asciiTheme="minorHAnsi" w:hAnsiTheme="minorHAnsi" w:cstheme="minorHAnsi"/>
          <w:sz w:val="22"/>
          <w:lang w:val="fr-FR"/>
        </w:rPr>
        <w:t>Rémunérations et avantages des dirigeants mandataires sociaux exécutifs au titre de l’exercice 2018</w:t>
      </w:r>
      <w:bookmarkEnd w:id="790"/>
    </w:p>
    <w:p w14:paraId="6F9FCB51" w14:textId="77777777" w:rsidR="00B740A8" w:rsidRPr="00C73365" w:rsidRDefault="00B740A8" w:rsidP="00B740A8">
      <w:pPr>
        <w:rPr>
          <w:rFonts w:asciiTheme="minorHAnsi" w:hAnsiTheme="minorHAnsi" w:cstheme="minorHAnsi"/>
          <w:lang w:val="fr-FR"/>
        </w:rPr>
      </w:pPr>
    </w:p>
    <w:p w14:paraId="6047C328" w14:textId="77777777" w:rsidR="00B740A8" w:rsidRPr="00C73365" w:rsidRDefault="00B740A8" w:rsidP="00B740A8">
      <w:pPr>
        <w:pStyle w:val="ConmainL3"/>
        <w:numPr>
          <w:ilvl w:val="2"/>
          <w:numId w:val="9"/>
        </w:numPr>
        <w:spacing w:after="0"/>
        <w:rPr>
          <w:rFonts w:asciiTheme="minorHAnsi" w:hAnsiTheme="minorHAnsi" w:cstheme="minorHAnsi"/>
          <w:b/>
          <w:color w:val="7030A0"/>
          <w:lang w:val="fr-FR"/>
        </w:rPr>
      </w:pPr>
      <w:bookmarkStart w:id="791" w:name="_Toc476647132"/>
      <w:bookmarkStart w:id="792" w:name="_Toc480795819"/>
      <w:r w:rsidRPr="00C73365">
        <w:rPr>
          <w:rFonts w:asciiTheme="minorHAnsi" w:hAnsiTheme="minorHAnsi" w:cstheme="minorHAnsi"/>
          <w:b/>
          <w:color w:val="7030A0"/>
          <w:lang w:val="fr-FR"/>
        </w:rPr>
        <w:lastRenderedPageBreak/>
        <w:t>Principes et composantes de la rémunération des dirigeants mandataires sociaux exécutifs</w:t>
      </w:r>
      <w:bookmarkEnd w:id="791"/>
      <w:bookmarkEnd w:id="792"/>
    </w:p>
    <w:p w14:paraId="3C16C28D"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Les principes généraux de la politique de rémunération des dirigeants mandataires sociaux exécutifs sont décidés par le conseil d’administration sur proposition du comité des rémunérations.</w:t>
      </w:r>
    </w:p>
    <w:p w14:paraId="50328013"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La politique de rémunération prend en compte les principes suivants conformément aux règles élaborées au sein du Code MiddleNext auquel la Société a adhéré :</w:t>
      </w:r>
    </w:p>
    <w:p w14:paraId="3C684579" w14:textId="77777777" w:rsidR="00B740A8" w:rsidRPr="00C73365" w:rsidRDefault="00B740A8" w:rsidP="00434C49">
      <w:pPr>
        <w:pStyle w:val="Listepuces"/>
        <w:numPr>
          <w:ilvl w:val="0"/>
          <w:numId w:val="103"/>
        </w:numPr>
        <w:rPr>
          <w:rFonts w:asciiTheme="minorHAnsi" w:hAnsiTheme="minorHAnsi" w:cstheme="minorHAnsi"/>
          <w:lang w:val="fr-FR"/>
        </w:rPr>
      </w:pPr>
      <w:r w:rsidRPr="00C73365">
        <w:rPr>
          <w:rFonts w:asciiTheme="minorHAnsi" w:hAnsiTheme="minorHAnsi" w:cstheme="minorHAnsi"/>
          <w:b/>
          <w:lang w:val="fr-FR"/>
        </w:rPr>
        <w:t>L’exhaustivité de la rémunération</w:t>
      </w:r>
      <w:r w:rsidRPr="00C73365">
        <w:rPr>
          <w:rFonts w:asciiTheme="minorHAnsi" w:hAnsiTheme="minorHAnsi" w:cstheme="minorHAnsi"/>
          <w:lang w:val="fr-FR"/>
        </w:rPr>
        <w:t xml:space="preserve"> présentée : l’ensemble des éléments de la rémunération est retenu dans l’appréciation globale de la rémunération ; ceux-ci sont clairement motivés,</w:t>
      </w:r>
    </w:p>
    <w:p w14:paraId="073E145E" w14:textId="77777777" w:rsidR="00B740A8" w:rsidRPr="00C73365" w:rsidRDefault="00B740A8" w:rsidP="00434C49">
      <w:pPr>
        <w:pStyle w:val="Listepuces"/>
        <w:numPr>
          <w:ilvl w:val="0"/>
          <w:numId w:val="103"/>
        </w:numPr>
        <w:rPr>
          <w:rFonts w:asciiTheme="minorHAnsi" w:hAnsiTheme="minorHAnsi" w:cstheme="minorHAnsi"/>
          <w:lang w:val="fr-FR"/>
        </w:rPr>
      </w:pPr>
      <w:r w:rsidRPr="00C73365">
        <w:rPr>
          <w:rFonts w:asciiTheme="minorHAnsi" w:hAnsiTheme="minorHAnsi" w:cstheme="minorHAnsi"/>
          <w:lang w:val="fr-FR"/>
        </w:rPr>
        <w:t xml:space="preserve">Le </w:t>
      </w:r>
      <w:r w:rsidRPr="00C73365">
        <w:rPr>
          <w:rFonts w:asciiTheme="minorHAnsi" w:hAnsiTheme="minorHAnsi" w:cstheme="minorHAnsi"/>
          <w:b/>
          <w:lang w:val="fr-FR"/>
        </w:rPr>
        <w:t>principe d’équilibre et de cohérence</w:t>
      </w:r>
      <w:r w:rsidRPr="00C73365">
        <w:rPr>
          <w:rFonts w:asciiTheme="minorHAnsi" w:hAnsiTheme="minorHAnsi" w:cstheme="minorHAnsi"/>
          <w:lang w:val="fr-FR"/>
        </w:rPr>
        <w:t xml:space="preserve"> : le comité des rémunérations veille à l’équilibre et à la cohérence des rémunérations afin que celles-ci correspondent à l’intérêt général de l’entreprise, </w:t>
      </w:r>
    </w:p>
    <w:p w14:paraId="73A012B7" w14:textId="77777777" w:rsidR="00B740A8" w:rsidRPr="00C73365" w:rsidRDefault="00B740A8" w:rsidP="00434C49">
      <w:pPr>
        <w:pStyle w:val="Listepuces"/>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lisibilité des règles</w:t>
      </w:r>
      <w:r w:rsidRPr="00C73365">
        <w:rPr>
          <w:rFonts w:asciiTheme="minorHAnsi" w:hAnsiTheme="minorHAnsi" w:cstheme="minorHAnsi"/>
          <w:lang w:val="fr-FR"/>
        </w:rPr>
        <w:t> : les règles doivent être simples et transparentes ; les critères de performance utilisés pour établir la partie variable de la rémunération, ou le cas échéant, pour l’attribution d’options ou d’actions gratuites doivent être en lien avec la performance de l’entreprise, correspondre à ses objectifs, être exigeants, explicables et, autant que possible, pérennes,</w:t>
      </w:r>
    </w:p>
    <w:p w14:paraId="5EFAFC00" w14:textId="77777777" w:rsidR="00B740A8" w:rsidRPr="00C73365" w:rsidRDefault="00B740A8" w:rsidP="00434C49">
      <w:pPr>
        <w:pStyle w:val="Listepuces"/>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mesure</w:t>
      </w:r>
      <w:r w:rsidRPr="00C73365">
        <w:rPr>
          <w:rFonts w:asciiTheme="minorHAnsi" w:hAnsiTheme="minorHAnsi" w:cstheme="minorHAnsi"/>
          <w:lang w:val="fr-FR"/>
        </w:rPr>
        <w:t> : la détermination de la rémunération doit réaliser un juste équilibre et tenir compte à la fois de l’intérêt général de l’entreprise, des pratiques du marché et des performances des dirigeants,</w:t>
      </w:r>
    </w:p>
    <w:p w14:paraId="5DA28036" w14:textId="77777777" w:rsidR="00B740A8" w:rsidRPr="00C73365" w:rsidRDefault="00B740A8" w:rsidP="00434C49">
      <w:pPr>
        <w:pStyle w:val="Listepuces"/>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transparence</w:t>
      </w:r>
      <w:r w:rsidRPr="00C73365">
        <w:rPr>
          <w:rFonts w:asciiTheme="minorHAnsi" w:hAnsiTheme="minorHAnsi" w:cstheme="minorHAnsi"/>
          <w:lang w:val="fr-FR"/>
        </w:rPr>
        <w:t> : l’information annuelle des actionnaires sur l’intégralité des rémunérations et des avantages perçus par les dirigeants est effectuée de façon transparente conformément à règlementation applicable,</w:t>
      </w:r>
    </w:p>
    <w:p w14:paraId="3E1D8D41" w14:textId="77777777" w:rsidR="00B740A8" w:rsidRPr="00C73365" w:rsidRDefault="00B740A8" w:rsidP="00434C49">
      <w:pPr>
        <w:pStyle w:val="Listepuces"/>
        <w:numPr>
          <w:ilvl w:val="0"/>
          <w:numId w:val="103"/>
        </w:numPr>
        <w:rPr>
          <w:rFonts w:asciiTheme="minorHAnsi" w:hAnsiTheme="minorHAnsi" w:cstheme="minorHAnsi"/>
          <w:lang w:val="fr-FR"/>
        </w:rPr>
      </w:pPr>
      <w:r w:rsidRPr="00C73365">
        <w:rPr>
          <w:rFonts w:asciiTheme="minorHAnsi" w:hAnsiTheme="minorHAnsi" w:cstheme="minorHAnsi"/>
          <w:lang w:val="fr-FR"/>
        </w:rPr>
        <w:t xml:space="preserve">Le conseil d’administration et le comité des rémunérations respectent le </w:t>
      </w:r>
      <w:r w:rsidRPr="00C73365">
        <w:rPr>
          <w:rFonts w:asciiTheme="minorHAnsi" w:hAnsiTheme="minorHAnsi" w:cstheme="minorHAnsi"/>
          <w:b/>
          <w:lang w:val="fr-FR"/>
        </w:rPr>
        <w:t xml:space="preserve">principe de comparabilité </w:t>
      </w:r>
      <w:r w:rsidRPr="00C73365">
        <w:rPr>
          <w:rFonts w:asciiTheme="minorHAnsi" w:hAnsiTheme="minorHAnsi" w:cstheme="minorHAnsi"/>
          <w:lang w:val="fr-FR"/>
        </w:rPr>
        <w:t>(benchmark). Les rémunérations sont appréciées dans le contexte du marché de référence dans la limite des particularités des missions, de la responsabilité assumée, des résultats obtenus et du travail effectué par les dirigeants mandataires sociaux exécutifs.</w:t>
      </w:r>
    </w:p>
    <w:p w14:paraId="0EC0D733"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Au 31 décembre 2017, les dirigeants mandataires sociaux exécutifs sont :</w:t>
      </w:r>
    </w:p>
    <w:p w14:paraId="170C782D" w14:textId="77777777" w:rsidR="00B740A8" w:rsidRPr="00C73365" w:rsidRDefault="00B740A8" w:rsidP="00434C49">
      <w:pPr>
        <w:pStyle w:val="Paragraphedeliste"/>
        <w:keepNext/>
        <w:numPr>
          <w:ilvl w:val="0"/>
          <w:numId w:val="104"/>
        </w:numPr>
        <w:spacing w:before="120"/>
        <w:ind w:right="-142"/>
        <w:rPr>
          <w:rFonts w:asciiTheme="minorHAnsi" w:hAnsiTheme="minorHAnsi" w:cstheme="minorHAnsi"/>
          <w:szCs w:val="22"/>
          <w:lang w:val="fr-FR"/>
        </w:rPr>
      </w:pPr>
      <w:r w:rsidRPr="00C73365">
        <w:rPr>
          <w:rFonts w:asciiTheme="minorHAnsi" w:hAnsiTheme="minorHAnsi" w:cstheme="minorHAnsi"/>
          <w:szCs w:val="22"/>
          <w:lang w:val="fr-FR"/>
        </w:rPr>
        <w:t xml:space="preserve">Monsieur Philippe Pouletty, Président du conseil d’administration ; et </w:t>
      </w:r>
    </w:p>
    <w:p w14:paraId="546B161C" w14:textId="77777777" w:rsidR="00B740A8" w:rsidRPr="00C73365" w:rsidRDefault="00B740A8" w:rsidP="00434C49">
      <w:pPr>
        <w:pStyle w:val="Paragraphedeliste"/>
        <w:keepNext/>
        <w:numPr>
          <w:ilvl w:val="0"/>
          <w:numId w:val="104"/>
        </w:numPr>
        <w:spacing w:before="120"/>
        <w:ind w:right="-142"/>
        <w:rPr>
          <w:rFonts w:asciiTheme="minorHAnsi" w:hAnsiTheme="minorHAnsi" w:cstheme="minorHAnsi"/>
          <w:szCs w:val="22"/>
          <w:lang w:val="fr-FR"/>
        </w:rPr>
      </w:pPr>
      <w:r w:rsidRPr="00C73365">
        <w:rPr>
          <w:rFonts w:asciiTheme="minorHAnsi" w:hAnsiTheme="minorHAnsi" w:cstheme="minorHAnsi"/>
          <w:szCs w:val="22"/>
          <w:lang w:val="fr-FR"/>
        </w:rPr>
        <w:t>Monsieur Hartmut Ehrlich, Directeur général.</w:t>
      </w:r>
    </w:p>
    <w:p w14:paraId="2B3C201E" w14:textId="77777777" w:rsidR="00B740A8" w:rsidRPr="00C73365" w:rsidRDefault="00B740A8" w:rsidP="00B740A8">
      <w:pPr>
        <w:pStyle w:val="Paragraphedeliste"/>
        <w:keepNext/>
        <w:spacing w:before="120"/>
        <w:ind w:left="0" w:right="-142"/>
        <w:rPr>
          <w:rFonts w:asciiTheme="minorHAnsi" w:hAnsiTheme="minorHAnsi" w:cstheme="minorHAnsi"/>
          <w:szCs w:val="22"/>
          <w:lang w:val="fr-FR"/>
        </w:rPr>
      </w:pPr>
      <w:r w:rsidRPr="00C73365">
        <w:rPr>
          <w:rFonts w:asciiTheme="minorHAnsi" w:hAnsiTheme="minorHAnsi" w:cstheme="minorHAnsi"/>
          <w:szCs w:val="22"/>
          <w:lang w:val="fr-FR"/>
        </w:rPr>
        <w:t>La structure de la rémunération des dirigeants mandataires sociaux exécutifs est revue chaque année par le conseil d’administration qui en fixe les différents éléments, sur les recommandations du comité des rémunérations, étant rappelé que seul Monsieur Hartmut Ehrlich en qualité de Directeur général perçoit une rémunération au titre de son mandat social, Monsieur Philippe Pouletty, en qualité de Président du conseil d’administration, exerçant ses fonctions à titre gracieux.</w:t>
      </w:r>
    </w:p>
    <w:p w14:paraId="3CA8E09C" w14:textId="77777777" w:rsidR="00B740A8" w:rsidRPr="00C73365" w:rsidRDefault="00B740A8" w:rsidP="00B740A8">
      <w:pPr>
        <w:pStyle w:val="Paragraphedeliste"/>
        <w:keepNext/>
        <w:spacing w:before="120"/>
        <w:ind w:left="0" w:right="-142"/>
        <w:rPr>
          <w:rFonts w:asciiTheme="minorHAnsi" w:hAnsiTheme="minorHAnsi" w:cstheme="minorHAnsi"/>
          <w:szCs w:val="22"/>
          <w:lang w:val="fr-FR"/>
        </w:rPr>
      </w:pPr>
      <w:r w:rsidRPr="00C73365">
        <w:rPr>
          <w:rFonts w:asciiTheme="minorHAnsi" w:hAnsiTheme="minorHAnsi" w:cstheme="minorHAnsi"/>
          <w:szCs w:val="22"/>
          <w:lang w:val="fr-FR"/>
        </w:rPr>
        <w:t>Sur cette base, il est proposé au conseil d’administration du 15 mars 2018 de décider d’une stabilité des éléments de la rémunération du Directeur général, cette structure assurant un lien avec la performance de l’entreprise et le maintien de l’équilibre entre la performance court terme et moyen terme.</w:t>
      </w:r>
    </w:p>
    <w:p w14:paraId="35BDA5FA"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Rémunération fixe</w:t>
      </w:r>
    </w:p>
    <w:p w14:paraId="4795317A"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La rémunération fixe annuelle de Monsieur Hartmut Ehrlich, Directeur général, au titre de l’exercice 2018 est déterminée par le conseil d’administration sur les recommandations du comité des rémunérations. Monsieur Philippe Pouletty ne perçoit pas de rémunération fixe au titre de l’exercice 2018.</w:t>
      </w:r>
    </w:p>
    <w:p w14:paraId="4197DE00" w14:textId="77777777" w:rsidR="00B740A8"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Par ailleurs, dans l’hypothèse de la nomination d’un ou plusieurs nouveaux Président, Directeur Général ou Directeurs Généraux Délégués, les principes exposés ci-dessus seraient applicables pour la détermination de leur politique de rémunération, étant précisé que le montant pourrait être adapté en fonction du profil, de l’expérience ou encore du niveau de responsabilité du nouveau dirigeant mandataire social exécutif.</w:t>
      </w:r>
    </w:p>
    <w:p w14:paraId="643E9C04" w14:textId="77777777" w:rsidR="004834A9" w:rsidRPr="00C73365" w:rsidRDefault="004834A9" w:rsidP="004572A0">
      <w:pPr>
        <w:pStyle w:val="Corpsdetexte"/>
        <w:rPr>
          <w:rFonts w:asciiTheme="minorHAnsi" w:hAnsiTheme="minorHAnsi" w:cstheme="minorHAnsi"/>
          <w:lang w:val="fr-FR"/>
        </w:rPr>
      </w:pPr>
    </w:p>
    <w:p w14:paraId="7A2C872E"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Rémunération variable</w:t>
      </w:r>
    </w:p>
    <w:p w14:paraId="194AE01B"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La rémunération variable vise à associer les dirigeants mandataires sociaux exécutifs à la performance court terme de la Société.</w:t>
      </w:r>
    </w:p>
    <w:p w14:paraId="688430F7"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Les règles de fixation de cette rémunération sont par ailleurs cohérentes avec la stratégie de l’entreprise. Les modalités de la rémunération variable annuelle sont intelligibles pour l’actionnaire et donnent lieu chaque année à une information claire et exhaustive dans le rapport annuel.</w:t>
      </w:r>
    </w:p>
    <w:p w14:paraId="325766AC"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Les indicateurs pris en compte pour la détermination de la part variable et le niveau des objectifs à atteindre sont définis chaque année par le conseil d’administration sur les recommandations du comité des rémunérations au début de la période de référence à laquelle ils s’appliquent.</w:t>
      </w:r>
    </w:p>
    <w:p w14:paraId="5E0AA063"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Dans le cadre de la détermination de la part variable de la rémunération des dirigeants mandataires sociaux exécutifs, il sera proposé au conseil d’administration d’arrêter les indicateurs de performance financière, leurs objectifs et leur pondération pour 2018.</w:t>
      </w:r>
    </w:p>
    <w:p w14:paraId="58B7CFE1"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Il est précisé que le versement de toute rémunération variable des dirigeants mandataires sociaux exécutifs ne pourra être réalisé que sous réserve de l’approbation des actionnaires en application de l’article L. 225-100 du Code de commerce.</w:t>
      </w:r>
    </w:p>
    <w:p w14:paraId="1EAEC361" w14:textId="77777777" w:rsidR="00B740A8" w:rsidRPr="00C73365" w:rsidRDefault="00B740A8" w:rsidP="004572A0">
      <w:pPr>
        <w:pStyle w:val="Corpsdetexte"/>
        <w:rPr>
          <w:rFonts w:asciiTheme="minorHAnsi" w:hAnsiTheme="minorHAnsi" w:cstheme="minorHAnsi"/>
          <w:i/>
          <w:lang w:val="fr-FR"/>
        </w:rPr>
      </w:pPr>
      <w:r w:rsidRPr="00C73365">
        <w:rPr>
          <w:rFonts w:asciiTheme="minorHAnsi" w:hAnsiTheme="minorHAnsi" w:cstheme="minorHAnsi"/>
          <w:i/>
          <w:lang w:val="fr-FR"/>
        </w:rPr>
        <w:t>Président du conseil d’administration – Philippe Pouletty</w:t>
      </w:r>
    </w:p>
    <w:p w14:paraId="318A3582"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Monsieur Philippe Pouletty ne bénéficie au titre de son mandat de Président du conseil d’administration d’aucune rémunération variable pour l’exercice 2018. </w:t>
      </w:r>
    </w:p>
    <w:p w14:paraId="1E338AD4" w14:textId="77777777" w:rsidR="00B740A8" w:rsidRPr="00C73365" w:rsidRDefault="00B740A8" w:rsidP="004572A0">
      <w:pPr>
        <w:pStyle w:val="Corpsdetexte"/>
        <w:rPr>
          <w:rFonts w:asciiTheme="minorHAnsi" w:hAnsiTheme="minorHAnsi" w:cstheme="minorHAnsi"/>
          <w:i/>
          <w:lang w:val="fr-FR"/>
        </w:rPr>
      </w:pPr>
      <w:r w:rsidRPr="00C73365">
        <w:rPr>
          <w:rFonts w:asciiTheme="minorHAnsi" w:hAnsiTheme="minorHAnsi" w:cstheme="minorHAnsi"/>
          <w:i/>
          <w:lang w:val="fr-FR"/>
        </w:rPr>
        <w:t>Directeur Général – Hartmut Ehrlich</w:t>
      </w:r>
    </w:p>
    <w:p w14:paraId="3A61AF3F"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La rémunération variable annuelle cible de Monsieur Hartmut Ehrlich est soumise à des critères de performance dont l’objectif est fixé chaque année. Elle correspond à un pourcentage maximum du montant de sa rémunération fixe déterminé annuellement par le conseil d’administration sur les recommandations du comité des rémunérations (soit 40 % de sa rémunération fixe).</w:t>
      </w:r>
    </w:p>
    <w:p w14:paraId="508CE19F"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Les critères de performance retenus pour la détermination de la rémunération variable sont élaborés sur un plan d’objectifs précis personnels et d’entreprise basés sur des critères quantitatifs et qualitatifs. Ces objectifs sont assis sur la recherche et le développement de molécules à caractère antivirale notamment en matière de progression des études cliniques, sur l’atteinte d’objectifs liés à la conclusion de partenariats externes et sur l’atteinte des objectifs financiers. </w:t>
      </w:r>
    </w:p>
    <w:p w14:paraId="47B87384"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niveau d’objectif fixé pour chacun des critères est une information stratégique et économiquement sensible qui ne peut être rendue publique. </w:t>
      </w:r>
    </w:p>
    <w:p w14:paraId="0A34783B"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Il est par ailleurs proposé au Conseil d’administration de décider que dans l’hypothèse de la nomination d’un nouveau dirigeant mandataire social exécutif, ces mêmes principes s’appliqueront, étant précisé qu’en cas de nomination intervenant au cours du second semestre d’un exercice, l’appréciation de la performance s’effectuera de manière discrétionnaire par le conseil d’administration.</w:t>
      </w:r>
    </w:p>
    <w:p w14:paraId="19F52AC8"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Rémunération à long terme et exceptionnelle</w:t>
      </w:r>
    </w:p>
    <w:p w14:paraId="6D76E8BC"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Rémunération à long terme</w:t>
      </w:r>
    </w:p>
    <w:p w14:paraId="05CB6957"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Au titre de son mandat de Président du conseil d’administration, Monsieur Philippe Pouletty n’a reçu aucune rémunération conditionnelle versée sous forme d’options d’achat ou de souscription d’actions. </w:t>
      </w:r>
    </w:p>
    <w:p w14:paraId="6794D797"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Au titre de son mandat de Directeur général, il est précisé que Monsieur Hartmut Ehrlich a reçu, au titre de l’exercice 2017, une rémunération allouée sous forme de BSPCE et de nouvelles attributions de valeurs mobilières donnant accès au capital pourraient être envisagées au bénéfice de Monsieur Hartmut Ehrlich pour l’exercice 2018.</w:t>
      </w:r>
    </w:p>
    <w:p w14:paraId="50F4407C" w14:textId="77777777" w:rsidR="004834A9" w:rsidRDefault="004834A9" w:rsidP="004572A0">
      <w:pPr>
        <w:pStyle w:val="Corpsdetexte"/>
        <w:rPr>
          <w:rFonts w:asciiTheme="minorHAnsi" w:hAnsiTheme="minorHAnsi" w:cstheme="minorHAnsi"/>
          <w:lang w:val="fr-FR"/>
        </w:rPr>
      </w:pPr>
    </w:p>
    <w:p w14:paraId="541FA368"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Rémunération exceptionnelle</w:t>
      </w:r>
    </w:p>
    <w:p w14:paraId="5CCCA7AB"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conseil d’administration pourra discrétionnairement accorder aux dirigeants mandataires sociaux exécutifs en fonction ou nommés en cours d’exercice, une rémunération exceptionnelle dans certaines circonstances particulières et dans le respect des principes exposés par le Code MiddleNext, étant précisé que son versement ne pourra être réalisé que sous réserve de l’approbation des actionnaires en application de l’article L. 225-100 du Code de commerce. </w:t>
      </w:r>
    </w:p>
    <w:p w14:paraId="324931A0" w14:textId="77777777" w:rsidR="00B740A8" w:rsidRPr="00AA50E0" w:rsidRDefault="00B740A8" w:rsidP="004572A0">
      <w:pPr>
        <w:rPr>
          <w:rFonts w:asciiTheme="minorHAnsi" w:hAnsiTheme="minorHAnsi" w:cstheme="minorHAnsi"/>
          <w:u w:val="single"/>
          <w:lang w:val="fr-FR"/>
        </w:rPr>
      </w:pPr>
      <w:r w:rsidRPr="00AA50E0">
        <w:rPr>
          <w:rFonts w:asciiTheme="minorHAnsi" w:hAnsiTheme="minorHAnsi" w:cstheme="minorHAnsi"/>
          <w:u w:val="single"/>
          <w:lang w:val="fr-FR"/>
        </w:rPr>
        <w:t>Jetons de présence</w:t>
      </w:r>
    </w:p>
    <w:p w14:paraId="3D018D2F" w14:textId="77777777" w:rsidR="00B740A8" w:rsidRPr="00C73365" w:rsidRDefault="00B740A8" w:rsidP="004572A0">
      <w:pPr>
        <w:rPr>
          <w:rFonts w:asciiTheme="minorHAnsi" w:hAnsiTheme="minorHAnsi" w:cstheme="minorHAnsi"/>
          <w:lang w:val="fr-FR"/>
        </w:rPr>
      </w:pPr>
      <w:r w:rsidRPr="00C73365">
        <w:rPr>
          <w:rFonts w:asciiTheme="minorHAnsi" w:hAnsiTheme="minorHAnsi" w:cstheme="minorHAnsi"/>
          <w:lang w:val="fr-FR"/>
        </w:rPr>
        <w:t>Monsieur Philippe Pouletty et Monsieur Hartmut Ehrlich ne perçoivent pas de jetons de présence.</w:t>
      </w:r>
    </w:p>
    <w:p w14:paraId="7F92178A" w14:textId="77777777" w:rsidR="00B740A8" w:rsidRPr="00AA50E0" w:rsidRDefault="00B740A8" w:rsidP="004572A0">
      <w:pPr>
        <w:rPr>
          <w:rFonts w:asciiTheme="minorHAnsi" w:hAnsiTheme="minorHAnsi" w:cstheme="minorHAnsi"/>
          <w:u w:val="single"/>
          <w:lang w:val="fr-FR"/>
        </w:rPr>
      </w:pPr>
      <w:r w:rsidRPr="00AA50E0">
        <w:rPr>
          <w:rFonts w:asciiTheme="minorHAnsi" w:hAnsiTheme="minorHAnsi" w:cstheme="minorHAnsi"/>
          <w:u w:val="single"/>
          <w:lang w:val="fr-FR"/>
        </w:rPr>
        <w:lastRenderedPageBreak/>
        <w:t>Indemnités ou avantages dus à raison de la rupture des fonctions des dirigeants mandataires sociaux exécutifs</w:t>
      </w:r>
    </w:p>
    <w:p w14:paraId="229E16AD"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Monsieur Philippe Pouletty et Monsieur Hartmut Ehrlich ne bénéficient pas au titre de leurs mandats d’une indemnité liée à un départ contraint ou à une clause de non-concurrence. </w:t>
      </w:r>
    </w:p>
    <w:p w14:paraId="25D8A2F9" w14:textId="77777777" w:rsidR="00B740A8" w:rsidRPr="00AA50E0" w:rsidRDefault="00B740A8" w:rsidP="004572A0">
      <w:pPr>
        <w:pStyle w:val="Liste"/>
        <w:rPr>
          <w:rFonts w:asciiTheme="minorHAnsi" w:hAnsiTheme="minorHAnsi" w:cstheme="minorHAnsi"/>
          <w:u w:val="single"/>
          <w:lang w:val="fr-FR"/>
        </w:rPr>
      </w:pPr>
      <w:r w:rsidRPr="00AA50E0">
        <w:rPr>
          <w:rFonts w:asciiTheme="minorHAnsi" w:hAnsiTheme="minorHAnsi" w:cstheme="minorHAnsi"/>
          <w:u w:val="single"/>
          <w:lang w:val="fr-FR"/>
        </w:rPr>
        <w:t>Contrat de travail</w:t>
      </w:r>
    </w:p>
    <w:p w14:paraId="02F0DFCF" w14:textId="77777777" w:rsidR="00B740A8" w:rsidRPr="00AA50E0" w:rsidRDefault="00B740A8" w:rsidP="004572A0">
      <w:pPr>
        <w:pStyle w:val="Liste"/>
        <w:rPr>
          <w:rFonts w:asciiTheme="minorHAnsi" w:hAnsiTheme="minorHAnsi" w:cstheme="minorHAnsi"/>
          <w:lang w:val="fr-FR"/>
        </w:rPr>
      </w:pPr>
      <w:r w:rsidRPr="00AA50E0">
        <w:rPr>
          <w:rFonts w:asciiTheme="minorHAnsi" w:hAnsiTheme="minorHAnsi" w:cstheme="minorHAnsi"/>
          <w:lang w:val="fr-FR"/>
        </w:rPr>
        <w:t>Aucun des dirigeants mandataires sociaux exécutifs ne dispose d’un contrat de travail.</w:t>
      </w:r>
    </w:p>
    <w:p w14:paraId="6DC6C843" w14:textId="77777777" w:rsidR="00B740A8" w:rsidRPr="00AA50E0" w:rsidRDefault="00B740A8" w:rsidP="004572A0">
      <w:pPr>
        <w:pStyle w:val="Liste"/>
        <w:rPr>
          <w:rFonts w:asciiTheme="minorHAnsi" w:hAnsiTheme="minorHAnsi" w:cstheme="minorHAnsi"/>
          <w:u w:val="single"/>
          <w:lang w:val="fr-FR"/>
        </w:rPr>
      </w:pPr>
      <w:r w:rsidRPr="00AA50E0">
        <w:rPr>
          <w:rFonts w:asciiTheme="minorHAnsi" w:hAnsiTheme="minorHAnsi" w:cstheme="minorHAnsi"/>
          <w:u w:val="single"/>
          <w:lang w:val="fr-FR"/>
        </w:rPr>
        <w:t>Avantages en nature</w:t>
      </w:r>
    </w:p>
    <w:p w14:paraId="7DFD97CB" w14:textId="77777777" w:rsidR="00B740A8" w:rsidRPr="00AA50E0" w:rsidRDefault="00B740A8" w:rsidP="004572A0">
      <w:pPr>
        <w:pStyle w:val="Liste"/>
        <w:rPr>
          <w:rFonts w:asciiTheme="minorHAnsi" w:hAnsiTheme="minorHAnsi" w:cstheme="minorHAnsi"/>
          <w:lang w:val="fr-FR"/>
        </w:rPr>
      </w:pPr>
      <w:r w:rsidRPr="00AA50E0">
        <w:rPr>
          <w:rFonts w:asciiTheme="minorHAnsi" w:hAnsiTheme="minorHAnsi" w:cstheme="minorHAnsi"/>
          <w:lang w:val="fr-FR"/>
        </w:rPr>
        <w:t>Monsieur Philippe Pouletty ne perçoit pas d’avantage en nature.</w:t>
      </w:r>
    </w:p>
    <w:p w14:paraId="04B5356B" w14:textId="77777777" w:rsidR="00B740A8" w:rsidRPr="00AA50E0" w:rsidRDefault="00B740A8" w:rsidP="004572A0">
      <w:pPr>
        <w:pStyle w:val="Liste"/>
        <w:rPr>
          <w:rFonts w:asciiTheme="minorHAnsi" w:hAnsiTheme="minorHAnsi" w:cstheme="minorHAnsi"/>
          <w:lang w:val="fr-FR"/>
        </w:rPr>
      </w:pPr>
      <w:r w:rsidRPr="00AA50E0">
        <w:rPr>
          <w:rFonts w:asciiTheme="minorHAnsi" w:hAnsiTheme="minorHAnsi" w:cstheme="minorHAnsi"/>
          <w:lang w:val="fr-FR"/>
        </w:rPr>
        <w:t xml:space="preserve">Monsieur Hartmut Ehrlich dispose d’un véhicule de fonction. </w:t>
      </w:r>
    </w:p>
    <w:p w14:paraId="36CF084A" w14:textId="77777777" w:rsidR="00B740A8" w:rsidRPr="00AA50E0" w:rsidRDefault="00B740A8" w:rsidP="004572A0">
      <w:pPr>
        <w:pStyle w:val="Liste"/>
        <w:rPr>
          <w:rFonts w:asciiTheme="minorHAnsi" w:hAnsiTheme="minorHAnsi" w:cstheme="minorHAnsi"/>
          <w:u w:val="single"/>
          <w:lang w:val="fr-FR"/>
        </w:rPr>
      </w:pPr>
      <w:r w:rsidRPr="00AA50E0">
        <w:rPr>
          <w:rFonts w:asciiTheme="minorHAnsi" w:hAnsiTheme="minorHAnsi" w:cstheme="minorHAnsi"/>
          <w:u w:val="single"/>
          <w:lang w:val="fr-FR"/>
        </w:rPr>
        <w:t>Régime de retraite supplémentaire</w:t>
      </w:r>
    </w:p>
    <w:p w14:paraId="3F7DBE1F" w14:textId="77777777" w:rsidR="00B740A8" w:rsidRPr="00AA50E0" w:rsidRDefault="00B740A8" w:rsidP="004572A0">
      <w:pPr>
        <w:pStyle w:val="Liste"/>
        <w:rPr>
          <w:rFonts w:asciiTheme="minorHAnsi" w:hAnsiTheme="minorHAnsi" w:cstheme="minorHAnsi"/>
          <w:lang w:val="fr-FR"/>
        </w:rPr>
      </w:pPr>
      <w:r w:rsidRPr="00AA50E0">
        <w:rPr>
          <w:rFonts w:asciiTheme="minorHAnsi" w:hAnsiTheme="minorHAnsi" w:cstheme="minorHAnsi"/>
          <w:lang w:val="fr-FR"/>
        </w:rPr>
        <w:t>Aucun dirigeant mandataire social exécutif ne bénéficie au titre de son mandat d’un régime de retraite supplémentaire.</w:t>
      </w:r>
    </w:p>
    <w:p w14:paraId="55F390CA" w14:textId="77777777" w:rsidR="00B740A8" w:rsidRPr="00AA50E0" w:rsidRDefault="00B740A8" w:rsidP="004572A0">
      <w:pPr>
        <w:pStyle w:val="Liste"/>
        <w:rPr>
          <w:rFonts w:asciiTheme="minorHAnsi" w:hAnsiTheme="minorHAnsi" w:cstheme="minorHAnsi"/>
          <w:u w:val="single"/>
          <w:lang w:val="fr-FR"/>
        </w:rPr>
      </w:pPr>
      <w:r w:rsidRPr="00AA50E0">
        <w:rPr>
          <w:rFonts w:asciiTheme="minorHAnsi" w:hAnsiTheme="minorHAnsi" w:cstheme="minorHAnsi"/>
          <w:u w:val="single"/>
          <w:lang w:val="fr-FR"/>
        </w:rPr>
        <w:t xml:space="preserve">Assurance responsabilité civile des dirigeants mandataires sociaux exécutifs </w:t>
      </w:r>
    </w:p>
    <w:p w14:paraId="7C0673F0" w14:textId="77777777" w:rsidR="00B740A8" w:rsidRPr="00C73365" w:rsidRDefault="00B740A8" w:rsidP="004572A0">
      <w:pPr>
        <w:pStyle w:val="Liste"/>
        <w:rPr>
          <w:rFonts w:asciiTheme="minorHAnsi" w:hAnsiTheme="minorHAnsi" w:cstheme="minorHAnsi"/>
          <w:lang w:val="fr-FR"/>
        </w:rPr>
      </w:pPr>
      <w:r w:rsidRPr="00AA50E0">
        <w:rPr>
          <w:rFonts w:asciiTheme="minorHAnsi" w:hAnsiTheme="minorHAnsi" w:cstheme="minorHAnsi"/>
          <w:lang w:val="fr-FR"/>
        </w:rPr>
        <w:t>Monsieur Hartmut Ehrlich bénéficie d’une assurance responsabilité civile des dirigeants mandataires sociaux exécutifs.</w:t>
      </w:r>
    </w:p>
    <w:p w14:paraId="1E9AC73C" w14:textId="77777777" w:rsidR="00B740A8" w:rsidRPr="00C73365" w:rsidRDefault="00B740A8" w:rsidP="00B740A8">
      <w:pPr>
        <w:spacing w:before="120"/>
        <w:ind w:right="-142"/>
        <w:rPr>
          <w:rFonts w:asciiTheme="minorHAnsi" w:hAnsiTheme="minorHAnsi" w:cstheme="minorHAnsi"/>
          <w:szCs w:val="22"/>
          <w:lang w:val="fr-FR"/>
        </w:rPr>
      </w:pPr>
    </w:p>
    <w:p w14:paraId="32DA04D1" w14:textId="77777777" w:rsidR="00B740A8" w:rsidRPr="00C73365" w:rsidRDefault="00B740A8" w:rsidP="00B740A8">
      <w:pPr>
        <w:pStyle w:val="ConmainL3"/>
        <w:numPr>
          <w:ilvl w:val="2"/>
          <w:numId w:val="9"/>
        </w:numPr>
        <w:spacing w:after="0"/>
        <w:rPr>
          <w:rFonts w:asciiTheme="minorHAnsi" w:hAnsiTheme="minorHAnsi" w:cstheme="minorHAnsi"/>
          <w:lang w:val="fr-FR"/>
        </w:rPr>
      </w:pPr>
      <w:bookmarkStart w:id="793" w:name="_Toc508825925"/>
      <w:r w:rsidRPr="00C73365">
        <w:rPr>
          <w:rFonts w:asciiTheme="minorHAnsi" w:hAnsiTheme="minorHAnsi" w:cstheme="minorHAnsi"/>
          <w:b/>
          <w:color w:val="7030A0"/>
          <w:lang w:val="fr-FR"/>
        </w:rPr>
        <w:t>Eléments de rémunération versés ou attribués au titre de l’exercice 2017</w:t>
      </w:r>
      <w:bookmarkEnd w:id="793"/>
    </w:p>
    <w:p w14:paraId="70F78C5B" w14:textId="77777777" w:rsidR="00B740A8" w:rsidRPr="00C73365" w:rsidRDefault="00B740A8" w:rsidP="00B740A8">
      <w:pPr>
        <w:rPr>
          <w:rFonts w:asciiTheme="minorHAnsi" w:hAnsiTheme="minorHAnsi" w:cstheme="minorHAnsi"/>
          <w:lang w:val="fr-FR"/>
        </w:rPr>
      </w:pPr>
    </w:p>
    <w:p w14:paraId="63D0755E"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Conformément à l’article L.225-100 du Code de commerce, l’assemblée générale statue sur les éléments fixes, variables et exceptionnels composant la rémunération totale et les avantages de toute nature versés ou attribués au titre de l’exercice antérieur par des résolutions distinctes pour le Président du conseil d’administration et le Directeur Général. L’assemblée générale doit approuver explicitement le versement des éléments de rémunérations variables ou exceptionnels. </w:t>
      </w:r>
    </w:p>
    <w:p w14:paraId="4F339028"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Il sera ainsi proposé à l’assemblée générale 2018 de statuer sur les éléments de rémunération versés ou attribués au titre de l’exercice 2017 au Directeur Général, tels qu’exposés ci-dessous, étant rappelé que le Président du conseil d’administration exerce ses fonctions à titre gracieux. </w:t>
      </w:r>
    </w:p>
    <w:p w14:paraId="082E35C9" w14:textId="0EE922AB"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Au titre de l’exercice 2017, Monsieur Hartmut Ehrlich, Directeur Général, s’est vu attribuer une rémunération fixe d’un montant total de 267.800 euros et une rémunération variable d’un montant total de 70.000 euros qui fera l’objet d’une ratification par l’assemblée générale 2018. Le conseil d’administration en date du 20 novembre 2017 lui a également attribué 150.000 BSPCE dont le prix de souscription par action devant être émise en cas d’exercice des BSPCE est de 11,14 euros. Il a également bénéficié d’avantages en nature pour un montant total de 7.172 € (véhicule de fonction). Il n’a pas conclu de contrat de travail avec la Société.</w:t>
      </w:r>
    </w:p>
    <w:p w14:paraId="6FD21F08" w14:textId="77777777" w:rsidR="00B740A8" w:rsidRPr="00C73365" w:rsidRDefault="00B740A8" w:rsidP="00B740A8">
      <w:pPr>
        <w:jc w:val="center"/>
        <w:rPr>
          <w:rFonts w:asciiTheme="minorHAnsi" w:hAnsiTheme="minorHAnsi" w:cstheme="minorHAnsi"/>
          <w:lang w:val="fr-FR"/>
        </w:rPr>
      </w:pPr>
    </w:p>
    <w:p w14:paraId="6AFD6CE4" w14:textId="77777777" w:rsidR="00B740A8" w:rsidRPr="00C73365" w:rsidRDefault="00B740A8" w:rsidP="00B740A8">
      <w:pPr>
        <w:jc w:val="center"/>
        <w:rPr>
          <w:rFonts w:asciiTheme="minorHAnsi" w:hAnsiTheme="minorHAnsi" w:cstheme="minorHAnsi"/>
          <w:lang w:val="fr-FR"/>
        </w:rPr>
      </w:pPr>
    </w:p>
    <w:p w14:paraId="174751C1" w14:textId="77777777" w:rsidR="00B740A8" w:rsidRPr="00C73365" w:rsidRDefault="00B740A8" w:rsidP="004572A0">
      <w:pPr>
        <w:pStyle w:val="Corpsdetexte"/>
        <w:rPr>
          <w:rFonts w:asciiTheme="minorHAnsi" w:hAnsiTheme="minorHAnsi" w:cstheme="minorHAnsi"/>
          <w:lang w:val="fr-FR"/>
        </w:rPr>
        <w:sectPr w:rsidR="00B740A8" w:rsidRPr="00C73365" w:rsidSect="00D1541A">
          <w:headerReference w:type="even" r:id="rId72"/>
          <w:footerReference w:type="even" r:id="rId73"/>
          <w:footerReference w:type="default" r:id="rId74"/>
          <w:headerReference w:type="first" r:id="rId75"/>
          <w:footerReference w:type="first" r:id="rId76"/>
          <w:type w:val="continuous"/>
          <w:pgSz w:w="11907" w:h="16840" w:code="9"/>
          <w:pgMar w:top="1134" w:right="1134" w:bottom="1134" w:left="1134" w:header="709" w:footer="709" w:gutter="0"/>
          <w:cols w:space="708"/>
          <w:docGrid w:linePitch="360"/>
        </w:sectPr>
      </w:pPr>
    </w:p>
    <w:p w14:paraId="26181462" w14:textId="77777777" w:rsidR="00B740A8" w:rsidRPr="00C73365" w:rsidRDefault="00B740A8" w:rsidP="00B740A8">
      <w:pPr>
        <w:pStyle w:val="ConmainL1"/>
        <w:numPr>
          <w:ilvl w:val="0"/>
          <w:numId w:val="9"/>
        </w:numPr>
        <w:rPr>
          <w:rFonts w:asciiTheme="minorHAnsi" w:hAnsiTheme="minorHAnsi" w:cstheme="minorHAnsi"/>
          <w:sz w:val="22"/>
          <w:lang w:val="fr-FR"/>
        </w:rPr>
      </w:pPr>
      <w:bookmarkStart w:id="794" w:name="_Toc462673274"/>
      <w:bookmarkStart w:id="795" w:name="_Toc467835623"/>
      <w:bookmarkStart w:id="796" w:name="_Toc482695295"/>
      <w:bookmarkStart w:id="797" w:name="_Toc510548450"/>
      <w:r w:rsidRPr="00C73365">
        <w:rPr>
          <w:rFonts w:asciiTheme="minorHAnsi" w:hAnsiTheme="minorHAnsi" w:cstheme="minorHAnsi"/>
          <w:sz w:val="22"/>
          <w:lang w:val="fr-FR"/>
        </w:rPr>
        <w:lastRenderedPageBreak/>
        <w:t>FONCTIONNEMENT DES ORGANES D’ADMINISTRATION ET DE DIRECTION</w:t>
      </w:r>
      <w:bookmarkEnd w:id="794"/>
      <w:bookmarkEnd w:id="795"/>
      <w:bookmarkEnd w:id="796"/>
      <w:bookmarkEnd w:id="797"/>
    </w:p>
    <w:p w14:paraId="04D2C115" w14:textId="481AE75F"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798" w:name="_Toc271734057"/>
      <w:bookmarkStart w:id="799" w:name="_Toc292135885"/>
      <w:bookmarkStart w:id="800" w:name="_Toc401594112"/>
      <w:bookmarkStart w:id="801" w:name="_Toc462673275"/>
      <w:bookmarkStart w:id="802" w:name="_Toc482695296"/>
      <w:bookmarkStart w:id="803" w:name="_Toc510548451"/>
      <w:r w:rsidRPr="00C73365">
        <w:rPr>
          <w:rFonts w:asciiTheme="minorHAnsi" w:hAnsiTheme="minorHAnsi" w:cstheme="minorHAnsi"/>
          <w:sz w:val="22"/>
          <w:szCs w:val="22"/>
          <w:lang w:val="fr-FR"/>
        </w:rPr>
        <w:t>Direction de la Sociét</w:t>
      </w:r>
      <w:bookmarkEnd w:id="798"/>
      <w:bookmarkEnd w:id="799"/>
      <w:r w:rsidRPr="00C73365">
        <w:rPr>
          <w:rFonts w:asciiTheme="minorHAnsi" w:hAnsiTheme="minorHAnsi" w:cstheme="minorHAnsi"/>
          <w:sz w:val="22"/>
          <w:szCs w:val="22"/>
          <w:lang w:val="fr-FR"/>
        </w:rPr>
        <w:t>é</w:t>
      </w:r>
      <w:bookmarkEnd w:id="800"/>
      <w:bookmarkEnd w:id="801"/>
      <w:bookmarkEnd w:id="802"/>
      <w:bookmarkEnd w:id="803"/>
    </w:p>
    <w:p w14:paraId="2445EF10" w14:textId="77777777" w:rsidR="00B740A8" w:rsidRPr="00C73365" w:rsidRDefault="00B740A8" w:rsidP="00B740A8">
      <w:pPr>
        <w:pStyle w:val="ConmainL2"/>
        <w:numPr>
          <w:ilvl w:val="0"/>
          <w:numId w:val="0"/>
        </w:numPr>
        <w:spacing w:after="0"/>
        <w:outlineLvl w:val="9"/>
        <w:rPr>
          <w:rFonts w:asciiTheme="minorHAnsi" w:hAnsiTheme="minorHAnsi" w:cstheme="minorHAnsi"/>
          <w:sz w:val="22"/>
          <w:szCs w:val="22"/>
          <w:lang w:val="fr-FR"/>
        </w:rPr>
      </w:pPr>
    </w:p>
    <w:p w14:paraId="29F107A4" w14:textId="77777777" w:rsidR="00B740A8" w:rsidRPr="00C73365" w:rsidRDefault="00B740A8" w:rsidP="00710D60">
      <w:pPr>
        <w:pStyle w:val="Listecontinue2"/>
        <w:ind w:left="0"/>
        <w:rPr>
          <w:rFonts w:asciiTheme="minorHAnsi" w:hAnsiTheme="minorHAnsi" w:cstheme="minorHAnsi"/>
          <w:lang w:val="fr-FR"/>
        </w:rPr>
      </w:pPr>
      <w:r w:rsidRPr="00C73365">
        <w:rPr>
          <w:rFonts w:asciiTheme="minorHAnsi" w:hAnsiTheme="minorHAnsi" w:cstheme="minorHAnsi"/>
          <w:lang w:val="fr-FR"/>
        </w:rPr>
        <w:t>La Société est une société anonyme à conseil d’administration. La composition détaillée du conseil d’administration figure à la section 14.1 « Dirigeants, administrateurs et censeurs » et au paragraphe 16.3.1 « Conseil d’administration ».</w:t>
      </w:r>
    </w:p>
    <w:p w14:paraId="1EBED55A" w14:textId="77777777" w:rsidR="00B740A8" w:rsidRPr="00C73365" w:rsidRDefault="00B740A8" w:rsidP="00710D60">
      <w:pPr>
        <w:pStyle w:val="Listecontinue2"/>
        <w:ind w:left="0"/>
        <w:rPr>
          <w:rFonts w:asciiTheme="minorHAnsi" w:hAnsiTheme="minorHAnsi" w:cstheme="minorHAnsi"/>
          <w:lang w:val="fr-FR"/>
        </w:rPr>
      </w:pPr>
      <w:r w:rsidRPr="00C73365">
        <w:rPr>
          <w:rFonts w:asciiTheme="minorHAnsi" w:hAnsiTheme="minorHAnsi" w:cstheme="minorHAnsi"/>
          <w:lang w:val="fr-FR"/>
        </w:rPr>
        <w:t>Par décision en date du 4 décembre 2013, le conseil d’administration a choisi de dissocier les fonctions de Président et Directeur général. Le conseil d’administration de la Société est présidé par Monsieur Philippe Pouletty. La direction générale de la Société est assurée par Monsieur Hartmut Ehrlich lequel représente la Société à l’égard des tiers.</w:t>
      </w:r>
    </w:p>
    <w:p w14:paraId="1A0BAF12" w14:textId="77777777"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804" w:name="_Toc271734058"/>
      <w:bookmarkStart w:id="805" w:name="_Toc292135886"/>
      <w:bookmarkStart w:id="806" w:name="_Toc401594113"/>
      <w:bookmarkStart w:id="807" w:name="_Toc462673276"/>
      <w:bookmarkStart w:id="808" w:name="_Toc467835625"/>
      <w:bookmarkStart w:id="809" w:name="_Toc482695297"/>
      <w:bookmarkStart w:id="810" w:name="_Toc510548452"/>
      <w:r w:rsidRPr="00C73365">
        <w:rPr>
          <w:rFonts w:asciiTheme="minorHAnsi" w:hAnsiTheme="minorHAnsi" w:cstheme="minorHAnsi"/>
          <w:sz w:val="22"/>
          <w:szCs w:val="22"/>
          <w:lang w:val="fr-FR"/>
        </w:rPr>
        <w:t>Informations sur les contrats liant les dirigeants et/ou les administrateurs et la Sociét</w:t>
      </w:r>
      <w:bookmarkEnd w:id="804"/>
      <w:bookmarkEnd w:id="805"/>
      <w:r w:rsidRPr="00C73365">
        <w:rPr>
          <w:rFonts w:asciiTheme="minorHAnsi" w:hAnsiTheme="minorHAnsi" w:cstheme="minorHAnsi"/>
          <w:sz w:val="22"/>
          <w:szCs w:val="22"/>
          <w:lang w:val="fr-FR"/>
        </w:rPr>
        <w:t>é</w:t>
      </w:r>
      <w:bookmarkEnd w:id="806"/>
      <w:bookmarkEnd w:id="807"/>
      <w:bookmarkEnd w:id="808"/>
      <w:bookmarkEnd w:id="809"/>
      <w:bookmarkEnd w:id="810"/>
    </w:p>
    <w:p w14:paraId="4D48030E" w14:textId="77777777" w:rsidR="00B740A8" w:rsidRPr="00C73365" w:rsidRDefault="00B740A8" w:rsidP="00B740A8">
      <w:pPr>
        <w:rPr>
          <w:rFonts w:asciiTheme="minorHAnsi" w:hAnsiTheme="minorHAnsi" w:cstheme="minorHAnsi"/>
          <w:sz w:val="22"/>
          <w:lang w:val="fr-FR"/>
        </w:rPr>
      </w:pPr>
    </w:p>
    <w:p w14:paraId="5EAA0ECB" w14:textId="77777777" w:rsidR="00B740A8" w:rsidRPr="00C73365" w:rsidRDefault="00B740A8" w:rsidP="00710D60">
      <w:pPr>
        <w:pStyle w:val="Listecontinue2"/>
        <w:ind w:left="0"/>
        <w:rPr>
          <w:rFonts w:asciiTheme="minorHAnsi" w:hAnsiTheme="minorHAnsi" w:cstheme="minorHAnsi"/>
          <w:lang w:val="fr-FR"/>
        </w:rPr>
      </w:pPr>
      <w:r w:rsidRPr="00C73365">
        <w:rPr>
          <w:rFonts w:asciiTheme="minorHAnsi" w:hAnsiTheme="minorHAnsi" w:cstheme="minorHAnsi"/>
          <w:lang w:val="fr-FR"/>
        </w:rPr>
        <w:t>A l’exception des contrats mentionnés au chapitre 19, la Société n’a pas conclu de contrats avec ses administrateurs ou son directeur général à la date d’enregistrement du présent document de référence.</w:t>
      </w:r>
    </w:p>
    <w:p w14:paraId="3D06725D" w14:textId="77777777" w:rsidR="00B740A8" w:rsidRPr="00C73365" w:rsidRDefault="00B740A8" w:rsidP="00B740A8">
      <w:pPr>
        <w:pStyle w:val="ConmainL2"/>
        <w:numPr>
          <w:ilvl w:val="1"/>
          <w:numId w:val="9"/>
        </w:numPr>
        <w:rPr>
          <w:rFonts w:asciiTheme="minorHAnsi" w:hAnsiTheme="minorHAnsi" w:cstheme="minorHAnsi"/>
          <w:sz w:val="22"/>
          <w:szCs w:val="22"/>
          <w:lang w:val="fr-FR"/>
        </w:rPr>
      </w:pPr>
      <w:bookmarkStart w:id="811" w:name="_Toc271734059"/>
      <w:bookmarkStart w:id="812" w:name="_Toc292135887"/>
      <w:bookmarkStart w:id="813" w:name="_Toc401594114"/>
      <w:bookmarkStart w:id="814" w:name="_Toc462673277"/>
      <w:bookmarkStart w:id="815" w:name="_Toc467835626"/>
      <w:bookmarkStart w:id="816" w:name="_Toc482695298"/>
      <w:bookmarkStart w:id="817" w:name="_Toc510548453"/>
      <w:r w:rsidRPr="00C73365">
        <w:rPr>
          <w:rFonts w:asciiTheme="minorHAnsi" w:hAnsiTheme="minorHAnsi" w:cstheme="minorHAnsi"/>
          <w:sz w:val="22"/>
          <w:szCs w:val="22"/>
          <w:lang w:val="fr-FR"/>
        </w:rPr>
        <w:t>Conseil d’administration et comités spécialisés – Gouvernement d’entreprise</w:t>
      </w:r>
      <w:bookmarkEnd w:id="811"/>
      <w:bookmarkEnd w:id="812"/>
      <w:bookmarkEnd w:id="813"/>
      <w:bookmarkEnd w:id="814"/>
      <w:bookmarkEnd w:id="815"/>
      <w:bookmarkEnd w:id="816"/>
      <w:bookmarkEnd w:id="817"/>
    </w:p>
    <w:p w14:paraId="3B5E33D9" w14:textId="77777777"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Conseil d’administration</w:t>
      </w:r>
    </w:p>
    <w:p w14:paraId="27F7F269" w14:textId="77777777" w:rsidR="00B740A8" w:rsidRPr="00C73365" w:rsidRDefault="00B740A8" w:rsidP="00B740A8">
      <w:pPr>
        <w:pStyle w:val="ConmainL3"/>
        <w:tabs>
          <w:tab w:val="clear" w:pos="360"/>
        </w:tabs>
        <w:spacing w:after="0"/>
        <w:outlineLvl w:val="9"/>
        <w:rPr>
          <w:rFonts w:asciiTheme="minorHAnsi" w:hAnsiTheme="minorHAnsi" w:cstheme="minorHAnsi"/>
          <w:b/>
          <w:color w:val="7030A0"/>
          <w:lang w:val="fr-FR"/>
        </w:rPr>
      </w:pPr>
    </w:p>
    <w:p w14:paraId="6E1B732B" w14:textId="77777777" w:rsidR="00B740A8" w:rsidRPr="00C73365" w:rsidRDefault="00B740A8" w:rsidP="004572A0">
      <w:pPr>
        <w:pStyle w:val="Corpsdetexte"/>
        <w:rPr>
          <w:rFonts w:asciiTheme="minorHAnsi" w:hAnsiTheme="minorHAnsi" w:cstheme="minorHAnsi"/>
          <w:lang w:val="fr-FR"/>
        </w:rPr>
      </w:pPr>
      <w:bookmarkStart w:id="818" w:name="_Toc308537735"/>
      <w:bookmarkStart w:id="819" w:name="_Toc308707226"/>
      <w:bookmarkStart w:id="820" w:name="_Toc309043153"/>
      <w:bookmarkStart w:id="821" w:name="_Toc314129156"/>
      <w:bookmarkStart w:id="822" w:name="_Toc314249346"/>
      <w:bookmarkStart w:id="823" w:name="_Toc314584838"/>
      <w:r w:rsidRPr="00C73365">
        <w:rPr>
          <w:rFonts w:asciiTheme="minorHAnsi" w:hAnsiTheme="minorHAnsi" w:cstheme="minorHAnsi"/>
          <w:lang w:val="fr-FR"/>
        </w:rPr>
        <w:t>La composition et les informations relatives aux membres du conseil d’administration font l’objet des développements présentés aux chapitres 14 « Organes d’administration, de direction, de surveillance et de direction générale » et 21.2 « Acte constitutif et statuts » du présent document de référence.</w:t>
      </w:r>
      <w:bookmarkEnd w:id="818"/>
      <w:bookmarkEnd w:id="819"/>
      <w:bookmarkEnd w:id="820"/>
      <w:bookmarkEnd w:id="821"/>
      <w:bookmarkEnd w:id="822"/>
      <w:bookmarkEnd w:id="823"/>
    </w:p>
    <w:p w14:paraId="2E1E2E56"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Les jetons de présence attribués aux administrateurs sont fonction de leur assiduité aux réunions du conseil d’administration ainsi que de leur implication dans les comités.</w:t>
      </w:r>
    </w:p>
    <w:p w14:paraId="56E45A81"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L’assemblée générale fixe chaque année une enveloppe maximale et le conseil d’administration sur proposition du comité des rémunérations arrête le montant définitif des jetons de présence et les attribue à chaque administrateur.</w:t>
      </w:r>
    </w:p>
    <w:p w14:paraId="1170E8B9"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 xml:space="preserve">Le détail des rémunérations versé aux administrateurs pour l’exercice clos le 31 décembre 2017 figure à la section 15.1 du présent document de référence. </w:t>
      </w:r>
    </w:p>
    <w:p w14:paraId="339CBD3A" w14:textId="77777777" w:rsidR="00B740A8" w:rsidRPr="00C73365" w:rsidRDefault="00B740A8" w:rsidP="004572A0">
      <w:pPr>
        <w:pStyle w:val="Corpsdetexte"/>
        <w:rPr>
          <w:rFonts w:asciiTheme="minorHAnsi" w:hAnsiTheme="minorHAnsi" w:cstheme="minorHAnsi"/>
          <w:lang w:val="fr-FR"/>
        </w:rPr>
      </w:pPr>
      <w:bookmarkStart w:id="824" w:name="_Toc308537736"/>
      <w:bookmarkStart w:id="825" w:name="_Toc308707227"/>
      <w:bookmarkStart w:id="826" w:name="_Toc309043154"/>
      <w:bookmarkStart w:id="827" w:name="_Toc314129157"/>
      <w:bookmarkStart w:id="828" w:name="_Toc314249347"/>
      <w:bookmarkStart w:id="829" w:name="_Toc314584839"/>
      <w:r w:rsidRPr="00C73365">
        <w:rPr>
          <w:rFonts w:asciiTheme="minorHAnsi" w:hAnsiTheme="minorHAnsi" w:cstheme="minorHAnsi"/>
          <w:lang w:val="fr-FR"/>
        </w:rPr>
        <w:t>Un règlement intérieur a été adopté par le conseil d’administration le 14 février 2014 afin de préciser, notamment, le rôle et la composition du conseil, les principes de conduite et les obligations des membres du conseil d’administration de la Société et des comités spécialisés. Chaque membre du conseil d’administration s’engage notamment à maintenir son indépendance d’analyse, de jugement et d’action et à participer activement aux travaux du conseil. Il informe le conseil des situations de conflit d’intérêt auxquelles il pourrait se trouver confronté. En outre, il rappelle la réglementation relative à la diffusion et à l’utilisation d’informations privilégiées en vigueur et précise que ses membres doivent s’abstenir d’effectuer des opérations sur les titres de la Société lorsqu’ils disposent d’informations privilégiées. Chaque membre du conseil d’administration est tenu de déclarer à la Société et à l’AMF les opérations sur les titres de la Société qu’il effectue directement ou indirectement.</w:t>
      </w:r>
      <w:bookmarkEnd w:id="824"/>
      <w:bookmarkEnd w:id="825"/>
      <w:bookmarkEnd w:id="826"/>
      <w:bookmarkEnd w:id="827"/>
      <w:bookmarkEnd w:id="828"/>
      <w:bookmarkEnd w:id="829"/>
      <w:r w:rsidRPr="00C73365">
        <w:rPr>
          <w:rFonts w:asciiTheme="minorHAnsi" w:hAnsiTheme="minorHAnsi" w:cstheme="minorHAnsi"/>
          <w:lang w:val="fr-FR"/>
        </w:rPr>
        <w:t xml:space="preserve"> Le règlement intérieur peut être consulté au siège social de la Société.</w:t>
      </w:r>
    </w:p>
    <w:p w14:paraId="1F142081"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La Société considère qu’elle dispose, en les personnes de Joy Amundson, Claude Bertrand, Carol L. Brosgart, Dominique Costantini et Corinna zur Bonsen-Thomas, de cinq administrateurs indépendants au sens des dispositions du Code de gouvernement d’entreprise pour les valeurs moyennes et petites tel qu’il a été publié en décembre 2009 et mis à jour en 2016 par MiddleNext dans la mesure où ces derniers :</w:t>
      </w:r>
    </w:p>
    <w:p w14:paraId="622FC4CF" w14:textId="77777777" w:rsidR="00B740A8" w:rsidRPr="00C73365" w:rsidRDefault="00B740A8" w:rsidP="00434C49">
      <w:pPr>
        <w:pStyle w:val="Paragraphedeliste"/>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cinq dernières années, salariés ni mandataires sociaux dirigeants de la Société ou d’une société de son groupe ;</w:t>
      </w:r>
    </w:p>
    <w:p w14:paraId="5D9E3222" w14:textId="77777777" w:rsidR="00B740A8" w:rsidRPr="00C73365" w:rsidRDefault="00B740A8" w:rsidP="00434C49">
      <w:pPr>
        <w:pStyle w:val="Paragraphedeliste"/>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deux dernières années, en relations d’affaires significatives avec la Société ou son groupe (clients, fournisseurs, concurrents, prestataires, créanciers, banquiers, etc.) ;</w:t>
      </w:r>
    </w:p>
    <w:p w14:paraId="18F622A3" w14:textId="77777777" w:rsidR="00B740A8" w:rsidRPr="00C73365" w:rsidRDefault="00B740A8" w:rsidP="00434C49">
      <w:pPr>
        <w:pStyle w:val="Paragraphedeliste"/>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actionnaires de référence de la Société ou n’ont pas détenu un pourcentage de droit de vote significatif ;</w:t>
      </w:r>
    </w:p>
    <w:p w14:paraId="359B8A5A" w14:textId="77777777" w:rsidR="00B740A8" w:rsidRPr="00C73365" w:rsidRDefault="00B740A8" w:rsidP="00434C49">
      <w:pPr>
        <w:pStyle w:val="Paragraphedeliste"/>
        <w:numPr>
          <w:ilvl w:val="0"/>
          <w:numId w:val="87"/>
        </w:numPr>
        <w:spacing w:after="0"/>
        <w:rPr>
          <w:rFonts w:asciiTheme="minorHAnsi" w:hAnsiTheme="minorHAnsi" w:cstheme="minorHAnsi"/>
          <w:lang w:val="fr-FR"/>
        </w:rPr>
      </w:pPr>
      <w:r w:rsidRPr="00C73365">
        <w:rPr>
          <w:rFonts w:asciiTheme="minorHAnsi" w:hAnsiTheme="minorHAnsi" w:cstheme="minorHAnsi"/>
          <w:lang w:val="fr-FR"/>
        </w:rPr>
        <w:t xml:space="preserve">n’ont pas </w:t>
      </w:r>
      <w:r w:rsidRPr="00C73365">
        <w:rPr>
          <w:rFonts w:asciiTheme="minorHAnsi" w:hAnsiTheme="minorHAnsi" w:cstheme="minorHAnsi"/>
          <w:szCs w:val="22"/>
          <w:lang w:val="fr-FR"/>
        </w:rPr>
        <w:t xml:space="preserve">eu </w:t>
      </w:r>
      <w:r w:rsidRPr="00C73365">
        <w:rPr>
          <w:rFonts w:asciiTheme="minorHAnsi" w:hAnsiTheme="minorHAnsi" w:cstheme="minorHAnsi"/>
          <w:lang w:val="fr-FR"/>
        </w:rPr>
        <w:t xml:space="preserve">de </w:t>
      </w:r>
      <w:r w:rsidRPr="00C73365">
        <w:rPr>
          <w:rFonts w:asciiTheme="minorHAnsi" w:hAnsiTheme="minorHAnsi" w:cstheme="minorHAnsi"/>
          <w:szCs w:val="22"/>
          <w:lang w:val="fr-FR"/>
        </w:rPr>
        <w:t>relations de proximité ou de lien familial proche</w:t>
      </w:r>
      <w:r w:rsidRPr="00C73365">
        <w:rPr>
          <w:rFonts w:asciiTheme="minorHAnsi" w:hAnsiTheme="minorHAnsi" w:cstheme="minorHAnsi"/>
          <w:lang w:val="fr-FR"/>
        </w:rPr>
        <w:t xml:space="preserve"> avec un mandataire social ou un actionnaire de référence </w:t>
      </w:r>
      <w:r w:rsidRPr="00C73365">
        <w:rPr>
          <w:rFonts w:asciiTheme="minorHAnsi" w:hAnsiTheme="minorHAnsi" w:cstheme="minorHAnsi"/>
          <w:szCs w:val="22"/>
          <w:lang w:val="fr-FR"/>
        </w:rPr>
        <w:t>;</w:t>
      </w:r>
    </w:p>
    <w:p w14:paraId="2B176EF2" w14:textId="77777777" w:rsidR="00B740A8" w:rsidRPr="00C73365" w:rsidRDefault="00B740A8" w:rsidP="00434C49">
      <w:pPr>
        <w:pStyle w:val="Paragraphedeliste"/>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six dernières années, commissaires aux comptes de l’entreprise.</w:t>
      </w:r>
    </w:p>
    <w:p w14:paraId="3D0801FF" w14:textId="77777777" w:rsidR="00B740A8" w:rsidRPr="00C73365" w:rsidRDefault="00B740A8" w:rsidP="00B740A8">
      <w:pPr>
        <w:rPr>
          <w:rFonts w:asciiTheme="minorHAnsi" w:hAnsiTheme="minorHAnsi" w:cstheme="minorHAnsi"/>
          <w:szCs w:val="22"/>
          <w:lang w:val="fr-FR"/>
        </w:rPr>
      </w:pPr>
    </w:p>
    <w:p w14:paraId="577F1D90" w14:textId="1B2DC81F" w:rsidR="009352D5" w:rsidRDefault="009352D5" w:rsidP="004572A0">
      <w:pPr>
        <w:pStyle w:val="Corpsdetexte"/>
        <w:rPr>
          <w:rFonts w:asciiTheme="minorHAnsi" w:hAnsiTheme="minorHAnsi" w:cstheme="minorHAnsi"/>
          <w:lang w:val="fr-FR"/>
        </w:rPr>
      </w:pPr>
      <w:r>
        <w:rPr>
          <w:rFonts w:asciiTheme="minorHAnsi" w:hAnsiTheme="minorHAnsi" w:cstheme="minorHAnsi"/>
          <w:lang w:val="fr-FR"/>
        </w:rPr>
        <w:lastRenderedPageBreak/>
        <w:t>Le conseil d’administration considère également que</w:t>
      </w:r>
      <w:r w:rsidR="00872F5A">
        <w:rPr>
          <w:rFonts w:asciiTheme="minorHAnsi" w:hAnsiTheme="minorHAnsi" w:cstheme="minorHAnsi"/>
          <w:lang w:val="fr-FR"/>
        </w:rPr>
        <w:t xml:space="preserve"> l’attribution de bons de souscriptions d’actions à certains administrateurs (se référer au paragraphe 21.1.5 du présent document de base) </w:t>
      </w:r>
      <w:r>
        <w:rPr>
          <w:rFonts w:asciiTheme="minorHAnsi" w:hAnsiTheme="minorHAnsi" w:cstheme="minorHAnsi"/>
          <w:lang w:val="fr-FR"/>
        </w:rPr>
        <w:t xml:space="preserve">n’affecte nullement leur qualification en tant qu’administrateurs indépendants au sens du </w:t>
      </w:r>
      <w:r w:rsidRPr="00C73365">
        <w:rPr>
          <w:rFonts w:asciiTheme="minorHAnsi" w:hAnsiTheme="minorHAnsi" w:cstheme="minorHAnsi"/>
          <w:lang w:val="fr-FR"/>
        </w:rPr>
        <w:t>Code de gouvernement d’entreprise pour les valeurs moyennes et petites tel qu’il a été publié en décembre 2009 et mis à jour en 2016 par MiddleNext</w:t>
      </w:r>
      <w:r>
        <w:rPr>
          <w:rFonts w:asciiTheme="minorHAnsi" w:hAnsiTheme="minorHAnsi" w:cstheme="minorHAnsi"/>
          <w:lang w:val="fr-FR"/>
        </w:rPr>
        <w:t xml:space="preserve"> compte tenu des montants en jeu qui sont peu significatifs pour les administrateurs concernés. </w:t>
      </w:r>
    </w:p>
    <w:p w14:paraId="7741636F" w14:textId="429E112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 nombre de réunions du conseil d’administration tient compte des différents évènements qui ponctuent la vie de la Société. Ainsi, le conseil d’administration se réunit d’autant plus fréquemment que l’actualité de la Société le justifie.</w:t>
      </w:r>
    </w:p>
    <w:p w14:paraId="22908453"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Au cours de l’exercice clos le 31 décembre 2017, le conseil d’administration de la Société s’est réuni neuf fois et le taux de présence des membres du conseil d’administration s’est élevé à 80,29 %.</w:t>
      </w:r>
    </w:p>
    <w:p w14:paraId="1D312651"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Lors de sa séance du 15 mars 2018, le conseil d’administration a examiné au cas par cas la situation de chacun des membres concernés au regard des critères d’indépendance énoncés par les dispositions du Code de gouvernement d’entreprise pour les valeurs moyennes et petites tel qu’il a été publié en décembre 2009 et mis à jour en 2016 par MiddleNext. </w:t>
      </w:r>
    </w:p>
    <w:p w14:paraId="0197B3D1" w14:textId="77777777" w:rsidR="00B740A8" w:rsidRPr="00C73365" w:rsidRDefault="00B740A8" w:rsidP="00B740A8">
      <w:pPr>
        <w:pStyle w:val="ConmainL3"/>
        <w:numPr>
          <w:ilvl w:val="2"/>
          <w:numId w:val="9"/>
        </w:numPr>
        <w:spacing w:after="0"/>
        <w:rPr>
          <w:rFonts w:asciiTheme="minorHAnsi" w:hAnsiTheme="minorHAnsi" w:cstheme="minorHAnsi"/>
          <w:b/>
          <w:color w:val="7030A0"/>
          <w:lang w:val="fr-FR"/>
        </w:rPr>
      </w:pPr>
      <w:bookmarkStart w:id="830" w:name="_Toc401594116"/>
      <w:r w:rsidRPr="00C73365">
        <w:rPr>
          <w:rFonts w:asciiTheme="minorHAnsi" w:hAnsiTheme="minorHAnsi" w:cstheme="minorHAnsi"/>
          <w:b/>
          <w:color w:val="7030A0"/>
          <w:lang w:val="fr-FR"/>
        </w:rPr>
        <w:t>Comités spécialisés</w:t>
      </w:r>
      <w:bookmarkEnd w:id="830"/>
    </w:p>
    <w:p w14:paraId="33DA09DB" w14:textId="77777777" w:rsidR="00B740A8" w:rsidRPr="00C73365" w:rsidRDefault="00B740A8" w:rsidP="00B740A8">
      <w:pPr>
        <w:rPr>
          <w:rFonts w:asciiTheme="minorHAnsi" w:hAnsiTheme="minorHAnsi" w:cstheme="minorHAnsi"/>
          <w:lang w:val="fr-FR"/>
        </w:rPr>
      </w:pPr>
    </w:p>
    <w:p w14:paraId="4EB8E17D"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 la date du présent document de référence, le conseil d’administration a mis en place deux comités : un comité des rémunérations et un comité d’audit. Par ailleurs, la Société a mis en place un comité scientifique qui assiste le management et le conseil dans leurs travaux. </w:t>
      </w:r>
    </w:p>
    <w:p w14:paraId="25AF4FF7" w14:textId="77777777" w:rsidR="00B740A8" w:rsidRPr="00C73365" w:rsidRDefault="00B740A8" w:rsidP="00F516CA">
      <w:pPr>
        <w:rPr>
          <w:rFonts w:asciiTheme="minorHAnsi" w:eastAsia="Calibri" w:hAnsiTheme="minorHAnsi" w:cstheme="minorHAnsi"/>
          <w:b/>
          <w:u w:val="single"/>
          <w:lang w:val="fr-FR"/>
        </w:rPr>
      </w:pPr>
      <w:r w:rsidRPr="00C73365">
        <w:rPr>
          <w:rFonts w:asciiTheme="minorHAnsi" w:hAnsiTheme="minorHAnsi" w:cstheme="minorHAnsi"/>
          <w:b/>
          <w:u w:val="single"/>
          <w:lang w:val="fr-FR"/>
        </w:rPr>
        <w:t>Le comité d’audit</w:t>
      </w:r>
    </w:p>
    <w:p w14:paraId="519B86E7" w14:textId="77777777" w:rsidR="00B740A8" w:rsidRPr="00C73365" w:rsidRDefault="00B740A8" w:rsidP="004572A0">
      <w:pPr>
        <w:pStyle w:val="Corpsdetexte"/>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14:paraId="56933365"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 comité d’audit a pour missions essentielles d’assurer le suivi du processus d’élaboration de l’information financière, de l’efficacité des systèmes de contrôle interne et de gestion des risques ainsi que du contrôle légal des comptes sociaux par le Commissaire aux comptes. Il pilote la procédure de sélection du Commissaire aux comptes et veille à son indépendance.</w:t>
      </w:r>
    </w:p>
    <w:p w14:paraId="68277D9C" w14:textId="77777777" w:rsidR="00B740A8" w:rsidRPr="00C73365" w:rsidRDefault="00B740A8" w:rsidP="00F516CA">
      <w:pPr>
        <w:pStyle w:val="Retraitcorpset1relig"/>
        <w:ind w:left="0" w:firstLine="0"/>
        <w:rPr>
          <w:rFonts w:asciiTheme="minorHAnsi" w:eastAsia="Calibri" w:hAnsiTheme="minorHAnsi" w:cstheme="minorHAnsi"/>
          <w:b/>
          <w:lang w:val="fr-FR"/>
        </w:rPr>
      </w:pPr>
      <w:r w:rsidRPr="00C73365">
        <w:rPr>
          <w:rFonts w:asciiTheme="minorHAnsi" w:eastAsia="Calibri" w:hAnsiTheme="minorHAnsi" w:cstheme="minorHAnsi"/>
          <w:b/>
          <w:lang w:val="fr-FR"/>
        </w:rPr>
        <w:t xml:space="preserve">Modalités de fonctionnement </w:t>
      </w:r>
    </w:p>
    <w:p w14:paraId="4E0AB44B"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 comité d’audit se réunit au moins une fois par an. Toutes les réunions du comité se sont tenues en présence de l’ensemble de ses membres.</w:t>
      </w:r>
    </w:p>
    <w:p w14:paraId="0BB38D4C"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Participent également à ces réunions le Commissaire aux comptes et le Directeur administratif et financier.</w:t>
      </w:r>
    </w:p>
    <w:p w14:paraId="02404D3E" w14:textId="77777777" w:rsidR="00B740A8" w:rsidRPr="00C73365" w:rsidRDefault="00B740A8" w:rsidP="004572A0">
      <w:pPr>
        <w:pStyle w:val="Corpsdetexte"/>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14:paraId="77DFF293"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Il est composé de trois membres, désigné par le conseil d’administration. Les membres du comité d’audit sont :</w:t>
      </w:r>
    </w:p>
    <w:p w14:paraId="6569F44D"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Madame Corinna zur Bonsen-Thomas : nommée Présidente du comité d’audit par le conseil d’administration en date du 22 janvier 2018 et ce pour une durée illimitée,</w:t>
      </w:r>
    </w:p>
    <w:p w14:paraId="2CCE2B54"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Monsieur Claude Bertrand : nommé par le conseil d’administration en date du 22 janvier 2018 et ce pour une durée illimitée,</w:t>
      </w:r>
    </w:p>
    <w:p w14:paraId="7C610AEE"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Madame Joy Amundson : nommée par le conseil d’administration en date du 23 janvier 2017 et ce pour une durée illimitée.</w:t>
      </w:r>
    </w:p>
    <w:p w14:paraId="31ED4F5D" w14:textId="77777777" w:rsidR="00B740A8" w:rsidRPr="00C73365" w:rsidRDefault="00B740A8" w:rsidP="00B740A8">
      <w:pPr>
        <w:rPr>
          <w:rFonts w:asciiTheme="minorHAnsi" w:eastAsia="Calibri" w:hAnsiTheme="minorHAnsi" w:cstheme="minorHAnsi"/>
          <w:szCs w:val="20"/>
          <w:lang w:val="fr-FR"/>
        </w:rPr>
      </w:pPr>
    </w:p>
    <w:p w14:paraId="780A62D9" w14:textId="77777777" w:rsidR="00B740A8" w:rsidRPr="00C73365" w:rsidRDefault="00B740A8" w:rsidP="00F516CA">
      <w:pPr>
        <w:rPr>
          <w:rFonts w:asciiTheme="minorHAnsi" w:hAnsiTheme="minorHAnsi" w:cstheme="minorHAnsi"/>
          <w:b/>
          <w:u w:val="single"/>
          <w:lang w:val="fr-FR"/>
        </w:rPr>
      </w:pPr>
      <w:r w:rsidRPr="00C73365">
        <w:rPr>
          <w:rFonts w:asciiTheme="minorHAnsi" w:hAnsiTheme="minorHAnsi" w:cstheme="minorHAnsi"/>
          <w:b/>
          <w:u w:val="single"/>
          <w:lang w:val="fr-FR"/>
        </w:rPr>
        <w:t>Le comité des rémunérations</w:t>
      </w:r>
    </w:p>
    <w:p w14:paraId="417F0449" w14:textId="77777777" w:rsidR="00B740A8" w:rsidRPr="00C73365" w:rsidRDefault="00B740A8" w:rsidP="004572A0">
      <w:pPr>
        <w:pStyle w:val="Corpsdetexte"/>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14:paraId="40D43C43"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 comité des rémunérations est notamment chargé :</w:t>
      </w:r>
    </w:p>
    <w:p w14:paraId="2918A4B7"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 xml:space="preserve">de faire toute proposition au conseil d’administration concernant la fixation des éléments de la rémunération du président, du directeur général, des mandataires sociaux et des principaux cadres dirigeants, ainsi qu’en </w:t>
      </w:r>
      <w:r w:rsidRPr="00C93577">
        <w:rPr>
          <w:rFonts w:asciiTheme="minorHAnsi" w:hAnsiTheme="minorHAnsi" w:cstheme="minorHAnsi"/>
          <w:lang w:val="fr-FR"/>
        </w:rPr>
        <w:lastRenderedPageBreak/>
        <w:t xml:space="preserve">matière de politique d’actionnariat et d’outils d’intéressement des dirigeants et des salariés de la Société, en tenant compte des objectifs de la Société et des performances individuelles et collectives réalisées ; et </w:t>
      </w:r>
    </w:p>
    <w:p w14:paraId="3173DA2C"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d’identifier, d’évaluer et de proposer la nomination d’administrateurs indépendants en vue d’une bonne gouvernance de la Société.</w:t>
      </w:r>
    </w:p>
    <w:p w14:paraId="44858DB8" w14:textId="77777777" w:rsidR="00B740A8" w:rsidRPr="00C73365" w:rsidRDefault="00B740A8" w:rsidP="00B740A8">
      <w:pPr>
        <w:rPr>
          <w:rFonts w:asciiTheme="minorHAnsi" w:eastAsia="Calibri" w:hAnsiTheme="minorHAnsi" w:cstheme="minorHAnsi"/>
          <w:szCs w:val="20"/>
          <w:lang w:val="fr-FR"/>
        </w:rPr>
      </w:pPr>
    </w:p>
    <w:p w14:paraId="529AAD79"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De manière générale, le comité des rémunérations apporte tout conseil et formule toute recommandation appropriée dans les domaines ci-dessus.</w:t>
      </w:r>
    </w:p>
    <w:p w14:paraId="12FDEECD" w14:textId="77777777" w:rsidR="00B740A8" w:rsidRPr="00C73365" w:rsidRDefault="00B740A8" w:rsidP="004572A0">
      <w:pPr>
        <w:pStyle w:val="Corpsdetexte"/>
        <w:rPr>
          <w:rFonts w:asciiTheme="minorHAnsi" w:eastAsia="Calibri" w:hAnsiTheme="minorHAnsi" w:cstheme="minorHAnsi"/>
          <w:b/>
          <w:lang w:val="fr-FR"/>
        </w:rPr>
      </w:pPr>
      <w:r w:rsidRPr="00C73365">
        <w:rPr>
          <w:rFonts w:asciiTheme="minorHAnsi" w:eastAsia="Calibri" w:hAnsiTheme="minorHAnsi" w:cstheme="minorHAnsi"/>
          <w:b/>
          <w:lang w:val="fr-FR"/>
        </w:rPr>
        <w:t xml:space="preserve">Modalités de fonctionnement </w:t>
      </w:r>
    </w:p>
    <w:p w14:paraId="32BEDAE8"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 comité des rémunérations se réunit au moins une fois par an, selon un calendrier fixé par son président, sur convocation de ce dernier, à son initiative ou à l’initiative de deux membres au moins du comité des rémunérations, du Président du conseil d’administration ou du Directeur général.</w:t>
      </w:r>
    </w:p>
    <w:p w14:paraId="5EE0C51B"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est arrêté par le Président du comité des rémunérations, ou, lorsqu’il n’est pas à l’initiative de la réunion, par le président du comité en concertation avec le Président du conseil d’administration, le Directeur général ou les membres du comité selon le cas.</w:t>
      </w:r>
    </w:p>
    <w:p w14:paraId="6FF679F1"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adressé aux membres du comité, sauf urgence, sept jours calendaires au moins avant la date de la réunion.</w:t>
      </w:r>
    </w:p>
    <w:p w14:paraId="5DB10A49"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 Président du conseil d’administration de la Société, s’il n’est pas membre du comité, peut être invité à participer aux réunions du comité. Le comité l’invite à lui présenter ses propositions. Il n’a pas voix délibérative et n’assiste pas aux délibérations relatives à sa propre situation.</w:t>
      </w:r>
    </w:p>
    <w:p w14:paraId="6BE4768C"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 comité des rémunérations peut demander au président du conseil d’administration à bénéficier de l’assistance de tout cadre dirigeant de la Société dont les compétences pourraient faciliter le traitement d’un point à l’ordre du jour. Le président du comité des rémunérations ou le président de séance attire l’attention de toute personne participant aux débats sur les obligations de confidentialité qui lui incombent.</w:t>
      </w:r>
    </w:p>
    <w:p w14:paraId="36A4C582" w14:textId="77777777" w:rsidR="00B740A8" w:rsidRPr="00C73365" w:rsidRDefault="00B740A8" w:rsidP="00F516CA">
      <w:pPr>
        <w:pStyle w:val="Retraitcorpset1relig"/>
        <w:ind w:left="0" w:firstLine="0"/>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14:paraId="6A39CE63"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 comité des rémunérations est composé d’au moins deux membres désignés par le conseil d’administration. Les membres du comité des rémunérations ne sont pas obligatoirement des membres du conseil d’administration. Ils sont nommés pour une durée non limitée.</w:t>
      </w:r>
    </w:p>
    <w:p w14:paraId="46AF94B7"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Les membres du comité des rémunérations sont :</w:t>
      </w:r>
    </w:p>
    <w:p w14:paraId="58E907C5" w14:textId="77777777" w:rsidR="00B740A8" w:rsidRPr="00C73365" w:rsidRDefault="00B740A8" w:rsidP="004572A0">
      <w:pPr>
        <w:pStyle w:val="Listepuces"/>
        <w:rPr>
          <w:rFonts w:asciiTheme="minorHAnsi" w:hAnsiTheme="minorHAnsi" w:cstheme="minorHAnsi"/>
        </w:rPr>
      </w:pPr>
      <w:r w:rsidRPr="00C73365">
        <w:rPr>
          <w:rFonts w:asciiTheme="minorHAnsi" w:hAnsiTheme="minorHAnsi" w:cstheme="minorHAnsi"/>
        </w:rPr>
        <w:t>Monsieur Philippe Pouletty (Président),</w:t>
      </w:r>
    </w:p>
    <w:p w14:paraId="7EDC01DB" w14:textId="77777777" w:rsidR="00B740A8" w:rsidRPr="00C73365" w:rsidRDefault="00B740A8" w:rsidP="004572A0">
      <w:pPr>
        <w:pStyle w:val="Listepuces"/>
        <w:rPr>
          <w:rFonts w:asciiTheme="minorHAnsi" w:hAnsiTheme="minorHAnsi" w:cstheme="minorHAnsi"/>
        </w:rPr>
      </w:pPr>
      <w:r w:rsidRPr="00C73365">
        <w:rPr>
          <w:rFonts w:asciiTheme="minorHAnsi" w:hAnsiTheme="minorHAnsi" w:cstheme="minorHAnsi"/>
        </w:rPr>
        <w:t>Monsieur Jean-Jacques Bertrand.</w:t>
      </w:r>
    </w:p>
    <w:p w14:paraId="594020F9" w14:textId="77777777" w:rsidR="00B740A8" w:rsidRPr="00C73365" w:rsidRDefault="00B740A8" w:rsidP="00B740A8">
      <w:pPr>
        <w:rPr>
          <w:rFonts w:asciiTheme="minorHAnsi" w:eastAsia="Calibri" w:hAnsiTheme="minorHAnsi" w:cstheme="minorHAnsi"/>
          <w:szCs w:val="20"/>
          <w:u w:val="single"/>
          <w:lang w:val="fr-FR"/>
        </w:rPr>
      </w:pPr>
    </w:p>
    <w:p w14:paraId="0C3DD863" w14:textId="77777777" w:rsidR="00B740A8" w:rsidRPr="00C73365" w:rsidRDefault="00B740A8" w:rsidP="00F516CA">
      <w:pPr>
        <w:rPr>
          <w:rFonts w:asciiTheme="minorHAnsi" w:hAnsiTheme="minorHAnsi" w:cstheme="minorHAnsi"/>
          <w:b/>
          <w:u w:val="single"/>
          <w:lang w:val="fr-FR"/>
        </w:rPr>
      </w:pPr>
      <w:r w:rsidRPr="00C73365">
        <w:rPr>
          <w:rFonts w:asciiTheme="minorHAnsi" w:hAnsiTheme="minorHAnsi" w:cstheme="minorHAnsi"/>
          <w:b/>
          <w:u w:val="single"/>
          <w:lang w:val="fr-FR"/>
        </w:rPr>
        <w:t xml:space="preserve">Le comité scientifique </w:t>
      </w:r>
    </w:p>
    <w:p w14:paraId="3BA2FEF8" w14:textId="77777777" w:rsidR="00B740A8" w:rsidRPr="00C73365" w:rsidRDefault="00B740A8" w:rsidP="004572A0">
      <w:pPr>
        <w:pStyle w:val="Corpsdetexte"/>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14:paraId="771C41FD"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hAnsiTheme="minorHAnsi" w:cstheme="minorHAnsi"/>
          <w:lang w:val="fr-FR"/>
        </w:rPr>
        <w:t>La Société a mis en place un comité scientifique qui assiste le management et le conseil dans leurs travaux.</w:t>
      </w:r>
    </w:p>
    <w:p w14:paraId="121C7535"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 comité scientifique a pour mission :</w:t>
      </w:r>
    </w:p>
    <w:p w14:paraId="68C9341D"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d’examiner des questions scientifiques particulières qui lui seraient soumises par la Société ;</w:t>
      </w:r>
    </w:p>
    <w:p w14:paraId="09E12FC7"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 xml:space="preserve">de formuler des recommandations pour la détermination des grandes orientations prises par la Société dans le domaine scientifique ; et </w:t>
      </w:r>
    </w:p>
    <w:p w14:paraId="1EF2A6B5"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de formuler des recommandations pour la définition des priorités de la Société dans le domaine de la recherche et du développement, et des moyens permettant d’aboutir à la réalisation des objectifs ainsi définis.</w:t>
      </w:r>
    </w:p>
    <w:p w14:paraId="5DF2372F" w14:textId="77777777" w:rsidR="00B740A8" w:rsidRPr="00C73365" w:rsidRDefault="00B740A8" w:rsidP="00B740A8">
      <w:pPr>
        <w:rPr>
          <w:rFonts w:asciiTheme="minorHAnsi" w:eastAsia="Calibri" w:hAnsiTheme="minorHAnsi" w:cstheme="minorHAnsi"/>
          <w:szCs w:val="20"/>
          <w:lang w:val="fr-FR"/>
        </w:rPr>
      </w:pPr>
    </w:p>
    <w:p w14:paraId="303BE037" w14:textId="77777777" w:rsidR="00B740A8" w:rsidRPr="00C73365" w:rsidRDefault="00B740A8" w:rsidP="004572A0">
      <w:pPr>
        <w:pStyle w:val="Corpsdetexte"/>
        <w:rPr>
          <w:rFonts w:asciiTheme="minorHAnsi" w:eastAsia="Calibri" w:hAnsiTheme="minorHAnsi" w:cstheme="minorHAnsi"/>
          <w:b/>
          <w:lang w:val="fr-FR"/>
        </w:rPr>
      </w:pPr>
      <w:r w:rsidRPr="00C73365">
        <w:rPr>
          <w:rFonts w:asciiTheme="minorHAnsi" w:eastAsia="Calibri" w:hAnsiTheme="minorHAnsi" w:cstheme="minorHAnsi"/>
          <w:b/>
          <w:lang w:val="fr-FR"/>
        </w:rPr>
        <w:lastRenderedPageBreak/>
        <w:t xml:space="preserve">Modalités de fonctionnement </w:t>
      </w:r>
    </w:p>
    <w:p w14:paraId="0415652B"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 comité scientifique se réunit au moins une fois par an, selon un calendrier fixé par son président, sur convocation de ce dernier, à son initiative ou à l’initiative de deux membres au moins du comité scientifique, du Président du conseil d’administration ou du Directeur général.</w:t>
      </w:r>
    </w:p>
    <w:p w14:paraId="43D6C52A"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est arrêté par le Président du comité Scientifique, ou, lorsqu’il n’est pas à l’initiative de la réunion, par le Président du comité en concertation avec le Président du conseil d’administration, le Directeur général ou les membres du comité selon le cas.</w:t>
      </w:r>
    </w:p>
    <w:p w14:paraId="2156ABFC"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est adressé aux membres du comité, sauf urgence, sept jours calendaires au moins avant la date de la réunion.</w:t>
      </w:r>
    </w:p>
    <w:p w14:paraId="1510A037"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L’ensemble des travaux du département scientifique de la Société ainsi que ses objectifs sont présentés au comité scientifique lors de ses réunions. Il fait également une analyse détaillée des données qui lui sont fournies.</w:t>
      </w:r>
    </w:p>
    <w:p w14:paraId="39DF2444" w14:textId="77777777" w:rsidR="00B740A8" w:rsidRPr="00C73365" w:rsidRDefault="00B740A8" w:rsidP="004572A0">
      <w:pPr>
        <w:pStyle w:val="Corpsdetexte"/>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14:paraId="407F06B7" w14:textId="77777777" w:rsidR="00B740A8" w:rsidRPr="00C73365" w:rsidRDefault="00B740A8" w:rsidP="004572A0">
      <w:pPr>
        <w:pStyle w:val="Corpsdetexte"/>
        <w:rPr>
          <w:rFonts w:asciiTheme="minorHAnsi" w:eastAsia="Calibri" w:hAnsiTheme="minorHAnsi" w:cstheme="minorHAnsi"/>
          <w:lang w:val="fr-FR"/>
        </w:rPr>
      </w:pPr>
      <w:r w:rsidRPr="00C73365">
        <w:rPr>
          <w:rFonts w:asciiTheme="minorHAnsi" w:eastAsia="Calibri" w:hAnsiTheme="minorHAnsi" w:cstheme="minorHAnsi"/>
          <w:lang w:val="fr-FR"/>
        </w:rPr>
        <w:t>Les membres du comité scientifique sont :</w:t>
      </w:r>
    </w:p>
    <w:p w14:paraId="6431754B"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Professeur Luc Teyton, M.D., Ph.D., directeur du département d</w:t>
      </w:r>
      <w:r w:rsidR="004572A0" w:rsidRPr="00C93577">
        <w:rPr>
          <w:rFonts w:asciiTheme="minorHAnsi" w:hAnsiTheme="minorHAnsi" w:cstheme="minorHAnsi"/>
          <w:lang w:val="fr-FR"/>
        </w:rPr>
        <w:t>’</w:t>
      </w:r>
      <w:r w:rsidRPr="00C93577">
        <w:rPr>
          <w:rFonts w:asciiTheme="minorHAnsi" w:hAnsiTheme="minorHAnsi" w:cstheme="minorHAnsi"/>
          <w:lang w:val="fr-FR"/>
        </w:rPr>
        <w:t>immunologie de l’institut de recherche Scripps, à La Jolla, États-Unis (président du comité scientifique) ;</w:t>
      </w:r>
    </w:p>
    <w:p w14:paraId="586D9DC7"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Professeur Christoph Huber, M.D., ex-président, département d’hématologie-oncologie de l’Université de Mayence, Allemagne ;</w:t>
      </w:r>
    </w:p>
    <w:p w14:paraId="004ACBD7"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Dr. Jean-Paul Prieels, ancien vice-président de la R&amp;D de GSK Biologics, à Rixensart, Belgique ;</w:t>
      </w:r>
    </w:p>
    <w:p w14:paraId="507AA3D6"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Professeur Lawrence Stanberry, M.D., Ph.D., directeur du département de pédiatrie du Collège des médecins et chirurgiens de l</w:t>
      </w:r>
      <w:r w:rsidR="004572A0" w:rsidRPr="00C93577">
        <w:rPr>
          <w:rFonts w:asciiTheme="minorHAnsi" w:hAnsiTheme="minorHAnsi" w:cstheme="minorHAnsi"/>
          <w:lang w:val="fr-FR"/>
        </w:rPr>
        <w:t>’</w:t>
      </w:r>
      <w:r w:rsidRPr="00C93577">
        <w:rPr>
          <w:rFonts w:asciiTheme="minorHAnsi" w:hAnsiTheme="minorHAnsi" w:cstheme="minorHAnsi"/>
          <w:lang w:val="fr-FR"/>
        </w:rPr>
        <w:t>Université Columbia, à New York, États-Unis ;</w:t>
      </w:r>
    </w:p>
    <w:p w14:paraId="0BEC3372"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Professeur Jamal Tazi, PhD, directeur du département de génétique moléculaire, CNRS et Université de Montpellier, France ;</w:t>
      </w:r>
    </w:p>
    <w:p w14:paraId="7F7E5116"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Professeur Christian Trepo, M.D., Ph.D., département d’hépato-gastroentérologie, à l’Hôpital universitaire de Lyon ;</w:t>
      </w:r>
    </w:p>
    <w:p w14:paraId="2BF9AD6F"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Professeur Christian Brechot, M.D., Ph.D., ancien directeur général de l’Institut Pasteur, à Paris, France ;</w:t>
      </w:r>
    </w:p>
    <w:p w14:paraId="247F394B"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Professeur Ian Mcgowan, M.D., Ph.D., département de gastroentérologie, hépatologie et nutrition à la faculté de médecine de l’Université de Pittsburg aux Etats-Unis.</w:t>
      </w:r>
    </w:p>
    <w:p w14:paraId="3FC5AE0A" w14:textId="77777777" w:rsidR="00B740A8" w:rsidRPr="00C73365" w:rsidRDefault="00B740A8" w:rsidP="00B740A8">
      <w:pPr>
        <w:rPr>
          <w:rFonts w:asciiTheme="minorHAnsi" w:eastAsia="Calibri" w:hAnsiTheme="minorHAnsi" w:cstheme="minorHAnsi"/>
          <w:szCs w:val="20"/>
          <w:lang w:val="fr-FR"/>
        </w:rPr>
      </w:pPr>
    </w:p>
    <w:p w14:paraId="1DB28D87" w14:textId="77777777" w:rsidR="00B740A8" w:rsidRPr="00C73365" w:rsidRDefault="00B740A8" w:rsidP="00B740A8">
      <w:pPr>
        <w:spacing w:line="264" w:lineRule="auto"/>
        <w:ind w:left="1440" w:hanging="990"/>
        <w:rPr>
          <w:rFonts w:asciiTheme="minorHAnsi" w:hAnsiTheme="minorHAnsi" w:cstheme="minorHAnsi"/>
          <w:b/>
          <w:szCs w:val="22"/>
          <w:lang w:val="fr-FR"/>
        </w:rPr>
      </w:pPr>
      <w:bookmarkStart w:id="831" w:name="_Toc290245375"/>
      <w:bookmarkStart w:id="832" w:name="_Toc290293298"/>
      <w:bookmarkStart w:id="833" w:name="_Toc290294932"/>
    </w:p>
    <w:p w14:paraId="65EC29FD" w14:textId="77777777"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834" w:name="_Toc271734062"/>
      <w:bookmarkStart w:id="835" w:name="_Toc292135890"/>
      <w:bookmarkStart w:id="836" w:name="_Toc401594117"/>
      <w:bookmarkStart w:id="837" w:name="_Toc462673278"/>
      <w:bookmarkStart w:id="838" w:name="_Toc467835627"/>
      <w:bookmarkStart w:id="839" w:name="_Toc482695299"/>
      <w:bookmarkStart w:id="840" w:name="_Toc510548454"/>
      <w:bookmarkEnd w:id="831"/>
      <w:bookmarkEnd w:id="832"/>
      <w:bookmarkEnd w:id="833"/>
      <w:r w:rsidRPr="00C73365">
        <w:rPr>
          <w:rFonts w:asciiTheme="minorHAnsi" w:hAnsiTheme="minorHAnsi" w:cstheme="minorHAnsi"/>
          <w:sz w:val="22"/>
          <w:lang w:val="fr-FR"/>
        </w:rPr>
        <w:t>Déclaration relative au gouvernement d’entreprise</w:t>
      </w:r>
      <w:bookmarkEnd w:id="834"/>
      <w:bookmarkEnd w:id="835"/>
      <w:bookmarkEnd w:id="836"/>
      <w:bookmarkEnd w:id="837"/>
      <w:bookmarkEnd w:id="838"/>
      <w:bookmarkEnd w:id="839"/>
      <w:bookmarkEnd w:id="840"/>
    </w:p>
    <w:p w14:paraId="3013C6B9" w14:textId="77777777"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14:paraId="01BB6BB2" w14:textId="77777777" w:rsidR="00B740A8" w:rsidRPr="00C73365" w:rsidRDefault="00B740A8" w:rsidP="00F516CA">
      <w:pPr>
        <w:rPr>
          <w:rFonts w:asciiTheme="minorHAnsi" w:hAnsiTheme="minorHAnsi" w:cstheme="minorHAnsi"/>
          <w:lang w:val="fr-FR"/>
        </w:rPr>
      </w:pPr>
      <w:r w:rsidRPr="00C73365">
        <w:rPr>
          <w:rFonts w:asciiTheme="minorHAnsi" w:hAnsiTheme="minorHAnsi" w:cstheme="minorHAnsi"/>
          <w:lang w:val="fr-FR"/>
        </w:rPr>
        <w:t xml:space="preserve">Afin de se conformer aux exigences de l’article L. 225-37-4 du Code de commerce, la Société a désigné le Code de gouvernement d’entreprise pour les valeurs moyennes et petites tel qu’il a été publié en décembre 2009 et mis à jour en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2016 par MiddleNext comme code de référence auquel elle entend se référer.</w:t>
      </w:r>
    </w:p>
    <w:p w14:paraId="0E1F3FE4" w14:textId="77777777" w:rsidR="00B740A8" w:rsidRPr="00C73365" w:rsidRDefault="00B740A8" w:rsidP="00F516CA">
      <w:pPr>
        <w:rPr>
          <w:rFonts w:asciiTheme="minorHAnsi" w:hAnsiTheme="minorHAnsi" w:cstheme="minorHAnsi"/>
          <w:lang w:val="fr-FR"/>
        </w:rPr>
      </w:pPr>
      <w:r w:rsidRPr="00C73365">
        <w:rPr>
          <w:rFonts w:asciiTheme="minorHAnsi" w:hAnsiTheme="minorHAnsi" w:cstheme="minorHAnsi"/>
          <w:lang w:val="fr-FR"/>
        </w:rPr>
        <w:t>La Société a pour objectif de se conformer à l’ensemble des recommandations du Code de gouvernement d’entreprise MiddleNext pour les valeurs moyennes et petites. Ces dispositifs doivent cependant être adaptés à la taille et aux moyens de la Société.</w:t>
      </w:r>
    </w:p>
    <w:p w14:paraId="5FE2D875" w14:textId="77777777" w:rsidR="00B740A8" w:rsidRPr="00C73365" w:rsidRDefault="00B740A8" w:rsidP="00B740A8">
      <w:pPr>
        <w:rPr>
          <w:rFonts w:asciiTheme="minorHAnsi" w:hAnsiTheme="minorHAnsi" w:cstheme="minorHAnsi"/>
          <w:szCs w:val="20"/>
          <w:lang w:val="fr-FR"/>
        </w:rPr>
      </w:pPr>
    </w:p>
    <w:p w14:paraId="1C96EE0D" w14:textId="77777777" w:rsidR="00B740A8" w:rsidRPr="00C73365" w:rsidRDefault="00B740A8" w:rsidP="00B740A8">
      <w:pPr>
        <w:rPr>
          <w:rFonts w:asciiTheme="minorHAnsi" w:hAnsiTheme="minorHAnsi" w:cstheme="minorHAnsi"/>
          <w:szCs w:val="20"/>
          <w:lang w:val="fr-FR"/>
        </w:rPr>
      </w:pPr>
      <w:r w:rsidRPr="00C73365">
        <w:rPr>
          <w:rFonts w:asciiTheme="minorHAnsi" w:hAnsiTheme="minorHAnsi" w:cstheme="minorHAnsi"/>
          <w:szCs w:val="20"/>
          <w:lang w:val="fr-FR"/>
        </w:rPr>
        <w:br w:type="page"/>
      </w:r>
    </w:p>
    <w:p w14:paraId="653731A0" w14:textId="77777777" w:rsidR="00B740A8" w:rsidRPr="00C73365" w:rsidRDefault="00B740A8" w:rsidP="00B740A8">
      <w:pPr>
        <w:rPr>
          <w:rFonts w:asciiTheme="minorHAnsi" w:hAnsiTheme="minorHAnsi" w:cstheme="minorHAnsi"/>
          <w:szCs w:val="20"/>
          <w:lang w:val="fr-FR"/>
        </w:rPr>
      </w:pPr>
    </w:p>
    <w:p w14:paraId="1177BD37" w14:textId="77777777" w:rsidR="00B740A8" w:rsidRPr="00C73365" w:rsidRDefault="00B740A8" w:rsidP="00B740A8">
      <w:pPr>
        <w:rPr>
          <w:rFonts w:asciiTheme="minorHAnsi" w:hAnsiTheme="minorHAnsi" w:cstheme="minorHAnsi"/>
          <w:szCs w:val="20"/>
          <w:lang w:val="fr-FR"/>
        </w:rPr>
      </w:pPr>
    </w:p>
    <w:tbl>
      <w:tblPr>
        <w:tblW w:w="9489" w:type="dxa"/>
        <w:tblCellMar>
          <w:left w:w="70" w:type="dxa"/>
          <w:right w:w="70" w:type="dxa"/>
        </w:tblCellMar>
        <w:tblLook w:val="04A0" w:firstRow="1" w:lastRow="0" w:firstColumn="1" w:lastColumn="0" w:noHBand="0" w:noVBand="1"/>
      </w:tblPr>
      <w:tblGrid>
        <w:gridCol w:w="4355"/>
        <w:gridCol w:w="146"/>
        <w:gridCol w:w="855"/>
        <w:gridCol w:w="146"/>
        <w:gridCol w:w="1027"/>
        <w:gridCol w:w="146"/>
        <w:gridCol w:w="1357"/>
        <w:gridCol w:w="146"/>
        <w:gridCol w:w="1311"/>
      </w:tblGrid>
      <w:tr w:rsidR="00B740A8" w:rsidRPr="00C73365" w14:paraId="72C4D875" w14:textId="77777777" w:rsidTr="00D1541A">
        <w:trPr>
          <w:trHeight w:val="680"/>
        </w:trPr>
        <w:tc>
          <w:tcPr>
            <w:tcW w:w="0" w:type="auto"/>
            <w:tcBorders>
              <w:top w:val="single" w:sz="12" w:space="0" w:color="7030A0"/>
              <w:left w:val="nil"/>
              <w:bottom w:val="single" w:sz="8" w:space="0" w:color="7030A0"/>
              <w:right w:val="nil"/>
            </w:tcBorders>
            <w:shd w:val="clear" w:color="auto" w:fill="auto"/>
            <w:vAlign w:val="center"/>
            <w:hideMark/>
          </w:tcPr>
          <w:p w14:paraId="39A2A4A6" w14:textId="77777777"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Recommandations du Code MiddleNext</w:t>
            </w:r>
          </w:p>
        </w:tc>
        <w:tc>
          <w:tcPr>
            <w:tcW w:w="0" w:type="auto"/>
            <w:tcBorders>
              <w:top w:val="nil"/>
              <w:left w:val="nil"/>
              <w:bottom w:val="nil"/>
              <w:right w:val="nil"/>
            </w:tcBorders>
            <w:shd w:val="clear" w:color="auto" w:fill="auto"/>
            <w:noWrap/>
            <w:vAlign w:val="bottom"/>
            <w:hideMark/>
          </w:tcPr>
          <w:p w14:paraId="2F933A97" w14:textId="77777777"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14:paraId="3E3B74DE" w14:textId="77777777"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Adoptée</w:t>
            </w:r>
          </w:p>
        </w:tc>
        <w:tc>
          <w:tcPr>
            <w:tcW w:w="0" w:type="auto"/>
            <w:tcBorders>
              <w:top w:val="nil"/>
              <w:left w:val="nil"/>
              <w:bottom w:val="nil"/>
              <w:right w:val="nil"/>
            </w:tcBorders>
            <w:shd w:val="clear" w:color="auto" w:fill="auto"/>
            <w:noWrap/>
            <w:vAlign w:val="bottom"/>
            <w:hideMark/>
          </w:tcPr>
          <w:p w14:paraId="09FF4377" w14:textId="77777777"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14:paraId="20CBE567" w14:textId="77777777"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Sera adoptée</w:t>
            </w:r>
          </w:p>
        </w:tc>
        <w:tc>
          <w:tcPr>
            <w:tcW w:w="0" w:type="auto"/>
            <w:tcBorders>
              <w:top w:val="nil"/>
              <w:left w:val="nil"/>
              <w:bottom w:val="nil"/>
              <w:right w:val="nil"/>
            </w:tcBorders>
            <w:shd w:val="clear" w:color="auto" w:fill="auto"/>
            <w:noWrap/>
            <w:vAlign w:val="bottom"/>
            <w:hideMark/>
          </w:tcPr>
          <w:p w14:paraId="492C6A99" w14:textId="77777777"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14:paraId="480242AD" w14:textId="77777777"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 cours de réflexion</w:t>
            </w:r>
          </w:p>
        </w:tc>
        <w:tc>
          <w:tcPr>
            <w:tcW w:w="0" w:type="auto"/>
            <w:tcBorders>
              <w:top w:val="nil"/>
              <w:left w:val="nil"/>
              <w:bottom w:val="nil"/>
              <w:right w:val="nil"/>
            </w:tcBorders>
            <w:shd w:val="clear" w:color="auto" w:fill="auto"/>
            <w:noWrap/>
            <w:vAlign w:val="bottom"/>
            <w:hideMark/>
          </w:tcPr>
          <w:p w14:paraId="19C4D18C" w14:textId="77777777"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14:paraId="2EA7B483" w14:textId="77777777"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 sera pas adoptée</w:t>
            </w:r>
          </w:p>
        </w:tc>
      </w:tr>
      <w:tr w:rsidR="00B740A8" w:rsidRPr="00036317" w14:paraId="3DE42C16" w14:textId="77777777" w:rsidTr="00D1541A">
        <w:trPr>
          <w:trHeight w:val="20"/>
        </w:trPr>
        <w:tc>
          <w:tcPr>
            <w:tcW w:w="0" w:type="auto"/>
            <w:tcBorders>
              <w:top w:val="nil"/>
              <w:left w:val="nil"/>
              <w:bottom w:val="nil"/>
              <w:right w:val="nil"/>
            </w:tcBorders>
            <w:shd w:val="clear" w:color="auto" w:fill="auto"/>
            <w:vAlign w:val="center"/>
            <w:hideMark/>
          </w:tcPr>
          <w:p w14:paraId="04B0FCAA" w14:textId="77777777"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I. Le pouvoir de surveillance</w:t>
            </w:r>
          </w:p>
        </w:tc>
        <w:tc>
          <w:tcPr>
            <w:tcW w:w="0" w:type="auto"/>
            <w:tcBorders>
              <w:top w:val="nil"/>
              <w:left w:val="nil"/>
              <w:bottom w:val="nil"/>
              <w:right w:val="nil"/>
            </w:tcBorders>
            <w:shd w:val="clear" w:color="auto" w:fill="auto"/>
            <w:vAlign w:val="center"/>
            <w:hideMark/>
          </w:tcPr>
          <w:p w14:paraId="14D9B87D" w14:textId="77777777" w:rsidR="00B740A8" w:rsidRPr="00C73365" w:rsidRDefault="00B740A8" w:rsidP="00D1541A">
            <w:pPr>
              <w:rPr>
                <w:rFonts w:asciiTheme="minorHAnsi" w:hAnsiTheme="minorHAnsi" w:cstheme="minorHAnsi"/>
                <w:b/>
                <w:bCs/>
                <w:color w:val="7030A0"/>
                <w:szCs w:val="20"/>
                <w:lang w:val="fr-FR" w:eastAsia="fr-FR"/>
              </w:rPr>
            </w:pPr>
          </w:p>
        </w:tc>
        <w:tc>
          <w:tcPr>
            <w:tcW w:w="0" w:type="auto"/>
            <w:tcBorders>
              <w:top w:val="nil"/>
              <w:left w:val="nil"/>
              <w:bottom w:val="nil"/>
              <w:right w:val="nil"/>
            </w:tcBorders>
            <w:shd w:val="clear" w:color="auto" w:fill="auto"/>
            <w:vAlign w:val="center"/>
            <w:hideMark/>
          </w:tcPr>
          <w:p w14:paraId="7F8745C2" w14:textId="77777777"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14:paraId="038C2615" w14:textId="77777777"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14:paraId="329D97D2" w14:textId="77777777"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14:paraId="62D622DC" w14:textId="77777777"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14:paraId="4C044E61" w14:textId="77777777"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14:paraId="5C3FADC3" w14:textId="77777777"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14:paraId="11F9F978" w14:textId="77777777" w:rsidR="00B740A8" w:rsidRPr="00C73365" w:rsidRDefault="00B740A8" w:rsidP="00D1541A">
            <w:pPr>
              <w:jc w:val="center"/>
              <w:rPr>
                <w:rFonts w:asciiTheme="minorHAnsi" w:hAnsiTheme="minorHAnsi" w:cstheme="minorHAnsi"/>
                <w:szCs w:val="20"/>
                <w:lang w:val="fr-FR" w:eastAsia="fr-FR"/>
              </w:rPr>
            </w:pPr>
          </w:p>
        </w:tc>
      </w:tr>
      <w:tr w:rsidR="00B740A8" w:rsidRPr="00C73365" w14:paraId="7F3A373E"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757C2A5F"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R1 : Déontologie des membres du conseil </w:t>
            </w:r>
          </w:p>
        </w:tc>
        <w:tc>
          <w:tcPr>
            <w:tcW w:w="0" w:type="auto"/>
            <w:tcBorders>
              <w:top w:val="nil"/>
              <w:left w:val="nil"/>
              <w:bottom w:val="nil"/>
              <w:right w:val="nil"/>
            </w:tcBorders>
            <w:shd w:val="clear" w:color="auto" w:fill="auto"/>
            <w:noWrap/>
            <w:hideMark/>
          </w:tcPr>
          <w:p w14:paraId="37726B4F"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3B8B85A6" w14:textId="77777777" w:rsidR="00B740A8" w:rsidRPr="00C73365" w:rsidRDefault="00B740A8" w:rsidP="00D1541A">
            <w:pPr>
              <w:jc w:val="center"/>
              <w:rPr>
                <w:rFonts w:asciiTheme="minorHAnsi" w:hAnsiTheme="minorHAnsi" w:cstheme="minorHAnsi"/>
                <w:color w:val="000000"/>
                <w:highlight w:val="yellow"/>
                <w:lang w:val="fr-FR"/>
              </w:rPr>
            </w:pPr>
          </w:p>
        </w:tc>
        <w:tc>
          <w:tcPr>
            <w:tcW w:w="0" w:type="auto"/>
            <w:tcBorders>
              <w:top w:val="nil"/>
              <w:left w:val="nil"/>
              <w:bottom w:val="nil"/>
              <w:right w:val="nil"/>
            </w:tcBorders>
            <w:shd w:val="clear" w:color="auto" w:fill="auto"/>
            <w:noWrap/>
            <w:vAlign w:val="center"/>
            <w:hideMark/>
          </w:tcPr>
          <w:p w14:paraId="729303DF"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0D0888A9"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1B6F7E9C"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1F58D787"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2E511A01"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785F6889"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X</w:t>
            </w:r>
          </w:p>
        </w:tc>
      </w:tr>
      <w:tr w:rsidR="00B740A8" w:rsidRPr="00C73365" w14:paraId="5F671622"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77663FE1"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R2 : Conflits d’intérêts</w:t>
            </w:r>
          </w:p>
        </w:tc>
        <w:tc>
          <w:tcPr>
            <w:tcW w:w="0" w:type="auto"/>
            <w:tcBorders>
              <w:top w:val="nil"/>
              <w:left w:val="nil"/>
              <w:bottom w:val="nil"/>
              <w:right w:val="nil"/>
            </w:tcBorders>
            <w:shd w:val="clear" w:color="auto" w:fill="auto"/>
            <w:noWrap/>
            <w:vAlign w:val="bottom"/>
            <w:hideMark/>
          </w:tcPr>
          <w:p w14:paraId="28AD8C68"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24F03A64" w14:textId="77777777" w:rsidR="00B740A8" w:rsidRPr="00C73365" w:rsidRDefault="00B740A8" w:rsidP="00D1541A">
            <w:pPr>
              <w:jc w:val="center"/>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14:paraId="2EFCC22E"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31B22CDD"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1B6FDF12"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2DCD85A4"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408C9EB9"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6DB1F73F"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7C018FD3"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10C90613"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3 : Composition du conseil – Présence de membres indépendants au sein du conseil</w:t>
            </w:r>
          </w:p>
        </w:tc>
        <w:tc>
          <w:tcPr>
            <w:tcW w:w="0" w:type="auto"/>
            <w:tcBorders>
              <w:top w:val="nil"/>
              <w:left w:val="nil"/>
              <w:bottom w:val="nil"/>
              <w:right w:val="nil"/>
            </w:tcBorders>
            <w:shd w:val="clear" w:color="auto" w:fill="auto"/>
            <w:noWrap/>
            <w:vAlign w:val="bottom"/>
            <w:hideMark/>
          </w:tcPr>
          <w:p w14:paraId="0AFAB3B7"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4ECD186B"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14:paraId="2D2EAFC4"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7319C572"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3EB89F0D"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4BBA7A48"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4BF1FDB6"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1D9F1BFE"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0185550E"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62F78677"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4 : Information des membres du conseil</w:t>
            </w:r>
          </w:p>
        </w:tc>
        <w:tc>
          <w:tcPr>
            <w:tcW w:w="0" w:type="auto"/>
            <w:tcBorders>
              <w:top w:val="nil"/>
              <w:left w:val="nil"/>
              <w:bottom w:val="nil"/>
              <w:right w:val="nil"/>
            </w:tcBorders>
            <w:shd w:val="clear" w:color="auto" w:fill="auto"/>
            <w:noWrap/>
            <w:vAlign w:val="bottom"/>
            <w:hideMark/>
          </w:tcPr>
          <w:p w14:paraId="4CEE63F6"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707DC14F"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14:paraId="236DF7F3"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4CCDEFAE"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1370CE37"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69A3CBF3"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4BD41D6A"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23795A2E"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39BDB893"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731CB25B"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5 : Organisation des réunions du conseil et des comités</w:t>
            </w:r>
          </w:p>
        </w:tc>
        <w:tc>
          <w:tcPr>
            <w:tcW w:w="0" w:type="auto"/>
            <w:tcBorders>
              <w:top w:val="nil"/>
              <w:left w:val="nil"/>
              <w:bottom w:val="nil"/>
              <w:right w:val="nil"/>
            </w:tcBorders>
            <w:shd w:val="clear" w:color="auto" w:fill="auto"/>
            <w:noWrap/>
            <w:hideMark/>
          </w:tcPr>
          <w:p w14:paraId="2EF336B6"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4386A77A"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14:paraId="1FD3D87A"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1D247C0A"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1BB75C8F"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64669404"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4E4954E3"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6E4A76D5"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22C37B8F" w14:textId="77777777" w:rsidTr="00D1541A">
        <w:trPr>
          <w:trHeight w:val="20"/>
        </w:trPr>
        <w:tc>
          <w:tcPr>
            <w:tcW w:w="0" w:type="auto"/>
            <w:tcBorders>
              <w:top w:val="nil"/>
              <w:left w:val="nil"/>
              <w:bottom w:val="single" w:sz="4" w:space="0" w:color="7030A0"/>
              <w:right w:val="nil"/>
            </w:tcBorders>
            <w:shd w:val="clear" w:color="auto" w:fill="auto"/>
            <w:vAlign w:val="center"/>
          </w:tcPr>
          <w:p w14:paraId="3E5EA828"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6 : Mise en place des comités</w:t>
            </w:r>
          </w:p>
        </w:tc>
        <w:tc>
          <w:tcPr>
            <w:tcW w:w="0" w:type="auto"/>
            <w:tcBorders>
              <w:top w:val="nil"/>
              <w:left w:val="nil"/>
              <w:bottom w:val="nil"/>
              <w:right w:val="nil"/>
            </w:tcBorders>
            <w:shd w:val="clear" w:color="auto" w:fill="auto"/>
            <w:noWrap/>
          </w:tcPr>
          <w:p w14:paraId="5065EEAE"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7182757B"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14:paraId="34E1DB95"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57B1AC2F"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562764BC"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40505C16"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65E97F06"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49BAEA83"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39A878DD" w14:textId="77777777" w:rsidTr="00D1541A">
        <w:trPr>
          <w:trHeight w:val="20"/>
        </w:trPr>
        <w:tc>
          <w:tcPr>
            <w:tcW w:w="0" w:type="auto"/>
            <w:tcBorders>
              <w:top w:val="nil"/>
              <w:left w:val="nil"/>
              <w:bottom w:val="single" w:sz="4" w:space="0" w:color="7030A0"/>
              <w:right w:val="nil"/>
            </w:tcBorders>
            <w:shd w:val="clear" w:color="auto" w:fill="auto"/>
            <w:vAlign w:val="center"/>
          </w:tcPr>
          <w:p w14:paraId="4067D9DE"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7 : Mise en place d’un règlement intérieur du conseil</w:t>
            </w:r>
          </w:p>
        </w:tc>
        <w:tc>
          <w:tcPr>
            <w:tcW w:w="0" w:type="auto"/>
            <w:tcBorders>
              <w:top w:val="nil"/>
              <w:left w:val="nil"/>
              <w:bottom w:val="nil"/>
              <w:right w:val="nil"/>
            </w:tcBorders>
            <w:shd w:val="clear" w:color="auto" w:fill="auto"/>
            <w:noWrap/>
          </w:tcPr>
          <w:p w14:paraId="6B1DE6F9"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7532C9AD"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14:paraId="386FEF5A"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393E3320"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223C2DE4"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79B94071"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52EA2D3B"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7CD605C6"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631A85D0" w14:textId="77777777" w:rsidTr="00D1541A">
        <w:trPr>
          <w:trHeight w:val="20"/>
        </w:trPr>
        <w:tc>
          <w:tcPr>
            <w:tcW w:w="0" w:type="auto"/>
            <w:tcBorders>
              <w:top w:val="nil"/>
              <w:left w:val="nil"/>
              <w:bottom w:val="single" w:sz="4" w:space="0" w:color="7030A0"/>
              <w:right w:val="nil"/>
            </w:tcBorders>
            <w:shd w:val="clear" w:color="auto" w:fill="auto"/>
            <w:vAlign w:val="center"/>
          </w:tcPr>
          <w:p w14:paraId="0F317A8C"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8 : Choix de chaque membre du conseil</w:t>
            </w:r>
          </w:p>
        </w:tc>
        <w:tc>
          <w:tcPr>
            <w:tcW w:w="0" w:type="auto"/>
            <w:tcBorders>
              <w:top w:val="nil"/>
              <w:left w:val="nil"/>
              <w:bottom w:val="nil"/>
              <w:right w:val="nil"/>
            </w:tcBorders>
            <w:shd w:val="clear" w:color="auto" w:fill="auto"/>
            <w:noWrap/>
          </w:tcPr>
          <w:p w14:paraId="7837128A"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73CF357C"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14:paraId="6F43D1E7"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17D86E80"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6513E769"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47A188DA"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1B0BE7A4"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32C24D41"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2C0B478B" w14:textId="77777777" w:rsidTr="00D1541A">
        <w:trPr>
          <w:trHeight w:val="20"/>
        </w:trPr>
        <w:tc>
          <w:tcPr>
            <w:tcW w:w="0" w:type="auto"/>
            <w:tcBorders>
              <w:top w:val="nil"/>
              <w:left w:val="nil"/>
              <w:bottom w:val="single" w:sz="4" w:space="0" w:color="7030A0"/>
              <w:right w:val="nil"/>
            </w:tcBorders>
            <w:shd w:val="clear" w:color="auto" w:fill="auto"/>
            <w:vAlign w:val="center"/>
          </w:tcPr>
          <w:p w14:paraId="0B8C562E"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9 : Durée des mandats des membres du conseil</w:t>
            </w:r>
          </w:p>
        </w:tc>
        <w:tc>
          <w:tcPr>
            <w:tcW w:w="0" w:type="auto"/>
            <w:tcBorders>
              <w:top w:val="nil"/>
              <w:left w:val="nil"/>
              <w:bottom w:val="nil"/>
              <w:right w:val="nil"/>
            </w:tcBorders>
            <w:shd w:val="clear" w:color="auto" w:fill="auto"/>
            <w:noWrap/>
          </w:tcPr>
          <w:p w14:paraId="21D2DF7B"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31D43113"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14:paraId="346B7301"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1927C3AF"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258ACDA5"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58FFE7D7"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6C6E0615"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53EC51CF"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425CFC71" w14:textId="77777777" w:rsidTr="00D1541A">
        <w:trPr>
          <w:trHeight w:val="20"/>
        </w:trPr>
        <w:tc>
          <w:tcPr>
            <w:tcW w:w="0" w:type="auto"/>
            <w:tcBorders>
              <w:top w:val="nil"/>
              <w:left w:val="nil"/>
              <w:bottom w:val="single" w:sz="4" w:space="0" w:color="7030A0"/>
              <w:right w:val="nil"/>
            </w:tcBorders>
            <w:shd w:val="clear" w:color="auto" w:fill="auto"/>
            <w:vAlign w:val="center"/>
          </w:tcPr>
          <w:p w14:paraId="47C47510"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10 : Rémunération des membres du conseil</w:t>
            </w:r>
          </w:p>
        </w:tc>
        <w:tc>
          <w:tcPr>
            <w:tcW w:w="0" w:type="auto"/>
            <w:tcBorders>
              <w:top w:val="nil"/>
              <w:left w:val="nil"/>
              <w:bottom w:val="nil"/>
              <w:right w:val="nil"/>
            </w:tcBorders>
            <w:shd w:val="clear" w:color="auto" w:fill="auto"/>
            <w:noWrap/>
          </w:tcPr>
          <w:p w14:paraId="56CBD149"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6428BBA1"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14:paraId="09B2EEBA"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307D03E1"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470A8BF4"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7AA7F8D6"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19022AD9"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0332791D"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44182F88" w14:textId="77777777" w:rsidTr="00D1541A">
        <w:trPr>
          <w:trHeight w:val="20"/>
        </w:trPr>
        <w:tc>
          <w:tcPr>
            <w:tcW w:w="0" w:type="auto"/>
            <w:tcBorders>
              <w:top w:val="nil"/>
              <w:left w:val="nil"/>
              <w:bottom w:val="single" w:sz="4" w:space="0" w:color="7030A0"/>
              <w:right w:val="nil"/>
            </w:tcBorders>
            <w:shd w:val="clear" w:color="auto" w:fill="auto"/>
            <w:vAlign w:val="center"/>
          </w:tcPr>
          <w:p w14:paraId="044D49A8"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11 : Mise en place d’une évaluation des travaux du conseil</w:t>
            </w:r>
          </w:p>
        </w:tc>
        <w:tc>
          <w:tcPr>
            <w:tcW w:w="0" w:type="auto"/>
            <w:tcBorders>
              <w:top w:val="nil"/>
              <w:left w:val="nil"/>
              <w:bottom w:val="nil"/>
              <w:right w:val="nil"/>
            </w:tcBorders>
            <w:shd w:val="clear" w:color="auto" w:fill="auto"/>
            <w:noWrap/>
          </w:tcPr>
          <w:p w14:paraId="240F6AE7"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7E84F495"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14:paraId="4DA80212"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416455D0"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413CEE45"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598DA182"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2979ED44"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459018E7"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68AC45F0" w14:textId="77777777" w:rsidTr="00D1541A">
        <w:trPr>
          <w:trHeight w:val="20"/>
        </w:trPr>
        <w:tc>
          <w:tcPr>
            <w:tcW w:w="0" w:type="auto"/>
            <w:tcBorders>
              <w:top w:val="nil"/>
              <w:left w:val="nil"/>
              <w:bottom w:val="single" w:sz="4" w:space="0" w:color="7030A0"/>
              <w:right w:val="nil"/>
            </w:tcBorders>
            <w:shd w:val="clear" w:color="auto" w:fill="auto"/>
            <w:vAlign w:val="center"/>
          </w:tcPr>
          <w:p w14:paraId="6EE45789"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12 : Relation avec les actionnaires</w:t>
            </w:r>
          </w:p>
        </w:tc>
        <w:tc>
          <w:tcPr>
            <w:tcW w:w="0" w:type="auto"/>
            <w:tcBorders>
              <w:top w:val="nil"/>
              <w:left w:val="nil"/>
              <w:bottom w:val="nil"/>
              <w:right w:val="nil"/>
            </w:tcBorders>
            <w:shd w:val="clear" w:color="auto" w:fill="auto"/>
            <w:noWrap/>
          </w:tcPr>
          <w:p w14:paraId="48FF0886"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7AF6C9ED"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14:paraId="68AD93B6"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6608AED1"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762771DF"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62487211"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14:paraId="104CF256"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14:paraId="72F97FE4"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005323EF" w14:textId="77777777" w:rsidTr="00D1541A">
        <w:trPr>
          <w:trHeight w:val="20"/>
        </w:trPr>
        <w:tc>
          <w:tcPr>
            <w:tcW w:w="0" w:type="auto"/>
            <w:tcBorders>
              <w:top w:val="nil"/>
              <w:left w:val="nil"/>
              <w:bottom w:val="nil"/>
              <w:right w:val="nil"/>
            </w:tcBorders>
            <w:shd w:val="clear" w:color="auto" w:fill="auto"/>
            <w:vAlign w:val="center"/>
            <w:hideMark/>
          </w:tcPr>
          <w:p w14:paraId="3403E89F" w14:textId="77777777"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II. Le pouvoir exécutif</w:t>
            </w:r>
          </w:p>
        </w:tc>
        <w:tc>
          <w:tcPr>
            <w:tcW w:w="0" w:type="auto"/>
            <w:tcBorders>
              <w:top w:val="nil"/>
              <w:left w:val="nil"/>
              <w:bottom w:val="nil"/>
              <w:right w:val="nil"/>
            </w:tcBorders>
            <w:shd w:val="clear" w:color="auto" w:fill="auto"/>
            <w:noWrap/>
            <w:vAlign w:val="bottom"/>
            <w:hideMark/>
          </w:tcPr>
          <w:p w14:paraId="14FFECD6" w14:textId="77777777" w:rsidR="00B740A8" w:rsidRPr="00C73365" w:rsidRDefault="00B740A8" w:rsidP="00D1541A">
            <w:pPr>
              <w:rPr>
                <w:rFonts w:asciiTheme="minorHAnsi" w:hAnsiTheme="minorHAnsi" w:cstheme="minorHAnsi"/>
                <w:b/>
                <w:bCs/>
                <w:color w:val="7030A0"/>
                <w:szCs w:val="20"/>
                <w:lang w:val="fr-FR" w:eastAsia="fr-FR"/>
              </w:rPr>
            </w:pPr>
          </w:p>
        </w:tc>
        <w:tc>
          <w:tcPr>
            <w:tcW w:w="0" w:type="auto"/>
            <w:tcBorders>
              <w:top w:val="nil"/>
              <w:left w:val="nil"/>
              <w:bottom w:val="nil"/>
              <w:right w:val="nil"/>
            </w:tcBorders>
            <w:shd w:val="clear" w:color="auto" w:fill="auto"/>
            <w:vAlign w:val="center"/>
            <w:hideMark/>
          </w:tcPr>
          <w:p w14:paraId="392D95C0" w14:textId="77777777"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14:paraId="24D6AF95" w14:textId="77777777"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14:paraId="5B1AAFE2" w14:textId="77777777"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14:paraId="29DA5941" w14:textId="77777777"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14:paraId="389ED886" w14:textId="77777777"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14:paraId="40E55237" w14:textId="77777777"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14:paraId="388FD109" w14:textId="77777777" w:rsidR="00B740A8" w:rsidRPr="00C73365" w:rsidRDefault="00B740A8" w:rsidP="00D1541A">
            <w:pPr>
              <w:jc w:val="center"/>
              <w:rPr>
                <w:rFonts w:asciiTheme="minorHAnsi" w:hAnsiTheme="minorHAnsi" w:cstheme="minorHAnsi"/>
                <w:szCs w:val="20"/>
                <w:lang w:val="fr-FR" w:eastAsia="fr-FR"/>
              </w:rPr>
            </w:pPr>
          </w:p>
        </w:tc>
      </w:tr>
      <w:tr w:rsidR="00B740A8" w:rsidRPr="00C73365" w14:paraId="41D3BBAE"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10963D40"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13 : Définition et transparence de la rémunération des dirigeants mandataires sociaux</w:t>
            </w:r>
          </w:p>
        </w:tc>
        <w:tc>
          <w:tcPr>
            <w:tcW w:w="0" w:type="auto"/>
            <w:tcBorders>
              <w:top w:val="nil"/>
              <w:left w:val="nil"/>
              <w:bottom w:val="nil"/>
              <w:right w:val="nil"/>
            </w:tcBorders>
            <w:shd w:val="clear" w:color="auto" w:fill="auto"/>
            <w:noWrap/>
            <w:vAlign w:val="bottom"/>
            <w:hideMark/>
          </w:tcPr>
          <w:p w14:paraId="6EB88748"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382AC4DB"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14:paraId="5BCEE098"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2A8B1BA9"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35B0E036"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5D964BD6"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69E830DF"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0BA7DCF1"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30516856"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72D3C98A"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 14 : Préparation de la succession des « dirigeants » </w:t>
            </w:r>
          </w:p>
        </w:tc>
        <w:tc>
          <w:tcPr>
            <w:tcW w:w="0" w:type="auto"/>
            <w:tcBorders>
              <w:top w:val="nil"/>
              <w:left w:val="nil"/>
              <w:bottom w:val="nil"/>
              <w:right w:val="nil"/>
            </w:tcBorders>
            <w:shd w:val="clear" w:color="auto" w:fill="auto"/>
            <w:noWrap/>
            <w:vAlign w:val="bottom"/>
            <w:hideMark/>
          </w:tcPr>
          <w:p w14:paraId="41E7B057"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7064C129"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64532DA4"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660ACE35"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14:paraId="4795BB18"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56375A83"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249848C8"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012CD76F"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6959AFAC"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3E1C68C3"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15 : Cumul contrat de travail et mandat social</w:t>
            </w:r>
          </w:p>
        </w:tc>
        <w:tc>
          <w:tcPr>
            <w:tcW w:w="0" w:type="auto"/>
            <w:tcBorders>
              <w:top w:val="nil"/>
              <w:left w:val="nil"/>
              <w:bottom w:val="nil"/>
              <w:right w:val="nil"/>
            </w:tcBorders>
            <w:shd w:val="clear" w:color="auto" w:fill="auto"/>
            <w:noWrap/>
            <w:vAlign w:val="bottom"/>
            <w:hideMark/>
          </w:tcPr>
          <w:p w14:paraId="62EBC4B0"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09E56CCE"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14:paraId="418BDEA5"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2DE9488B"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6990C5D9"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72030F5D"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7A715473"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68C1AEBE"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7BF12171"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30B554F8"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16 : Indemnités de départ</w:t>
            </w:r>
          </w:p>
        </w:tc>
        <w:tc>
          <w:tcPr>
            <w:tcW w:w="0" w:type="auto"/>
            <w:tcBorders>
              <w:top w:val="nil"/>
              <w:left w:val="nil"/>
              <w:bottom w:val="nil"/>
              <w:right w:val="nil"/>
            </w:tcBorders>
            <w:shd w:val="clear" w:color="auto" w:fill="auto"/>
            <w:noWrap/>
            <w:vAlign w:val="bottom"/>
            <w:hideMark/>
          </w:tcPr>
          <w:p w14:paraId="37896EC2"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2E6AD8F3"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14:paraId="5411BF43"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47E35723"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7792C5D5"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54BC80B4"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5EA24AD6"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131DDE98"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0F53D0E8"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6C9CDD0A"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17 : Régimes de retraite supplémentaires</w:t>
            </w:r>
          </w:p>
        </w:tc>
        <w:tc>
          <w:tcPr>
            <w:tcW w:w="0" w:type="auto"/>
            <w:tcBorders>
              <w:top w:val="nil"/>
              <w:left w:val="nil"/>
              <w:bottom w:val="nil"/>
              <w:right w:val="nil"/>
            </w:tcBorders>
            <w:shd w:val="clear" w:color="auto" w:fill="auto"/>
            <w:noWrap/>
            <w:vAlign w:val="bottom"/>
            <w:hideMark/>
          </w:tcPr>
          <w:p w14:paraId="58D8C589"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0F1F112F"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14:paraId="35E2E794"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5CDAF8BF"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5785AB60"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3E0C629C"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7C2FC140"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4F15B87F"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6FA6AEBB"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1D8215EC"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18 : Stock-options et attribution gratuite d’actions</w:t>
            </w:r>
          </w:p>
        </w:tc>
        <w:tc>
          <w:tcPr>
            <w:tcW w:w="0" w:type="auto"/>
            <w:tcBorders>
              <w:top w:val="nil"/>
              <w:left w:val="nil"/>
              <w:bottom w:val="nil"/>
              <w:right w:val="nil"/>
            </w:tcBorders>
            <w:shd w:val="clear" w:color="auto" w:fill="auto"/>
            <w:noWrap/>
            <w:vAlign w:val="bottom"/>
            <w:hideMark/>
          </w:tcPr>
          <w:p w14:paraId="228FB6B5"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7E610B87"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14:paraId="6C0428B6"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769AB2E5"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27CDE0DF"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20389139"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3527F2C0"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58988EAF" w14:textId="77777777"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14:paraId="3C9AA949" w14:textId="77777777" w:rsidTr="00D1541A">
        <w:trPr>
          <w:trHeight w:val="20"/>
        </w:trPr>
        <w:tc>
          <w:tcPr>
            <w:tcW w:w="0" w:type="auto"/>
            <w:tcBorders>
              <w:top w:val="nil"/>
              <w:left w:val="nil"/>
              <w:bottom w:val="single" w:sz="4" w:space="0" w:color="7030A0"/>
              <w:right w:val="nil"/>
            </w:tcBorders>
            <w:shd w:val="clear" w:color="auto" w:fill="auto"/>
            <w:vAlign w:val="center"/>
            <w:hideMark/>
          </w:tcPr>
          <w:p w14:paraId="688A2FFF" w14:textId="77777777"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19 : Revue des points de vigilance</w:t>
            </w:r>
          </w:p>
        </w:tc>
        <w:tc>
          <w:tcPr>
            <w:tcW w:w="0" w:type="auto"/>
            <w:tcBorders>
              <w:top w:val="nil"/>
              <w:left w:val="nil"/>
              <w:bottom w:val="nil"/>
              <w:right w:val="nil"/>
            </w:tcBorders>
            <w:shd w:val="clear" w:color="auto" w:fill="auto"/>
            <w:noWrap/>
            <w:vAlign w:val="bottom"/>
            <w:hideMark/>
          </w:tcPr>
          <w:p w14:paraId="1860316A" w14:textId="77777777"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3D5478F0" w14:textId="77777777"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14:paraId="6CB06953"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46C582B3"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2233D616"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39A8C14A"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14:paraId="1A0C0FAC" w14:textId="77777777"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14:paraId="5BC20084" w14:textId="77777777" w:rsidR="00B740A8" w:rsidRPr="00C73365" w:rsidRDefault="00B740A8" w:rsidP="00D1541A">
            <w:pPr>
              <w:jc w:val="center"/>
              <w:rPr>
                <w:rFonts w:asciiTheme="minorHAnsi" w:hAnsiTheme="minorHAnsi" w:cstheme="minorHAnsi"/>
                <w:color w:val="000000"/>
                <w:szCs w:val="20"/>
                <w:lang w:val="fr-FR" w:eastAsia="fr-FR"/>
              </w:rPr>
            </w:pPr>
          </w:p>
        </w:tc>
      </w:tr>
    </w:tbl>
    <w:p w14:paraId="145D2D7D" w14:textId="77777777" w:rsidR="00B740A8" w:rsidRPr="00C73365" w:rsidRDefault="00B740A8" w:rsidP="00B740A8">
      <w:pPr>
        <w:rPr>
          <w:rFonts w:asciiTheme="minorHAnsi" w:hAnsiTheme="minorHAnsi" w:cstheme="minorHAnsi"/>
          <w:szCs w:val="22"/>
          <w:lang w:val="fr-FR"/>
        </w:rPr>
      </w:pPr>
    </w:p>
    <w:p w14:paraId="55A6D153" w14:textId="0D7A2FD0"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La Société considère en particulier qu’elle ne se trouve pas en conformité avec la recommandation R1 – Déontologie des membres du conseil – dans la mesure où Monsieur Philippe Pouletty, Président du conseil d’administration de la Société, a accepté plus de trois autres mandats d’administrateur dans des sociétés cotées. Les autres recommandations contenues dans la recommandation R1 sont presque toutes suivies par la Société, à l’exception de la présence de tous les membres du conseil d’administration aux assemblées générales.</w:t>
      </w:r>
    </w:p>
    <w:p w14:paraId="7BB950D7"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Concernant la recommandation R11, la Société a lors de la réunion du conseil d’administration du 20 novembre 2017 procédé à l’auto-évaluation du conseil. Les membres du conseil d’administration ont notamment été invités à s’exprimer sur les points suivants :</w:t>
      </w:r>
    </w:p>
    <w:p w14:paraId="0F5F3355" w14:textId="77777777" w:rsidR="00B740A8" w:rsidRPr="00C93577" w:rsidRDefault="00B740A8" w:rsidP="004572A0">
      <w:pPr>
        <w:pStyle w:val="Listepuces3"/>
        <w:numPr>
          <w:ilvl w:val="0"/>
          <w:numId w:val="50"/>
        </w:numPr>
        <w:rPr>
          <w:rFonts w:asciiTheme="minorHAnsi" w:hAnsiTheme="minorHAnsi" w:cstheme="minorHAnsi"/>
          <w:lang w:val="fr-FR"/>
        </w:rPr>
      </w:pPr>
      <w:r w:rsidRPr="00C93577">
        <w:rPr>
          <w:rFonts w:asciiTheme="minorHAnsi" w:hAnsiTheme="minorHAnsi" w:cstheme="minorHAnsi"/>
          <w:lang w:val="fr-FR"/>
        </w:rPr>
        <w:t>modalités de fonctionnement du conseil d’administration ;</w:t>
      </w:r>
    </w:p>
    <w:p w14:paraId="5240F4A8" w14:textId="77777777" w:rsidR="00B740A8" w:rsidRPr="00C93577" w:rsidRDefault="00B740A8" w:rsidP="004572A0">
      <w:pPr>
        <w:pStyle w:val="Listepuces3"/>
        <w:numPr>
          <w:ilvl w:val="0"/>
          <w:numId w:val="50"/>
        </w:numPr>
        <w:rPr>
          <w:rFonts w:asciiTheme="minorHAnsi" w:hAnsiTheme="minorHAnsi" w:cstheme="minorHAnsi"/>
          <w:lang w:val="fr-FR"/>
        </w:rPr>
      </w:pPr>
      <w:r w:rsidRPr="00C93577">
        <w:rPr>
          <w:rFonts w:asciiTheme="minorHAnsi" w:hAnsiTheme="minorHAnsi" w:cstheme="minorHAnsi"/>
          <w:lang w:val="fr-FR"/>
        </w:rPr>
        <w:t>vérification que les questions importantes soient convenablement préparées et débattues ;</w:t>
      </w:r>
    </w:p>
    <w:p w14:paraId="20F6B463" w14:textId="77777777" w:rsidR="00B740A8" w:rsidRPr="00C93577" w:rsidRDefault="00B740A8" w:rsidP="004572A0">
      <w:pPr>
        <w:pStyle w:val="Listepuces3"/>
        <w:numPr>
          <w:ilvl w:val="0"/>
          <w:numId w:val="50"/>
        </w:numPr>
        <w:rPr>
          <w:rFonts w:asciiTheme="minorHAnsi" w:hAnsiTheme="minorHAnsi" w:cstheme="minorHAnsi"/>
          <w:lang w:val="fr-FR"/>
        </w:rPr>
      </w:pPr>
      <w:r w:rsidRPr="00C93577">
        <w:rPr>
          <w:rFonts w:asciiTheme="minorHAnsi" w:hAnsiTheme="minorHAnsi" w:cstheme="minorHAnsi"/>
          <w:lang w:val="fr-FR"/>
        </w:rPr>
        <w:lastRenderedPageBreak/>
        <w:t>mesure de la contribution effective de chaque administrateur aux travaux du conseil du fait de sa compétence et de son implication dans les délibérations.</w:t>
      </w:r>
    </w:p>
    <w:p w14:paraId="33730E43" w14:textId="77777777" w:rsidR="00B740A8" w:rsidRPr="00C73365" w:rsidRDefault="00B740A8" w:rsidP="00B740A8">
      <w:pPr>
        <w:rPr>
          <w:rFonts w:asciiTheme="minorHAnsi" w:hAnsiTheme="minorHAnsi" w:cstheme="minorHAnsi"/>
          <w:szCs w:val="22"/>
          <w:lang w:val="fr-FR"/>
        </w:rPr>
      </w:pPr>
    </w:p>
    <w:p w14:paraId="5FF6E114"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Concernant la recommandation R14, ce sujet est actuellement à l’étude au sein du conseil d’administration qui n’a pour le moment arrêté aucun plan de succession des dirigeants.</w:t>
      </w:r>
    </w:p>
    <w:p w14:paraId="1D2593B6" w14:textId="77777777" w:rsidR="00B740A8" w:rsidRPr="00C73365" w:rsidRDefault="00B740A8" w:rsidP="00B740A8">
      <w:pPr>
        <w:rPr>
          <w:rFonts w:asciiTheme="minorHAnsi" w:hAnsiTheme="minorHAnsi" w:cstheme="minorHAnsi"/>
          <w:sz w:val="21"/>
          <w:szCs w:val="21"/>
          <w:lang w:val="fr-FR"/>
        </w:rPr>
      </w:pPr>
    </w:p>
    <w:p w14:paraId="45A05F9E" w14:textId="77777777" w:rsidR="00B740A8" w:rsidRPr="00C73365" w:rsidRDefault="00B740A8" w:rsidP="00B740A8">
      <w:pPr>
        <w:spacing w:after="160" w:line="259" w:lineRule="auto"/>
        <w:rPr>
          <w:rFonts w:asciiTheme="minorHAnsi" w:hAnsiTheme="minorHAnsi" w:cstheme="minorHAnsi"/>
          <w:szCs w:val="22"/>
          <w:lang w:val="fr-FR"/>
        </w:rPr>
      </w:pPr>
      <w:r w:rsidRPr="00C73365">
        <w:rPr>
          <w:rFonts w:asciiTheme="minorHAnsi" w:hAnsiTheme="minorHAnsi" w:cstheme="minorHAnsi"/>
          <w:szCs w:val="22"/>
          <w:lang w:val="fr-FR"/>
        </w:rPr>
        <w:br w:type="page"/>
      </w:r>
    </w:p>
    <w:p w14:paraId="34811A93" w14:textId="77777777" w:rsidR="00B740A8" w:rsidRPr="00C73365" w:rsidRDefault="00B740A8" w:rsidP="00B740A8">
      <w:pPr>
        <w:ind w:left="720"/>
        <w:rPr>
          <w:rFonts w:asciiTheme="minorHAnsi" w:hAnsiTheme="minorHAnsi" w:cstheme="minorHAnsi"/>
          <w:szCs w:val="22"/>
          <w:lang w:val="fr-FR"/>
        </w:rPr>
      </w:pPr>
    </w:p>
    <w:p w14:paraId="57E53BA3" w14:textId="77777777" w:rsidR="00B740A8" w:rsidRPr="00C73365" w:rsidRDefault="00B740A8" w:rsidP="00B740A8">
      <w:pPr>
        <w:pStyle w:val="ConmainL2"/>
        <w:numPr>
          <w:ilvl w:val="1"/>
          <w:numId w:val="9"/>
        </w:numPr>
        <w:rPr>
          <w:rFonts w:asciiTheme="minorHAnsi" w:hAnsiTheme="minorHAnsi" w:cstheme="minorHAnsi"/>
          <w:sz w:val="22"/>
          <w:lang w:val="fr-FR"/>
        </w:rPr>
      </w:pPr>
      <w:bookmarkStart w:id="841" w:name="_Toc271734063"/>
      <w:bookmarkStart w:id="842" w:name="_Toc292135891"/>
      <w:bookmarkStart w:id="843" w:name="_Toc401594118"/>
      <w:bookmarkStart w:id="844" w:name="_Toc462673279"/>
      <w:bookmarkStart w:id="845" w:name="_Toc467835628"/>
      <w:bookmarkStart w:id="846" w:name="_Toc482695300"/>
      <w:bookmarkStart w:id="847" w:name="_Toc510548455"/>
      <w:r w:rsidRPr="00C73365">
        <w:rPr>
          <w:rFonts w:asciiTheme="minorHAnsi" w:hAnsiTheme="minorHAnsi" w:cstheme="minorHAnsi"/>
          <w:sz w:val="22"/>
          <w:lang w:val="fr-FR"/>
        </w:rPr>
        <w:t>Rapport du conseil d’administration sur le gouvernement d’entreprise</w:t>
      </w:r>
      <w:bookmarkEnd w:id="841"/>
      <w:bookmarkEnd w:id="842"/>
      <w:bookmarkEnd w:id="843"/>
      <w:bookmarkEnd w:id="844"/>
      <w:bookmarkEnd w:id="845"/>
      <w:bookmarkEnd w:id="846"/>
      <w:bookmarkEnd w:id="847"/>
    </w:p>
    <w:p w14:paraId="102DCBF0" w14:textId="77777777" w:rsidR="00B740A8" w:rsidRPr="00C73365" w:rsidRDefault="00B740A8" w:rsidP="00F516CA">
      <w:pPr>
        <w:rPr>
          <w:rFonts w:asciiTheme="minorHAnsi" w:eastAsia="Calibri" w:hAnsiTheme="minorHAnsi" w:cstheme="minorHAnsi"/>
          <w:lang w:val="fr-FR"/>
        </w:rPr>
      </w:pPr>
      <w:r w:rsidRPr="00C73365">
        <w:rPr>
          <w:rFonts w:asciiTheme="minorHAnsi" w:eastAsia="Calibri" w:hAnsiTheme="minorHAnsi" w:cstheme="minorHAnsi"/>
          <w:lang w:val="fr-FR"/>
        </w:rPr>
        <w:t xml:space="preserve">Se référer à la section </w:t>
      </w:r>
      <w:r w:rsidR="00E33728" w:rsidRPr="00C73365">
        <w:rPr>
          <w:rFonts w:asciiTheme="minorHAnsi" w:eastAsia="Calibri" w:hAnsiTheme="minorHAnsi" w:cstheme="minorHAnsi"/>
          <w:lang w:val="fr-FR"/>
        </w:rPr>
        <w:t>26.3</w:t>
      </w:r>
      <w:r w:rsidRPr="00C73365">
        <w:rPr>
          <w:rFonts w:asciiTheme="minorHAnsi" w:eastAsia="Calibri" w:hAnsiTheme="minorHAnsi" w:cstheme="minorHAnsi"/>
          <w:lang w:val="fr-FR"/>
        </w:rPr>
        <w:t xml:space="preserve"> du présent document de référence. </w:t>
      </w:r>
    </w:p>
    <w:p w14:paraId="47F562FF" w14:textId="77777777" w:rsidR="00B740A8" w:rsidRPr="00C73365" w:rsidRDefault="00B740A8" w:rsidP="00B740A8">
      <w:pPr>
        <w:rPr>
          <w:rFonts w:asciiTheme="minorHAnsi" w:hAnsiTheme="minorHAnsi" w:cstheme="minorHAnsi"/>
          <w:b/>
          <w:szCs w:val="20"/>
          <w:lang w:val="fr-FR"/>
        </w:rPr>
      </w:pPr>
      <w:bookmarkStart w:id="848" w:name="_Toc453668230"/>
      <w:r w:rsidRPr="00C73365">
        <w:rPr>
          <w:rFonts w:asciiTheme="minorHAnsi" w:hAnsiTheme="minorHAnsi" w:cstheme="minorHAnsi"/>
          <w:b/>
          <w:szCs w:val="20"/>
          <w:lang w:val="fr-FR"/>
        </w:rPr>
        <w:br w:type="page"/>
      </w:r>
    </w:p>
    <w:p w14:paraId="2BE39BF1" w14:textId="77777777" w:rsidR="00B740A8" w:rsidRPr="00C73365" w:rsidRDefault="00B740A8" w:rsidP="00B740A8">
      <w:pPr>
        <w:ind w:left="720"/>
        <w:rPr>
          <w:rFonts w:asciiTheme="minorHAnsi" w:hAnsiTheme="minorHAnsi" w:cstheme="minorHAnsi"/>
          <w:b/>
          <w:szCs w:val="20"/>
          <w:lang w:val="fr-FR"/>
        </w:rPr>
      </w:pPr>
    </w:p>
    <w:p w14:paraId="55E23515" w14:textId="77777777" w:rsidR="00B740A8" w:rsidRPr="00C73365" w:rsidRDefault="00B740A8" w:rsidP="00B740A8">
      <w:pPr>
        <w:pStyle w:val="ConmainL2"/>
        <w:numPr>
          <w:ilvl w:val="1"/>
          <w:numId w:val="9"/>
        </w:numPr>
        <w:ind w:left="0" w:firstLine="0"/>
        <w:rPr>
          <w:rFonts w:asciiTheme="minorHAnsi" w:hAnsiTheme="minorHAnsi" w:cstheme="minorHAnsi"/>
          <w:sz w:val="22"/>
          <w:lang w:val="fr-FR"/>
        </w:rPr>
      </w:pPr>
      <w:bookmarkStart w:id="849" w:name="_Toc476145818"/>
      <w:bookmarkStart w:id="850" w:name="_Toc476145819"/>
      <w:bookmarkStart w:id="851" w:name="_Toc476145820"/>
      <w:bookmarkStart w:id="852" w:name="_Toc476145821"/>
      <w:bookmarkStart w:id="853" w:name="_Toc478134778"/>
      <w:bookmarkStart w:id="854" w:name="_Toc478459585"/>
      <w:bookmarkStart w:id="855" w:name="_Toc478554791"/>
      <w:bookmarkStart w:id="856" w:name="_Toc478715776"/>
      <w:bookmarkStart w:id="857" w:name="_Toc478730911"/>
      <w:bookmarkStart w:id="858" w:name="_Toc478731703"/>
      <w:bookmarkStart w:id="859" w:name="_Toc479947657"/>
      <w:bookmarkStart w:id="860" w:name="_Toc478134779"/>
      <w:bookmarkStart w:id="861" w:name="_Toc478459586"/>
      <w:bookmarkStart w:id="862" w:name="_Toc478554792"/>
      <w:bookmarkStart w:id="863" w:name="_Toc478715777"/>
      <w:bookmarkStart w:id="864" w:name="_Toc478730912"/>
      <w:bookmarkStart w:id="865" w:name="_Toc478731704"/>
      <w:bookmarkStart w:id="866" w:name="_Toc479947658"/>
      <w:bookmarkStart w:id="867" w:name="_Toc478134780"/>
      <w:bookmarkStart w:id="868" w:name="_Toc478459587"/>
      <w:bookmarkStart w:id="869" w:name="_Toc478554793"/>
      <w:bookmarkStart w:id="870" w:name="_Toc478715778"/>
      <w:bookmarkStart w:id="871" w:name="_Toc478730913"/>
      <w:bookmarkStart w:id="872" w:name="_Toc478731705"/>
      <w:bookmarkStart w:id="873" w:name="_Toc479947659"/>
      <w:bookmarkStart w:id="874" w:name="_Toc478134781"/>
      <w:bookmarkStart w:id="875" w:name="_Toc478459588"/>
      <w:bookmarkStart w:id="876" w:name="_Toc478554794"/>
      <w:bookmarkStart w:id="877" w:name="_Toc478715779"/>
      <w:bookmarkStart w:id="878" w:name="_Toc478730914"/>
      <w:bookmarkStart w:id="879" w:name="_Toc478731706"/>
      <w:bookmarkStart w:id="880" w:name="_Toc479947660"/>
      <w:bookmarkStart w:id="881" w:name="_Toc478134782"/>
      <w:bookmarkStart w:id="882" w:name="_Toc478459589"/>
      <w:bookmarkStart w:id="883" w:name="_Toc478554795"/>
      <w:bookmarkStart w:id="884" w:name="_Toc478715780"/>
      <w:bookmarkStart w:id="885" w:name="_Toc478730915"/>
      <w:bookmarkStart w:id="886" w:name="_Toc478731707"/>
      <w:bookmarkStart w:id="887" w:name="_Toc479947661"/>
      <w:bookmarkStart w:id="888" w:name="_Toc478134783"/>
      <w:bookmarkStart w:id="889" w:name="_Toc478459590"/>
      <w:bookmarkStart w:id="890" w:name="_Toc478554796"/>
      <w:bookmarkStart w:id="891" w:name="_Toc478715781"/>
      <w:bookmarkStart w:id="892" w:name="_Toc478730916"/>
      <w:bookmarkStart w:id="893" w:name="_Toc478731708"/>
      <w:bookmarkStart w:id="894" w:name="_Toc479947662"/>
      <w:bookmarkStart w:id="895" w:name="_Toc478134784"/>
      <w:bookmarkStart w:id="896" w:name="_Toc478459591"/>
      <w:bookmarkStart w:id="897" w:name="_Toc478554797"/>
      <w:bookmarkStart w:id="898" w:name="_Toc478715782"/>
      <w:bookmarkStart w:id="899" w:name="_Toc478730917"/>
      <w:bookmarkStart w:id="900" w:name="_Toc478731709"/>
      <w:bookmarkStart w:id="901" w:name="_Toc479947663"/>
      <w:bookmarkStart w:id="902" w:name="_Toc478134785"/>
      <w:bookmarkStart w:id="903" w:name="_Toc478459592"/>
      <w:bookmarkStart w:id="904" w:name="_Toc478554798"/>
      <w:bookmarkStart w:id="905" w:name="_Toc478715783"/>
      <w:bookmarkStart w:id="906" w:name="_Toc478730918"/>
      <w:bookmarkStart w:id="907" w:name="_Toc478731710"/>
      <w:bookmarkStart w:id="908" w:name="_Toc479947664"/>
      <w:bookmarkStart w:id="909" w:name="_Toc478134786"/>
      <w:bookmarkStart w:id="910" w:name="_Toc478459593"/>
      <w:bookmarkStart w:id="911" w:name="_Toc478554799"/>
      <w:bookmarkStart w:id="912" w:name="_Toc478715784"/>
      <w:bookmarkStart w:id="913" w:name="_Toc478730919"/>
      <w:bookmarkStart w:id="914" w:name="_Toc478731711"/>
      <w:bookmarkStart w:id="915" w:name="_Toc479947665"/>
      <w:bookmarkStart w:id="916" w:name="_Toc478134787"/>
      <w:bookmarkStart w:id="917" w:name="_Toc478459594"/>
      <w:bookmarkStart w:id="918" w:name="_Toc478554800"/>
      <w:bookmarkStart w:id="919" w:name="_Toc478715785"/>
      <w:bookmarkStart w:id="920" w:name="_Toc478730920"/>
      <w:bookmarkStart w:id="921" w:name="_Toc478731712"/>
      <w:bookmarkStart w:id="922" w:name="_Toc479947666"/>
      <w:bookmarkStart w:id="923" w:name="_Toc478134788"/>
      <w:bookmarkStart w:id="924" w:name="_Toc478459595"/>
      <w:bookmarkStart w:id="925" w:name="_Toc478554801"/>
      <w:bookmarkStart w:id="926" w:name="_Toc478715786"/>
      <w:bookmarkStart w:id="927" w:name="_Toc478730921"/>
      <w:bookmarkStart w:id="928" w:name="_Toc478731713"/>
      <w:bookmarkStart w:id="929" w:name="_Toc479947667"/>
      <w:bookmarkStart w:id="930" w:name="_Toc462673280"/>
      <w:bookmarkStart w:id="931" w:name="_Toc467835629"/>
      <w:bookmarkStart w:id="932" w:name="_Toc482695301"/>
      <w:bookmarkStart w:id="933" w:name="_Toc510548456"/>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C73365">
        <w:rPr>
          <w:rFonts w:asciiTheme="minorHAnsi" w:hAnsiTheme="minorHAnsi" w:cstheme="minorHAnsi"/>
          <w:sz w:val="22"/>
          <w:lang w:val="fr-FR"/>
        </w:rPr>
        <w:t xml:space="preserve">Rapport du commissaire aux comptes sur le rapport du </w:t>
      </w:r>
      <w:bookmarkEnd w:id="930"/>
      <w:bookmarkEnd w:id="931"/>
      <w:bookmarkEnd w:id="932"/>
      <w:r w:rsidRPr="00C73365">
        <w:rPr>
          <w:rFonts w:asciiTheme="minorHAnsi" w:hAnsiTheme="minorHAnsi" w:cstheme="minorHAnsi"/>
          <w:sz w:val="22"/>
          <w:lang w:val="fr-FR"/>
        </w:rPr>
        <w:t>conseil d’administration sur le gouvernement d’entreprise</w:t>
      </w:r>
      <w:bookmarkEnd w:id="933"/>
    </w:p>
    <w:p w14:paraId="621B39DF" w14:textId="77777777" w:rsidR="00B740A8" w:rsidRPr="00C73365" w:rsidRDefault="00B740A8" w:rsidP="00B740A8">
      <w:pPr>
        <w:pStyle w:val="ConmainL2"/>
        <w:numPr>
          <w:ilvl w:val="0"/>
          <w:numId w:val="0"/>
        </w:numPr>
        <w:outlineLvl w:val="9"/>
        <w:rPr>
          <w:rFonts w:asciiTheme="minorHAnsi" w:hAnsiTheme="minorHAnsi" w:cstheme="minorHAnsi"/>
          <w:b w:val="0"/>
          <w:sz w:val="22"/>
          <w:lang w:val="fr-FR"/>
        </w:rPr>
      </w:pPr>
      <w:r w:rsidRPr="00C73365">
        <w:rPr>
          <w:rFonts w:asciiTheme="minorHAnsi" w:hAnsiTheme="minorHAnsi" w:cstheme="minorHAnsi"/>
          <w:b w:val="0"/>
          <w:sz w:val="22"/>
          <w:lang w:val="fr-FR"/>
        </w:rPr>
        <w:t>[</w:t>
      </w:r>
      <w:r w:rsidRPr="00C73365">
        <w:rPr>
          <w:rFonts w:asciiTheme="minorHAnsi" w:hAnsiTheme="minorHAnsi" w:cstheme="minorHAnsi"/>
          <w:i/>
          <w:sz w:val="22"/>
          <w:highlight w:val="yellow"/>
          <w:lang w:val="fr-FR"/>
        </w:rPr>
        <w:t>A insérer</w:t>
      </w:r>
      <w:r w:rsidRPr="00C73365">
        <w:rPr>
          <w:rFonts w:asciiTheme="minorHAnsi" w:hAnsiTheme="minorHAnsi" w:cstheme="minorHAnsi"/>
          <w:b w:val="0"/>
          <w:sz w:val="22"/>
          <w:lang w:val="fr-FR"/>
        </w:rPr>
        <w:t>]</w:t>
      </w:r>
    </w:p>
    <w:p w14:paraId="498818A5" w14:textId="77777777"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bookmarkStart w:id="934" w:name="_Toc401594120"/>
    </w:p>
    <w:p w14:paraId="05265CB8" w14:textId="77777777"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14:paraId="2BBFAC1A" w14:textId="77777777"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14:paraId="733A3031" w14:textId="77777777"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14:paraId="1A57C456" w14:textId="77777777"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14:paraId="3413C686" w14:textId="77777777"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14:paraId="75B3CDC1" w14:textId="77777777"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14:paraId="0DE96578" w14:textId="77777777"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14:paraId="4DE665EA" w14:textId="77777777" w:rsidR="00B740A8" w:rsidRPr="00C73365" w:rsidRDefault="00B740A8" w:rsidP="00B740A8">
      <w:pPr>
        <w:spacing w:after="160" w:line="259" w:lineRule="auto"/>
        <w:rPr>
          <w:rFonts w:asciiTheme="minorHAnsi" w:hAnsiTheme="minorHAnsi" w:cstheme="minorHAnsi"/>
          <w:b/>
          <w:szCs w:val="20"/>
          <w:lang w:val="fr-FR" w:eastAsia="fr-FR"/>
        </w:rPr>
      </w:pPr>
      <w:r w:rsidRPr="00C73365">
        <w:rPr>
          <w:rFonts w:asciiTheme="minorHAnsi" w:hAnsiTheme="minorHAnsi" w:cstheme="minorHAnsi"/>
          <w:lang w:val="fr-FR" w:eastAsia="fr-FR"/>
        </w:rPr>
        <w:br w:type="page"/>
      </w:r>
    </w:p>
    <w:p w14:paraId="1AE09A20" w14:textId="77777777" w:rsidR="00B740A8" w:rsidRPr="00C73365" w:rsidRDefault="00B740A8" w:rsidP="00B740A8">
      <w:pPr>
        <w:pStyle w:val="ConmainL1"/>
        <w:numPr>
          <w:ilvl w:val="0"/>
          <w:numId w:val="9"/>
        </w:numPr>
        <w:rPr>
          <w:rFonts w:asciiTheme="minorHAnsi" w:hAnsiTheme="minorHAnsi" w:cstheme="minorHAnsi"/>
          <w:sz w:val="22"/>
          <w:lang w:val="fr-FR"/>
        </w:rPr>
      </w:pPr>
      <w:bookmarkStart w:id="935" w:name="_Toc462673281"/>
      <w:bookmarkStart w:id="936" w:name="_Toc467835630"/>
      <w:bookmarkStart w:id="937" w:name="_Toc482695303"/>
      <w:bookmarkStart w:id="938" w:name="_Toc510548457"/>
      <w:r w:rsidRPr="00C73365">
        <w:rPr>
          <w:rFonts w:asciiTheme="minorHAnsi" w:hAnsiTheme="minorHAnsi" w:cstheme="minorHAnsi"/>
          <w:sz w:val="22"/>
          <w:lang w:val="fr-FR"/>
        </w:rPr>
        <w:lastRenderedPageBreak/>
        <w:t>SALARIES</w:t>
      </w:r>
      <w:bookmarkEnd w:id="935"/>
      <w:bookmarkEnd w:id="936"/>
      <w:bookmarkEnd w:id="937"/>
      <w:bookmarkEnd w:id="938"/>
      <w:r w:rsidRPr="00C73365">
        <w:rPr>
          <w:rFonts w:asciiTheme="minorHAnsi" w:hAnsiTheme="minorHAnsi" w:cstheme="minorHAnsi"/>
          <w:sz w:val="22"/>
          <w:lang w:val="fr-FR"/>
        </w:rPr>
        <w:t xml:space="preserve"> </w:t>
      </w:r>
    </w:p>
    <w:p w14:paraId="3585887B" w14:textId="01AB7B47"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39" w:name="_Toc462673282"/>
      <w:bookmarkStart w:id="940" w:name="_Toc467835631"/>
      <w:bookmarkStart w:id="941" w:name="_Toc482695304"/>
      <w:bookmarkStart w:id="942" w:name="_Toc510548458"/>
      <w:r w:rsidRPr="00C73365">
        <w:rPr>
          <w:rFonts w:asciiTheme="minorHAnsi" w:hAnsiTheme="minorHAnsi" w:cstheme="minorHAnsi"/>
          <w:sz w:val="22"/>
          <w:lang w:val="fr-FR"/>
        </w:rPr>
        <w:t>Ressources humaines</w:t>
      </w:r>
      <w:bookmarkEnd w:id="934"/>
      <w:bookmarkEnd w:id="939"/>
      <w:bookmarkEnd w:id="940"/>
      <w:bookmarkEnd w:id="941"/>
      <w:bookmarkEnd w:id="942"/>
    </w:p>
    <w:p w14:paraId="5ED19BC4" w14:textId="77777777"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14:paraId="2A519A2D" w14:textId="77777777"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bookmarkStart w:id="943" w:name="_Toc290245387"/>
      <w:bookmarkStart w:id="944" w:name="_Toc290293310"/>
      <w:bookmarkStart w:id="945" w:name="_Toc290294944"/>
      <w:bookmarkStart w:id="946" w:name="_Toc291712712"/>
      <w:bookmarkStart w:id="947" w:name="_Toc292267550"/>
      <w:bookmarkStart w:id="948" w:name="_Toc292876470"/>
      <w:bookmarkStart w:id="949" w:name="_Toc293328306"/>
      <w:bookmarkStart w:id="950" w:name="_Toc299092993"/>
      <w:bookmarkStart w:id="951" w:name="_Toc299094478"/>
      <w:r w:rsidRPr="00C73365">
        <w:rPr>
          <w:rFonts w:asciiTheme="minorHAnsi" w:hAnsiTheme="minorHAnsi" w:cstheme="minorHAnsi"/>
          <w:b/>
          <w:color w:val="7030A0"/>
          <w:lang w:val="fr-FR"/>
        </w:rPr>
        <w:t xml:space="preserve">Organigramme opérationnel à la date d’enregistrement du présent document de </w:t>
      </w:r>
      <w:bookmarkEnd w:id="943"/>
      <w:bookmarkEnd w:id="944"/>
      <w:bookmarkEnd w:id="945"/>
      <w:bookmarkEnd w:id="946"/>
      <w:bookmarkEnd w:id="947"/>
      <w:bookmarkEnd w:id="948"/>
      <w:bookmarkEnd w:id="949"/>
      <w:bookmarkEnd w:id="950"/>
      <w:bookmarkEnd w:id="951"/>
      <w:r w:rsidRPr="00C73365">
        <w:rPr>
          <w:rFonts w:asciiTheme="minorHAnsi" w:hAnsiTheme="minorHAnsi" w:cstheme="minorHAnsi"/>
          <w:b/>
          <w:color w:val="7030A0"/>
          <w:lang w:val="fr-FR"/>
        </w:rPr>
        <w:t>référence</w:t>
      </w:r>
    </w:p>
    <w:p w14:paraId="17948060" w14:textId="77777777" w:rsidR="00F14A52" w:rsidRPr="00C73365" w:rsidRDefault="00F14A52" w:rsidP="00F14A52">
      <w:pPr>
        <w:rPr>
          <w:rFonts w:asciiTheme="minorHAnsi" w:hAnsiTheme="minorHAnsi" w:cstheme="minorHAnsi"/>
          <w:lang w:val="fr-FR"/>
        </w:rPr>
      </w:pPr>
    </w:p>
    <w:p w14:paraId="370D960D" w14:textId="77777777" w:rsidR="00F14A52" w:rsidRPr="00C73365" w:rsidRDefault="00F14A52" w:rsidP="004572A0">
      <w:pPr>
        <w:pStyle w:val="Corpsdetexte"/>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l’organigramme fonctionnel de la Société est le suivant :</w:t>
      </w:r>
    </w:p>
    <w:p w14:paraId="1F424CE3" w14:textId="77777777" w:rsidR="005C36A7" w:rsidRDefault="005C36A7" w:rsidP="004572A0">
      <w:pPr>
        <w:pStyle w:val="Corpsdetexte"/>
        <w:rPr>
          <w:rFonts w:asciiTheme="minorHAnsi" w:hAnsiTheme="minorHAnsi" w:cstheme="minorHAnsi"/>
          <w:lang w:val="fr-FR"/>
        </w:rPr>
      </w:pPr>
      <w:r w:rsidRPr="00F06B5C">
        <w:rPr>
          <w:rFonts w:asciiTheme="minorHAnsi" w:hAnsiTheme="minorHAnsi" w:cstheme="minorHAnsi"/>
          <w:b/>
          <w:noProof/>
          <w:lang w:val="fr-FR" w:eastAsia="fr-FR"/>
        </w:rPr>
        <w:drawing>
          <wp:inline distT="0" distB="0" distL="0" distR="0" wp14:anchorId="68A293AA" wp14:editId="4007BE0B">
            <wp:extent cx="6120765" cy="2954020"/>
            <wp:effectExtent l="38100" t="0" r="89535" b="0"/>
            <wp:docPr id="20" name="Diagramme 20">
              <a:extLst xmlns:a="http://schemas.openxmlformats.org/drawingml/2006/main">
                <a:ext uri="{FF2B5EF4-FFF2-40B4-BE49-F238E27FC236}">
                  <a16:creationId xmlns:a16="http://schemas.microsoft.com/office/drawing/2014/main" id="{B81C9680-E0BB-4EF9-8E49-DA0712372C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4D8C63FA" w14:textId="77777777" w:rsidR="00F14A52" w:rsidRPr="00C73365" w:rsidRDefault="00F14A52" w:rsidP="004572A0">
      <w:pPr>
        <w:pStyle w:val="Corpsdetexte"/>
        <w:rPr>
          <w:rFonts w:asciiTheme="minorHAnsi" w:hAnsiTheme="minorHAnsi" w:cstheme="minorHAnsi"/>
          <w:lang w:val="fr-FR"/>
        </w:rPr>
      </w:pPr>
      <w:r w:rsidRPr="00C73365">
        <w:rPr>
          <w:rFonts w:asciiTheme="minorHAnsi" w:hAnsiTheme="minorHAnsi" w:cstheme="minorHAnsi"/>
          <w:lang w:val="fr-FR"/>
        </w:rPr>
        <w:t>Les principaux managers de la Société bénéficient tous d’une grande expérience dans le management de l’innovation technologique et la R&amp;D. Leurs expériences sont résumées au paragraphe 6.4.2 du présent document de référence.</w:t>
      </w:r>
    </w:p>
    <w:p w14:paraId="1DE43A8D" w14:textId="77777777" w:rsidR="00B740A8" w:rsidRPr="00C73365" w:rsidRDefault="00B740A8" w:rsidP="00B740A8">
      <w:pPr>
        <w:pStyle w:val="ConmainL3"/>
        <w:numPr>
          <w:ilvl w:val="2"/>
          <w:numId w:val="9"/>
        </w:numPr>
        <w:spacing w:after="0"/>
        <w:ind w:left="1440"/>
        <w:rPr>
          <w:rFonts w:asciiTheme="minorHAnsi" w:hAnsiTheme="minorHAnsi" w:cstheme="minorHAnsi"/>
          <w:szCs w:val="20"/>
          <w:lang w:val="fr-FR"/>
        </w:rPr>
      </w:pPr>
      <w:bookmarkStart w:id="952" w:name="_Toc290245389"/>
      <w:bookmarkStart w:id="953" w:name="_Toc290293312"/>
      <w:bookmarkStart w:id="954" w:name="_Toc290294946"/>
      <w:bookmarkStart w:id="955" w:name="_Toc291712714"/>
      <w:bookmarkStart w:id="956" w:name="_Toc292267552"/>
      <w:bookmarkStart w:id="957" w:name="_Toc292876472"/>
      <w:bookmarkStart w:id="958" w:name="_Toc293328308"/>
      <w:bookmarkStart w:id="959" w:name="_Toc299092994"/>
      <w:bookmarkStart w:id="960" w:name="_Toc299094479"/>
      <w:r w:rsidRPr="00C73365">
        <w:rPr>
          <w:rFonts w:asciiTheme="minorHAnsi" w:hAnsiTheme="minorHAnsi" w:cstheme="minorHAnsi"/>
          <w:b/>
          <w:color w:val="7030A0"/>
          <w:lang w:val="fr-FR"/>
        </w:rPr>
        <w:t>Nombre et répartition des effectifs</w:t>
      </w:r>
      <w:bookmarkStart w:id="961" w:name="_Toc301551487"/>
      <w:bookmarkStart w:id="962" w:name="_Toc301891850"/>
      <w:bookmarkStart w:id="963" w:name="_Toc302047140"/>
      <w:bookmarkStart w:id="964" w:name="_Toc302066572"/>
      <w:bookmarkStart w:id="965" w:name="_Toc302394363"/>
      <w:bookmarkStart w:id="966" w:name="_Toc302414423"/>
      <w:bookmarkStart w:id="967" w:name="_Toc302584365"/>
      <w:bookmarkStart w:id="968" w:name="_Toc302673712"/>
      <w:bookmarkEnd w:id="952"/>
      <w:bookmarkEnd w:id="953"/>
      <w:bookmarkEnd w:id="954"/>
      <w:bookmarkEnd w:id="955"/>
      <w:bookmarkEnd w:id="956"/>
      <w:bookmarkEnd w:id="957"/>
      <w:bookmarkEnd w:id="958"/>
      <w:bookmarkEnd w:id="959"/>
      <w:bookmarkEnd w:id="960"/>
    </w:p>
    <w:p w14:paraId="57A6E6B3" w14:textId="77777777" w:rsidR="00F14A52" w:rsidRPr="00C73365" w:rsidRDefault="00F14A52" w:rsidP="00F14A52">
      <w:pPr>
        <w:rPr>
          <w:rFonts w:asciiTheme="minorHAnsi" w:hAnsiTheme="minorHAnsi" w:cstheme="minorHAnsi"/>
          <w:highlight w:val="yellow"/>
          <w:lang w:val="fr-FR"/>
        </w:rPr>
      </w:pPr>
    </w:p>
    <w:p w14:paraId="38ED32B3" w14:textId="77777777" w:rsidR="00F14A52" w:rsidRPr="00C73365" w:rsidRDefault="00F14A52" w:rsidP="004572A0">
      <w:pPr>
        <w:pStyle w:val="Corpsdetexte"/>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l’effectif de la Société se chiffre à 2</w:t>
      </w:r>
      <w:r w:rsidR="00D468B1" w:rsidRPr="00C73365">
        <w:rPr>
          <w:rFonts w:asciiTheme="minorHAnsi" w:hAnsiTheme="minorHAnsi" w:cstheme="minorHAnsi"/>
          <w:lang w:val="fr-FR"/>
        </w:rPr>
        <w:t>3</w:t>
      </w:r>
      <w:r w:rsidRPr="00C73365">
        <w:rPr>
          <w:rFonts w:asciiTheme="minorHAnsi" w:hAnsiTheme="minorHAnsi" w:cstheme="minorHAnsi"/>
          <w:lang w:val="fr-FR"/>
        </w:rPr>
        <w:t xml:space="preserve"> salariés.</w:t>
      </w:r>
    </w:p>
    <w:tbl>
      <w:tblPr>
        <w:tblW w:w="3163" w:type="dxa"/>
        <w:tblInd w:w="2832" w:type="dxa"/>
        <w:tblCellMar>
          <w:left w:w="70" w:type="dxa"/>
          <w:right w:w="70" w:type="dxa"/>
        </w:tblCellMar>
        <w:tblLook w:val="04A0" w:firstRow="1" w:lastRow="0" w:firstColumn="1" w:lastColumn="0" w:noHBand="0" w:noVBand="1"/>
      </w:tblPr>
      <w:tblGrid>
        <w:gridCol w:w="1922"/>
        <w:gridCol w:w="1241"/>
      </w:tblGrid>
      <w:tr w:rsidR="00F14A52" w:rsidRPr="00C73365" w14:paraId="4E48ABD6" w14:textId="77777777" w:rsidTr="00D468B1">
        <w:trPr>
          <w:trHeight w:val="630"/>
        </w:trPr>
        <w:tc>
          <w:tcPr>
            <w:tcW w:w="1922" w:type="dxa"/>
            <w:tcBorders>
              <w:top w:val="single" w:sz="12" w:space="0" w:color="7030A0"/>
              <w:left w:val="nil"/>
              <w:bottom w:val="single" w:sz="8" w:space="0" w:color="7030A0"/>
              <w:right w:val="nil"/>
            </w:tcBorders>
            <w:shd w:val="clear" w:color="auto" w:fill="auto"/>
            <w:vAlign w:val="center"/>
            <w:hideMark/>
          </w:tcPr>
          <w:p w14:paraId="7EBED66A" w14:textId="77777777"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Effectifs à date</w:t>
            </w:r>
          </w:p>
        </w:tc>
        <w:tc>
          <w:tcPr>
            <w:tcW w:w="1241" w:type="dxa"/>
            <w:tcBorders>
              <w:top w:val="single" w:sz="12" w:space="0" w:color="7030A0"/>
              <w:left w:val="nil"/>
              <w:bottom w:val="single" w:sz="8" w:space="0" w:color="7030A0"/>
              <w:right w:val="nil"/>
            </w:tcBorders>
            <w:shd w:val="clear" w:color="auto" w:fill="auto"/>
            <w:vAlign w:val="center"/>
            <w:hideMark/>
          </w:tcPr>
          <w:p w14:paraId="7A349518" w14:textId="77777777"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Mars-18</w:t>
            </w:r>
          </w:p>
        </w:tc>
      </w:tr>
      <w:tr w:rsidR="00F14A52" w:rsidRPr="00C73365" w14:paraId="7E98C0FA" w14:textId="77777777" w:rsidTr="00D468B1">
        <w:trPr>
          <w:trHeight w:val="154"/>
        </w:trPr>
        <w:tc>
          <w:tcPr>
            <w:tcW w:w="1922" w:type="dxa"/>
            <w:tcBorders>
              <w:top w:val="nil"/>
              <w:left w:val="nil"/>
              <w:bottom w:val="nil"/>
              <w:right w:val="nil"/>
            </w:tcBorders>
            <w:shd w:val="clear" w:color="auto" w:fill="auto"/>
            <w:vAlign w:val="center"/>
            <w:hideMark/>
          </w:tcPr>
          <w:p w14:paraId="54F4FCCB" w14:textId="77777777"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241" w:type="dxa"/>
            <w:tcBorders>
              <w:top w:val="nil"/>
              <w:left w:val="nil"/>
              <w:bottom w:val="nil"/>
              <w:right w:val="nil"/>
            </w:tcBorders>
            <w:shd w:val="clear" w:color="auto" w:fill="auto"/>
            <w:vAlign w:val="center"/>
            <w:hideMark/>
          </w:tcPr>
          <w:p w14:paraId="5592DF99" w14:textId="77777777"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w:t>
            </w:r>
          </w:p>
        </w:tc>
      </w:tr>
      <w:tr w:rsidR="00F14A52" w:rsidRPr="00C73365" w14:paraId="74C21628" w14:textId="77777777" w:rsidTr="00D468B1">
        <w:trPr>
          <w:trHeight w:val="154"/>
        </w:trPr>
        <w:tc>
          <w:tcPr>
            <w:tcW w:w="1922" w:type="dxa"/>
            <w:tcBorders>
              <w:top w:val="nil"/>
              <w:left w:val="nil"/>
              <w:right w:val="nil"/>
            </w:tcBorders>
            <w:shd w:val="clear" w:color="auto" w:fill="auto"/>
            <w:vAlign w:val="center"/>
            <w:hideMark/>
          </w:tcPr>
          <w:p w14:paraId="45303334" w14:textId="77777777"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241" w:type="dxa"/>
            <w:tcBorders>
              <w:top w:val="nil"/>
              <w:left w:val="nil"/>
              <w:right w:val="nil"/>
            </w:tcBorders>
            <w:shd w:val="clear" w:color="auto" w:fill="auto"/>
            <w:vAlign w:val="center"/>
            <w:hideMark/>
          </w:tcPr>
          <w:p w14:paraId="65291972" w14:textId="77777777"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F14A52" w:rsidRPr="00C73365" w14:paraId="531ED933" w14:textId="77777777" w:rsidTr="00D468B1">
        <w:trPr>
          <w:trHeight w:val="193"/>
        </w:trPr>
        <w:tc>
          <w:tcPr>
            <w:tcW w:w="1922" w:type="dxa"/>
            <w:tcBorders>
              <w:top w:val="nil"/>
              <w:left w:val="nil"/>
              <w:bottom w:val="single" w:sz="4" w:space="0" w:color="7030A0"/>
              <w:right w:val="nil"/>
            </w:tcBorders>
            <w:shd w:val="clear" w:color="auto" w:fill="auto"/>
            <w:vAlign w:val="center"/>
            <w:hideMark/>
          </w:tcPr>
          <w:p w14:paraId="54D90460" w14:textId="77777777"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 social</w:t>
            </w:r>
          </w:p>
        </w:tc>
        <w:tc>
          <w:tcPr>
            <w:tcW w:w="1241" w:type="dxa"/>
            <w:tcBorders>
              <w:top w:val="nil"/>
              <w:left w:val="nil"/>
              <w:bottom w:val="single" w:sz="4" w:space="0" w:color="7030A0"/>
              <w:right w:val="nil"/>
            </w:tcBorders>
            <w:shd w:val="clear" w:color="auto" w:fill="auto"/>
            <w:vAlign w:val="center"/>
            <w:hideMark/>
          </w:tcPr>
          <w:p w14:paraId="2489BCDB" w14:textId="77777777"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F14A52" w:rsidRPr="00C73365" w14:paraId="26FF7EE1" w14:textId="77777777" w:rsidTr="00D468B1">
        <w:trPr>
          <w:trHeight w:val="368"/>
        </w:trPr>
        <w:tc>
          <w:tcPr>
            <w:tcW w:w="1922" w:type="dxa"/>
            <w:tcBorders>
              <w:top w:val="single" w:sz="4" w:space="0" w:color="7030A0"/>
              <w:left w:val="nil"/>
              <w:bottom w:val="single" w:sz="8" w:space="0" w:color="7030A0"/>
              <w:right w:val="nil"/>
            </w:tcBorders>
            <w:shd w:val="clear" w:color="auto" w:fill="auto"/>
            <w:noWrap/>
            <w:vAlign w:val="center"/>
            <w:hideMark/>
          </w:tcPr>
          <w:p w14:paraId="617F69D8" w14:textId="77777777" w:rsidR="00F14A52" w:rsidRPr="00C73365" w:rsidRDefault="00F14A52" w:rsidP="00D468B1">
            <w:pPr>
              <w:jc w:val="center"/>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 Positions</w:t>
            </w:r>
          </w:p>
        </w:tc>
        <w:tc>
          <w:tcPr>
            <w:tcW w:w="1241" w:type="dxa"/>
            <w:tcBorders>
              <w:top w:val="single" w:sz="4" w:space="0" w:color="7030A0"/>
              <w:left w:val="nil"/>
              <w:bottom w:val="single" w:sz="8" w:space="0" w:color="7030A0"/>
              <w:right w:val="nil"/>
            </w:tcBorders>
            <w:shd w:val="clear" w:color="auto" w:fill="auto"/>
            <w:vAlign w:val="center"/>
            <w:hideMark/>
          </w:tcPr>
          <w:p w14:paraId="700C6805" w14:textId="77777777" w:rsidR="00F14A52" w:rsidRPr="00C73365" w:rsidRDefault="00F14A52" w:rsidP="00D468B1">
            <w:pPr>
              <w:jc w:val="center"/>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23</w:t>
            </w:r>
          </w:p>
        </w:tc>
      </w:tr>
    </w:tbl>
    <w:p w14:paraId="32B34958" w14:textId="77777777" w:rsidR="00F14A52" w:rsidRPr="00C73365" w:rsidRDefault="00F14A52" w:rsidP="00D468B1">
      <w:pPr>
        <w:ind w:left="2832"/>
        <w:jc w:val="center"/>
        <w:rPr>
          <w:rFonts w:asciiTheme="minorHAnsi" w:hAnsiTheme="minorHAnsi" w:cstheme="minorHAnsi"/>
          <w:b/>
          <w:color w:val="7030A0"/>
          <w:szCs w:val="20"/>
          <w:lang w:val="fr-FR" w:bidi="fr-FR"/>
        </w:rPr>
      </w:pPr>
    </w:p>
    <w:tbl>
      <w:tblPr>
        <w:tblW w:w="3158" w:type="dxa"/>
        <w:tblInd w:w="2832" w:type="dxa"/>
        <w:tblCellMar>
          <w:left w:w="70" w:type="dxa"/>
          <w:right w:w="70" w:type="dxa"/>
        </w:tblCellMar>
        <w:tblLook w:val="04A0" w:firstRow="1" w:lastRow="0" w:firstColumn="1" w:lastColumn="0" w:noHBand="0" w:noVBand="1"/>
      </w:tblPr>
      <w:tblGrid>
        <w:gridCol w:w="1967"/>
        <w:gridCol w:w="1191"/>
      </w:tblGrid>
      <w:tr w:rsidR="00F14A52" w:rsidRPr="00C73365" w14:paraId="1C720AF8" w14:textId="77777777" w:rsidTr="00D468B1">
        <w:trPr>
          <w:trHeight w:val="680"/>
        </w:trPr>
        <w:tc>
          <w:tcPr>
            <w:tcW w:w="1967" w:type="dxa"/>
            <w:tcBorders>
              <w:top w:val="single" w:sz="12" w:space="0" w:color="7030A0"/>
              <w:left w:val="nil"/>
              <w:bottom w:val="single" w:sz="8" w:space="0" w:color="7030A0"/>
              <w:right w:val="nil"/>
            </w:tcBorders>
            <w:shd w:val="clear" w:color="auto" w:fill="auto"/>
            <w:vAlign w:val="center"/>
            <w:hideMark/>
          </w:tcPr>
          <w:p w14:paraId="23117303" w14:textId="77777777"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b/>
                <w:color w:val="000000"/>
                <w:szCs w:val="20"/>
                <w:lang w:val="fr-FR" w:eastAsia="fr-FR"/>
              </w:rPr>
              <w:t>Effectifs par site</w:t>
            </w:r>
          </w:p>
        </w:tc>
        <w:tc>
          <w:tcPr>
            <w:tcW w:w="1191" w:type="dxa"/>
            <w:tcBorders>
              <w:top w:val="single" w:sz="12" w:space="0" w:color="7030A0"/>
              <w:left w:val="nil"/>
              <w:bottom w:val="single" w:sz="8" w:space="0" w:color="7030A0"/>
              <w:right w:val="nil"/>
            </w:tcBorders>
            <w:shd w:val="clear" w:color="auto" w:fill="auto"/>
            <w:vAlign w:val="center"/>
            <w:hideMark/>
          </w:tcPr>
          <w:p w14:paraId="6F75FCD9" w14:textId="77777777"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Mars-18</w:t>
            </w:r>
          </w:p>
        </w:tc>
      </w:tr>
      <w:tr w:rsidR="00F14A52" w:rsidRPr="00C73365" w14:paraId="49890C22" w14:textId="77777777" w:rsidTr="00D468B1">
        <w:trPr>
          <w:trHeight w:val="180"/>
        </w:trPr>
        <w:tc>
          <w:tcPr>
            <w:tcW w:w="1967" w:type="dxa"/>
            <w:tcBorders>
              <w:top w:val="nil"/>
              <w:left w:val="nil"/>
              <w:bottom w:val="nil"/>
              <w:right w:val="nil"/>
            </w:tcBorders>
            <w:shd w:val="clear" w:color="auto" w:fill="auto"/>
            <w:noWrap/>
            <w:vAlign w:val="center"/>
            <w:hideMark/>
          </w:tcPr>
          <w:p w14:paraId="5E1B8291" w14:textId="77777777"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191" w:type="dxa"/>
            <w:tcBorders>
              <w:top w:val="nil"/>
              <w:left w:val="nil"/>
              <w:bottom w:val="nil"/>
              <w:right w:val="nil"/>
            </w:tcBorders>
            <w:shd w:val="clear" w:color="auto" w:fill="auto"/>
            <w:vAlign w:val="center"/>
            <w:hideMark/>
          </w:tcPr>
          <w:p w14:paraId="606CD089" w14:textId="77777777"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w:t>
            </w:r>
          </w:p>
        </w:tc>
      </w:tr>
      <w:tr w:rsidR="00F14A52" w:rsidRPr="00C73365" w14:paraId="45B6BB6D" w14:textId="77777777" w:rsidTr="00D468B1">
        <w:trPr>
          <w:trHeight w:val="180"/>
        </w:trPr>
        <w:tc>
          <w:tcPr>
            <w:tcW w:w="1967" w:type="dxa"/>
            <w:tcBorders>
              <w:top w:val="nil"/>
              <w:left w:val="nil"/>
              <w:bottom w:val="nil"/>
              <w:right w:val="nil"/>
            </w:tcBorders>
            <w:shd w:val="clear" w:color="auto" w:fill="auto"/>
            <w:noWrap/>
            <w:vAlign w:val="center"/>
            <w:hideMark/>
          </w:tcPr>
          <w:p w14:paraId="29A35190" w14:textId="77777777"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191" w:type="dxa"/>
            <w:tcBorders>
              <w:top w:val="nil"/>
              <w:left w:val="nil"/>
              <w:bottom w:val="nil"/>
              <w:right w:val="nil"/>
            </w:tcBorders>
            <w:shd w:val="clear" w:color="auto" w:fill="auto"/>
            <w:vAlign w:val="center"/>
            <w:hideMark/>
          </w:tcPr>
          <w:p w14:paraId="797CD9A6" w14:textId="77777777"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p>
        </w:tc>
      </w:tr>
    </w:tbl>
    <w:p w14:paraId="0E4123D6" w14:textId="77777777" w:rsidR="00B740A8" w:rsidRPr="00C73365" w:rsidRDefault="00B740A8" w:rsidP="00B740A8">
      <w:pPr>
        <w:pStyle w:val="ConmainL3"/>
        <w:tabs>
          <w:tab w:val="clear" w:pos="360"/>
        </w:tabs>
        <w:spacing w:after="0"/>
        <w:outlineLvl w:val="9"/>
        <w:rPr>
          <w:rFonts w:asciiTheme="minorHAnsi" w:hAnsiTheme="minorHAnsi" w:cstheme="minorHAnsi"/>
          <w:szCs w:val="20"/>
          <w:lang w:val="fr-FR"/>
        </w:rPr>
      </w:pPr>
    </w:p>
    <w:bookmarkEnd w:id="961"/>
    <w:bookmarkEnd w:id="962"/>
    <w:bookmarkEnd w:id="963"/>
    <w:bookmarkEnd w:id="964"/>
    <w:bookmarkEnd w:id="965"/>
    <w:bookmarkEnd w:id="966"/>
    <w:bookmarkEnd w:id="967"/>
    <w:bookmarkEnd w:id="968"/>
    <w:p w14:paraId="7408770C" w14:textId="77777777"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Représentation du personnel</w:t>
      </w:r>
    </w:p>
    <w:p w14:paraId="03CBEAF1" w14:textId="77777777" w:rsidR="00B740A8" w:rsidRPr="00C73365" w:rsidRDefault="00B740A8" w:rsidP="00B740A8">
      <w:pPr>
        <w:rPr>
          <w:rFonts w:asciiTheme="minorHAnsi" w:hAnsiTheme="minorHAnsi" w:cstheme="minorHAnsi"/>
          <w:lang w:val="fr-FR"/>
        </w:rPr>
      </w:pPr>
    </w:p>
    <w:p w14:paraId="4100E276" w14:textId="77777777"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69" w:name="_Toc401594121"/>
      <w:bookmarkStart w:id="970" w:name="_Toc462673283"/>
      <w:bookmarkStart w:id="971" w:name="_Toc467835632"/>
      <w:bookmarkStart w:id="972" w:name="_Toc482695305"/>
      <w:bookmarkStart w:id="973" w:name="_Toc510548459"/>
      <w:r w:rsidRPr="00C73365">
        <w:rPr>
          <w:rFonts w:asciiTheme="minorHAnsi" w:hAnsiTheme="minorHAnsi" w:cstheme="minorHAnsi"/>
          <w:sz w:val="22"/>
          <w:lang w:val="fr-FR"/>
        </w:rPr>
        <w:lastRenderedPageBreak/>
        <w:t>Participations et stock-options des mandataires sociaux</w:t>
      </w:r>
      <w:bookmarkEnd w:id="969"/>
      <w:bookmarkEnd w:id="970"/>
      <w:bookmarkEnd w:id="971"/>
      <w:bookmarkEnd w:id="972"/>
      <w:bookmarkEnd w:id="973"/>
    </w:p>
    <w:p w14:paraId="59FCAA93" w14:textId="77777777"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14:paraId="4D289DD9"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Il est envoyé aux sections 15.3 « Actions attribuées gratuitement, bons de souscription d’actions et options de souscription d’actions attribués aux mandataires sociaux » et 18.1 « Répartition du capital et des droits de vote ».</w:t>
      </w:r>
    </w:p>
    <w:p w14:paraId="2A3C5C82" w14:textId="77777777" w:rsidR="00B740A8" w:rsidRPr="00C73365" w:rsidRDefault="00B740A8" w:rsidP="00B740A8">
      <w:pPr>
        <w:pStyle w:val="ConmainL2"/>
        <w:numPr>
          <w:ilvl w:val="1"/>
          <w:numId w:val="9"/>
        </w:numPr>
        <w:rPr>
          <w:rFonts w:asciiTheme="minorHAnsi" w:hAnsiTheme="minorHAnsi" w:cstheme="minorHAnsi"/>
          <w:sz w:val="22"/>
          <w:lang w:val="fr-FR"/>
        </w:rPr>
      </w:pPr>
      <w:bookmarkStart w:id="974" w:name="_Toc401594122"/>
      <w:bookmarkStart w:id="975" w:name="_Toc462673284"/>
      <w:bookmarkStart w:id="976" w:name="_Toc467835633"/>
      <w:bookmarkStart w:id="977" w:name="_Toc482695306"/>
      <w:bookmarkStart w:id="978" w:name="_Toc510548460"/>
      <w:r w:rsidRPr="00C73365">
        <w:rPr>
          <w:rFonts w:asciiTheme="minorHAnsi" w:hAnsiTheme="minorHAnsi" w:cstheme="minorHAnsi"/>
          <w:sz w:val="22"/>
          <w:lang w:val="fr-FR"/>
        </w:rPr>
        <w:t>Participation des salariés dans le capital de la Société</w:t>
      </w:r>
      <w:bookmarkEnd w:id="974"/>
      <w:bookmarkEnd w:id="975"/>
      <w:bookmarkEnd w:id="976"/>
      <w:bookmarkEnd w:id="977"/>
      <w:bookmarkEnd w:id="978"/>
    </w:p>
    <w:p w14:paraId="68B5B66C"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certains salariés détiennent des actions de la Société.</w:t>
      </w:r>
    </w:p>
    <w:p w14:paraId="1E244D37" w14:textId="4749AB94"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Certains salariés sont également titulaires de BSPCE pouvant leur conférer au total une participation de 4,29% du capital social de la Société, au 31 mars 2018, sur une base du capital pleinement diluée (c’est-à-dire en tenant compte en sus des 9.904.231 actions émises par la Société, de l’exercice de l’intégralité des BSPCE donnant à leurs titulaires le droit de souscrire à 1 251 581 actions de la Société et l’intégralité des BSA donnant à leurs titulaires le droit de souscrire à 447 784 actions de la Société dont le détail des BSPCE et BSA figure à l’article 21.1.5 «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 xml:space="preserve"> </w:t>
      </w:r>
      <w:r w:rsidRPr="00C73365">
        <w:rPr>
          <w:rFonts w:asciiTheme="minorHAnsi" w:hAnsiTheme="minorHAnsi" w:cstheme="minorHAnsi"/>
          <w:lang w:val="fr-FR"/>
        </w:rPr>
        <w:t>» en cas d’exercice intégral des BSPCE dont ces salariés sont titulaires.</w:t>
      </w:r>
    </w:p>
    <w:p w14:paraId="71B2F3BF" w14:textId="77777777" w:rsidR="00B740A8" w:rsidRPr="00C73365" w:rsidRDefault="00B740A8" w:rsidP="00B740A8">
      <w:pPr>
        <w:pStyle w:val="ConmainL2"/>
        <w:numPr>
          <w:ilvl w:val="1"/>
          <w:numId w:val="9"/>
        </w:numPr>
        <w:rPr>
          <w:rFonts w:asciiTheme="minorHAnsi" w:hAnsiTheme="minorHAnsi" w:cstheme="minorHAnsi"/>
          <w:sz w:val="22"/>
          <w:lang w:val="fr-FR"/>
        </w:rPr>
      </w:pPr>
      <w:bookmarkStart w:id="979" w:name="_Toc401594123"/>
      <w:bookmarkStart w:id="980" w:name="_Toc462673285"/>
      <w:bookmarkStart w:id="981" w:name="_Toc467835634"/>
      <w:bookmarkStart w:id="982" w:name="_Toc482695307"/>
      <w:bookmarkStart w:id="983" w:name="_Toc510548461"/>
      <w:r w:rsidRPr="00C73365">
        <w:rPr>
          <w:rFonts w:asciiTheme="minorHAnsi" w:hAnsiTheme="minorHAnsi" w:cstheme="minorHAnsi"/>
          <w:sz w:val="22"/>
          <w:lang w:val="fr-FR"/>
        </w:rPr>
        <w:t>Contrats d’intéressement et de participation</w:t>
      </w:r>
      <w:bookmarkEnd w:id="979"/>
      <w:bookmarkEnd w:id="980"/>
      <w:bookmarkEnd w:id="981"/>
      <w:bookmarkEnd w:id="982"/>
      <w:bookmarkEnd w:id="983"/>
    </w:p>
    <w:p w14:paraId="793DCC23"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Néant.</w:t>
      </w:r>
      <w:r w:rsidRPr="00C73365">
        <w:rPr>
          <w:rFonts w:asciiTheme="minorHAnsi" w:hAnsiTheme="minorHAnsi" w:cstheme="minorHAnsi"/>
          <w:lang w:val="fr-FR"/>
        </w:rPr>
        <w:br w:type="page"/>
      </w:r>
    </w:p>
    <w:p w14:paraId="52CD4E54" w14:textId="77777777" w:rsidR="00B740A8" w:rsidRPr="00C73365" w:rsidRDefault="00B740A8" w:rsidP="00B740A8">
      <w:pPr>
        <w:pStyle w:val="Paragraphedeliste"/>
        <w:numPr>
          <w:ilvl w:val="0"/>
          <w:numId w:val="9"/>
        </w:numPr>
        <w:spacing w:after="0"/>
        <w:outlineLvl w:val="0"/>
        <w:rPr>
          <w:rFonts w:asciiTheme="minorHAnsi" w:hAnsiTheme="minorHAnsi" w:cstheme="minorHAnsi"/>
          <w:b/>
          <w:sz w:val="22"/>
          <w:lang w:val="fr-FR"/>
        </w:rPr>
      </w:pPr>
      <w:bookmarkStart w:id="984" w:name="_Toc462673286"/>
      <w:bookmarkStart w:id="985" w:name="_Toc467835635"/>
      <w:bookmarkStart w:id="986" w:name="_Toc482695308"/>
      <w:bookmarkStart w:id="987" w:name="_Toc510548462"/>
      <w:r w:rsidRPr="00C73365">
        <w:rPr>
          <w:rFonts w:asciiTheme="minorHAnsi" w:hAnsiTheme="minorHAnsi" w:cstheme="minorHAnsi"/>
          <w:b/>
          <w:sz w:val="22"/>
          <w:lang w:val="fr-FR"/>
        </w:rPr>
        <w:lastRenderedPageBreak/>
        <w:t>PRINCIPAUX ACTIONNAIRES</w:t>
      </w:r>
      <w:bookmarkEnd w:id="984"/>
      <w:bookmarkEnd w:id="985"/>
      <w:bookmarkEnd w:id="986"/>
      <w:bookmarkEnd w:id="987"/>
    </w:p>
    <w:p w14:paraId="2942D0D9" w14:textId="77777777" w:rsidR="00B740A8" w:rsidRPr="00C73365" w:rsidRDefault="00B740A8" w:rsidP="00B740A8">
      <w:pPr>
        <w:rPr>
          <w:rFonts w:asciiTheme="minorHAnsi" w:hAnsiTheme="minorHAnsi" w:cstheme="minorHAnsi"/>
          <w:b/>
          <w:lang w:val="fr-FR"/>
        </w:rPr>
      </w:pPr>
    </w:p>
    <w:p w14:paraId="0352D0A1" w14:textId="77777777" w:rsidR="00B740A8" w:rsidRPr="00C73365" w:rsidRDefault="00B740A8" w:rsidP="00B740A8">
      <w:pPr>
        <w:pStyle w:val="ConmainL2"/>
        <w:numPr>
          <w:ilvl w:val="1"/>
          <w:numId w:val="9"/>
        </w:numPr>
        <w:spacing w:after="0"/>
        <w:rPr>
          <w:rFonts w:asciiTheme="minorHAnsi" w:hAnsiTheme="minorHAnsi" w:cstheme="minorHAnsi"/>
          <w:spacing w:val="-2"/>
          <w:lang w:val="fr-FR"/>
        </w:rPr>
      </w:pPr>
      <w:bookmarkStart w:id="988" w:name="_Toc467835636"/>
      <w:bookmarkStart w:id="989" w:name="_Toc482695309"/>
      <w:bookmarkStart w:id="990" w:name="_Toc510548463"/>
      <w:bookmarkStart w:id="991" w:name="_Toc462673287"/>
      <w:bookmarkStart w:id="992" w:name="_Hlk510083359"/>
      <w:r w:rsidRPr="00C73365">
        <w:rPr>
          <w:rFonts w:asciiTheme="minorHAnsi" w:hAnsiTheme="minorHAnsi" w:cstheme="minorHAnsi"/>
          <w:spacing w:val="-2"/>
          <w:sz w:val="22"/>
          <w:lang w:val="fr-FR"/>
        </w:rPr>
        <w:t>Répartition du capital et des droits de vote</w:t>
      </w:r>
      <w:bookmarkEnd w:id="988"/>
      <w:bookmarkEnd w:id="989"/>
      <w:bookmarkEnd w:id="990"/>
      <w:r w:rsidRPr="00C73365">
        <w:rPr>
          <w:rFonts w:asciiTheme="minorHAnsi" w:hAnsiTheme="minorHAnsi" w:cstheme="minorHAnsi"/>
          <w:spacing w:val="-2"/>
          <w:sz w:val="22"/>
          <w:lang w:val="fr-FR"/>
        </w:rPr>
        <w:t xml:space="preserve"> </w:t>
      </w:r>
    </w:p>
    <w:p w14:paraId="1B1A6205" w14:textId="77777777" w:rsidR="00B740A8" w:rsidRPr="00C73365" w:rsidRDefault="00B740A8" w:rsidP="00B740A8">
      <w:pPr>
        <w:pStyle w:val="ConmainL2"/>
        <w:numPr>
          <w:ilvl w:val="0"/>
          <w:numId w:val="0"/>
        </w:numPr>
        <w:spacing w:after="0"/>
        <w:ind w:left="720"/>
        <w:outlineLvl w:val="9"/>
        <w:rPr>
          <w:rFonts w:asciiTheme="minorHAnsi" w:hAnsiTheme="minorHAnsi" w:cstheme="minorHAnsi"/>
          <w:spacing w:val="-2"/>
          <w:lang w:val="fr-FR"/>
        </w:rPr>
      </w:pPr>
    </w:p>
    <w:p w14:paraId="5E2F0FC4" w14:textId="77777777"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Répartition du capital et des droits de vote </w:t>
      </w:r>
      <w:bookmarkEnd w:id="991"/>
      <w:r w:rsidRPr="00C73365">
        <w:rPr>
          <w:rFonts w:asciiTheme="minorHAnsi" w:hAnsiTheme="minorHAnsi" w:cstheme="minorHAnsi"/>
          <w:b/>
          <w:color w:val="7030A0"/>
          <w:lang w:val="fr-FR"/>
        </w:rPr>
        <w:t>au 31 mars 2018</w:t>
      </w:r>
    </w:p>
    <w:p w14:paraId="4E7CBAA7" w14:textId="77777777" w:rsidR="00B740A8" w:rsidRPr="00C73365" w:rsidRDefault="00B740A8" w:rsidP="00B740A8">
      <w:pPr>
        <w:pStyle w:val="ConmainL2"/>
        <w:numPr>
          <w:ilvl w:val="0"/>
          <w:numId w:val="0"/>
        </w:numPr>
        <w:spacing w:after="0"/>
        <w:ind w:left="1980"/>
        <w:outlineLvl w:val="9"/>
        <w:rPr>
          <w:rFonts w:asciiTheme="minorHAnsi" w:hAnsiTheme="minorHAnsi" w:cstheme="minorHAnsi"/>
          <w:spacing w:val="-2"/>
          <w:lang w:val="fr-FR"/>
        </w:rPr>
      </w:pPr>
    </w:p>
    <w:p w14:paraId="22117A74"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Le tableau ci-dessous synthétise l’actionnariat de la Société au 31 mars 2018:</w:t>
      </w:r>
    </w:p>
    <w:tbl>
      <w:tblPr>
        <w:tblW w:w="9921" w:type="dxa"/>
        <w:tblInd w:w="-3"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0" w:type="dxa"/>
          <w:right w:w="0" w:type="dxa"/>
        </w:tblCellMar>
        <w:tblLook w:val="04A0" w:firstRow="1" w:lastRow="0" w:firstColumn="1" w:lastColumn="0" w:noHBand="0" w:noVBand="1"/>
      </w:tblPr>
      <w:tblGrid>
        <w:gridCol w:w="3323"/>
        <w:gridCol w:w="1601"/>
        <w:gridCol w:w="1595"/>
        <w:gridCol w:w="1701"/>
        <w:gridCol w:w="1701"/>
      </w:tblGrid>
      <w:tr w:rsidR="00B740A8" w:rsidRPr="00036317" w14:paraId="4EA6401E" w14:textId="77777777" w:rsidTr="00D1541A">
        <w:trPr>
          <w:trHeight w:val="1372"/>
        </w:trPr>
        <w:tc>
          <w:tcPr>
            <w:tcW w:w="3323" w:type="dxa"/>
            <w:shd w:val="clear" w:color="auto" w:fill="auto"/>
            <w:tcMar>
              <w:top w:w="0" w:type="dxa"/>
              <w:left w:w="108" w:type="dxa"/>
              <w:bottom w:w="0" w:type="dxa"/>
              <w:right w:w="108" w:type="dxa"/>
            </w:tcMar>
            <w:vAlign w:val="center"/>
            <w:hideMark/>
          </w:tcPr>
          <w:p w14:paraId="13936931"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Actionnaires</w:t>
            </w:r>
          </w:p>
        </w:tc>
        <w:tc>
          <w:tcPr>
            <w:tcW w:w="1601" w:type="dxa"/>
            <w:tcBorders>
              <w:right w:val="nil"/>
            </w:tcBorders>
            <w:shd w:val="clear" w:color="auto" w:fill="auto"/>
            <w:tcMar>
              <w:top w:w="0" w:type="dxa"/>
              <w:left w:w="108" w:type="dxa"/>
              <w:bottom w:w="0" w:type="dxa"/>
              <w:right w:w="108" w:type="dxa"/>
            </w:tcMar>
            <w:vAlign w:val="center"/>
            <w:hideMark/>
          </w:tcPr>
          <w:p w14:paraId="1937475B" w14:textId="77777777"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Nombre d’actions (capital non dilué)</w:t>
            </w:r>
          </w:p>
        </w:tc>
        <w:tc>
          <w:tcPr>
            <w:tcW w:w="1595" w:type="dxa"/>
            <w:tcBorders>
              <w:left w:val="nil"/>
              <w:right w:val="nil"/>
            </w:tcBorders>
            <w:shd w:val="clear" w:color="auto" w:fill="auto"/>
            <w:tcMar>
              <w:top w:w="0" w:type="dxa"/>
              <w:left w:w="108" w:type="dxa"/>
              <w:bottom w:w="0" w:type="dxa"/>
              <w:right w:w="108" w:type="dxa"/>
            </w:tcMar>
            <w:vAlign w:val="center"/>
            <w:hideMark/>
          </w:tcPr>
          <w:p w14:paraId="78B93DA1" w14:textId="77777777"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color w:val="000000"/>
                <w:sz w:val="18"/>
                <w:lang w:val="fr-FR"/>
              </w:rPr>
              <w:t>% du capital</w:t>
            </w:r>
          </w:p>
          <w:p w14:paraId="757E45F1" w14:textId="77777777"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(non dilué)</w:t>
            </w:r>
          </w:p>
        </w:tc>
        <w:tc>
          <w:tcPr>
            <w:tcW w:w="1701" w:type="dxa"/>
            <w:tcBorders>
              <w:left w:val="nil"/>
              <w:right w:val="nil"/>
            </w:tcBorders>
            <w:shd w:val="clear" w:color="auto" w:fill="auto"/>
            <w:tcMar>
              <w:top w:w="0" w:type="dxa"/>
              <w:left w:w="108" w:type="dxa"/>
              <w:bottom w:w="0" w:type="dxa"/>
              <w:right w:w="108" w:type="dxa"/>
            </w:tcMar>
            <w:vAlign w:val="center"/>
            <w:hideMark/>
          </w:tcPr>
          <w:p w14:paraId="084E2384" w14:textId="77777777"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 des droits de vote</w:t>
            </w:r>
          </w:p>
          <w:p w14:paraId="38B54742" w14:textId="77777777"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(non dilué)</w:t>
            </w:r>
          </w:p>
        </w:tc>
        <w:tc>
          <w:tcPr>
            <w:tcW w:w="1701" w:type="dxa"/>
            <w:tcBorders>
              <w:left w:val="nil"/>
            </w:tcBorders>
            <w:shd w:val="clear" w:color="auto" w:fill="auto"/>
            <w:tcMar>
              <w:top w:w="0" w:type="dxa"/>
              <w:left w:w="108" w:type="dxa"/>
              <w:bottom w:w="0" w:type="dxa"/>
              <w:right w:w="108" w:type="dxa"/>
            </w:tcMar>
            <w:vAlign w:val="center"/>
            <w:hideMark/>
          </w:tcPr>
          <w:p w14:paraId="1D7B93AF" w14:textId="77777777"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color w:val="000000"/>
                <w:sz w:val="18"/>
                <w:lang w:val="fr-FR"/>
              </w:rPr>
              <w:t>% des droits de vote</w:t>
            </w:r>
          </w:p>
          <w:p w14:paraId="28DD58D9" w14:textId="77777777"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(dilué)</w:t>
            </w:r>
          </w:p>
        </w:tc>
      </w:tr>
      <w:tr w:rsidR="00B740A8" w:rsidRPr="00C73365" w14:paraId="6079104A" w14:textId="77777777" w:rsidTr="00D1541A">
        <w:trPr>
          <w:trHeight w:val="300"/>
        </w:trPr>
        <w:tc>
          <w:tcPr>
            <w:tcW w:w="3323" w:type="dxa"/>
            <w:tcBorders>
              <w:bottom w:val="nil"/>
              <w:right w:val="single" w:sz="4" w:space="0" w:color="7030A0"/>
            </w:tcBorders>
            <w:shd w:val="clear" w:color="auto" w:fill="auto"/>
            <w:tcMar>
              <w:top w:w="0" w:type="dxa"/>
              <w:left w:w="108" w:type="dxa"/>
              <w:bottom w:w="0" w:type="dxa"/>
              <w:right w:w="108" w:type="dxa"/>
            </w:tcMar>
            <w:vAlign w:val="center"/>
            <w:hideMark/>
          </w:tcPr>
          <w:p w14:paraId="5AF69D15"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Holding Incubatrice</w:t>
            </w:r>
          </w:p>
        </w:tc>
        <w:tc>
          <w:tcPr>
            <w:tcW w:w="1601" w:type="dxa"/>
            <w:tcBorders>
              <w:top w:val="single" w:sz="4" w:space="0" w:color="7030A0"/>
              <w:left w:val="single" w:sz="4" w:space="0" w:color="7030A0"/>
              <w:bottom w:val="nil"/>
              <w:right w:val="nil"/>
            </w:tcBorders>
            <w:shd w:val="clear" w:color="auto" w:fill="auto"/>
            <w:tcMar>
              <w:top w:w="0" w:type="dxa"/>
              <w:left w:w="108" w:type="dxa"/>
              <w:bottom w:w="0" w:type="dxa"/>
              <w:right w:w="108" w:type="dxa"/>
            </w:tcMar>
            <w:vAlign w:val="center"/>
            <w:hideMark/>
          </w:tcPr>
          <w:p w14:paraId="41F514D5"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257 600</w:t>
            </w:r>
          </w:p>
        </w:tc>
        <w:tc>
          <w:tcPr>
            <w:tcW w:w="1595" w:type="dxa"/>
            <w:tcBorders>
              <w:top w:val="single" w:sz="4" w:space="0" w:color="7030A0"/>
              <w:left w:val="nil"/>
              <w:bottom w:val="nil"/>
              <w:right w:val="nil"/>
            </w:tcBorders>
            <w:shd w:val="clear" w:color="auto" w:fill="auto"/>
            <w:tcMar>
              <w:top w:w="0" w:type="dxa"/>
              <w:left w:w="108" w:type="dxa"/>
              <w:bottom w:w="0" w:type="dxa"/>
              <w:right w:w="108" w:type="dxa"/>
            </w:tcMar>
            <w:vAlign w:val="center"/>
            <w:hideMark/>
          </w:tcPr>
          <w:p w14:paraId="722CFFED" w14:textId="77777777"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2,59%</w:t>
            </w:r>
          </w:p>
        </w:tc>
        <w:tc>
          <w:tcPr>
            <w:tcW w:w="1701" w:type="dxa"/>
            <w:tcBorders>
              <w:top w:val="single" w:sz="4" w:space="0" w:color="7030A0"/>
              <w:left w:val="nil"/>
              <w:bottom w:val="nil"/>
              <w:right w:val="nil"/>
            </w:tcBorders>
            <w:shd w:val="clear" w:color="auto" w:fill="auto"/>
            <w:tcMar>
              <w:top w:w="0" w:type="dxa"/>
              <w:left w:w="108" w:type="dxa"/>
              <w:bottom w:w="0" w:type="dxa"/>
              <w:right w:w="108" w:type="dxa"/>
            </w:tcMar>
            <w:vAlign w:val="center"/>
            <w:hideMark/>
          </w:tcPr>
          <w:p w14:paraId="43630B0D"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3,</w:t>
            </w:r>
            <w:r w:rsidRPr="00C73365">
              <w:rPr>
                <w:rFonts w:asciiTheme="minorHAnsi" w:hAnsiTheme="minorHAnsi" w:cstheme="minorHAnsi"/>
                <w:bCs/>
                <w:color w:val="000000"/>
                <w:sz w:val="18"/>
                <w:szCs w:val="18"/>
                <w:lang w:val="fr-FR" w:eastAsia="fr-FR"/>
              </w:rPr>
              <w:t>19</w:t>
            </w:r>
            <w:r w:rsidRPr="00C73365">
              <w:rPr>
                <w:rFonts w:asciiTheme="minorHAnsi" w:hAnsiTheme="minorHAnsi" w:cstheme="minorHAnsi"/>
                <w:color w:val="000000"/>
                <w:sz w:val="18"/>
                <w:lang w:val="fr-FR"/>
              </w:rPr>
              <w:t>%</w:t>
            </w:r>
          </w:p>
        </w:tc>
        <w:tc>
          <w:tcPr>
            <w:tcW w:w="1701" w:type="dxa"/>
            <w:tcBorders>
              <w:top w:val="single" w:sz="4" w:space="0" w:color="7030A0"/>
              <w:left w:val="nil"/>
              <w:bottom w:val="nil"/>
              <w:right w:val="single" w:sz="4" w:space="0" w:color="7030A0"/>
            </w:tcBorders>
            <w:shd w:val="clear" w:color="auto" w:fill="auto"/>
            <w:tcMar>
              <w:top w:w="0" w:type="dxa"/>
              <w:left w:w="108" w:type="dxa"/>
              <w:bottom w:w="0" w:type="dxa"/>
              <w:right w:w="108" w:type="dxa"/>
            </w:tcMar>
            <w:vAlign w:val="center"/>
            <w:hideMark/>
          </w:tcPr>
          <w:p w14:paraId="49ABD78D"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w:t>
            </w:r>
            <w:r w:rsidRPr="00C73365">
              <w:rPr>
                <w:rFonts w:asciiTheme="minorHAnsi" w:hAnsiTheme="minorHAnsi" w:cstheme="minorHAnsi"/>
                <w:bCs/>
                <w:color w:val="000000"/>
                <w:sz w:val="18"/>
                <w:szCs w:val="18"/>
                <w:lang w:val="fr-FR" w:eastAsia="fr-FR"/>
              </w:rPr>
              <w:t>75</w:t>
            </w:r>
            <w:r w:rsidRPr="00C73365">
              <w:rPr>
                <w:rFonts w:asciiTheme="minorHAnsi" w:hAnsiTheme="minorHAnsi" w:cstheme="minorHAnsi"/>
                <w:color w:val="000000"/>
                <w:sz w:val="18"/>
                <w:lang w:val="fr-FR"/>
              </w:rPr>
              <w:t>%</w:t>
            </w:r>
          </w:p>
        </w:tc>
      </w:tr>
      <w:tr w:rsidR="00B740A8" w:rsidRPr="00C73365" w14:paraId="2AA563EB" w14:textId="77777777"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14:paraId="1F72DF72"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Truffle</w:t>
            </w:r>
            <w:r w:rsidRPr="00C73365">
              <w:rPr>
                <w:rFonts w:asciiTheme="minorHAnsi" w:hAnsiTheme="minorHAnsi" w:cstheme="minorHAnsi"/>
                <w:b/>
                <w:bCs/>
                <w:color w:val="000000"/>
                <w:sz w:val="18"/>
                <w:szCs w:val="18"/>
                <w:lang w:val="fr-FR" w:eastAsia="fr-FR"/>
              </w:rPr>
              <w:t xml:space="preserve"> Capital</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14:paraId="14F2D5DC"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5 889 189</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14:paraId="43030A4D"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59,22</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14:paraId="66AEFA58"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72,46</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14:paraId="61C70205" w14:textId="77777777"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62,51%</w:t>
            </w:r>
          </w:p>
        </w:tc>
      </w:tr>
      <w:tr w:rsidR="00B740A8" w:rsidRPr="00C73365" w14:paraId="54CF952B" w14:textId="77777777"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14:paraId="25F6E9A4"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Direction</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14:paraId="0C6E060F"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45 372</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14:paraId="73EB19E1"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0,46</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14:paraId="1D4CC1EE" w14:textId="77777777"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0,28%</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14:paraId="24B87E3C"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4,18%</w:t>
            </w:r>
          </w:p>
        </w:tc>
      </w:tr>
      <w:tr w:rsidR="00B740A8" w:rsidRPr="00C73365" w14:paraId="19B40BB6" w14:textId="77777777"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14:paraId="3A9A7680"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Conseil d’administration</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14:paraId="52C0EB35"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446 011</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14:paraId="4E0C40DF"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4,49</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14:paraId="47218513"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2,76</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14:paraId="6BFB107A" w14:textId="77777777"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4,91%</w:t>
            </w:r>
          </w:p>
        </w:tc>
      </w:tr>
      <w:tr w:rsidR="00B740A8" w:rsidRPr="00C73365" w14:paraId="5117F2EB" w14:textId="77777777"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14:paraId="2B321478"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Salariés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14:paraId="3B4800C8" w14:textId="77777777"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2 502</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14:paraId="5452D38B"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,03%</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14:paraId="088A6200"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,02</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14:paraId="3FDE600F"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1,08</w:t>
            </w:r>
            <w:r w:rsidRPr="00C73365">
              <w:rPr>
                <w:rFonts w:asciiTheme="minorHAnsi" w:hAnsiTheme="minorHAnsi" w:cstheme="minorHAnsi"/>
                <w:color w:val="000000"/>
                <w:sz w:val="18"/>
                <w:lang w:val="fr-FR"/>
              </w:rPr>
              <w:t>%</w:t>
            </w:r>
          </w:p>
        </w:tc>
      </w:tr>
      <w:tr w:rsidR="00B740A8" w:rsidRPr="00C73365" w14:paraId="2F4A7316" w14:textId="77777777"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14:paraId="1ECF088D"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Consultants*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14:paraId="0787C146" w14:textId="77777777"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53 527</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14:paraId="7E0E48CF"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,54%</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14:paraId="050C17C0"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,37</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14:paraId="3BF7DF9E"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1,36</w:t>
            </w:r>
            <w:r w:rsidRPr="00C73365">
              <w:rPr>
                <w:rFonts w:asciiTheme="minorHAnsi" w:hAnsiTheme="minorHAnsi" w:cstheme="minorHAnsi"/>
                <w:color w:val="000000"/>
                <w:sz w:val="18"/>
                <w:lang w:val="fr-FR"/>
              </w:rPr>
              <w:t>%</w:t>
            </w:r>
          </w:p>
        </w:tc>
      </w:tr>
      <w:tr w:rsidR="00B740A8" w:rsidRPr="00C73365" w14:paraId="3811287A" w14:textId="77777777"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14:paraId="562DDFCB"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Autres</w:t>
            </w:r>
            <w:r w:rsidRPr="00C73365">
              <w:rPr>
                <w:rFonts w:asciiTheme="minorHAnsi" w:hAnsiTheme="minorHAnsi" w:cstheme="minorHAnsi"/>
                <w:b/>
                <w:color w:val="000000"/>
                <w:sz w:val="18"/>
                <w:lang w:val="fr-FR"/>
              </w:rPr>
              <w:t>**</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14:paraId="38EF4F8E"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187 883</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14:paraId="4FCBC823"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1,89</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14:paraId="57C9C07A"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2,15%</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14:paraId="71E9F962" w14:textId="77777777"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7,01%</w:t>
            </w:r>
          </w:p>
        </w:tc>
      </w:tr>
      <w:tr w:rsidR="00B740A8" w:rsidRPr="00C73365" w14:paraId="6965C7EE" w14:textId="77777777"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14:paraId="054A9E2D"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Actions auto-détenues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14:paraId="1AA2CD43"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34 000</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14:paraId="72A93D8E"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0,34</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noWrap/>
            <w:tcMar>
              <w:top w:w="0" w:type="dxa"/>
              <w:left w:w="108" w:type="dxa"/>
              <w:bottom w:w="0" w:type="dxa"/>
              <w:right w:w="108" w:type="dxa"/>
            </w:tcMar>
            <w:vAlign w:val="center"/>
            <w:hideMark/>
          </w:tcPr>
          <w:p w14:paraId="61AB75F5"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0,00</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noWrap/>
            <w:tcMar>
              <w:top w:w="0" w:type="dxa"/>
              <w:left w:w="108" w:type="dxa"/>
              <w:bottom w:w="0" w:type="dxa"/>
              <w:right w:w="108" w:type="dxa"/>
            </w:tcMar>
            <w:vAlign w:val="center"/>
            <w:hideMark/>
          </w:tcPr>
          <w:p w14:paraId="09D91E23" w14:textId="77777777"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0,00%</w:t>
            </w:r>
          </w:p>
        </w:tc>
      </w:tr>
      <w:tr w:rsidR="00B740A8" w:rsidRPr="00C73365" w14:paraId="5E8391C4" w14:textId="77777777" w:rsidTr="00D1541A">
        <w:trPr>
          <w:trHeight w:val="300"/>
        </w:trPr>
        <w:tc>
          <w:tcPr>
            <w:tcW w:w="3323" w:type="dxa"/>
            <w:tcBorders>
              <w:top w:val="nil"/>
              <w:bottom w:val="single" w:sz="4" w:space="0" w:color="7030A0"/>
              <w:right w:val="single" w:sz="4" w:space="0" w:color="7030A0"/>
            </w:tcBorders>
            <w:shd w:val="clear" w:color="auto" w:fill="auto"/>
            <w:noWrap/>
            <w:tcMar>
              <w:top w:w="0" w:type="dxa"/>
              <w:left w:w="108" w:type="dxa"/>
              <w:bottom w:w="0" w:type="dxa"/>
              <w:right w:w="108" w:type="dxa"/>
            </w:tcMar>
            <w:vAlign w:val="center"/>
            <w:hideMark/>
          </w:tcPr>
          <w:p w14:paraId="00B3DD8A"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Flottant</w:t>
            </w:r>
          </w:p>
        </w:tc>
        <w:tc>
          <w:tcPr>
            <w:tcW w:w="1601" w:type="dxa"/>
            <w:tcBorders>
              <w:top w:val="nil"/>
              <w:left w:val="single" w:sz="4" w:space="0" w:color="7030A0"/>
              <w:bottom w:val="single" w:sz="4" w:space="0" w:color="7030A0"/>
              <w:right w:val="nil"/>
            </w:tcBorders>
            <w:shd w:val="clear" w:color="auto" w:fill="auto"/>
            <w:tcMar>
              <w:top w:w="0" w:type="dxa"/>
              <w:left w:w="108" w:type="dxa"/>
              <w:bottom w:w="0" w:type="dxa"/>
              <w:right w:w="108" w:type="dxa"/>
            </w:tcMar>
            <w:vAlign w:val="center"/>
            <w:hideMark/>
          </w:tcPr>
          <w:p w14:paraId="0F46B613"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3 028 147</w:t>
            </w:r>
          </w:p>
        </w:tc>
        <w:tc>
          <w:tcPr>
            <w:tcW w:w="1595" w:type="dxa"/>
            <w:tcBorders>
              <w:top w:val="nil"/>
              <w:left w:val="nil"/>
              <w:bottom w:val="single" w:sz="4" w:space="0" w:color="7030A0"/>
              <w:right w:val="nil"/>
            </w:tcBorders>
            <w:shd w:val="clear" w:color="auto" w:fill="auto"/>
            <w:tcMar>
              <w:top w:w="0" w:type="dxa"/>
              <w:left w:w="108" w:type="dxa"/>
              <w:bottom w:w="0" w:type="dxa"/>
              <w:right w:w="108" w:type="dxa"/>
            </w:tcMar>
            <w:vAlign w:val="center"/>
            <w:hideMark/>
          </w:tcPr>
          <w:p w14:paraId="26C3C08F"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30,45</w:t>
            </w:r>
            <w:r w:rsidRPr="00C73365">
              <w:rPr>
                <w:rFonts w:asciiTheme="minorHAnsi" w:hAnsiTheme="minorHAnsi" w:cstheme="minorHAnsi"/>
                <w:color w:val="000000"/>
                <w:sz w:val="18"/>
                <w:lang w:val="fr-FR"/>
              </w:rPr>
              <w:t>%</w:t>
            </w:r>
          </w:p>
        </w:tc>
        <w:tc>
          <w:tcPr>
            <w:tcW w:w="1701" w:type="dxa"/>
            <w:tcBorders>
              <w:top w:val="nil"/>
              <w:left w:val="nil"/>
              <w:bottom w:val="single" w:sz="4" w:space="0" w:color="7030A0"/>
              <w:right w:val="nil"/>
            </w:tcBorders>
            <w:shd w:val="clear" w:color="auto" w:fill="auto"/>
            <w:tcMar>
              <w:top w:w="0" w:type="dxa"/>
              <w:left w:w="108" w:type="dxa"/>
              <w:bottom w:w="0" w:type="dxa"/>
              <w:right w:w="108" w:type="dxa"/>
            </w:tcMar>
            <w:vAlign w:val="center"/>
            <w:hideMark/>
          </w:tcPr>
          <w:p w14:paraId="3EBF0222"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18,77</w:t>
            </w:r>
            <w:r w:rsidRPr="00C73365">
              <w:rPr>
                <w:rFonts w:asciiTheme="minorHAnsi" w:hAnsiTheme="minorHAnsi" w:cstheme="minorHAnsi"/>
                <w:color w:val="000000"/>
                <w:sz w:val="18"/>
                <w:lang w:val="fr-FR"/>
              </w:rPr>
              <w:t>%</w:t>
            </w:r>
          </w:p>
        </w:tc>
        <w:tc>
          <w:tcPr>
            <w:tcW w:w="1701" w:type="dxa"/>
            <w:tcBorders>
              <w:top w:val="nil"/>
              <w:left w:val="nil"/>
              <w:bottom w:val="single" w:sz="4" w:space="0" w:color="7030A0"/>
              <w:right w:val="single" w:sz="4" w:space="0" w:color="7030A0"/>
            </w:tcBorders>
            <w:shd w:val="clear" w:color="auto" w:fill="auto"/>
            <w:tcMar>
              <w:top w:w="0" w:type="dxa"/>
              <w:left w:w="108" w:type="dxa"/>
              <w:bottom w:w="0" w:type="dxa"/>
              <w:right w:w="108" w:type="dxa"/>
            </w:tcMar>
            <w:vAlign w:val="center"/>
            <w:hideMark/>
          </w:tcPr>
          <w:p w14:paraId="40C19BD2" w14:textId="77777777"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16,19%</w:t>
            </w:r>
          </w:p>
        </w:tc>
      </w:tr>
      <w:tr w:rsidR="00B740A8" w:rsidRPr="00C73365" w14:paraId="4C1FB4CE" w14:textId="77777777" w:rsidTr="00D1541A">
        <w:trPr>
          <w:trHeight w:val="300"/>
        </w:trPr>
        <w:tc>
          <w:tcPr>
            <w:tcW w:w="3323" w:type="dxa"/>
            <w:tcBorders>
              <w:top w:val="single" w:sz="4" w:space="0" w:color="7030A0"/>
            </w:tcBorders>
            <w:shd w:val="clear" w:color="auto" w:fill="auto"/>
            <w:noWrap/>
            <w:tcMar>
              <w:top w:w="0" w:type="dxa"/>
              <w:left w:w="108" w:type="dxa"/>
              <w:bottom w:w="0" w:type="dxa"/>
              <w:right w:w="108" w:type="dxa"/>
            </w:tcMar>
            <w:vAlign w:val="center"/>
            <w:hideMark/>
          </w:tcPr>
          <w:p w14:paraId="787BFB2B"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Total</w:t>
            </w:r>
          </w:p>
        </w:tc>
        <w:tc>
          <w:tcPr>
            <w:tcW w:w="1601" w:type="dxa"/>
            <w:tcBorders>
              <w:top w:val="single" w:sz="4" w:space="0" w:color="7030A0"/>
              <w:right w:val="nil"/>
            </w:tcBorders>
            <w:shd w:val="clear" w:color="auto" w:fill="auto"/>
            <w:tcMar>
              <w:top w:w="0" w:type="dxa"/>
              <w:left w:w="108" w:type="dxa"/>
              <w:bottom w:w="0" w:type="dxa"/>
              <w:right w:w="108" w:type="dxa"/>
            </w:tcMar>
            <w:vAlign w:val="center"/>
            <w:hideMark/>
          </w:tcPr>
          <w:p w14:paraId="475FA133"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9</w:t>
            </w:r>
            <w:r w:rsidRPr="00C73365">
              <w:rPr>
                <w:rFonts w:asciiTheme="minorHAnsi" w:hAnsiTheme="minorHAnsi" w:cstheme="minorHAnsi"/>
                <w:bCs/>
                <w:color w:val="000000"/>
                <w:sz w:val="18"/>
                <w:szCs w:val="18"/>
                <w:lang w:val="fr-FR" w:eastAsia="fr-FR"/>
              </w:rPr>
              <w:t xml:space="preserve"> 904 231</w:t>
            </w:r>
          </w:p>
        </w:tc>
        <w:tc>
          <w:tcPr>
            <w:tcW w:w="1595" w:type="dxa"/>
            <w:tcBorders>
              <w:top w:val="single" w:sz="4" w:space="0" w:color="7030A0"/>
              <w:left w:val="nil"/>
              <w:right w:val="nil"/>
            </w:tcBorders>
            <w:shd w:val="clear" w:color="auto" w:fill="auto"/>
            <w:tcMar>
              <w:top w:w="0" w:type="dxa"/>
              <w:left w:w="108" w:type="dxa"/>
              <w:bottom w:w="0" w:type="dxa"/>
              <w:right w:w="108" w:type="dxa"/>
            </w:tcMar>
            <w:vAlign w:val="center"/>
            <w:hideMark/>
          </w:tcPr>
          <w:p w14:paraId="3AB7EFAE"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100</w:t>
            </w:r>
            <w:r w:rsidRPr="00C73365">
              <w:rPr>
                <w:rFonts w:asciiTheme="minorHAnsi" w:hAnsiTheme="minorHAnsi" w:cstheme="minorHAnsi"/>
                <w:bCs/>
                <w:color w:val="000000"/>
                <w:sz w:val="18"/>
                <w:szCs w:val="18"/>
                <w:lang w:val="fr-FR" w:eastAsia="fr-FR"/>
              </w:rPr>
              <w:t>,00</w:t>
            </w:r>
            <w:r w:rsidRPr="00C73365">
              <w:rPr>
                <w:rFonts w:asciiTheme="minorHAnsi" w:hAnsiTheme="minorHAnsi" w:cstheme="minorHAnsi"/>
                <w:color w:val="000000"/>
                <w:sz w:val="18"/>
                <w:lang w:val="fr-FR"/>
              </w:rPr>
              <w:t>%</w:t>
            </w:r>
          </w:p>
        </w:tc>
        <w:tc>
          <w:tcPr>
            <w:tcW w:w="1701" w:type="dxa"/>
            <w:tcBorders>
              <w:top w:val="single" w:sz="4" w:space="0" w:color="7030A0"/>
              <w:left w:val="nil"/>
              <w:right w:val="nil"/>
            </w:tcBorders>
            <w:shd w:val="clear" w:color="auto" w:fill="auto"/>
            <w:tcMar>
              <w:top w:w="0" w:type="dxa"/>
              <w:left w:w="108" w:type="dxa"/>
              <w:bottom w:w="0" w:type="dxa"/>
              <w:right w:w="108" w:type="dxa"/>
            </w:tcMar>
            <w:vAlign w:val="center"/>
            <w:hideMark/>
          </w:tcPr>
          <w:p w14:paraId="3D72AAFF"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100</w:t>
            </w:r>
            <w:r w:rsidRPr="00C73365">
              <w:rPr>
                <w:rFonts w:asciiTheme="minorHAnsi" w:hAnsiTheme="minorHAnsi" w:cstheme="minorHAnsi"/>
                <w:bCs/>
                <w:color w:val="000000"/>
                <w:sz w:val="18"/>
                <w:szCs w:val="18"/>
                <w:lang w:val="fr-FR" w:eastAsia="fr-FR"/>
              </w:rPr>
              <w:t>,00</w:t>
            </w:r>
            <w:r w:rsidRPr="00C73365">
              <w:rPr>
                <w:rFonts w:asciiTheme="minorHAnsi" w:hAnsiTheme="minorHAnsi" w:cstheme="minorHAnsi"/>
                <w:color w:val="000000"/>
                <w:sz w:val="18"/>
                <w:lang w:val="fr-FR"/>
              </w:rPr>
              <w:t>%</w:t>
            </w:r>
          </w:p>
        </w:tc>
        <w:tc>
          <w:tcPr>
            <w:tcW w:w="1701" w:type="dxa"/>
            <w:tcBorders>
              <w:top w:val="single" w:sz="4" w:space="0" w:color="7030A0"/>
              <w:left w:val="nil"/>
            </w:tcBorders>
            <w:shd w:val="clear" w:color="auto" w:fill="auto"/>
            <w:tcMar>
              <w:top w:w="0" w:type="dxa"/>
              <w:left w:w="108" w:type="dxa"/>
              <w:bottom w:w="0" w:type="dxa"/>
              <w:right w:w="108" w:type="dxa"/>
            </w:tcMar>
            <w:vAlign w:val="center"/>
            <w:hideMark/>
          </w:tcPr>
          <w:p w14:paraId="7316C8BB" w14:textId="77777777"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100,00%</w:t>
            </w:r>
          </w:p>
        </w:tc>
      </w:tr>
    </w:tbl>
    <w:p w14:paraId="77681AE0" w14:textId="77777777" w:rsidR="00B740A8" w:rsidRPr="00C93577" w:rsidRDefault="00C73365" w:rsidP="00C73365">
      <w:pPr>
        <w:pStyle w:val="Listepuces"/>
        <w:numPr>
          <w:ilvl w:val="0"/>
          <w:numId w:val="0"/>
        </w:numPr>
        <w:spacing w:after="0"/>
        <w:rPr>
          <w:rFonts w:asciiTheme="minorHAnsi" w:hAnsiTheme="minorHAnsi" w:cstheme="minorHAnsi"/>
          <w:color w:val="000000"/>
          <w:lang w:val="fr-FR"/>
        </w:rPr>
      </w:pPr>
      <w:r w:rsidRPr="00C93577">
        <w:rPr>
          <w:rFonts w:asciiTheme="minorHAnsi" w:hAnsiTheme="minorHAnsi" w:cstheme="minorHAnsi"/>
          <w:lang w:val="fr-FR"/>
        </w:rPr>
        <w:t>*</w:t>
      </w:r>
      <w:r w:rsidR="00B740A8" w:rsidRPr="00C93577">
        <w:rPr>
          <w:rFonts w:asciiTheme="minorHAnsi" w:hAnsiTheme="minorHAnsi" w:cstheme="minorHAnsi"/>
          <w:lang w:val="fr-FR"/>
        </w:rPr>
        <w:t xml:space="preserve">Consultants : ce sont toutes les personnes qui ont un contrat de consultant avec </w:t>
      </w:r>
      <w:r w:rsidR="00EF089C" w:rsidRPr="00C93577">
        <w:rPr>
          <w:rFonts w:asciiTheme="minorHAnsi" w:hAnsiTheme="minorHAnsi" w:cstheme="minorHAnsi"/>
          <w:lang w:val="fr-FR"/>
        </w:rPr>
        <w:t>ABIVAX</w:t>
      </w:r>
      <w:r w:rsidR="00B740A8" w:rsidRPr="00C93577">
        <w:rPr>
          <w:rFonts w:asciiTheme="minorHAnsi" w:hAnsiTheme="minorHAnsi" w:cstheme="minorHAnsi"/>
          <w:lang w:val="fr-FR"/>
        </w:rPr>
        <w:t>.</w:t>
      </w:r>
    </w:p>
    <w:p w14:paraId="6FDBED9F" w14:textId="77777777" w:rsidR="00B740A8" w:rsidRPr="00C73365" w:rsidRDefault="00B740A8" w:rsidP="00C73365">
      <w:pPr>
        <w:pStyle w:val="Corpsdetexte"/>
        <w:spacing w:after="0"/>
        <w:rPr>
          <w:rFonts w:asciiTheme="minorHAnsi" w:hAnsiTheme="minorHAnsi" w:cstheme="minorHAnsi"/>
          <w:i/>
          <w:lang w:val="fr-FR" w:eastAsia="fr-FR"/>
        </w:rPr>
      </w:pPr>
      <w:r w:rsidRPr="00C73365">
        <w:rPr>
          <w:rFonts w:asciiTheme="minorHAnsi" w:hAnsiTheme="minorHAnsi" w:cstheme="minorHAnsi"/>
          <w:i/>
          <w:lang w:val="fr-FR" w:eastAsia="fr-FR"/>
        </w:rPr>
        <w:t xml:space="preserve">** </w:t>
      </w:r>
      <w:r w:rsidRPr="00C73365">
        <w:rPr>
          <w:rFonts w:asciiTheme="minorHAnsi" w:hAnsiTheme="minorHAnsi" w:cstheme="minorHAnsi"/>
          <w:lang w:val="fr-FR" w:eastAsia="fr-FR"/>
        </w:rPr>
        <w:t>Autres : les actionnaires minoritaires historiques ou titulaires de BSA/BSPCE ainsi que des anciens salariés de la Société, des anciens membres du conseil ou certains membres des comités.</w:t>
      </w:r>
    </w:p>
    <w:p w14:paraId="6337DC7A" w14:textId="77777777" w:rsidR="00B740A8" w:rsidRPr="00C73365" w:rsidRDefault="00B740A8" w:rsidP="004572A0">
      <w:pPr>
        <w:pStyle w:val="Corpsdetexte"/>
        <w:rPr>
          <w:rFonts w:asciiTheme="minorHAnsi" w:hAnsiTheme="minorHAnsi" w:cstheme="minorHAnsi"/>
          <w:lang w:val="fr-FR"/>
        </w:rPr>
        <w:sectPr w:rsidR="00B740A8" w:rsidRPr="00C73365" w:rsidSect="00D1541A">
          <w:headerReference w:type="even" r:id="rId82"/>
          <w:footerReference w:type="even" r:id="rId83"/>
          <w:pgSz w:w="11907" w:h="16840" w:code="9"/>
          <w:pgMar w:top="1134" w:right="1134" w:bottom="1134" w:left="1134" w:header="709" w:footer="709" w:gutter="0"/>
          <w:cols w:space="708"/>
          <w:docGrid w:linePitch="360"/>
        </w:sectPr>
      </w:pPr>
    </w:p>
    <w:p w14:paraId="71122DED" w14:textId="77777777" w:rsidR="00B740A8" w:rsidRPr="00C73365" w:rsidRDefault="00B740A8" w:rsidP="00B740A8">
      <w:pPr>
        <w:rPr>
          <w:rFonts w:asciiTheme="minorHAnsi" w:hAnsiTheme="minorHAnsi" w:cstheme="minorHAnsi"/>
          <w:highlight w:val="yellow"/>
          <w:lang w:val="fr-FR"/>
        </w:rPr>
      </w:pPr>
      <w:bookmarkStart w:id="993" w:name="_Toc401594125"/>
    </w:p>
    <w:p w14:paraId="6178D5BB" w14:textId="77777777"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Actionnaires significatifs non représentés au conseil d’administration</w:t>
      </w:r>
    </w:p>
    <w:p w14:paraId="73AC51DA" w14:textId="77777777" w:rsidR="00C73365" w:rsidRPr="00C73365" w:rsidRDefault="00C73365" w:rsidP="004572A0">
      <w:pPr>
        <w:pStyle w:val="Corpsdetexte"/>
        <w:rPr>
          <w:rFonts w:asciiTheme="minorHAnsi" w:hAnsiTheme="minorHAnsi" w:cstheme="minorHAnsi"/>
          <w:szCs w:val="24"/>
          <w:highlight w:val="yellow"/>
          <w:lang w:val="fr-FR"/>
        </w:rPr>
      </w:pPr>
    </w:p>
    <w:p w14:paraId="34CD201E"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A la connaissance de la Société, aucun autre actionnaire détenant directement ou indirectement plus de 5% du capital social de la Société est non représenté au conseil d’administration</w:t>
      </w:r>
    </w:p>
    <w:p w14:paraId="3C55E58E" w14:textId="77777777"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Opérations récentes sur le capital de la Société</w:t>
      </w:r>
    </w:p>
    <w:p w14:paraId="46545D70" w14:textId="77777777" w:rsidR="00B740A8" w:rsidRPr="00C73365" w:rsidRDefault="00B740A8" w:rsidP="00B740A8">
      <w:pPr>
        <w:rPr>
          <w:rFonts w:asciiTheme="minorHAnsi" w:hAnsiTheme="minorHAnsi" w:cstheme="minorHAnsi"/>
          <w:highlight w:val="yellow"/>
          <w:lang w:val="fr-FR"/>
        </w:rPr>
      </w:pPr>
    </w:p>
    <w:p w14:paraId="2D917E43"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Au cours de l’exercice 2017, différentes opérations sur le capital sont intervenues : </w:t>
      </w:r>
    </w:p>
    <w:p w14:paraId="41A58B62"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Le 17 mars 2017, 39.400 actions de la Société ont été souscrites par exercice de 394 BSA-2014-1.</w:t>
      </w:r>
    </w:p>
    <w:p w14:paraId="06E10D8A"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Le 1</w:t>
      </w:r>
      <w:r w:rsidRPr="00C93577">
        <w:rPr>
          <w:rFonts w:asciiTheme="minorHAnsi" w:hAnsiTheme="minorHAnsi" w:cstheme="minorHAnsi"/>
          <w:vertAlign w:val="superscript"/>
          <w:lang w:val="fr-FR"/>
        </w:rPr>
        <w:t>er</w:t>
      </w:r>
      <w:r w:rsidRPr="00C93577">
        <w:rPr>
          <w:rFonts w:asciiTheme="minorHAnsi" w:hAnsiTheme="minorHAnsi" w:cstheme="minorHAnsi"/>
          <w:lang w:val="fr-FR"/>
        </w:rPr>
        <w:t xml:space="preserve"> août 2017, 47.340 actions de la Société ont été souscrites par exercice de 473 BSA-2014-4 et 10.000 actions par exercice de 100 BCE-2014-4.</w:t>
      </w:r>
    </w:p>
    <w:p w14:paraId="02D11FEF"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 xml:space="preserve">Le 28 </w:t>
      </w:r>
      <w:r w:rsidR="006B119E" w:rsidRPr="00C93577">
        <w:rPr>
          <w:rFonts w:asciiTheme="minorHAnsi" w:hAnsiTheme="minorHAnsi" w:cstheme="minorHAnsi"/>
          <w:lang w:val="fr-FR"/>
        </w:rPr>
        <w:t>septembre</w:t>
      </w:r>
      <w:r w:rsidRPr="00C93577">
        <w:rPr>
          <w:rFonts w:asciiTheme="minorHAnsi" w:hAnsiTheme="minorHAnsi" w:cstheme="minorHAnsi"/>
          <w:lang w:val="fr-FR"/>
        </w:rPr>
        <w:t xml:space="preserve"> 2017, le Directeur général a souscrit à 40.000 actions par exercice de 400 BCE-2014-2.</w:t>
      </w:r>
    </w:p>
    <w:p w14:paraId="2BC2BB2A"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Le 29 octobre 2017, 2.900 actions de la Société ont été souscrites par exercice de 29 BSA-2014-7.</w:t>
      </w:r>
    </w:p>
    <w:p w14:paraId="6892FB98"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Le 20 décembre 2017, 2.500 actions de la Société ont été souscrites par exercice de 2.500 BCE-2016-1.</w:t>
      </w:r>
    </w:p>
    <w:p w14:paraId="69CAF60B" w14:textId="77777777" w:rsidR="00B740A8" w:rsidRPr="00C93577" w:rsidRDefault="00B740A8" w:rsidP="00B740A8">
      <w:pPr>
        <w:pStyle w:val="Listepuces"/>
        <w:rPr>
          <w:rFonts w:asciiTheme="minorHAnsi" w:hAnsiTheme="minorHAnsi" w:cstheme="minorHAnsi"/>
          <w:lang w:val="fr-FR"/>
        </w:rPr>
      </w:pPr>
      <w:r w:rsidRPr="00C93577">
        <w:rPr>
          <w:rFonts w:asciiTheme="minorHAnsi" w:hAnsiTheme="minorHAnsi" w:cstheme="minorHAnsi"/>
          <w:lang w:val="fr-FR"/>
        </w:rPr>
        <w:t xml:space="preserve">Par ailleurs, en </w:t>
      </w:r>
      <w:r w:rsidR="006B119E" w:rsidRPr="00C93577">
        <w:rPr>
          <w:rFonts w:asciiTheme="minorHAnsi" w:hAnsiTheme="minorHAnsi" w:cstheme="minorHAnsi"/>
          <w:lang w:val="fr-FR"/>
        </w:rPr>
        <w:t>septembre</w:t>
      </w:r>
      <w:r w:rsidRPr="00C93577">
        <w:rPr>
          <w:rFonts w:asciiTheme="minorHAnsi" w:hAnsiTheme="minorHAnsi" w:cstheme="minorHAnsi"/>
          <w:lang w:val="fr-FR"/>
        </w:rPr>
        <w:t xml:space="preserve"> et octobre 2017, deux augmentations de capital résultant de l’exercice de BSA Kepler</w:t>
      </w:r>
      <w:r w:rsidR="00C73365" w:rsidRPr="00C93577">
        <w:rPr>
          <w:rFonts w:asciiTheme="minorHAnsi" w:hAnsiTheme="minorHAnsi" w:cstheme="minorHAnsi"/>
          <w:lang w:val="fr-FR"/>
        </w:rPr>
        <w:t xml:space="preserve"> Cheuvreux</w:t>
      </w:r>
      <w:r w:rsidRPr="00C93577">
        <w:rPr>
          <w:rFonts w:asciiTheme="minorHAnsi" w:hAnsiTheme="minorHAnsi" w:cstheme="minorHAnsi"/>
          <w:lang w:val="fr-FR"/>
        </w:rPr>
        <w:t xml:space="preserve"> correspondant à une ligne de financement en fonds propres ont conduit à la création de 60 000 actions nouvelles de la Société.</w:t>
      </w:r>
    </w:p>
    <w:p w14:paraId="2A4DFF8E"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Au cours de l’exercice 2018 : </w:t>
      </w:r>
    </w:p>
    <w:p w14:paraId="0D51B239"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Le 14 février 2018, une action de la Société a été souscrite par exercice d’1 BSPCE 2016-1.</w:t>
      </w:r>
    </w:p>
    <w:p w14:paraId="122EDAB3" w14:textId="77777777" w:rsidR="00B740A8" w:rsidRPr="00C93577" w:rsidRDefault="00B740A8" w:rsidP="004572A0">
      <w:pPr>
        <w:pStyle w:val="Listepuces"/>
        <w:rPr>
          <w:rFonts w:asciiTheme="minorHAnsi" w:hAnsiTheme="minorHAnsi" w:cstheme="minorHAnsi"/>
          <w:lang w:val="fr-FR"/>
        </w:rPr>
      </w:pPr>
      <w:r w:rsidRPr="00C93577">
        <w:rPr>
          <w:rFonts w:asciiTheme="minorHAnsi" w:hAnsiTheme="minorHAnsi" w:cstheme="minorHAnsi"/>
          <w:lang w:val="fr-FR"/>
        </w:rPr>
        <w:t xml:space="preserve">Le 20 mars 2018, le Directeur </w:t>
      </w:r>
      <w:r w:rsidR="00C73365" w:rsidRPr="00C93577">
        <w:rPr>
          <w:rFonts w:asciiTheme="minorHAnsi" w:hAnsiTheme="minorHAnsi" w:cstheme="minorHAnsi"/>
          <w:lang w:val="fr-FR"/>
        </w:rPr>
        <w:t>G</w:t>
      </w:r>
      <w:r w:rsidRPr="00C93577">
        <w:rPr>
          <w:rFonts w:asciiTheme="minorHAnsi" w:hAnsiTheme="minorHAnsi" w:cstheme="minorHAnsi"/>
          <w:lang w:val="fr-FR"/>
        </w:rPr>
        <w:t>énéral a souscrit à 40.000 actions par exercice de 400 BCE-2014-2 et une action de la Société a été souscrite par exercice d’1 BSPCE 2016-1.</w:t>
      </w:r>
    </w:p>
    <w:p w14:paraId="2A88BC07" w14:textId="77777777" w:rsidR="00B740A8" w:rsidRPr="00C73365" w:rsidRDefault="00B740A8" w:rsidP="00B740A8">
      <w:pPr>
        <w:rPr>
          <w:rFonts w:asciiTheme="minorHAnsi" w:hAnsiTheme="minorHAnsi" w:cstheme="minorHAnsi"/>
          <w:lang w:val="fr-FR"/>
        </w:rPr>
      </w:pPr>
    </w:p>
    <w:p w14:paraId="5AA21875" w14:textId="77777777" w:rsidR="00B740A8" w:rsidRPr="00C73365" w:rsidRDefault="00B740A8" w:rsidP="00B740A8">
      <w:pPr>
        <w:rPr>
          <w:rFonts w:asciiTheme="minorHAnsi" w:hAnsiTheme="minorHAnsi" w:cstheme="minorHAnsi"/>
          <w:highlight w:val="yellow"/>
          <w:lang w:val="fr-FR"/>
        </w:rPr>
      </w:pPr>
    </w:p>
    <w:p w14:paraId="17911806" w14:textId="77777777" w:rsidR="00B740A8" w:rsidRPr="00C73365" w:rsidRDefault="00B740A8" w:rsidP="00B740A8">
      <w:pPr>
        <w:spacing w:after="160" w:line="259" w:lineRule="auto"/>
        <w:rPr>
          <w:rFonts w:asciiTheme="minorHAnsi" w:hAnsiTheme="minorHAnsi" w:cstheme="minorHAnsi"/>
          <w:highlight w:val="yellow"/>
          <w:lang w:val="fr-FR"/>
        </w:rPr>
      </w:pPr>
      <w:r w:rsidRPr="00C73365">
        <w:rPr>
          <w:rFonts w:asciiTheme="minorHAnsi" w:hAnsiTheme="minorHAnsi" w:cstheme="minorHAnsi"/>
          <w:highlight w:val="yellow"/>
          <w:lang w:val="fr-FR"/>
        </w:rPr>
        <w:br w:type="page"/>
      </w:r>
    </w:p>
    <w:p w14:paraId="345357A7" w14:textId="77777777" w:rsidR="00B740A8" w:rsidRPr="00C73365" w:rsidRDefault="00B740A8" w:rsidP="00B740A8">
      <w:pPr>
        <w:rPr>
          <w:rFonts w:asciiTheme="minorHAnsi" w:hAnsiTheme="minorHAnsi" w:cstheme="minorHAnsi"/>
          <w:highlight w:val="yellow"/>
          <w:lang w:val="fr-FR"/>
        </w:rPr>
      </w:pPr>
    </w:p>
    <w:p w14:paraId="7C56615B" w14:textId="77777777"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Historique de la répartition du capital et des droits de vote </w:t>
      </w:r>
    </w:p>
    <w:p w14:paraId="18E1C909" w14:textId="77777777" w:rsidR="00B740A8" w:rsidRPr="00C73365" w:rsidRDefault="00B740A8" w:rsidP="00B740A8">
      <w:pPr>
        <w:pStyle w:val="Paragraphedeliste"/>
        <w:ind w:left="1980"/>
        <w:rPr>
          <w:rFonts w:asciiTheme="minorHAnsi" w:hAnsiTheme="minorHAnsi" w:cstheme="minorHAnsi"/>
          <w:lang w:val="fr-FR"/>
        </w:rPr>
      </w:pPr>
    </w:p>
    <w:p w14:paraId="28EA242E"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Le tableau ci-dessous indique l’évolution de la répartition du capital et des droits de vote de la Société au 31 décembre 2015, 31 décembre 2016 et 31 décembre 2017 :</w:t>
      </w:r>
    </w:p>
    <w:p w14:paraId="397ABE3F" w14:textId="77777777" w:rsidR="00B740A8" w:rsidRPr="00C73365" w:rsidRDefault="00B740A8" w:rsidP="00B740A8">
      <w:pPr>
        <w:rPr>
          <w:rFonts w:asciiTheme="minorHAnsi" w:hAnsiTheme="minorHAnsi" w:cstheme="minorHAnsi"/>
          <w:b/>
          <w:color w:val="7030A0"/>
          <w:highlight w:val="yellow"/>
          <w:lang w:val="fr-FR"/>
        </w:rPr>
      </w:pPr>
    </w:p>
    <w:tbl>
      <w:tblPr>
        <w:tblW w:w="10773"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left w:w="70" w:type="dxa"/>
          <w:right w:w="70" w:type="dxa"/>
        </w:tblCellMar>
        <w:tblLook w:val="04A0" w:firstRow="1" w:lastRow="0" w:firstColumn="1" w:lastColumn="0" w:noHBand="0" w:noVBand="1"/>
      </w:tblPr>
      <w:tblGrid>
        <w:gridCol w:w="1029"/>
        <w:gridCol w:w="787"/>
        <w:gridCol w:w="788"/>
        <w:gridCol w:w="940"/>
        <w:gridCol w:w="639"/>
        <w:gridCol w:w="789"/>
        <w:gridCol w:w="789"/>
        <w:gridCol w:w="901"/>
        <w:gridCol w:w="679"/>
        <w:gridCol w:w="860"/>
        <w:gridCol w:w="860"/>
        <w:gridCol w:w="860"/>
        <w:gridCol w:w="852"/>
      </w:tblGrid>
      <w:tr w:rsidR="00B740A8" w:rsidRPr="00C73365" w14:paraId="0B4599E6" w14:textId="77777777" w:rsidTr="00D1541A">
        <w:trPr>
          <w:trHeight w:val="406"/>
          <w:jc w:val="center"/>
        </w:trPr>
        <w:tc>
          <w:tcPr>
            <w:tcW w:w="1029" w:type="dxa"/>
            <w:vMerge w:val="restart"/>
            <w:shd w:val="clear" w:color="auto" w:fill="auto"/>
            <w:vAlign w:val="center"/>
            <w:hideMark/>
          </w:tcPr>
          <w:p w14:paraId="34E13FF1" w14:textId="77777777" w:rsidR="00B740A8" w:rsidRPr="00C73365" w:rsidRDefault="00B740A8" w:rsidP="00D1541A">
            <w:pP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Actionnaires</w:t>
            </w:r>
          </w:p>
        </w:tc>
        <w:tc>
          <w:tcPr>
            <w:tcW w:w="3154" w:type="dxa"/>
            <w:gridSpan w:val="4"/>
            <w:shd w:val="clear" w:color="auto" w:fill="auto"/>
            <w:noWrap/>
            <w:vAlign w:val="center"/>
            <w:hideMark/>
          </w:tcPr>
          <w:p w14:paraId="405EDE36"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2015</w:t>
            </w:r>
          </w:p>
        </w:tc>
        <w:tc>
          <w:tcPr>
            <w:tcW w:w="3158" w:type="dxa"/>
            <w:gridSpan w:val="4"/>
            <w:vAlign w:val="center"/>
          </w:tcPr>
          <w:p w14:paraId="127F9968"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2016</w:t>
            </w:r>
          </w:p>
        </w:tc>
        <w:tc>
          <w:tcPr>
            <w:tcW w:w="3432" w:type="dxa"/>
            <w:gridSpan w:val="4"/>
            <w:vAlign w:val="center"/>
          </w:tcPr>
          <w:p w14:paraId="442CF1D0"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2017</w:t>
            </w:r>
          </w:p>
        </w:tc>
      </w:tr>
      <w:tr w:rsidR="00B740A8" w:rsidRPr="00036317" w14:paraId="3F3AC34E" w14:textId="77777777" w:rsidTr="00D1541A">
        <w:trPr>
          <w:trHeight w:val="1168"/>
          <w:jc w:val="center"/>
        </w:trPr>
        <w:tc>
          <w:tcPr>
            <w:tcW w:w="1029" w:type="dxa"/>
            <w:vMerge/>
            <w:vAlign w:val="center"/>
            <w:hideMark/>
          </w:tcPr>
          <w:p w14:paraId="082DBE29" w14:textId="77777777" w:rsidR="00B740A8" w:rsidRPr="00C73365" w:rsidRDefault="00B740A8" w:rsidP="00D1541A">
            <w:pPr>
              <w:rPr>
                <w:rFonts w:asciiTheme="minorHAnsi" w:hAnsiTheme="minorHAnsi" w:cstheme="minorHAnsi"/>
                <w:b/>
                <w:color w:val="000000"/>
                <w:sz w:val="15"/>
                <w:lang w:val="fr-FR"/>
              </w:rPr>
            </w:pPr>
          </w:p>
        </w:tc>
        <w:tc>
          <w:tcPr>
            <w:tcW w:w="787" w:type="dxa"/>
            <w:shd w:val="clear" w:color="auto" w:fill="auto"/>
            <w:vAlign w:val="center"/>
            <w:hideMark/>
          </w:tcPr>
          <w:p w14:paraId="5DE4E7CF" w14:textId="77777777"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bCs/>
                <w:color w:val="000000"/>
                <w:sz w:val="15"/>
                <w:szCs w:val="15"/>
                <w:lang w:val="fr-FR" w:eastAsia="fr-FR"/>
              </w:rPr>
              <w:t>Nombre d’actions (capital non dilué)</w:t>
            </w:r>
          </w:p>
        </w:tc>
        <w:tc>
          <w:tcPr>
            <w:tcW w:w="788" w:type="dxa"/>
            <w:shd w:val="clear" w:color="auto" w:fill="auto"/>
            <w:vAlign w:val="center"/>
            <w:hideMark/>
          </w:tcPr>
          <w:p w14:paraId="319DE3E4" w14:textId="77777777"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bCs/>
                <w:color w:val="000000"/>
                <w:sz w:val="15"/>
                <w:szCs w:val="15"/>
                <w:lang w:val="fr-FR" w:eastAsia="fr-FR"/>
              </w:rPr>
              <w:t>% du capital (non dilué)</w:t>
            </w:r>
          </w:p>
        </w:tc>
        <w:tc>
          <w:tcPr>
            <w:tcW w:w="940" w:type="dxa"/>
            <w:shd w:val="clear" w:color="auto" w:fill="auto"/>
            <w:vAlign w:val="center"/>
            <w:hideMark/>
          </w:tcPr>
          <w:p w14:paraId="113C66B1"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r w:rsidRPr="00C73365">
              <w:rPr>
                <w:rFonts w:asciiTheme="minorHAnsi" w:hAnsiTheme="minorHAnsi" w:cstheme="minorHAnsi"/>
                <w:b/>
                <w:bCs/>
                <w:color w:val="000000"/>
                <w:sz w:val="15"/>
                <w:szCs w:val="15"/>
                <w:lang w:val="fr-FR" w:eastAsia="fr-FR"/>
              </w:rPr>
              <w:t xml:space="preserve"> </w:t>
            </w:r>
          </w:p>
        </w:tc>
        <w:tc>
          <w:tcPr>
            <w:tcW w:w="639" w:type="dxa"/>
            <w:shd w:val="clear" w:color="auto" w:fill="auto"/>
            <w:vAlign w:val="center"/>
            <w:hideMark/>
          </w:tcPr>
          <w:p w14:paraId="553C4501"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des droits de vote</w:t>
            </w:r>
          </w:p>
        </w:tc>
        <w:tc>
          <w:tcPr>
            <w:tcW w:w="789" w:type="dxa"/>
            <w:vAlign w:val="center"/>
          </w:tcPr>
          <w:p w14:paraId="043013C1"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d’actions (capital non dilué)</w:t>
            </w:r>
          </w:p>
        </w:tc>
        <w:tc>
          <w:tcPr>
            <w:tcW w:w="789" w:type="dxa"/>
            <w:vAlign w:val="center"/>
          </w:tcPr>
          <w:p w14:paraId="4372852A"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du capital (non dilué)</w:t>
            </w:r>
          </w:p>
        </w:tc>
        <w:tc>
          <w:tcPr>
            <w:tcW w:w="901" w:type="dxa"/>
            <w:vAlign w:val="center"/>
          </w:tcPr>
          <w:p w14:paraId="1B6B82FD"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p>
        </w:tc>
        <w:tc>
          <w:tcPr>
            <w:tcW w:w="679" w:type="dxa"/>
            <w:vAlign w:val="center"/>
          </w:tcPr>
          <w:p w14:paraId="068CD883"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bCs/>
                <w:color w:val="000000"/>
                <w:sz w:val="15"/>
                <w:szCs w:val="15"/>
                <w:lang w:val="fr-FR" w:eastAsia="fr-FR"/>
              </w:rPr>
              <w:footnoteReference w:customMarkFollows="1" w:id="18"/>
              <w:t>% des droits de vote</w:t>
            </w:r>
          </w:p>
        </w:tc>
        <w:tc>
          <w:tcPr>
            <w:tcW w:w="860" w:type="dxa"/>
            <w:vAlign w:val="center"/>
          </w:tcPr>
          <w:p w14:paraId="645AE0B2"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d’actions (capital non dilué)</w:t>
            </w:r>
          </w:p>
        </w:tc>
        <w:tc>
          <w:tcPr>
            <w:tcW w:w="860" w:type="dxa"/>
            <w:vAlign w:val="center"/>
          </w:tcPr>
          <w:p w14:paraId="0D6AF4F8"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du capital (non dilué)</w:t>
            </w:r>
          </w:p>
        </w:tc>
        <w:tc>
          <w:tcPr>
            <w:tcW w:w="860" w:type="dxa"/>
            <w:vAlign w:val="center"/>
          </w:tcPr>
          <w:p w14:paraId="5B447B93"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p>
        </w:tc>
        <w:tc>
          <w:tcPr>
            <w:tcW w:w="852" w:type="dxa"/>
            <w:vAlign w:val="center"/>
          </w:tcPr>
          <w:p w14:paraId="6D459A0E" w14:textId="77777777"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color w:val="000000"/>
                <w:sz w:val="15"/>
                <w:lang w:val="fr-FR"/>
              </w:rPr>
              <w:footnoteReference w:customMarkFollows="1" w:id="19"/>
              <w:t>% des droits de vote</w:t>
            </w:r>
          </w:p>
          <w:p w14:paraId="2233FB41" w14:textId="77777777"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bCs/>
                <w:color w:val="000000"/>
                <w:sz w:val="15"/>
                <w:szCs w:val="15"/>
                <w:lang w:val="fr-FR" w:eastAsia="fr-FR"/>
              </w:rPr>
              <w:t>(non dilué)</w:t>
            </w:r>
          </w:p>
        </w:tc>
      </w:tr>
      <w:tr w:rsidR="00B740A8" w:rsidRPr="00C73365" w14:paraId="33E2880D" w14:textId="77777777" w:rsidTr="00D1541A">
        <w:trPr>
          <w:trHeight w:val="20"/>
          <w:jc w:val="center"/>
        </w:trPr>
        <w:tc>
          <w:tcPr>
            <w:tcW w:w="1029" w:type="dxa"/>
            <w:shd w:val="clear" w:color="auto" w:fill="auto"/>
            <w:noWrap/>
            <w:vAlign w:val="center"/>
            <w:hideMark/>
          </w:tcPr>
          <w:p w14:paraId="4C63673E" w14:textId="77777777"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Holding Incubatrice Biotechnologie</w:t>
            </w:r>
          </w:p>
        </w:tc>
        <w:tc>
          <w:tcPr>
            <w:tcW w:w="787" w:type="dxa"/>
            <w:shd w:val="clear" w:color="auto" w:fill="auto"/>
            <w:noWrap/>
            <w:vAlign w:val="center"/>
            <w:hideMark/>
          </w:tcPr>
          <w:p w14:paraId="1C7CA28C"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257 600</w:t>
            </w:r>
          </w:p>
        </w:tc>
        <w:tc>
          <w:tcPr>
            <w:tcW w:w="788" w:type="dxa"/>
            <w:shd w:val="clear" w:color="auto" w:fill="auto"/>
            <w:noWrap/>
            <w:vAlign w:val="center"/>
            <w:hideMark/>
          </w:tcPr>
          <w:p w14:paraId="74749359"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2,66%</w:t>
            </w:r>
          </w:p>
        </w:tc>
        <w:tc>
          <w:tcPr>
            <w:tcW w:w="940" w:type="dxa"/>
            <w:shd w:val="clear" w:color="auto" w:fill="auto"/>
            <w:noWrap/>
            <w:vAlign w:val="center"/>
            <w:hideMark/>
          </w:tcPr>
          <w:p w14:paraId="3745A9E7"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307 600</w:t>
            </w:r>
          </w:p>
        </w:tc>
        <w:tc>
          <w:tcPr>
            <w:tcW w:w="639" w:type="dxa"/>
            <w:shd w:val="clear" w:color="auto" w:fill="auto"/>
            <w:noWrap/>
            <w:vAlign w:val="center"/>
            <w:hideMark/>
          </w:tcPr>
          <w:p w14:paraId="0693E467"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2,56%</w:t>
            </w:r>
          </w:p>
        </w:tc>
        <w:tc>
          <w:tcPr>
            <w:tcW w:w="789" w:type="dxa"/>
            <w:vAlign w:val="center"/>
          </w:tcPr>
          <w:p w14:paraId="72AE02F4"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257 600</w:t>
            </w:r>
          </w:p>
        </w:tc>
        <w:tc>
          <w:tcPr>
            <w:tcW w:w="789" w:type="dxa"/>
            <w:vAlign w:val="center"/>
          </w:tcPr>
          <w:p w14:paraId="18B44C0B"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2,66%</w:t>
            </w:r>
          </w:p>
        </w:tc>
        <w:tc>
          <w:tcPr>
            <w:tcW w:w="901" w:type="dxa"/>
            <w:vAlign w:val="center"/>
          </w:tcPr>
          <w:p w14:paraId="57D61025"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515 200</w:t>
            </w:r>
          </w:p>
        </w:tc>
        <w:tc>
          <w:tcPr>
            <w:tcW w:w="679" w:type="dxa"/>
            <w:vAlign w:val="center"/>
          </w:tcPr>
          <w:p w14:paraId="4A364697"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3,15%</w:t>
            </w:r>
          </w:p>
        </w:tc>
        <w:tc>
          <w:tcPr>
            <w:tcW w:w="860" w:type="dxa"/>
            <w:vAlign w:val="center"/>
          </w:tcPr>
          <w:p w14:paraId="1F3EDEF5"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257 600</w:t>
            </w:r>
          </w:p>
        </w:tc>
        <w:tc>
          <w:tcPr>
            <w:tcW w:w="860" w:type="dxa"/>
            <w:vAlign w:val="center"/>
          </w:tcPr>
          <w:p w14:paraId="49FC1726"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2,60%</w:t>
            </w:r>
          </w:p>
        </w:tc>
        <w:tc>
          <w:tcPr>
            <w:tcW w:w="860" w:type="dxa"/>
            <w:vAlign w:val="center"/>
          </w:tcPr>
          <w:p w14:paraId="6710E4D8"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515 200</w:t>
            </w:r>
          </w:p>
        </w:tc>
        <w:tc>
          <w:tcPr>
            <w:tcW w:w="852" w:type="dxa"/>
            <w:vAlign w:val="center"/>
          </w:tcPr>
          <w:p w14:paraId="0E281CB8"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3,</w:t>
            </w:r>
            <w:r w:rsidRPr="00C73365">
              <w:rPr>
                <w:rFonts w:asciiTheme="minorHAnsi" w:hAnsiTheme="minorHAnsi" w:cstheme="minorHAnsi"/>
                <w:bCs/>
                <w:color w:val="000000"/>
                <w:sz w:val="15"/>
                <w:szCs w:val="15"/>
                <w:lang w:val="fr-FR" w:eastAsia="fr-FR"/>
              </w:rPr>
              <w:t>20</w:t>
            </w:r>
            <w:r w:rsidRPr="00C73365">
              <w:rPr>
                <w:rFonts w:asciiTheme="minorHAnsi" w:hAnsiTheme="minorHAnsi" w:cstheme="minorHAnsi"/>
                <w:color w:val="000000"/>
                <w:sz w:val="15"/>
                <w:szCs w:val="15"/>
                <w:lang w:val="fr-FR"/>
              </w:rPr>
              <w:t>%</w:t>
            </w:r>
          </w:p>
        </w:tc>
      </w:tr>
      <w:tr w:rsidR="00B740A8" w:rsidRPr="00C73365" w14:paraId="61FECD4C" w14:textId="77777777" w:rsidTr="00D1541A">
        <w:trPr>
          <w:trHeight w:val="20"/>
          <w:jc w:val="center"/>
        </w:trPr>
        <w:tc>
          <w:tcPr>
            <w:tcW w:w="1029" w:type="dxa"/>
            <w:shd w:val="clear" w:color="auto" w:fill="auto"/>
            <w:noWrap/>
            <w:vAlign w:val="center"/>
            <w:hideMark/>
          </w:tcPr>
          <w:p w14:paraId="148A1FF6" w14:textId="77777777"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Total fonds Truffle</w:t>
            </w:r>
          </w:p>
        </w:tc>
        <w:tc>
          <w:tcPr>
            <w:tcW w:w="787" w:type="dxa"/>
            <w:shd w:val="clear" w:color="auto" w:fill="auto"/>
            <w:noWrap/>
            <w:vAlign w:val="center"/>
            <w:hideMark/>
          </w:tcPr>
          <w:p w14:paraId="11F8CD8D"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6 592 739</w:t>
            </w:r>
          </w:p>
        </w:tc>
        <w:tc>
          <w:tcPr>
            <w:tcW w:w="788" w:type="dxa"/>
            <w:shd w:val="clear" w:color="auto" w:fill="auto"/>
            <w:noWrap/>
            <w:vAlign w:val="center"/>
            <w:hideMark/>
          </w:tcPr>
          <w:p w14:paraId="10F26202"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67,99%</w:t>
            </w:r>
          </w:p>
        </w:tc>
        <w:tc>
          <w:tcPr>
            <w:tcW w:w="940" w:type="dxa"/>
            <w:shd w:val="clear" w:color="auto" w:fill="auto"/>
            <w:noWrap/>
            <w:vAlign w:val="center"/>
            <w:hideMark/>
          </w:tcPr>
          <w:p w14:paraId="3DA69AA7"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8 872 439</w:t>
            </w:r>
          </w:p>
        </w:tc>
        <w:tc>
          <w:tcPr>
            <w:tcW w:w="639" w:type="dxa"/>
            <w:shd w:val="clear" w:color="auto" w:fill="auto"/>
            <w:noWrap/>
            <w:vAlign w:val="center"/>
            <w:hideMark/>
          </w:tcPr>
          <w:p w14:paraId="3B87CDC9"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73,97%</w:t>
            </w:r>
          </w:p>
        </w:tc>
        <w:tc>
          <w:tcPr>
            <w:tcW w:w="789" w:type="dxa"/>
            <w:vAlign w:val="center"/>
          </w:tcPr>
          <w:p w14:paraId="63EE7F0B"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6 518 312</w:t>
            </w:r>
          </w:p>
        </w:tc>
        <w:tc>
          <w:tcPr>
            <w:tcW w:w="789" w:type="dxa"/>
            <w:vAlign w:val="center"/>
          </w:tcPr>
          <w:p w14:paraId="4F8CBFD5"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67,18%</w:t>
            </w:r>
          </w:p>
        </w:tc>
        <w:tc>
          <w:tcPr>
            <w:tcW w:w="901" w:type="dxa"/>
            <w:vAlign w:val="center"/>
          </w:tcPr>
          <w:p w14:paraId="65A82B5D"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12 667 369</w:t>
            </w:r>
          </w:p>
        </w:tc>
        <w:tc>
          <w:tcPr>
            <w:tcW w:w="679" w:type="dxa"/>
            <w:vAlign w:val="center"/>
          </w:tcPr>
          <w:p w14:paraId="7F947895"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77,44%</w:t>
            </w:r>
          </w:p>
        </w:tc>
        <w:tc>
          <w:tcPr>
            <w:tcW w:w="860" w:type="dxa"/>
            <w:vAlign w:val="center"/>
          </w:tcPr>
          <w:p w14:paraId="7DE2D83F"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5 921 954</w:t>
            </w:r>
          </w:p>
        </w:tc>
        <w:tc>
          <w:tcPr>
            <w:tcW w:w="860" w:type="dxa"/>
            <w:vAlign w:val="center"/>
          </w:tcPr>
          <w:p w14:paraId="028EED4A"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59,79</w:t>
            </w:r>
            <w:r w:rsidRPr="00C73365">
              <w:rPr>
                <w:rFonts w:asciiTheme="minorHAnsi" w:hAnsiTheme="minorHAnsi" w:cstheme="minorHAnsi"/>
                <w:color w:val="000000"/>
                <w:sz w:val="15"/>
                <w:szCs w:val="15"/>
                <w:lang w:val="fr-FR"/>
              </w:rPr>
              <w:t>%</w:t>
            </w:r>
          </w:p>
        </w:tc>
        <w:tc>
          <w:tcPr>
            <w:tcW w:w="860" w:type="dxa"/>
            <w:vAlign w:val="center"/>
          </w:tcPr>
          <w:p w14:paraId="4031E1DC"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11 756 413</w:t>
            </w:r>
          </w:p>
        </w:tc>
        <w:tc>
          <w:tcPr>
            <w:tcW w:w="852" w:type="dxa"/>
            <w:vAlign w:val="center"/>
          </w:tcPr>
          <w:p w14:paraId="54B294AE"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73,04</w:t>
            </w:r>
            <w:r w:rsidRPr="00C73365">
              <w:rPr>
                <w:rFonts w:asciiTheme="minorHAnsi" w:hAnsiTheme="minorHAnsi" w:cstheme="minorHAnsi"/>
                <w:color w:val="000000"/>
                <w:sz w:val="15"/>
                <w:szCs w:val="15"/>
                <w:lang w:val="fr-FR"/>
              </w:rPr>
              <w:t>%</w:t>
            </w:r>
          </w:p>
        </w:tc>
      </w:tr>
      <w:tr w:rsidR="00B740A8" w:rsidRPr="00C73365" w14:paraId="2DF1413C" w14:textId="77777777" w:rsidTr="00D1541A">
        <w:trPr>
          <w:trHeight w:val="20"/>
          <w:jc w:val="center"/>
        </w:trPr>
        <w:tc>
          <w:tcPr>
            <w:tcW w:w="1029" w:type="dxa"/>
            <w:shd w:val="clear" w:color="auto" w:fill="auto"/>
            <w:noWrap/>
            <w:vAlign w:val="center"/>
            <w:hideMark/>
          </w:tcPr>
          <w:p w14:paraId="0716C0A4" w14:textId="77777777"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Autres</w:t>
            </w:r>
            <w:r w:rsidRPr="00C73365">
              <w:rPr>
                <w:rFonts w:asciiTheme="minorHAnsi" w:hAnsiTheme="minorHAnsi" w:cstheme="minorHAnsi"/>
                <w:color w:val="7030A0"/>
                <w:sz w:val="14"/>
                <w:lang w:val="fr-FR"/>
              </w:rPr>
              <w:t>*</w:t>
            </w:r>
          </w:p>
        </w:tc>
        <w:tc>
          <w:tcPr>
            <w:tcW w:w="787" w:type="dxa"/>
            <w:shd w:val="clear" w:color="auto" w:fill="auto"/>
            <w:noWrap/>
            <w:vAlign w:val="center"/>
            <w:hideMark/>
          </w:tcPr>
          <w:p w14:paraId="0EE919DD"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241 600</w:t>
            </w:r>
          </w:p>
        </w:tc>
        <w:tc>
          <w:tcPr>
            <w:tcW w:w="788" w:type="dxa"/>
            <w:shd w:val="clear" w:color="auto" w:fill="auto"/>
            <w:noWrap/>
            <w:vAlign w:val="center"/>
            <w:hideMark/>
          </w:tcPr>
          <w:p w14:paraId="1F91F54D"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2,49%</w:t>
            </w:r>
          </w:p>
        </w:tc>
        <w:tc>
          <w:tcPr>
            <w:tcW w:w="940" w:type="dxa"/>
            <w:shd w:val="clear" w:color="auto" w:fill="auto"/>
            <w:noWrap/>
            <w:vAlign w:val="center"/>
            <w:hideMark/>
          </w:tcPr>
          <w:p w14:paraId="3D7C3F6C"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248 100</w:t>
            </w:r>
          </w:p>
        </w:tc>
        <w:tc>
          <w:tcPr>
            <w:tcW w:w="639" w:type="dxa"/>
            <w:shd w:val="clear" w:color="auto" w:fill="auto"/>
            <w:noWrap/>
            <w:vAlign w:val="center"/>
            <w:hideMark/>
          </w:tcPr>
          <w:p w14:paraId="6299F1C4"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2,07%</w:t>
            </w:r>
          </w:p>
        </w:tc>
        <w:tc>
          <w:tcPr>
            <w:tcW w:w="789" w:type="dxa"/>
            <w:vAlign w:val="center"/>
          </w:tcPr>
          <w:p w14:paraId="46DCDCBF"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343 000</w:t>
            </w:r>
          </w:p>
        </w:tc>
        <w:tc>
          <w:tcPr>
            <w:tcW w:w="789" w:type="dxa"/>
            <w:vAlign w:val="center"/>
          </w:tcPr>
          <w:p w14:paraId="220D5E7C"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3,54%</w:t>
            </w:r>
          </w:p>
        </w:tc>
        <w:tc>
          <w:tcPr>
            <w:tcW w:w="901" w:type="dxa"/>
            <w:vAlign w:val="center"/>
          </w:tcPr>
          <w:p w14:paraId="75EE7F61"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611 200</w:t>
            </w:r>
          </w:p>
        </w:tc>
        <w:tc>
          <w:tcPr>
            <w:tcW w:w="679" w:type="dxa"/>
            <w:vAlign w:val="center"/>
          </w:tcPr>
          <w:p w14:paraId="59999F41"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3,74%</w:t>
            </w:r>
          </w:p>
        </w:tc>
        <w:tc>
          <w:tcPr>
            <w:tcW w:w="860" w:type="dxa"/>
            <w:vAlign w:val="center"/>
          </w:tcPr>
          <w:p w14:paraId="757F538E"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187 883</w:t>
            </w:r>
          </w:p>
        </w:tc>
        <w:tc>
          <w:tcPr>
            <w:tcW w:w="860" w:type="dxa"/>
            <w:vAlign w:val="center"/>
          </w:tcPr>
          <w:p w14:paraId="30B571B6"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1,90</w:t>
            </w:r>
            <w:r w:rsidRPr="00C73365">
              <w:rPr>
                <w:rFonts w:asciiTheme="minorHAnsi" w:hAnsiTheme="minorHAnsi" w:cstheme="minorHAnsi"/>
                <w:color w:val="000000"/>
                <w:sz w:val="15"/>
                <w:szCs w:val="15"/>
                <w:lang w:val="fr-FR"/>
              </w:rPr>
              <w:t>%</w:t>
            </w:r>
          </w:p>
        </w:tc>
        <w:tc>
          <w:tcPr>
            <w:tcW w:w="860" w:type="dxa"/>
            <w:vAlign w:val="center"/>
          </w:tcPr>
          <w:p w14:paraId="3BD82829"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315 258</w:t>
            </w:r>
          </w:p>
        </w:tc>
        <w:tc>
          <w:tcPr>
            <w:tcW w:w="852" w:type="dxa"/>
            <w:vAlign w:val="center"/>
          </w:tcPr>
          <w:p w14:paraId="6E898CF3"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1,96%</w:t>
            </w:r>
          </w:p>
        </w:tc>
      </w:tr>
      <w:tr w:rsidR="00B740A8" w:rsidRPr="00C73365" w14:paraId="33A737A1" w14:textId="77777777" w:rsidTr="00D1541A">
        <w:trPr>
          <w:trHeight w:val="347"/>
          <w:jc w:val="center"/>
        </w:trPr>
        <w:tc>
          <w:tcPr>
            <w:tcW w:w="1029" w:type="dxa"/>
            <w:shd w:val="clear" w:color="auto" w:fill="auto"/>
            <w:noWrap/>
            <w:vAlign w:val="center"/>
            <w:hideMark/>
          </w:tcPr>
          <w:p w14:paraId="1B60777C" w14:textId="77777777"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Direction</w:t>
            </w:r>
          </w:p>
        </w:tc>
        <w:tc>
          <w:tcPr>
            <w:tcW w:w="787" w:type="dxa"/>
            <w:shd w:val="clear" w:color="auto" w:fill="auto"/>
            <w:noWrap/>
            <w:vAlign w:val="center"/>
            <w:hideMark/>
          </w:tcPr>
          <w:p w14:paraId="5ED49DF9"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8" w:type="dxa"/>
            <w:shd w:val="clear" w:color="auto" w:fill="auto"/>
            <w:noWrap/>
            <w:vAlign w:val="center"/>
            <w:hideMark/>
          </w:tcPr>
          <w:p w14:paraId="1DBD2FB4"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40" w:type="dxa"/>
            <w:shd w:val="clear" w:color="auto" w:fill="auto"/>
            <w:noWrap/>
            <w:vAlign w:val="center"/>
            <w:hideMark/>
          </w:tcPr>
          <w:p w14:paraId="7DDBC27C"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noWrap/>
            <w:vAlign w:val="center"/>
            <w:hideMark/>
          </w:tcPr>
          <w:p w14:paraId="72C114CB"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14:paraId="7447926C"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14:paraId="78C941FA"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14:paraId="5BF500B1"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14:paraId="61285D4A"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14:paraId="648FDBAA"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6 500</w:t>
            </w:r>
          </w:p>
        </w:tc>
        <w:tc>
          <w:tcPr>
            <w:tcW w:w="860" w:type="dxa"/>
            <w:vAlign w:val="center"/>
          </w:tcPr>
          <w:p w14:paraId="7DEAE54A" w14:textId="77777777" w:rsidR="00B740A8" w:rsidRPr="00C73365" w:rsidRDefault="00B740A8" w:rsidP="00D1541A">
            <w:pPr>
              <w:jc w:val="center"/>
              <w:rPr>
                <w:rFonts w:asciiTheme="minorHAnsi" w:hAnsiTheme="minorHAnsi" w:cstheme="minorHAnsi"/>
                <w:color w:val="000000"/>
                <w:sz w:val="15"/>
                <w:szCs w:val="15"/>
                <w:lang w:val="fr-FR"/>
              </w:rPr>
            </w:pPr>
            <w:r w:rsidRPr="00C73365">
              <w:rPr>
                <w:rFonts w:asciiTheme="minorHAnsi" w:hAnsiTheme="minorHAnsi" w:cstheme="minorHAnsi"/>
                <w:bCs/>
                <w:color w:val="000000"/>
                <w:sz w:val="15"/>
                <w:szCs w:val="15"/>
                <w:lang w:val="fr-FR" w:eastAsia="fr-FR"/>
              </w:rPr>
              <w:t>0,07</w:t>
            </w:r>
            <w:r w:rsidRPr="00C73365">
              <w:rPr>
                <w:rFonts w:asciiTheme="minorHAnsi" w:hAnsiTheme="minorHAnsi" w:cstheme="minorHAnsi"/>
                <w:color w:val="000000"/>
                <w:sz w:val="15"/>
                <w:szCs w:val="15"/>
                <w:lang w:val="fr-FR"/>
              </w:rPr>
              <w:t>%</w:t>
            </w:r>
          </w:p>
        </w:tc>
        <w:tc>
          <w:tcPr>
            <w:tcW w:w="860" w:type="dxa"/>
            <w:vAlign w:val="center"/>
          </w:tcPr>
          <w:p w14:paraId="376B5499"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6 500</w:t>
            </w:r>
          </w:p>
        </w:tc>
        <w:tc>
          <w:tcPr>
            <w:tcW w:w="852" w:type="dxa"/>
            <w:vAlign w:val="center"/>
          </w:tcPr>
          <w:p w14:paraId="2B995038" w14:textId="77777777" w:rsidR="00B740A8" w:rsidRPr="00C73365" w:rsidRDefault="00B740A8" w:rsidP="00D1541A">
            <w:pPr>
              <w:jc w:val="center"/>
              <w:rPr>
                <w:rFonts w:asciiTheme="minorHAnsi" w:hAnsiTheme="minorHAnsi" w:cstheme="minorHAnsi"/>
                <w:color w:val="000000"/>
                <w:sz w:val="15"/>
                <w:szCs w:val="15"/>
                <w:lang w:val="fr-FR"/>
              </w:rPr>
            </w:pPr>
            <w:r w:rsidRPr="00C73365">
              <w:rPr>
                <w:rFonts w:asciiTheme="minorHAnsi" w:hAnsiTheme="minorHAnsi" w:cstheme="minorHAnsi"/>
                <w:bCs/>
                <w:color w:val="000000"/>
                <w:sz w:val="15"/>
                <w:szCs w:val="15"/>
                <w:lang w:val="fr-FR" w:eastAsia="fr-FR"/>
              </w:rPr>
              <w:t>0,04%</w:t>
            </w:r>
          </w:p>
        </w:tc>
      </w:tr>
      <w:tr w:rsidR="00B740A8" w:rsidRPr="00C73365" w14:paraId="6C4A077B" w14:textId="77777777" w:rsidTr="00D1541A">
        <w:trPr>
          <w:trHeight w:val="20"/>
          <w:jc w:val="center"/>
        </w:trPr>
        <w:tc>
          <w:tcPr>
            <w:tcW w:w="1029" w:type="dxa"/>
            <w:shd w:val="clear" w:color="auto" w:fill="auto"/>
            <w:noWrap/>
            <w:vAlign w:val="center"/>
            <w:hideMark/>
          </w:tcPr>
          <w:p w14:paraId="310DF9AD" w14:textId="77777777"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Conseil d’administration</w:t>
            </w:r>
          </w:p>
        </w:tc>
        <w:tc>
          <w:tcPr>
            <w:tcW w:w="787" w:type="dxa"/>
            <w:shd w:val="clear" w:color="auto" w:fill="auto"/>
            <w:noWrap/>
            <w:vAlign w:val="center"/>
            <w:hideMark/>
          </w:tcPr>
          <w:p w14:paraId="003021B1"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8" w:type="dxa"/>
            <w:shd w:val="clear" w:color="auto" w:fill="auto"/>
            <w:noWrap/>
            <w:vAlign w:val="center"/>
            <w:hideMark/>
          </w:tcPr>
          <w:p w14:paraId="51892D7C"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40" w:type="dxa"/>
            <w:shd w:val="clear" w:color="auto" w:fill="auto"/>
            <w:noWrap/>
            <w:vAlign w:val="center"/>
            <w:hideMark/>
          </w:tcPr>
          <w:p w14:paraId="16A2D201"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noWrap/>
            <w:vAlign w:val="center"/>
            <w:hideMark/>
          </w:tcPr>
          <w:p w14:paraId="7F5F3E0F"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14:paraId="03DCD384"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14:paraId="49AB316A"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14:paraId="47938DC4"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14:paraId="02B28561"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14:paraId="15B3804E"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446 011</w:t>
            </w:r>
          </w:p>
        </w:tc>
        <w:tc>
          <w:tcPr>
            <w:tcW w:w="860" w:type="dxa"/>
            <w:vAlign w:val="center"/>
          </w:tcPr>
          <w:p w14:paraId="224DEE4E"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4,50</w:t>
            </w:r>
            <w:r w:rsidRPr="00C73365">
              <w:rPr>
                <w:rFonts w:asciiTheme="minorHAnsi" w:hAnsiTheme="minorHAnsi" w:cstheme="minorHAnsi"/>
                <w:color w:val="000000"/>
                <w:sz w:val="15"/>
                <w:szCs w:val="15"/>
                <w:lang w:val="fr-FR"/>
              </w:rPr>
              <w:t>%</w:t>
            </w:r>
          </w:p>
        </w:tc>
        <w:tc>
          <w:tcPr>
            <w:tcW w:w="860" w:type="dxa"/>
            <w:vAlign w:val="center"/>
          </w:tcPr>
          <w:p w14:paraId="22BBF922"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446 011</w:t>
            </w:r>
          </w:p>
        </w:tc>
        <w:tc>
          <w:tcPr>
            <w:tcW w:w="852" w:type="dxa"/>
            <w:vAlign w:val="center"/>
          </w:tcPr>
          <w:p w14:paraId="20515C2E"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2,77</w:t>
            </w:r>
            <w:r w:rsidRPr="00C73365">
              <w:rPr>
                <w:rFonts w:asciiTheme="minorHAnsi" w:hAnsiTheme="minorHAnsi" w:cstheme="minorHAnsi"/>
                <w:color w:val="000000"/>
                <w:sz w:val="15"/>
                <w:szCs w:val="15"/>
                <w:lang w:val="fr-FR"/>
              </w:rPr>
              <w:t>%</w:t>
            </w:r>
          </w:p>
        </w:tc>
      </w:tr>
      <w:tr w:rsidR="00B740A8" w:rsidRPr="00C73365" w14:paraId="280220B3" w14:textId="77777777" w:rsidTr="00D1541A">
        <w:trPr>
          <w:trHeight w:val="20"/>
          <w:jc w:val="center"/>
        </w:trPr>
        <w:tc>
          <w:tcPr>
            <w:tcW w:w="1029" w:type="dxa"/>
            <w:shd w:val="clear" w:color="auto" w:fill="auto"/>
            <w:noWrap/>
            <w:vAlign w:val="center"/>
            <w:hideMark/>
          </w:tcPr>
          <w:p w14:paraId="6F0DF16B" w14:textId="77777777"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Salariés</w:t>
            </w:r>
          </w:p>
        </w:tc>
        <w:tc>
          <w:tcPr>
            <w:tcW w:w="787" w:type="dxa"/>
            <w:shd w:val="clear" w:color="auto" w:fill="auto"/>
            <w:noWrap/>
            <w:vAlign w:val="center"/>
            <w:hideMark/>
          </w:tcPr>
          <w:p w14:paraId="04F379E8"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101 400</w:t>
            </w:r>
          </w:p>
        </w:tc>
        <w:tc>
          <w:tcPr>
            <w:tcW w:w="788" w:type="dxa"/>
            <w:shd w:val="clear" w:color="auto" w:fill="auto"/>
            <w:noWrap/>
            <w:vAlign w:val="center"/>
            <w:hideMark/>
          </w:tcPr>
          <w:p w14:paraId="0B985947"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1,05%</w:t>
            </w:r>
          </w:p>
        </w:tc>
        <w:tc>
          <w:tcPr>
            <w:tcW w:w="940" w:type="dxa"/>
            <w:shd w:val="clear" w:color="auto" w:fill="auto"/>
            <w:noWrap/>
            <w:vAlign w:val="center"/>
            <w:hideMark/>
          </w:tcPr>
          <w:p w14:paraId="6EA5C1C5"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106 700</w:t>
            </w:r>
          </w:p>
        </w:tc>
        <w:tc>
          <w:tcPr>
            <w:tcW w:w="639" w:type="dxa"/>
            <w:shd w:val="clear" w:color="auto" w:fill="auto"/>
            <w:noWrap/>
            <w:vAlign w:val="center"/>
            <w:hideMark/>
          </w:tcPr>
          <w:p w14:paraId="68079F9F"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0,89%</w:t>
            </w:r>
          </w:p>
        </w:tc>
        <w:tc>
          <w:tcPr>
            <w:tcW w:w="789" w:type="dxa"/>
            <w:vAlign w:val="center"/>
          </w:tcPr>
          <w:p w14:paraId="078376C0"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14:paraId="596F4B03"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14:paraId="1D9D92D3"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14:paraId="41166F3C"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14:paraId="14B62EAF"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2 500</w:t>
            </w:r>
          </w:p>
        </w:tc>
        <w:tc>
          <w:tcPr>
            <w:tcW w:w="860" w:type="dxa"/>
            <w:vAlign w:val="center"/>
          </w:tcPr>
          <w:p w14:paraId="2C29B9E8"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0,03%</w:t>
            </w:r>
          </w:p>
        </w:tc>
        <w:tc>
          <w:tcPr>
            <w:tcW w:w="860" w:type="dxa"/>
            <w:vAlign w:val="center"/>
          </w:tcPr>
          <w:p w14:paraId="57CDB3F3"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2 500</w:t>
            </w:r>
          </w:p>
        </w:tc>
        <w:tc>
          <w:tcPr>
            <w:tcW w:w="852" w:type="dxa"/>
            <w:vAlign w:val="center"/>
          </w:tcPr>
          <w:p w14:paraId="097D53BD"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0,02%</w:t>
            </w:r>
          </w:p>
        </w:tc>
      </w:tr>
      <w:tr w:rsidR="00B740A8" w:rsidRPr="00C73365" w14:paraId="78DBEE0E" w14:textId="77777777" w:rsidTr="00D1541A">
        <w:trPr>
          <w:trHeight w:val="20"/>
          <w:jc w:val="center"/>
        </w:trPr>
        <w:tc>
          <w:tcPr>
            <w:tcW w:w="1029" w:type="dxa"/>
            <w:shd w:val="clear" w:color="auto" w:fill="auto"/>
            <w:noWrap/>
            <w:vAlign w:val="center"/>
            <w:hideMark/>
          </w:tcPr>
          <w:p w14:paraId="74AD3EDA" w14:textId="77777777"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Consultants</w:t>
            </w:r>
            <w:r w:rsidRPr="00C73365">
              <w:rPr>
                <w:rFonts w:asciiTheme="minorHAnsi" w:hAnsiTheme="minorHAnsi" w:cstheme="minorHAnsi"/>
                <w:color w:val="7030A0"/>
                <w:sz w:val="14"/>
                <w:lang w:val="fr-FR"/>
              </w:rPr>
              <w:t>**</w:t>
            </w:r>
          </w:p>
        </w:tc>
        <w:tc>
          <w:tcPr>
            <w:tcW w:w="787" w:type="dxa"/>
            <w:shd w:val="clear" w:color="auto" w:fill="auto"/>
            <w:noWrap/>
            <w:vAlign w:val="center"/>
            <w:hideMark/>
          </w:tcPr>
          <w:p w14:paraId="35512A81"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31 200</w:t>
            </w:r>
          </w:p>
        </w:tc>
        <w:tc>
          <w:tcPr>
            <w:tcW w:w="788" w:type="dxa"/>
            <w:shd w:val="clear" w:color="auto" w:fill="auto"/>
            <w:noWrap/>
            <w:vAlign w:val="center"/>
            <w:hideMark/>
          </w:tcPr>
          <w:p w14:paraId="05D873B4"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0,32%</w:t>
            </w:r>
          </w:p>
        </w:tc>
        <w:tc>
          <w:tcPr>
            <w:tcW w:w="940" w:type="dxa"/>
            <w:shd w:val="clear" w:color="auto" w:fill="auto"/>
            <w:noWrap/>
            <w:vAlign w:val="center"/>
            <w:hideMark/>
          </w:tcPr>
          <w:p w14:paraId="5BDB75E3"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31 200</w:t>
            </w:r>
          </w:p>
        </w:tc>
        <w:tc>
          <w:tcPr>
            <w:tcW w:w="639" w:type="dxa"/>
            <w:shd w:val="clear" w:color="auto" w:fill="auto"/>
            <w:noWrap/>
            <w:vAlign w:val="center"/>
            <w:hideMark/>
          </w:tcPr>
          <w:p w14:paraId="0D4679D5"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0,26%</w:t>
            </w:r>
          </w:p>
        </w:tc>
        <w:tc>
          <w:tcPr>
            <w:tcW w:w="789" w:type="dxa"/>
            <w:vAlign w:val="center"/>
          </w:tcPr>
          <w:p w14:paraId="63BC9739"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36 400</w:t>
            </w:r>
          </w:p>
        </w:tc>
        <w:tc>
          <w:tcPr>
            <w:tcW w:w="789" w:type="dxa"/>
            <w:vAlign w:val="center"/>
          </w:tcPr>
          <w:p w14:paraId="55026469"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0,38%</w:t>
            </w:r>
          </w:p>
        </w:tc>
        <w:tc>
          <w:tcPr>
            <w:tcW w:w="901" w:type="dxa"/>
            <w:vAlign w:val="center"/>
          </w:tcPr>
          <w:p w14:paraId="57D2EFE7"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67 600</w:t>
            </w:r>
          </w:p>
        </w:tc>
        <w:tc>
          <w:tcPr>
            <w:tcW w:w="679" w:type="dxa"/>
            <w:vAlign w:val="center"/>
          </w:tcPr>
          <w:p w14:paraId="524A5000"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0,41%</w:t>
            </w:r>
          </w:p>
        </w:tc>
        <w:tc>
          <w:tcPr>
            <w:tcW w:w="860" w:type="dxa"/>
            <w:vAlign w:val="center"/>
          </w:tcPr>
          <w:p w14:paraId="07EBFD19"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53 527</w:t>
            </w:r>
          </w:p>
        </w:tc>
        <w:tc>
          <w:tcPr>
            <w:tcW w:w="860" w:type="dxa"/>
            <w:vAlign w:val="center"/>
          </w:tcPr>
          <w:p w14:paraId="03596D8B"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0</w:t>
            </w:r>
            <w:r w:rsidRPr="00C73365">
              <w:rPr>
                <w:rFonts w:asciiTheme="minorHAnsi" w:hAnsiTheme="minorHAnsi" w:cstheme="minorHAnsi"/>
                <w:bCs/>
                <w:color w:val="000000"/>
                <w:sz w:val="15"/>
                <w:szCs w:val="15"/>
                <w:lang w:val="fr-FR" w:eastAsia="fr-FR"/>
              </w:rPr>
              <w:t>,54%</w:t>
            </w:r>
          </w:p>
        </w:tc>
        <w:tc>
          <w:tcPr>
            <w:tcW w:w="860" w:type="dxa"/>
            <w:vAlign w:val="center"/>
          </w:tcPr>
          <w:p w14:paraId="18CC2F96"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59 427</w:t>
            </w:r>
          </w:p>
        </w:tc>
        <w:tc>
          <w:tcPr>
            <w:tcW w:w="852" w:type="dxa"/>
            <w:vAlign w:val="center"/>
          </w:tcPr>
          <w:p w14:paraId="6C4A48E8"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0</w:t>
            </w:r>
            <w:r w:rsidRPr="00C73365">
              <w:rPr>
                <w:rFonts w:asciiTheme="minorHAnsi" w:hAnsiTheme="minorHAnsi" w:cstheme="minorHAnsi"/>
                <w:bCs/>
                <w:color w:val="000000"/>
                <w:sz w:val="15"/>
                <w:szCs w:val="15"/>
                <w:lang w:val="fr-FR" w:eastAsia="fr-FR"/>
              </w:rPr>
              <w:t>,37</w:t>
            </w:r>
            <w:r w:rsidRPr="00C73365">
              <w:rPr>
                <w:rFonts w:asciiTheme="minorHAnsi" w:hAnsiTheme="minorHAnsi" w:cstheme="minorHAnsi"/>
                <w:color w:val="000000"/>
                <w:sz w:val="15"/>
                <w:szCs w:val="15"/>
                <w:lang w:val="fr-FR"/>
              </w:rPr>
              <w:t>%</w:t>
            </w:r>
          </w:p>
        </w:tc>
      </w:tr>
      <w:tr w:rsidR="00B740A8" w:rsidRPr="00C73365" w14:paraId="4B426897" w14:textId="77777777" w:rsidTr="00D1541A">
        <w:trPr>
          <w:trHeight w:val="20"/>
          <w:jc w:val="center"/>
        </w:trPr>
        <w:tc>
          <w:tcPr>
            <w:tcW w:w="1029" w:type="dxa"/>
            <w:shd w:val="clear" w:color="auto" w:fill="auto"/>
            <w:noWrap/>
            <w:vAlign w:val="center"/>
            <w:hideMark/>
          </w:tcPr>
          <w:p w14:paraId="28488001" w14:textId="77777777"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Flottant</w:t>
            </w:r>
          </w:p>
        </w:tc>
        <w:tc>
          <w:tcPr>
            <w:tcW w:w="787" w:type="dxa"/>
            <w:shd w:val="clear" w:color="auto" w:fill="auto"/>
            <w:noWrap/>
            <w:vAlign w:val="center"/>
            <w:hideMark/>
          </w:tcPr>
          <w:p w14:paraId="00637604"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2 428 904</w:t>
            </w:r>
          </w:p>
        </w:tc>
        <w:tc>
          <w:tcPr>
            <w:tcW w:w="788" w:type="dxa"/>
            <w:shd w:val="clear" w:color="auto" w:fill="auto"/>
            <w:noWrap/>
            <w:vAlign w:val="center"/>
            <w:hideMark/>
          </w:tcPr>
          <w:p w14:paraId="02B32E28"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25,05%</w:t>
            </w:r>
          </w:p>
        </w:tc>
        <w:tc>
          <w:tcPr>
            <w:tcW w:w="940" w:type="dxa"/>
            <w:shd w:val="clear" w:color="auto" w:fill="auto"/>
            <w:noWrap/>
            <w:vAlign w:val="center"/>
            <w:hideMark/>
          </w:tcPr>
          <w:p w14:paraId="2EFE5893"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2 428 904</w:t>
            </w:r>
          </w:p>
        </w:tc>
        <w:tc>
          <w:tcPr>
            <w:tcW w:w="639" w:type="dxa"/>
            <w:shd w:val="clear" w:color="auto" w:fill="auto"/>
            <w:noWrap/>
            <w:vAlign w:val="center"/>
            <w:hideMark/>
          </w:tcPr>
          <w:p w14:paraId="6E98CF69"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20,25%</w:t>
            </w:r>
          </w:p>
        </w:tc>
        <w:tc>
          <w:tcPr>
            <w:tcW w:w="789" w:type="dxa"/>
            <w:vAlign w:val="center"/>
          </w:tcPr>
          <w:p w14:paraId="7759EF28"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2 496 877</w:t>
            </w:r>
          </w:p>
        </w:tc>
        <w:tc>
          <w:tcPr>
            <w:tcW w:w="789" w:type="dxa"/>
            <w:vAlign w:val="center"/>
          </w:tcPr>
          <w:p w14:paraId="5038CB70"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25,73%</w:t>
            </w:r>
          </w:p>
        </w:tc>
        <w:tc>
          <w:tcPr>
            <w:tcW w:w="901" w:type="dxa"/>
            <w:vAlign w:val="center"/>
          </w:tcPr>
          <w:p w14:paraId="2DE175E9"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2  496 877</w:t>
            </w:r>
          </w:p>
        </w:tc>
        <w:tc>
          <w:tcPr>
            <w:tcW w:w="679" w:type="dxa"/>
            <w:vAlign w:val="center"/>
          </w:tcPr>
          <w:p w14:paraId="3D75268A"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15,26%</w:t>
            </w:r>
          </w:p>
        </w:tc>
        <w:tc>
          <w:tcPr>
            <w:tcW w:w="860" w:type="dxa"/>
            <w:vAlign w:val="center"/>
          </w:tcPr>
          <w:p w14:paraId="52544D21"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2 994 204</w:t>
            </w:r>
          </w:p>
        </w:tc>
        <w:tc>
          <w:tcPr>
            <w:tcW w:w="860" w:type="dxa"/>
            <w:vAlign w:val="center"/>
          </w:tcPr>
          <w:p w14:paraId="071FD265"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30,23</w:t>
            </w:r>
            <w:r w:rsidRPr="00C73365">
              <w:rPr>
                <w:rFonts w:asciiTheme="minorHAnsi" w:hAnsiTheme="minorHAnsi" w:cstheme="minorHAnsi"/>
                <w:color w:val="000000"/>
                <w:sz w:val="15"/>
                <w:szCs w:val="15"/>
                <w:lang w:val="fr-FR"/>
              </w:rPr>
              <w:t>%</w:t>
            </w:r>
          </w:p>
        </w:tc>
        <w:tc>
          <w:tcPr>
            <w:tcW w:w="860" w:type="dxa"/>
            <w:vAlign w:val="center"/>
          </w:tcPr>
          <w:p w14:paraId="6AD71347"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2 994 204</w:t>
            </w:r>
          </w:p>
        </w:tc>
        <w:tc>
          <w:tcPr>
            <w:tcW w:w="852" w:type="dxa"/>
            <w:vAlign w:val="center"/>
          </w:tcPr>
          <w:p w14:paraId="580B7989"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18,60</w:t>
            </w:r>
            <w:r w:rsidRPr="00C73365">
              <w:rPr>
                <w:rFonts w:asciiTheme="minorHAnsi" w:hAnsiTheme="minorHAnsi" w:cstheme="minorHAnsi"/>
                <w:color w:val="000000"/>
                <w:sz w:val="15"/>
                <w:szCs w:val="15"/>
                <w:lang w:val="fr-FR"/>
              </w:rPr>
              <w:t>%</w:t>
            </w:r>
          </w:p>
        </w:tc>
      </w:tr>
      <w:tr w:rsidR="00B740A8" w:rsidRPr="00C73365" w14:paraId="046A24CF" w14:textId="77777777" w:rsidTr="00D1541A">
        <w:trPr>
          <w:trHeight w:val="374"/>
          <w:jc w:val="center"/>
        </w:trPr>
        <w:tc>
          <w:tcPr>
            <w:tcW w:w="1029" w:type="dxa"/>
            <w:shd w:val="clear" w:color="auto" w:fill="auto"/>
            <w:noWrap/>
            <w:vAlign w:val="center"/>
            <w:hideMark/>
          </w:tcPr>
          <w:p w14:paraId="4DB3514E" w14:textId="77777777"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Actions auto-détenues</w:t>
            </w:r>
          </w:p>
        </w:tc>
        <w:tc>
          <w:tcPr>
            <w:tcW w:w="787" w:type="dxa"/>
            <w:shd w:val="clear" w:color="auto" w:fill="auto"/>
            <w:vAlign w:val="center"/>
            <w:hideMark/>
          </w:tcPr>
          <w:p w14:paraId="7342FF1D"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43 446</w:t>
            </w:r>
          </w:p>
        </w:tc>
        <w:tc>
          <w:tcPr>
            <w:tcW w:w="788" w:type="dxa"/>
            <w:shd w:val="clear" w:color="auto" w:fill="auto"/>
            <w:vAlign w:val="center"/>
            <w:hideMark/>
          </w:tcPr>
          <w:p w14:paraId="6C41FD4F"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0,45%</w:t>
            </w:r>
          </w:p>
        </w:tc>
        <w:tc>
          <w:tcPr>
            <w:tcW w:w="940" w:type="dxa"/>
            <w:shd w:val="clear" w:color="auto" w:fill="auto"/>
            <w:vAlign w:val="center"/>
            <w:hideMark/>
          </w:tcPr>
          <w:p w14:paraId="3A9FB09E"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vAlign w:val="center"/>
            <w:hideMark/>
          </w:tcPr>
          <w:p w14:paraId="1B476D0D"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14:paraId="1E2F426C"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49 900</w:t>
            </w:r>
          </w:p>
        </w:tc>
        <w:tc>
          <w:tcPr>
            <w:tcW w:w="789" w:type="dxa"/>
            <w:vAlign w:val="center"/>
          </w:tcPr>
          <w:p w14:paraId="1613F3A4"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0,51%</w:t>
            </w:r>
          </w:p>
        </w:tc>
        <w:tc>
          <w:tcPr>
            <w:tcW w:w="901" w:type="dxa"/>
            <w:vAlign w:val="center"/>
          </w:tcPr>
          <w:p w14:paraId="16769C38"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14:paraId="5F53C850" w14:textId="77777777"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14:paraId="2C389934"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34 050</w:t>
            </w:r>
          </w:p>
        </w:tc>
        <w:tc>
          <w:tcPr>
            <w:tcW w:w="860" w:type="dxa"/>
            <w:vAlign w:val="center"/>
          </w:tcPr>
          <w:p w14:paraId="125A2833"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0,34</w:t>
            </w:r>
            <w:r w:rsidRPr="00C73365">
              <w:rPr>
                <w:rFonts w:asciiTheme="minorHAnsi" w:hAnsiTheme="minorHAnsi" w:cstheme="minorHAnsi"/>
                <w:color w:val="000000"/>
                <w:sz w:val="15"/>
                <w:szCs w:val="15"/>
                <w:lang w:val="fr-FR"/>
              </w:rPr>
              <w:t>%</w:t>
            </w:r>
          </w:p>
        </w:tc>
        <w:tc>
          <w:tcPr>
            <w:tcW w:w="860" w:type="dxa"/>
            <w:vAlign w:val="center"/>
          </w:tcPr>
          <w:p w14:paraId="27C4EADF"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w:t>
            </w:r>
          </w:p>
        </w:tc>
        <w:tc>
          <w:tcPr>
            <w:tcW w:w="852" w:type="dxa"/>
            <w:vAlign w:val="center"/>
          </w:tcPr>
          <w:p w14:paraId="48732548" w14:textId="77777777"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w:t>
            </w:r>
            <w:r w:rsidRPr="00C73365">
              <w:rPr>
                <w:rFonts w:asciiTheme="minorHAnsi" w:hAnsiTheme="minorHAnsi" w:cstheme="minorHAnsi"/>
                <w:color w:val="000000"/>
                <w:sz w:val="15"/>
                <w:szCs w:val="15"/>
                <w:lang w:val="fr-FR"/>
              </w:rPr>
              <w:t>%</w:t>
            </w:r>
          </w:p>
        </w:tc>
      </w:tr>
      <w:tr w:rsidR="00B740A8" w:rsidRPr="00C73365" w14:paraId="567D57A9" w14:textId="77777777" w:rsidTr="00D1541A">
        <w:trPr>
          <w:trHeight w:val="355"/>
          <w:jc w:val="center"/>
        </w:trPr>
        <w:tc>
          <w:tcPr>
            <w:tcW w:w="1029" w:type="dxa"/>
            <w:shd w:val="clear" w:color="auto" w:fill="auto"/>
            <w:noWrap/>
            <w:vAlign w:val="center"/>
            <w:hideMark/>
          </w:tcPr>
          <w:p w14:paraId="7712D105" w14:textId="77777777" w:rsidR="00B740A8" w:rsidRPr="00C73365" w:rsidRDefault="00B740A8" w:rsidP="00D1541A">
            <w:pPr>
              <w:rPr>
                <w:rFonts w:asciiTheme="minorHAnsi" w:hAnsiTheme="minorHAnsi" w:cstheme="minorHAnsi"/>
                <w:b/>
                <w:color w:val="7030A0"/>
                <w:sz w:val="14"/>
                <w:lang w:val="fr-FR"/>
              </w:rPr>
            </w:pPr>
            <w:r w:rsidRPr="00C73365">
              <w:rPr>
                <w:rFonts w:asciiTheme="minorHAnsi" w:hAnsiTheme="minorHAnsi" w:cstheme="minorHAnsi"/>
                <w:b/>
                <w:color w:val="7030A0"/>
                <w:sz w:val="14"/>
                <w:lang w:val="fr-FR"/>
              </w:rPr>
              <w:t>Total</w:t>
            </w:r>
          </w:p>
        </w:tc>
        <w:tc>
          <w:tcPr>
            <w:tcW w:w="787" w:type="dxa"/>
            <w:shd w:val="clear" w:color="auto" w:fill="auto"/>
            <w:vAlign w:val="center"/>
            <w:hideMark/>
          </w:tcPr>
          <w:p w14:paraId="27E99305" w14:textId="77777777"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9 696 889</w:t>
            </w:r>
          </w:p>
        </w:tc>
        <w:tc>
          <w:tcPr>
            <w:tcW w:w="788" w:type="dxa"/>
            <w:shd w:val="clear" w:color="auto" w:fill="auto"/>
            <w:vAlign w:val="center"/>
            <w:hideMark/>
          </w:tcPr>
          <w:p w14:paraId="46B9F75D" w14:textId="77777777"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940" w:type="dxa"/>
            <w:shd w:val="clear" w:color="auto" w:fill="auto"/>
            <w:vAlign w:val="center"/>
            <w:hideMark/>
          </w:tcPr>
          <w:p w14:paraId="67538EBD" w14:textId="77777777"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11 994 943</w:t>
            </w:r>
          </w:p>
        </w:tc>
        <w:tc>
          <w:tcPr>
            <w:tcW w:w="639" w:type="dxa"/>
            <w:shd w:val="clear" w:color="auto" w:fill="auto"/>
            <w:vAlign w:val="center"/>
            <w:hideMark/>
          </w:tcPr>
          <w:p w14:paraId="0B97CE57" w14:textId="77777777"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789" w:type="dxa"/>
            <w:vAlign w:val="center"/>
          </w:tcPr>
          <w:p w14:paraId="59D3A5BD" w14:textId="77777777"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9 702 089</w:t>
            </w:r>
          </w:p>
        </w:tc>
        <w:tc>
          <w:tcPr>
            <w:tcW w:w="789" w:type="dxa"/>
            <w:vAlign w:val="center"/>
          </w:tcPr>
          <w:p w14:paraId="278A1E1A" w14:textId="77777777"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901" w:type="dxa"/>
            <w:vAlign w:val="center"/>
          </w:tcPr>
          <w:p w14:paraId="78B18822" w14:textId="77777777"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16 358 246</w:t>
            </w:r>
          </w:p>
        </w:tc>
        <w:tc>
          <w:tcPr>
            <w:tcW w:w="679" w:type="dxa"/>
            <w:vAlign w:val="center"/>
          </w:tcPr>
          <w:p w14:paraId="4DC08580" w14:textId="77777777"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860" w:type="dxa"/>
            <w:vAlign w:val="center"/>
          </w:tcPr>
          <w:p w14:paraId="6DCE50CB" w14:textId="77777777"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9 904 229</w:t>
            </w:r>
          </w:p>
        </w:tc>
        <w:tc>
          <w:tcPr>
            <w:tcW w:w="860" w:type="dxa"/>
            <w:vAlign w:val="center"/>
          </w:tcPr>
          <w:p w14:paraId="1EFE7F06" w14:textId="77777777"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100.00%</w:t>
            </w:r>
          </w:p>
        </w:tc>
        <w:tc>
          <w:tcPr>
            <w:tcW w:w="860" w:type="dxa"/>
            <w:vAlign w:val="center"/>
          </w:tcPr>
          <w:p w14:paraId="245BC5A6" w14:textId="77777777"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16 095 513</w:t>
            </w:r>
          </w:p>
        </w:tc>
        <w:tc>
          <w:tcPr>
            <w:tcW w:w="852" w:type="dxa"/>
            <w:vAlign w:val="center"/>
          </w:tcPr>
          <w:p w14:paraId="6FBA3B2E" w14:textId="77777777"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100,00%</w:t>
            </w:r>
          </w:p>
        </w:tc>
      </w:tr>
    </w:tbl>
    <w:p w14:paraId="2198C34A" w14:textId="77777777" w:rsidR="00B740A8" w:rsidRPr="00C73365" w:rsidRDefault="00B740A8" w:rsidP="00B740A8">
      <w:pPr>
        <w:rPr>
          <w:rFonts w:asciiTheme="minorHAnsi" w:hAnsiTheme="minorHAnsi" w:cstheme="minorHAnsi"/>
          <w:b/>
          <w:color w:val="7030A0"/>
          <w:lang w:val="fr-FR"/>
        </w:rPr>
      </w:pPr>
    </w:p>
    <w:p w14:paraId="7C88C000"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BSA/BSPCE ainsi que des anciens salariés de la Société, des anciens membres du conseil ou certains membres des comités.</w:t>
      </w:r>
    </w:p>
    <w:p w14:paraId="253AC334"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p>
    <w:p w14:paraId="5A5F5777" w14:textId="77777777" w:rsidR="00B740A8" w:rsidRPr="00C73365" w:rsidRDefault="00B740A8" w:rsidP="00B740A8">
      <w:pPr>
        <w:rPr>
          <w:rFonts w:asciiTheme="minorHAnsi" w:hAnsiTheme="minorHAnsi" w:cstheme="minorHAnsi"/>
          <w:b/>
          <w:color w:val="7030A0"/>
          <w:highlight w:val="yellow"/>
          <w:lang w:val="fr-FR"/>
        </w:rPr>
      </w:pPr>
    </w:p>
    <w:p w14:paraId="16AB4534" w14:textId="77777777"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94" w:name="_Toc418094510"/>
      <w:bookmarkStart w:id="995" w:name="_Toc462673288"/>
      <w:bookmarkStart w:id="996" w:name="_Toc467835637"/>
      <w:bookmarkStart w:id="997" w:name="_Toc482695310"/>
      <w:bookmarkStart w:id="998" w:name="_Toc510548464"/>
      <w:r w:rsidRPr="00C73365">
        <w:rPr>
          <w:rFonts w:asciiTheme="minorHAnsi" w:hAnsiTheme="minorHAnsi" w:cstheme="minorHAnsi"/>
          <w:sz w:val="22"/>
          <w:lang w:val="fr-FR"/>
        </w:rPr>
        <w:t>Droits de vote des principaux actionnaires</w:t>
      </w:r>
      <w:bookmarkEnd w:id="994"/>
      <w:bookmarkEnd w:id="995"/>
      <w:bookmarkEnd w:id="996"/>
      <w:bookmarkEnd w:id="997"/>
      <w:bookmarkEnd w:id="998"/>
    </w:p>
    <w:p w14:paraId="438A8E9E" w14:textId="77777777" w:rsidR="00B740A8" w:rsidRPr="00C73365" w:rsidRDefault="00B740A8" w:rsidP="00B740A8">
      <w:pPr>
        <w:rPr>
          <w:rFonts w:asciiTheme="minorHAnsi" w:hAnsiTheme="minorHAnsi" w:cstheme="minorHAnsi"/>
          <w:lang w:val="fr-FR"/>
        </w:rPr>
      </w:pPr>
    </w:p>
    <w:p w14:paraId="358E1C1D"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Conformément à l’article 12 des statuts de la Société, un droit de vote double de celui conféré aux autres actions, eu égard à la quotité du capital social qu’elles représentent, est attribué à toutes les actions entièrement libérées (quelle que soit leur catégorie) pour lesquelles il est justifié d’une inscription nominative depuis deux ans au moins au nom du même actionnaire.</w:t>
      </w:r>
    </w:p>
    <w:p w14:paraId="27D960C6"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Ce droit est conféré également dès leur émission en cas d’augmentation du capital par incorporation de réserves, bénéfices ou primes d’émission, aux actions nominatives attribuées gratuitement à un actionnaire à raison d’actions anciennes pour lesquelles il bénéficie déjà de ce droit. </w:t>
      </w:r>
    </w:p>
    <w:p w14:paraId="59625668" w14:textId="77777777"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99" w:name="_Toc462673289"/>
      <w:bookmarkStart w:id="1000" w:name="_Toc467835638"/>
      <w:bookmarkStart w:id="1001" w:name="_Toc482695311"/>
      <w:bookmarkStart w:id="1002" w:name="_Toc510548465"/>
      <w:r w:rsidRPr="00C73365">
        <w:rPr>
          <w:rFonts w:asciiTheme="minorHAnsi" w:hAnsiTheme="minorHAnsi" w:cstheme="minorHAnsi"/>
          <w:sz w:val="22"/>
          <w:lang w:val="fr-FR"/>
        </w:rPr>
        <w:lastRenderedPageBreak/>
        <w:t>Contrôle de la Société</w:t>
      </w:r>
      <w:bookmarkEnd w:id="999"/>
      <w:bookmarkEnd w:id="1000"/>
      <w:bookmarkEnd w:id="1001"/>
      <w:bookmarkEnd w:id="1002"/>
    </w:p>
    <w:p w14:paraId="2C99C2C0" w14:textId="77777777"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14:paraId="21D119F7"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la Société est contrôlée au sens de l’article L. 233-3 du Code de commerce par les fonds communs de placement gérés par la société Truffle Capital</w:t>
      </w:r>
      <w:r w:rsidRPr="00C73365">
        <w:rPr>
          <w:rFonts w:asciiTheme="minorHAnsi" w:hAnsiTheme="minorHAnsi" w:cstheme="minorHAnsi"/>
          <w:b/>
          <w:sz w:val="21"/>
          <w:lang w:val="fr-FR"/>
        </w:rPr>
        <w:t xml:space="preserve"> </w:t>
      </w:r>
      <w:r w:rsidRPr="00C73365">
        <w:rPr>
          <w:rFonts w:asciiTheme="minorHAnsi" w:hAnsiTheme="minorHAnsi" w:cstheme="minorHAnsi"/>
          <w:lang w:val="fr-FR"/>
        </w:rPr>
        <w:t>société par actions simplifiée au capital de 2.000.000 d’euros, dont le siège social est sis 5 rue de la Baume, 75008 Paris, immatriculée au registre et commerce et sociétés de Paris sous le numéro 432 942 647, agréée par l’AMF sous le numéro GP 01-029. Ces fonds détiennent collectivement 5 889 189 actions représentant 47,06% du capital social et 62,51% des droits de vote de la Société sur une base pleinement diluée au 31 mars 2018.</w:t>
      </w:r>
    </w:p>
    <w:p w14:paraId="6DDDE6E1"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Fondée en 2001 à Paris, la société Truffle Capital SAS est un acteur européen reconnu du capital investissement, qui investit et se consacre au développement de PME innovantes et à la construction de leaders technologiques dans les domaines des Sciences de la Vie, des Technologies de l’Information et de l’Energie.</w:t>
      </w:r>
    </w:p>
    <w:p w14:paraId="74EF30E2"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Fort de 585 millions d’euros gérés dans le cadre de « Fonds Communs de Placements à Risques » (FCPR) ou de «Fonds Commun de Placement dans l’Innovation » (FCPI), Truffle Capital est dirigée par une équipe de trois partenaires aux expériences entrepreneuriales et d’investissements réussies, tant en Europe qu’en Amérique du Nord.</w:t>
      </w:r>
    </w:p>
    <w:p w14:paraId="173344B7"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Truffle Capital agit souvent en chef de file, en tant qu’investisseur unique ou majoritaire, et finance en particulier des « </w:t>
      </w:r>
      <w:r w:rsidRPr="00C73365">
        <w:rPr>
          <w:rFonts w:asciiTheme="minorHAnsi" w:hAnsiTheme="minorHAnsi" w:cstheme="minorHAnsi"/>
          <w:i/>
          <w:lang w:val="fr-FR"/>
        </w:rPr>
        <w:t>spin-offs</w:t>
      </w:r>
      <w:r w:rsidRPr="00C73365">
        <w:rPr>
          <w:rFonts w:asciiTheme="minorHAnsi" w:hAnsiTheme="minorHAnsi" w:cstheme="minorHAnsi"/>
          <w:lang w:val="fr-FR"/>
        </w:rPr>
        <w:t xml:space="preserve"> » technologiques de grands groupes industriels, d’instituts de recherche technologiques et d’universités, mais aussi des jeunes pousses. Truffle Capital est soucieux de l’investissement socialement responsable par la nature de ses secteurs d’investissement, notamment la santé et les économies d’énergie.</w:t>
      </w:r>
    </w:p>
    <w:p w14:paraId="24DFE8A3"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L’unicité de l’équipe de Truffle Capital, des « entrepreneurs investisseurs », réside dans sa capacité à identifier les innovations qui répondent à des marchés nouveaux ; à promouvoir de l’opérationnel et des innovations de rupture, au-delà du simple financement, avec l’objectif de construire et de développer des sociétés technologiques à forte valeur potentielle, leaders potentiels de demain.</w:t>
      </w:r>
    </w:p>
    <w:p w14:paraId="3CEC8BFB"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Les mesures prises par la Société en vue d’assurer que le contrôle ne soit pas exercé de façon abusive sont notamment les suivantes :</w:t>
      </w:r>
    </w:p>
    <w:p w14:paraId="59C3030F"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présence de trois administrateurs indépendants au sein du conseil d’administration de la Société ;</w:t>
      </w:r>
    </w:p>
    <w:p w14:paraId="29593F5A"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dissociation des fonctions de président et de directeur général.</w:t>
      </w:r>
    </w:p>
    <w:p w14:paraId="5FE01E8F"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pas d’action de concert entre ses actionnaires.</w:t>
      </w:r>
    </w:p>
    <w:p w14:paraId="34013D00" w14:textId="77777777" w:rsidR="00B740A8" w:rsidRPr="00C73365" w:rsidRDefault="00B740A8" w:rsidP="00B740A8">
      <w:pPr>
        <w:pStyle w:val="ConmainL2"/>
        <w:numPr>
          <w:ilvl w:val="1"/>
          <w:numId w:val="9"/>
        </w:numPr>
        <w:rPr>
          <w:rFonts w:asciiTheme="minorHAnsi" w:hAnsiTheme="minorHAnsi" w:cstheme="minorHAnsi"/>
          <w:sz w:val="22"/>
          <w:lang w:val="fr-FR"/>
        </w:rPr>
      </w:pPr>
      <w:bookmarkStart w:id="1003" w:name="_Toc418094512"/>
      <w:bookmarkStart w:id="1004" w:name="_Toc462673290"/>
      <w:bookmarkStart w:id="1005" w:name="_Toc467835639"/>
      <w:bookmarkStart w:id="1006" w:name="_Toc482695312"/>
      <w:bookmarkStart w:id="1007" w:name="_Toc510548466"/>
      <w:r w:rsidRPr="00C73365">
        <w:rPr>
          <w:rFonts w:asciiTheme="minorHAnsi" w:hAnsiTheme="minorHAnsi" w:cstheme="minorHAnsi"/>
          <w:sz w:val="22"/>
          <w:lang w:val="fr-FR"/>
        </w:rPr>
        <w:t>Accords pouvant entraîner un changement de contrôle</w:t>
      </w:r>
      <w:bookmarkEnd w:id="1003"/>
      <w:bookmarkEnd w:id="1004"/>
      <w:bookmarkEnd w:id="1005"/>
      <w:bookmarkEnd w:id="1006"/>
      <w:bookmarkEnd w:id="1007"/>
    </w:p>
    <w:p w14:paraId="2E8DF5CE"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aucun accord dont la mise en œuvre pourrait entraîner un changement de contrôle de la Société.</w:t>
      </w:r>
    </w:p>
    <w:p w14:paraId="171B9A48" w14:textId="77777777" w:rsidR="00B740A8" w:rsidRPr="00C73365" w:rsidRDefault="00B740A8" w:rsidP="00B740A8">
      <w:pPr>
        <w:pStyle w:val="ConmainL2"/>
        <w:numPr>
          <w:ilvl w:val="1"/>
          <w:numId w:val="9"/>
        </w:numPr>
        <w:rPr>
          <w:rFonts w:asciiTheme="minorHAnsi" w:hAnsiTheme="minorHAnsi" w:cstheme="minorHAnsi"/>
          <w:sz w:val="22"/>
          <w:lang w:val="fr-FR"/>
        </w:rPr>
      </w:pPr>
      <w:bookmarkStart w:id="1008" w:name="_Toc418094513"/>
      <w:bookmarkStart w:id="1009" w:name="_Toc462673291"/>
      <w:bookmarkStart w:id="1010" w:name="_Toc467835640"/>
      <w:bookmarkStart w:id="1011" w:name="_Toc482695313"/>
      <w:bookmarkStart w:id="1012" w:name="_Toc510548467"/>
      <w:r w:rsidRPr="00C73365">
        <w:rPr>
          <w:rFonts w:asciiTheme="minorHAnsi" w:hAnsiTheme="minorHAnsi" w:cstheme="minorHAnsi"/>
          <w:sz w:val="22"/>
          <w:lang w:val="fr-FR"/>
        </w:rPr>
        <w:t>Etat des nantissements d’actions de la Société</w:t>
      </w:r>
      <w:bookmarkEnd w:id="1008"/>
      <w:bookmarkEnd w:id="1009"/>
      <w:bookmarkEnd w:id="1010"/>
      <w:bookmarkEnd w:id="1011"/>
      <w:bookmarkEnd w:id="1012"/>
    </w:p>
    <w:p w14:paraId="18FA89B6"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aucun nantissement sur les titres de la Société.</w:t>
      </w:r>
    </w:p>
    <w:p w14:paraId="5E81BE84" w14:textId="77777777" w:rsidR="00B740A8" w:rsidRPr="00C73365" w:rsidRDefault="00B740A8" w:rsidP="00B740A8">
      <w:pPr>
        <w:pStyle w:val="ConmainL2"/>
        <w:numPr>
          <w:ilvl w:val="1"/>
          <w:numId w:val="9"/>
        </w:numPr>
        <w:rPr>
          <w:rFonts w:asciiTheme="minorHAnsi" w:hAnsiTheme="minorHAnsi" w:cstheme="minorHAnsi"/>
          <w:lang w:val="fr-FR"/>
        </w:rPr>
      </w:pPr>
      <w:bookmarkStart w:id="1013" w:name="RANGE!A1:K58"/>
      <w:bookmarkStart w:id="1014" w:name="_Toc482695314"/>
      <w:bookmarkStart w:id="1015" w:name="_Toc510548468"/>
      <w:bookmarkEnd w:id="993"/>
      <w:bookmarkEnd w:id="1013"/>
      <w:r w:rsidRPr="00C73365">
        <w:rPr>
          <w:rFonts w:asciiTheme="minorHAnsi" w:hAnsiTheme="minorHAnsi" w:cstheme="minorHAnsi"/>
          <w:sz w:val="22"/>
          <w:lang w:val="fr-FR"/>
        </w:rPr>
        <w:t>Etat récapitulatif des opérations réalisées par les personnes mentionnées à l’article L. 621-18-2 du Code Monétaire et Financier sur les titres de la Société par les dirigeants</w:t>
      </w:r>
      <w:bookmarkEnd w:id="1014"/>
      <w:bookmarkEnd w:id="1015"/>
    </w:p>
    <w:p w14:paraId="3276BF05"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Les fonds gérés par Truffle Capital ont cédé 596 358 actions de la Société sur le marché au cours de l’exercice clos le 31 décembre 2017 représentant 4,86% du capital social sur une base pleinement diluée.</w:t>
      </w:r>
    </w:p>
    <w:p w14:paraId="108B0055" w14:textId="77777777" w:rsidR="00B740A8" w:rsidRPr="00C73365" w:rsidRDefault="00B740A8" w:rsidP="00B740A8">
      <w:pPr>
        <w:pStyle w:val="ConmainL2"/>
        <w:numPr>
          <w:ilvl w:val="1"/>
          <w:numId w:val="9"/>
        </w:numPr>
        <w:rPr>
          <w:rFonts w:asciiTheme="minorHAnsi" w:hAnsiTheme="minorHAnsi" w:cstheme="minorHAnsi"/>
          <w:lang w:val="fr-FR"/>
        </w:rPr>
      </w:pPr>
      <w:bookmarkStart w:id="1016" w:name="_Toc510548469"/>
      <w:r w:rsidRPr="00C73365">
        <w:rPr>
          <w:rFonts w:asciiTheme="minorHAnsi" w:hAnsiTheme="minorHAnsi" w:cstheme="minorHAnsi"/>
          <w:sz w:val="22"/>
          <w:lang w:val="fr-FR"/>
        </w:rPr>
        <w:t>Franchissement de seuils</w:t>
      </w:r>
      <w:bookmarkEnd w:id="1016"/>
    </w:p>
    <w:p w14:paraId="3F98645E" w14:textId="787C85F0" w:rsidR="00B740A8" w:rsidRDefault="00B740A8" w:rsidP="00C73365">
      <w:pPr>
        <w:rPr>
          <w:rFonts w:asciiTheme="minorHAnsi" w:hAnsiTheme="minorHAnsi" w:cstheme="minorHAnsi"/>
          <w:lang w:val="fr-FR"/>
        </w:rPr>
      </w:pPr>
      <w:r w:rsidRPr="00C73365">
        <w:rPr>
          <w:rFonts w:asciiTheme="minorHAnsi" w:hAnsiTheme="minorHAnsi" w:cstheme="minorHAnsi"/>
          <w:lang w:val="fr-FR"/>
        </w:rPr>
        <w:t>Le 19 janvier 2017, la Société a reçu une notification de Truffle Capital représentant les fonds d’investissement Truffle, indiquant que ceux-ci ont globalement franchi le seuil de 66,66% à la baisse le 11 janvier 2017 en déclarant détenir 6.466.375 actions représentant 66.65% du capital social de la Société et 77,44% des droits de vote de la Société.</w:t>
      </w:r>
    </w:p>
    <w:p w14:paraId="5C2B3701" w14:textId="77777777" w:rsidR="00326B02" w:rsidRPr="00C73365" w:rsidRDefault="00326B02" w:rsidP="00C73365">
      <w:pPr>
        <w:rPr>
          <w:rFonts w:asciiTheme="minorHAnsi" w:hAnsiTheme="minorHAnsi" w:cstheme="minorHAnsi"/>
          <w:lang w:val="fr-FR"/>
        </w:rPr>
      </w:pPr>
    </w:p>
    <w:p w14:paraId="544F396C" w14:textId="77777777" w:rsidR="00B740A8" w:rsidRPr="00C73365" w:rsidRDefault="00B740A8" w:rsidP="00B740A8">
      <w:pPr>
        <w:pStyle w:val="ConmainL2"/>
        <w:numPr>
          <w:ilvl w:val="1"/>
          <w:numId w:val="9"/>
        </w:numPr>
        <w:rPr>
          <w:rFonts w:asciiTheme="minorHAnsi" w:hAnsiTheme="minorHAnsi" w:cstheme="minorHAnsi"/>
          <w:sz w:val="22"/>
          <w:lang w:val="fr-FR"/>
        </w:rPr>
      </w:pPr>
      <w:bookmarkStart w:id="1017" w:name="_Toc480795866"/>
      <w:bookmarkStart w:id="1018" w:name="_Ref480809851"/>
      <w:bookmarkStart w:id="1019" w:name="_Toc508825956"/>
      <w:bookmarkStart w:id="1020" w:name="_Toc510548470"/>
      <w:r w:rsidRPr="00C73365">
        <w:rPr>
          <w:rFonts w:asciiTheme="minorHAnsi" w:hAnsiTheme="minorHAnsi" w:cstheme="minorHAnsi"/>
          <w:sz w:val="22"/>
          <w:lang w:val="fr-FR"/>
        </w:rPr>
        <w:t>Evolution du titre</w:t>
      </w:r>
      <w:bookmarkEnd w:id="1017"/>
      <w:bookmarkEnd w:id="1018"/>
      <w:bookmarkEnd w:id="1019"/>
      <w:bookmarkEnd w:id="1020"/>
    </w:p>
    <w:p w14:paraId="7E5AC4D0"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Les actions de la Société sont cotées sur le marché réglementé Euronext Paris sous le symbole ABVX depuis le 26 juin 2015. </w:t>
      </w:r>
    </w:p>
    <w:p w14:paraId="7B3D64EE"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lastRenderedPageBreak/>
        <w:t>Le tableau suivant décrit les évolutions du cours de clôture de l’action de la Société sur Euronext Paris au cours de l’exercice 2017.</w:t>
      </w:r>
    </w:p>
    <w:tbl>
      <w:tblPr>
        <w:tblW w:w="5000" w:type="pct"/>
        <w:jc w:val="center"/>
        <w:tblCellMar>
          <w:left w:w="0" w:type="dxa"/>
          <w:right w:w="0" w:type="dxa"/>
        </w:tblCellMar>
        <w:tblLook w:val="04A0" w:firstRow="1" w:lastRow="0" w:firstColumn="1" w:lastColumn="0" w:noHBand="0" w:noVBand="1"/>
      </w:tblPr>
      <w:tblGrid>
        <w:gridCol w:w="6852"/>
        <w:gridCol w:w="1444"/>
        <w:gridCol w:w="1342"/>
      </w:tblGrid>
      <w:tr w:rsidR="00B740A8" w:rsidRPr="00C73365" w14:paraId="36C73A74" w14:textId="77777777" w:rsidTr="00D1541A">
        <w:trPr>
          <w:tblHeader/>
          <w:jc w:val="center"/>
        </w:trPr>
        <w:tc>
          <w:tcPr>
            <w:tcW w:w="6545" w:type="dxa"/>
            <w:noWrap/>
            <w:vAlign w:val="bottom"/>
            <w:hideMark/>
          </w:tcPr>
          <w:p w14:paraId="7D560AF3" w14:textId="77777777" w:rsidR="00B740A8" w:rsidRPr="00C73365" w:rsidRDefault="00B740A8" w:rsidP="00D1541A">
            <w:pPr>
              <w:pStyle w:val="NormalWeb"/>
              <w:keepNext/>
              <w:spacing w:line="252" w:lineRule="auto"/>
              <w:rPr>
                <w:rFonts w:asciiTheme="minorHAnsi" w:hAnsiTheme="minorHAnsi" w:cstheme="minorHAnsi"/>
                <w:b/>
                <w:bCs/>
              </w:rPr>
            </w:pPr>
            <w:r w:rsidRPr="00C73365">
              <w:rPr>
                <w:rFonts w:asciiTheme="minorHAnsi" w:hAnsiTheme="minorHAnsi" w:cstheme="minorHAnsi"/>
                <w:b/>
                <w:bCs/>
              </w:rPr>
              <w:t>Période</w:t>
            </w:r>
          </w:p>
          <w:p w14:paraId="68EEFC4B" w14:textId="77777777" w:rsidR="00B740A8" w:rsidRPr="00C73365" w:rsidRDefault="00B740A8" w:rsidP="00D1541A">
            <w:pPr>
              <w:pStyle w:val="rrdsinglerule3"/>
              <w:keepNext/>
              <w:rPr>
                <w:rFonts w:asciiTheme="minorHAnsi" w:hAnsiTheme="minorHAnsi" w:cstheme="minorHAnsi"/>
                <w:b/>
                <w:bCs/>
                <w:sz w:val="20"/>
                <w:szCs w:val="20"/>
              </w:rPr>
            </w:pPr>
            <w:r w:rsidRPr="00C73365">
              <w:rPr>
                <w:rFonts w:asciiTheme="minorHAnsi" w:hAnsiTheme="minorHAnsi" w:cstheme="minorHAnsi"/>
                <w:b/>
                <w:bCs/>
                <w:sz w:val="20"/>
                <w:szCs w:val="20"/>
              </w:rPr>
              <w:t> </w:t>
            </w:r>
          </w:p>
        </w:tc>
        <w:tc>
          <w:tcPr>
            <w:tcW w:w="1235" w:type="dxa"/>
            <w:tcMar>
              <w:top w:w="0" w:type="dxa"/>
              <w:left w:w="144" w:type="dxa"/>
              <w:bottom w:w="0" w:type="dxa"/>
              <w:right w:w="0" w:type="dxa"/>
            </w:tcMar>
            <w:vAlign w:val="bottom"/>
            <w:hideMark/>
          </w:tcPr>
          <w:p w14:paraId="3351B85E" w14:textId="77777777" w:rsidR="00B740A8" w:rsidRPr="00C73365" w:rsidRDefault="00B740A8" w:rsidP="00D1541A">
            <w:pPr>
              <w:spacing w:line="252" w:lineRule="auto"/>
              <w:jc w:val="center"/>
              <w:rPr>
                <w:rFonts w:asciiTheme="minorHAnsi" w:hAnsiTheme="minorHAnsi" w:cstheme="minorHAnsi"/>
                <w:b/>
                <w:bCs/>
                <w:szCs w:val="20"/>
              </w:rPr>
            </w:pPr>
            <w:r w:rsidRPr="00C73365">
              <w:rPr>
                <w:rFonts w:asciiTheme="minorHAnsi" w:hAnsiTheme="minorHAnsi" w:cstheme="minorHAnsi"/>
                <w:b/>
                <w:bCs/>
              </w:rPr>
              <w:t>HAUT</w:t>
            </w:r>
          </w:p>
          <w:p w14:paraId="611AAFEF" w14:textId="77777777" w:rsidR="00B740A8" w:rsidRPr="00C73365" w:rsidRDefault="00B740A8" w:rsidP="00D1541A">
            <w:pPr>
              <w:pStyle w:val="rrdsinglerule3"/>
              <w:rPr>
                <w:rFonts w:asciiTheme="minorHAnsi" w:hAnsiTheme="minorHAnsi" w:cstheme="minorHAnsi"/>
                <w:b/>
                <w:bCs/>
                <w:sz w:val="20"/>
                <w:szCs w:val="20"/>
              </w:rPr>
            </w:pPr>
            <w:r w:rsidRPr="00C73365">
              <w:rPr>
                <w:rFonts w:asciiTheme="minorHAnsi" w:hAnsiTheme="minorHAnsi" w:cstheme="minorHAnsi"/>
                <w:b/>
                <w:bCs/>
                <w:sz w:val="20"/>
                <w:szCs w:val="20"/>
              </w:rPr>
              <w:t> </w:t>
            </w:r>
          </w:p>
        </w:tc>
        <w:tc>
          <w:tcPr>
            <w:tcW w:w="1282" w:type="dxa"/>
            <w:tcMar>
              <w:top w:w="0" w:type="dxa"/>
              <w:left w:w="144" w:type="dxa"/>
              <w:bottom w:w="0" w:type="dxa"/>
              <w:right w:w="0" w:type="dxa"/>
            </w:tcMar>
            <w:vAlign w:val="bottom"/>
            <w:hideMark/>
          </w:tcPr>
          <w:p w14:paraId="57DC5018" w14:textId="77777777" w:rsidR="00B740A8" w:rsidRPr="00C73365" w:rsidRDefault="00B740A8" w:rsidP="00D1541A">
            <w:pPr>
              <w:spacing w:line="252" w:lineRule="auto"/>
              <w:jc w:val="center"/>
              <w:rPr>
                <w:rFonts w:asciiTheme="minorHAnsi" w:hAnsiTheme="minorHAnsi" w:cstheme="minorHAnsi"/>
                <w:b/>
                <w:bCs/>
                <w:szCs w:val="20"/>
              </w:rPr>
            </w:pPr>
            <w:r w:rsidRPr="00C73365">
              <w:rPr>
                <w:rFonts w:asciiTheme="minorHAnsi" w:hAnsiTheme="minorHAnsi" w:cstheme="minorHAnsi"/>
                <w:b/>
                <w:bCs/>
              </w:rPr>
              <w:t>BAS</w:t>
            </w:r>
          </w:p>
          <w:p w14:paraId="39F9949E" w14:textId="77777777" w:rsidR="00B740A8" w:rsidRPr="00C73365" w:rsidRDefault="00B740A8" w:rsidP="00D1541A">
            <w:pPr>
              <w:pStyle w:val="rrdsinglerule3"/>
              <w:rPr>
                <w:rFonts w:asciiTheme="minorHAnsi" w:hAnsiTheme="minorHAnsi" w:cstheme="minorHAnsi"/>
                <w:b/>
                <w:bCs/>
                <w:sz w:val="20"/>
                <w:szCs w:val="20"/>
              </w:rPr>
            </w:pPr>
            <w:r w:rsidRPr="00C73365">
              <w:rPr>
                <w:rFonts w:asciiTheme="minorHAnsi" w:hAnsiTheme="minorHAnsi" w:cstheme="minorHAnsi"/>
                <w:b/>
                <w:bCs/>
                <w:sz w:val="20"/>
                <w:szCs w:val="20"/>
              </w:rPr>
              <w:t> </w:t>
            </w:r>
          </w:p>
        </w:tc>
      </w:tr>
      <w:tr w:rsidR="00B740A8" w:rsidRPr="00C73365" w14:paraId="79B1D3D7" w14:textId="77777777" w:rsidTr="00D1541A">
        <w:trPr>
          <w:jc w:val="center"/>
        </w:trPr>
        <w:tc>
          <w:tcPr>
            <w:tcW w:w="6545" w:type="dxa"/>
            <w:hideMark/>
          </w:tcPr>
          <w:p w14:paraId="141A51CE" w14:textId="77777777" w:rsidR="00B740A8" w:rsidRPr="00C73365" w:rsidRDefault="00B740A8" w:rsidP="00D1541A">
            <w:pPr>
              <w:pStyle w:val="NormalWeb"/>
              <w:keepNext/>
              <w:spacing w:line="252" w:lineRule="auto"/>
              <w:ind w:left="353" w:hanging="353"/>
              <w:rPr>
                <w:rFonts w:asciiTheme="minorHAnsi" w:hAnsiTheme="minorHAnsi" w:cstheme="minorHAnsi"/>
                <w:szCs w:val="20"/>
              </w:rPr>
            </w:pPr>
            <w:r w:rsidRPr="00C73365">
              <w:rPr>
                <w:rFonts w:asciiTheme="minorHAnsi" w:hAnsiTheme="minorHAnsi" w:cstheme="minorHAnsi"/>
              </w:rPr>
              <w:t xml:space="preserve">1er trimestre 2017...................................................................................... </w:t>
            </w:r>
          </w:p>
        </w:tc>
        <w:tc>
          <w:tcPr>
            <w:tcW w:w="1235" w:type="dxa"/>
            <w:noWrap/>
            <w:tcMar>
              <w:top w:w="0" w:type="dxa"/>
              <w:left w:w="144" w:type="dxa"/>
              <w:bottom w:w="0" w:type="dxa"/>
              <w:right w:w="0" w:type="dxa"/>
            </w:tcMar>
            <w:vAlign w:val="bottom"/>
            <w:hideMark/>
          </w:tcPr>
          <w:p w14:paraId="50C10142" w14:textId="77777777"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6,91          </w:t>
            </w:r>
          </w:p>
        </w:tc>
        <w:tc>
          <w:tcPr>
            <w:tcW w:w="1282" w:type="dxa"/>
            <w:noWrap/>
            <w:tcMar>
              <w:top w:w="0" w:type="dxa"/>
              <w:left w:w="144" w:type="dxa"/>
              <w:bottom w:w="0" w:type="dxa"/>
              <w:right w:w="0" w:type="dxa"/>
            </w:tcMar>
            <w:vAlign w:val="bottom"/>
            <w:hideMark/>
          </w:tcPr>
          <w:p w14:paraId="175A2E60" w14:textId="77777777"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5,24      </w:t>
            </w:r>
          </w:p>
        </w:tc>
      </w:tr>
      <w:tr w:rsidR="00B740A8" w:rsidRPr="00C73365" w14:paraId="64E4AEFF" w14:textId="77777777" w:rsidTr="00D1541A">
        <w:trPr>
          <w:trHeight w:val="382"/>
          <w:jc w:val="center"/>
        </w:trPr>
        <w:tc>
          <w:tcPr>
            <w:tcW w:w="6545" w:type="dxa"/>
          </w:tcPr>
          <w:p w14:paraId="3618DD6F" w14:textId="77777777" w:rsidR="00B740A8" w:rsidRPr="00C73365" w:rsidRDefault="00B740A8" w:rsidP="00D1541A">
            <w:pPr>
              <w:pStyle w:val="NormalWeb"/>
              <w:keepNext/>
              <w:spacing w:line="252" w:lineRule="auto"/>
              <w:rPr>
                <w:rFonts w:asciiTheme="minorHAnsi" w:hAnsiTheme="minorHAnsi" w:cstheme="minorHAnsi"/>
              </w:rPr>
            </w:pPr>
          </w:p>
          <w:p w14:paraId="72F3CEC0" w14:textId="77777777" w:rsidR="00B740A8" w:rsidRPr="00C73365" w:rsidRDefault="00B740A8" w:rsidP="00D1541A">
            <w:pPr>
              <w:pStyle w:val="NormalWeb"/>
              <w:keepNext/>
              <w:spacing w:line="252" w:lineRule="auto"/>
              <w:ind w:left="353" w:hanging="353"/>
              <w:rPr>
                <w:rFonts w:asciiTheme="minorHAnsi" w:hAnsiTheme="minorHAnsi" w:cstheme="minorHAnsi"/>
              </w:rPr>
            </w:pPr>
            <w:r w:rsidRPr="00C73365">
              <w:rPr>
                <w:rFonts w:asciiTheme="minorHAnsi" w:hAnsiTheme="minorHAnsi" w:cstheme="minorHAnsi"/>
              </w:rPr>
              <w:t>2ème trimestre 2017..................................................................................</w:t>
            </w:r>
          </w:p>
        </w:tc>
        <w:tc>
          <w:tcPr>
            <w:tcW w:w="1235" w:type="dxa"/>
            <w:noWrap/>
            <w:tcMar>
              <w:top w:w="0" w:type="dxa"/>
              <w:left w:w="144" w:type="dxa"/>
              <w:bottom w:w="0" w:type="dxa"/>
              <w:right w:w="0" w:type="dxa"/>
            </w:tcMar>
            <w:vAlign w:val="bottom"/>
          </w:tcPr>
          <w:p w14:paraId="0E4F9D61" w14:textId="77777777" w:rsidR="00B740A8" w:rsidRPr="00C73365" w:rsidRDefault="00B740A8" w:rsidP="00D1541A">
            <w:pPr>
              <w:pStyle w:val="NormalWeb"/>
              <w:spacing w:line="252" w:lineRule="auto"/>
              <w:rPr>
                <w:rFonts w:asciiTheme="minorHAnsi" w:hAnsiTheme="minorHAnsi" w:cstheme="minorHAnsi"/>
              </w:rPr>
            </w:pPr>
          </w:p>
          <w:p w14:paraId="1F554F02" w14:textId="77777777"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19,70    </w:t>
            </w:r>
          </w:p>
        </w:tc>
        <w:tc>
          <w:tcPr>
            <w:tcW w:w="1282" w:type="dxa"/>
            <w:noWrap/>
            <w:tcMar>
              <w:top w:w="0" w:type="dxa"/>
              <w:left w:w="144" w:type="dxa"/>
              <w:bottom w:w="0" w:type="dxa"/>
              <w:right w:w="0" w:type="dxa"/>
            </w:tcMar>
            <w:vAlign w:val="bottom"/>
            <w:hideMark/>
          </w:tcPr>
          <w:p w14:paraId="26C4BF1E" w14:textId="77777777"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6,91          </w:t>
            </w:r>
          </w:p>
        </w:tc>
      </w:tr>
      <w:tr w:rsidR="00B740A8" w:rsidRPr="00C73365" w14:paraId="428FE0A0" w14:textId="77777777" w:rsidTr="00D1541A">
        <w:trPr>
          <w:jc w:val="center"/>
        </w:trPr>
        <w:tc>
          <w:tcPr>
            <w:tcW w:w="6545" w:type="dxa"/>
          </w:tcPr>
          <w:p w14:paraId="341A6952" w14:textId="77777777" w:rsidR="00B740A8" w:rsidRPr="00C73365" w:rsidRDefault="00B740A8" w:rsidP="00D1541A">
            <w:pPr>
              <w:pStyle w:val="NormalWeb"/>
              <w:spacing w:line="252" w:lineRule="auto"/>
              <w:ind w:left="353" w:hanging="353"/>
              <w:rPr>
                <w:rFonts w:asciiTheme="minorHAnsi" w:hAnsiTheme="minorHAnsi" w:cstheme="minorHAnsi"/>
              </w:rPr>
            </w:pPr>
          </w:p>
          <w:p w14:paraId="74472BDA" w14:textId="77777777" w:rsidR="00B740A8" w:rsidRPr="00C73365" w:rsidRDefault="00B740A8" w:rsidP="00D1541A">
            <w:pPr>
              <w:pStyle w:val="NormalWeb"/>
              <w:spacing w:line="252" w:lineRule="auto"/>
              <w:ind w:left="353" w:hanging="353"/>
              <w:rPr>
                <w:rFonts w:asciiTheme="minorHAnsi" w:hAnsiTheme="minorHAnsi" w:cstheme="minorHAnsi"/>
              </w:rPr>
            </w:pPr>
            <w:r w:rsidRPr="00C73365">
              <w:rPr>
                <w:rFonts w:asciiTheme="minorHAnsi" w:hAnsiTheme="minorHAnsi" w:cstheme="minorHAnsi"/>
              </w:rPr>
              <w:t>3ème trimestre 2017..................................................................................</w:t>
            </w:r>
          </w:p>
        </w:tc>
        <w:tc>
          <w:tcPr>
            <w:tcW w:w="1235" w:type="dxa"/>
            <w:noWrap/>
            <w:tcMar>
              <w:top w:w="0" w:type="dxa"/>
              <w:left w:w="144" w:type="dxa"/>
              <w:bottom w:w="0" w:type="dxa"/>
              <w:right w:w="0" w:type="dxa"/>
            </w:tcMar>
            <w:vAlign w:val="bottom"/>
            <w:hideMark/>
          </w:tcPr>
          <w:p w14:paraId="696A4BD2" w14:textId="77777777"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13,82    </w:t>
            </w:r>
          </w:p>
        </w:tc>
        <w:tc>
          <w:tcPr>
            <w:tcW w:w="1282" w:type="dxa"/>
            <w:noWrap/>
            <w:tcMar>
              <w:top w:w="0" w:type="dxa"/>
              <w:left w:w="144" w:type="dxa"/>
              <w:bottom w:w="0" w:type="dxa"/>
              <w:right w:w="0" w:type="dxa"/>
            </w:tcMar>
            <w:vAlign w:val="bottom"/>
            <w:hideMark/>
          </w:tcPr>
          <w:p w14:paraId="2DEB9A6C" w14:textId="77777777"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9,90     </w:t>
            </w:r>
          </w:p>
        </w:tc>
      </w:tr>
      <w:tr w:rsidR="00B740A8" w:rsidRPr="00C73365" w14:paraId="052406A8" w14:textId="77777777" w:rsidTr="00D1541A">
        <w:trPr>
          <w:trHeight w:val="80"/>
          <w:jc w:val="center"/>
        </w:trPr>
        <w:tc>
          <w:tcPr>
            <w:tcW w:w="6545" w:type="dxa"/>
          </w:tcPr>
          <w:p w14:paraId="24A9273A" w14:textId="77777777" w:rsidR="00B740A8" w:rsidRPr="00C73365" w:rsidRDefault="00B740A8" w:rsidP="00D1541A">
            <w:pPr>
              <w:pStyle w:val="NormalWeb"/>
              <w:spacing w:line="252" w:lineRule="auto"/>
              <w:ind w:left="353" w:hanging="353"/>
              <w:rPr>
                <w:rFonts w:asciiTheme="minorHAnsi" w:hAnsiTheme="minorHAnsi" w:cstheme="minorHAnsi"/>
              </w:rPr>
            </w:pPr>
          </w:p>
          <w:p w14:paraId="0852B264" w14:textId="77777777" w:rsidR="00B740A8" w:rsidRPr="00C73365" w:rsidRDefault="00B740A8" w:rsidP="00D1541A">
            <w:pPr>
              <w:pStyle w:val="NormalWeb"/>
              <w:spacing w:line="252" w:lineRule="auto"/>
              <w:ind w:left="353" w:hanging="353"/>
              <w:rPr>
                <w:rFonts w:asciiTheme="minorHAnsi" w:hAnsiTheme="minorHAnsi" w:cstheme="minorHAnsi"/>
              </w:rPr>
            </w:pPr>
            <w:r w:rsidRPr="00C73365">
              <w:rPr>
                <w:rFonts w:asciiTheme="minorHAnsi" w:hAnsiTheme="minorHAnsi" w:cstheme="minorHAnsi"/>
              </w:rPr>
              <w:t>4ème trimestre 2017..................................................................................</w:t>
            </w:r>
          </w:p>
        </w:tc>
        <w:tc>
          <w:tcPr>
            <w:tcW w:w="1235" w:type="dxa"/>
            <w:noWrap/>
            <w:tcMar>
              <w:top w:w="0" w:type="dxa"/>
              <w:left w:w="144" w:type="dxa"/>
              <w:bottom w:w="0" w:type="dxa"/>
              <w:right w:w="0" w:type="dxa"/>
            </w:tcMar>
            <w:vAlign w:val="bottom"/>
          </w:tcPr>
          <w:p w14:paraId="67926365" w14:textId="77777777" w:rsidR="00B740A8" w:rsidRPr="00C73365" w:rsidRDefault="00B740A8" w:rsidP="00D1541A">
            <w:pPr>
              <w:pStyle w:val="NormalWeb"/>
              <w:spacing w:line="252" w:lineRule="auto"/>
              <w:rPr>
                <w:rFonts w:asciiTheme="minorHAnsi" w:hAnsiTheme="minorHAnsi" w:cstheme="minorHAnsi"/>
              </w:rPr>
            </w:pPr>
          </w:p>
          <w:p w14:paraId="75FBF4F3" w14:textId="77777777"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11,88           </w:t>
            </w:r>
          </w:p>
        </w:tc>
        <w:tc>
          <w:tcPr>
            <w:tcW w:w="1282" w:type="dxa"/>
            <w:noWrap/>
            <w:tcMar>
              <w:top w:w="0" w:type="dxa"/>
              <w:left w:w="144" w:type="dxa"/>
              <w:bottom w:w="0" w:type="dxa"/>
              <w:right w:w="0" w:type="dxa"/>
            </w:tcMar>
            <w:vAlign w:val="bottom"/>
            <w:hideMark/>
          </w:tcPr>
          <w:p w14:paraId="5DF1179F" w14:textId="77777777"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8,16            </w:t>
            </w:r>
          </w:p>
        </w:tc>
      </w:tr>
      <w:bookmarkEnd w:id="992"/>
    </w:tbl>
    <w:p w14:paraId="522010FB" w14:textId="77777777" w:rsidR="00B740A8" w:rsidRPr="00C73365" w:rsidRDefault="00B740A8">
      <w:pPr>
        <w:rPr>
          <w:rFonts w:asciiTheme="minorHAnsi" w:hAnsiTheme="minorHAnsi" w:cstheme="minorHAnsi"/>
          <w:lang w:val="fr-FR"/>
        </w:rPr>
      </w:pPr>
    </w:p>
    <w:p w14:paraId="33383EA2" w14:textId="77777777" w:rsidR="00B740A8" w:rsidRPr="00C73365" w:rsidRDefault="00B740A8" w:rsidP="00B740A8">
      <w:pPr>
        <w:pStyle w:val="ConmainL1"/>
        <w:numPr>
          <w:ilvl w:val="0"/>
          <w:numId w:val="9"/>
        </w:numPr>
        <w:rPr>
          <w:rFonts w:asciiTheme="minorHAnsi" w:hAnsiTheme="minorHAnsi" w:cstheme="minorHAnsi"/>
          <w:sz w:val="22"/>
          <w:lang w:val="fr-FR"/>
        </w:rPr>
      </w:pPr>
      <w:bookmarkStart w:id="1021" w:name="_Toc461441246"/>
      <w:bookmarkStart w:id="1022" w:name="_Toc460341012"/>
      <w:bookmarkStart w:id="1023" w:name="_Toc460341013"/>
      <w:bookmarkStart w:id="1024" w:name="_Toc460341014"/>
      <w:bookmarkStart w:id="1025" w:name="_Toc460341015"/>
      <w:bookmarkStart w:id="1026" w:name="_Toc460341016"/>
      <w:bookmarkStart w:id="1027" w:name="_Toc460341017"/>
      <w:bookmarkStart w:id="1028" w:name="_Toc460341018"/>
      <w:bookmarkStart w:id="1029" w:name="_Toc460341019"/>
      <w:bookmarkStart w:id="1030" w:name="_Toc460341020"/>
      <w:bookmarkStart w:id="1031" w:name="_Toc460341021"/>
      <w:bookmarkStart w:id="1032" w:name="_Toc460341022"/>
      <w:bookmarkStart w:id="1033" w:name="_Toc460341023"/>
      <w:bookmarkStart w:id="1034" w:name="_Toc460341024"/>
      <w:bookmarkStart w:id="1035" w:name="_Toc460341025"/>
      <w:bookmarkStart w:id="1036" w:name="_Toc460341026"/>
      <w:bookmarkStart w:id="1037" w:name="_Toc460341027"/>
      <w:bookmarkStart w:id="1038" w:name="_Toc460341028"/>
      <w:bookmarkStart w:id="1039" w:name="_Toc460341029"/>
      <w:bookmarkStart w:id="1040" w:name="_Toc460341030"/>
      <w:bookmarkStart w:id="1041" w:name="_Toc461441247"/>
      <w:bookmarkStart w:id="1042" w:name="_Toc461441248"/>
      <w:bookmarkStart w:id="1043" w:name="_Toc461441249"/>
      <w:bookmarkStart w:id="1044" w:name="_Toc461441250"/>
      <w:bookmarkStart w:id="1045" w:name="_Toc461441251"/>
      <w:bookmarkStart w:id="1046" w:name="_Toc461441252"/>
      <w:bookmarkStart w:id="1047" w:name="_Toc461441253"/>
      <w:bookmarkStart w:id="1048" w:name="_Toc461441254"/>
      <w:bookmarkStart w:id="1049" w:name="_Toc460341032"/>
      <w:bookmarkStart w:id="1050" w:name="_Toc461441262"/>
      <w:bookmarkStart w:id="1051" w:name="_Toc461441263"/>
      <w:bookmarkStart w:id="1052" w:name="_Toc461441264"/>
      <w:bookmarkStart w:id="1053" w:name="_Toc461441265"/>
      <w:bookmarkStart w:id="1054" w:name="_Toc461441266"/>
      <w:bookmarkStart w:id="1055" w:name="_Toc461441267"/>
      <w:bookmarkStart w:id="1056" w:name="_Toc461441268"/>
      <w:bookmarkStart w:id="1057" w:name="_Toc461441269"/>
      <w:bookmarkStart w:id="1058" w:name="_Toc461441270"/>
      <w:bookmarkStart w:id="1059" w:name="_Toc461441271"/>
      <w:bookmarkStart w:id="1060" w:name="_Toc461441272"/>
      <w:bookmarkStart w:id="1061" w:name="_Toc461441273"/>
      <w:bookmarkStart w:id="1062" w:name="_Toc462673292"/>
      <w:bookmarkStart w:id="1063" w:name="_Toc467835641"/>
      <w:bookmarkStart w:id="1064" w:name="_Toc482695315"/>
      <w:bookmarkStart w:id="1065" w:name="_Toc510548471"/>
      <w:bookmarkStart w:id="1066" w:name="_Toc292135911"/>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Pr="00C73365">
        <w:rPr>
          <w:rFonts w:asciiTheme="minorHAnsi" w:hAnsiTheme="minorHAnsi" w:cstheme="minorHAnsi"/>
          <w:sz w:val="22"/>
          <w:lang w:val="fr-FR"/>
        </w:rPr>
        <w:lastRenderedPageBreak/>
        <w:t>OPERATIONS AVEC DES APPARENTES</w:t>
      </w:r>
      <w:bookmarkEnd w:id="1062"/>
      <w:bookmarkEnd w:id="1063"/>
      <w:bookmarkEnd w:id="1064"/>
      <w:bookmarkEnd w:id="1065"/>
    </w:p>
    <w:p w14:paraId="0FC79157" w14:textId="77777777" w:rsidR="00B740A8" w:rsidRPr="00C73365" w:rsidRDefault="00B740A8" w:rsidP="00B740A8">
      <w:pPr>
        <w:pStyle w:val="Paragraphedeliste"/>
        <w:widowControl w:val="0"/>
        <w:ind w:left="0"/>
        <w:rPr>
          <w:rFonts w:asciiTheme="minorHAnsi" w:hAnsiTheme="minorHAnsi" w:cstheme="minorHAnsi"/>
          <w:lang w:val="fr-FR"/>
        </w:rPr>
      </w:pPr>
    </w:p>
    <w:p w14:paraId="761F6AD4" w14:textId="77777777" w:rsidR="00B740A8" w:rsidRPr="00C73365" w:rsidRDefault="00B740A8" w:rsidP="00B740A8">
      <w:pPr>
        <w:pStyle w:val="ConmainL2"/>
        <w:numPr>
          <w:ilvl w:val="1"/>
          <w:numId w:val="9"/>
        </w:numPr>
        <w:rPr>
          <w:rFonts w:asciiTheme="minorHAnsi" w:hAnsiTheme="minorHAnsi" w:cstheme="minorHAnsi"/>
          <w:lang w:val="fr-FR"/>
        </w:rPr>
      </w:pPr>
      <w:bookmarkStart w:id="1067" w:name="_Toc401594132"/>
      <w:r w:rsidRPr="00C73365">
        <w:rPr>
          <w:rFonts w:asciiTheme="minorHAnsi" w:hAnsiTheme="minorHAnsi" w:cstheme="minorHAnsi"/>
          <w:lang w:val="fr-FR"/>
        </w:rPr>
        <w:t xml:space="preserve"> </w:t>
      </w:r>
      <w:bookmarkStart w:id="1068" w:name="_Toc462673293"/>
      <w:bookmarkStart w:id="1069" w:name="_Toc467835642"/>
      <w:bookmarkStart w:id="1070" w:name="_Toc482695316"/>
      <w:bookmarkStart w:id="1071" w:name="_Toc510548472"/>
      <w:r w:rsidRPr="00C73365">
        <w:rPr>
          <w:rFonts w:asciiTheme="minorHAnsi" w:hAnsiTheme="minorHAnsi" w:cstheme="minorHAnsi"/>
          <w:lang w:val="fr-FR"/>
        </w:rPr>
        <w:t>Conventions intra-groupe</w:t>
      </w:r>
      <w:bookmarkEnd w:id="1067"/>
      <w:bookmarkEnd w:id="1068"/>
      <w:bookmarkEnd w:id="1069"/>
      <w:bookmarkEnd w:id="1070"/>
      <w:bookmarkEnd w:id="1071"/>
    </w:p>
    <w:p w14:paraId="2E523802" w14:textId="77777777"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Société ne dispose pas de filiale à la date du présent document de référence.</w:t>
      </w:r>
    </w:p>
    <w:p w14:paraId="233B7B45" w14:textId="77777777" w:rsidR="00B740A8" w:rsidRPr="00C73365" w:rsidRDefault="00B740A8" w:rsidP="00B740A8">
      <w:pPr>
        <w:pStyle w:val="ConmainL2"/>
        <w:numPr>
          <w:ilvl w:val="1"/>
          <w:numId w:val="9"/>
        </w:numPr>
        <w:rPr>
          <w:rFonts w:asciiTheme="minorHAnsi" w:hAnsiTheme="minorHAnsi" w:cstheme="minorHAnsi"/>
          <w:lang w:val="fr-FR"/>
        </w:rPr>
      </w:pPr>
      <w:bookmarkStart w:id="1072" w:name="_Toc401594133"/>
      <w:r w:rsidRPr="00C73365">
        <w:rPr>
          <w:rFonts w:asciiTheme="minorHAnsi" w:hAnsiTheme="minorHAnsi" w:cstheme="minorHAnsi"/>
          <w:lang w:val="fr-FR"/>
        </w:rPr>
        <w:t xml:space="preserve"> </w:t>
      </w:r>
      <w:bookmarkStart w:id="1073" w:name="_Toc462673294"/>
      <w:bookmarkStart w:id="1074" w:name="_Toc482695317"/>
      <w:bookmarkStart w:id="1075" w:name="_Toc510548473"/>
      <w:r w:rsidRPr="00C73365">
        <w:rPr>
          <w:rFonts w:asciiTheme="minorHAnsi" w:hAnsiTheme="minorHAnsi" w:cstheme="minorHAnsi"/>
          <w:lang w:val="fr-FR"/>
        </w:rPr>
        <w:t>Opérations avec les apparentés</w:t>
      </w:r>
      <w:bookmarkEnd w:id="1072"/>
      <w:bookmarkEnd w:id="1073"/>
      <w:bookmarkEnd w:id="1074"/>
      <w:bookmarkEnd w:id="1075"/>
    </w:p>
    <w:p w14:paraId="3BF4D80A" w14:textId="77777777" w:rsidR="00B740A8" w:rsidRPr="00C73365" w:rsidRDefault="00B740A8" w:rsidP="00B740A8">
      <w:pPr>
        <w:pStyle w:val="ConmainL2"/>
        <w:numPr>
          <w:ilvl w:val="2"/>
          <w:numId w:val="9"/>
        </w:numPr>
        <w:outlineLvl w:val="9"/>
        <w:rPr>
          <w:rFonts w:asciiTheme="minorHAnsi" w:hAnsiTheme="minorHAnsi" w:cstheme="minorHAnsi"/>
          <w:color w:val="7030A0"/>
          <w:lang w:val="fr-FR"/>
        </w:rPr>
      </w:pPr>
      <w:r w:rsidRPr="00C73365">
        <w:rPr>
          <w:rFonts w:asciiTheme="minorHAnsi" w:hAnsiTheme="minorHAnsi" w:cstheme="minorHAnsi"/>
          <w:color w:val="7030A0"/>
          <w:lang w:val="fr-FR"/>
        </w:rPr>
        <w:t xml:space="preserve"> </w:t>
      </w:r>
      <w:bookmarkStart w:id="1076" w:name="_Toc453668246"/>
      <w:r w:rsidRPr="00C73365">
        <w:rPr>
          <w:rFonts w:asciiTheme="minorHAnsi" w:hAnsiTheme="minorHAnsi" w:cstheme="minorHAnsi"/>
          <w:color w:val="7030A0"/>
          <w:lang w:val="fr-FR"/>
        </w:rPr>
        <w:t>Conventions conclues au cours de l’exercice 2017</w:t>
      </w:r>
    </w:p>
    <w:p w14:paraId="3B10C688"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Sans objet.</w:t>
      </w:r>
    </w:p>
    <w:p w14:paraId="0D9D3384" w14:textId="77777777" w:rsidR="00B740A8" w:rsidRPr="00C73365" w:rsidRDefault="00B740A8" w:rsidP="00B740A8">
      <w:pPr>
        <w:pStyle w:val="ConmainL2"/>
        <w:numPr>
          <w:ilvl w:val="2"/>
          <w:numId w:val="9"/>
        </w:numPr>
        <w:outlineLvl w:val="9"/>
        <w:rPr>
          <w:rFonts w:asciiTheme="minorHAnsi" w:hAnsiTheme="minorHAnsi" w:cstheme="minorHAnsi"/>
          <w:color w:val="7030A0"/>
          <w:lang w:val="fr-FR"/>
        </w:rPr>
      </w:pPr>
      <w:r w:rsidRPr="00C73365">
        <w:rPr>
          <w:rFonts w:asciiTheme="minorHAnsi" w:hAnsiTheme="minorHAnsi" w:cstheme="minorHAnsi"/>
          <w:color w:val="7030A0"/>
          <w:lang w:val="fr-FR"/>
        </w:rPr>
        <w:t xml:space="preserve">Conventions en cours à la date d’enregistrement du document de référence </w:t>
      </w:r>
    </w:p>
    <w:bookmarkEnd w:id="1076"/>
    <w:p w14:paraId="62CDF5D7"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Sans objet.</w:t>
      </w:r>
    </w:p>
    <w:p w14:paraId="125D1D5D" w14:textId="77777777" w:rsidR="00B740A8" w:rsidRPr="00C73365" w:rsidRDefault="00B740A8" w:rsidP="00B740A8">
      <w:pPr>
        <w:pStyle w:val="Paragraphedeliste"/>
        <w:numPr>
          <w:ilvl w:val="2"/>
          <w:numId w:val="9"/>
        </w:numPr>
        <w:spacing w:after="0"/>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Rappel des conventions conclues au cours de l’exercice clos le 31 décembre 2016 et ayant pris fin à la date d’enregistrement du document de référence</w:t>
      </w:r>
    </w:p>
    <w:p w14:paraId="193C2D9D" w14:textId="77777777" w:rsidR="00B740A8" w:rsidRPr="00C73365" w:rsidRDefault="00B740A8" w:rsidP="00B740A8">
      <w:pPr>
        <w:pStyle w:val="Paragraphedeliste"/>
        <w:ind w:left="720"/>
        <w:contextualSpacing/>
        <w:rPr>
          <w:rFonts w:asciiTheme="minorHAnsi" w:hAnsiTheme="minorHAnsi" w:cstheme="minorHAnsi"/>
          <w:lang w:val="fr-FR"/>
        </w:rPr>
      </w:pPr>
    </w:p>
    <w:p w14:paraId="34AE95AF" w14:textId="77777777" w:rsidR="00B740A8" w:rsidRPr="00C73365" w:rsidRDefault="00B740A8" w:rsidP="00B740A8">
      <w:pPr>
        <w:pStyle w:val="Paragraphedeliste"/>
        <w:numPr>
          <w:ilvl w:val="0"/>
          <w:numId w:val="31"/>
        </w:numPr>
        <w:spacing w:after="0"/>
        <w:contextualSpacing/>
        <w:rPr>
          <w:rFonts w:asciiTheme="minorHAnsi" w:hAnsiTheme="minorHAnsi" w:cstheme="minorHAnsi"/>
          <w:b/>
          <w:lang w:val="fr-FR"/>
        </w:rPr>
      </w:pPr>
      <w:r w:rsidRPr="00C73365">
        <w:rPr>
          <w:rFonts w:asciiTheme="minorHAnsi" w:hAnsiTheme="minorHAnsi" w:cstheme="minorHAnsi"/>
          <w:b/>
          <w:lang w:val="fr-FR"/>
        </w:rPr>
        <w:t>Conventions de mise à disposition de salariés :</w:t>
      </w:r>
    </w:p>
    <w:p w14:paraId="28B13683"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Deux conventions de mise à disposition de salariés ont été signées le 3 novembre 2014 avec la société Neovacs (dont des fonds, gérés par Truffle Capital, sont actionnaires) en vue de la mise à disposition à temps partiel de Madame Thomas-Pujol et Monsieur Pourtout pour la réalisation de prestations facturées à « prix coûtant » à </w:t>
      </w:r>
      <w:r w:rsidR="00EF089C" w:rsidRPr="00C73365">
        <w:rPr>
          <w:rFonts w:asciiTheme="minorHAnsi" w:hAnsiTheme="minorHAnsi" w:cstheme="minorHAnsi"/>
          <w:lang w:val="fr-FR"/>
        </w:rPr>
        <w:t>ABIVAX</w:t>
      </w:r>
      <w:r w:rsidRPr="00C73365">
        <w:rPr>
          <w:rFonts w:asciiTheme="minorHAnsi" w:hAnsiTheme="minorHAnsi" w:cstheme="minorHAnsi"/>
          <w:lang w:val="fr-FR"/>
        </w:rPr>
        <w:t>, c’est-à-dire limitées au remboursement des salaires et charges sociales afférents ainsi que des frais professionnels engendrés.</w:t>
      </w:r>
    </w:p>
    <w:p w14:paraId="3185148F" w14:textId="77777777" w:rsidR="00B740A8" w:rsidRPr="00C73365" w:rsidRDefault="00B740A8" w:rsidP="004572A0">
      <w:pPr>
        <w:pStyle w:val="Corpsdetexte"/>
        <w:rPr>
          <w:rFonts w:asciiTheme="minorHAnsi" w:hAnsiTheme="minorHAnsi" w:cstheme="minorHAnsi"/>
          <w:b/>
          <w:sz w:val="22"/>
          <w:szCs w:val="22"/>
          <w:lang w:val="fr-FR"/>
        </w:rPr>
      </w:pPr>
      <w:r w:rsidRPr="00C73365">
        <w:rPr>
          <w:rFonts w:asciiTheme="minorHAnsi" w:hAnsiTheme="minorHAnsi" w:cstheme="minorHAnsi"/>
          <w:lang w:val="fr-FR"/>
        </w:rPr>
        <w:t>Ces conventions ont été résiliées avec effet au 31 décembre 2015 concernant Madame Thomas-Pujol et avec effet au 30 avril 2016 concernant Monsieur Pourtout.</w:t>
      </w:r>
      <w:r w:rsidRPr="00C73365">
        <w:rPr>
          <w:rFonts w:asciiTheme="minorHAnsi" w:hAnsiTheme="minorHAnsi" w:cstheme="minorHAnsi"/>
          <w:b/>
          <w:szCs w:val="22"/>
          <w:lang w:val="fr-FR"/>
        </w:rPr>
        <w:t xml:space="preserve"> </w:t>
      </w:r>
    </w:p>
    <w:p w14:paraId="59728B0A" w14:textId="77777777" w:rsidR="00B740A8" w:rsidRPr="00C73365" w:rsidRDefault="00B740A8" w:rsidP="00B740A8">
      <w:pPr>
        <w:pStyle w:val="Paragraphedeliste"/>
        <w:numPr>
          <w:ilvl w:val="0"/>
          <w:numId w:val="31"/>
        </w:numPr>
        <w:spacing w:after="0"/>
        <w:contextualSpacing/>
        <w:rPr>
          <w:rFonts w:asciiTheme="minorHAnsi" w:hAnsiTheme="minorHAnsi" w:cstheme="minorHAnsi"/>
          <w:b/>
          <w:sz w:val="22"/>
          <w:szCs w:val="22"/>
          <w:lang w:val="fr-FR"/>
        </w:rPr>
      </w:pPr>
      <w:r w:rsidRPr="00C73365">
        <w:rPr>
          <w:rFonts w:asciiTheme="minorHAnsi" w:hAnsiTheme="minorHAnsi" w:cstheme="minorHAnsi"/>
          <w:b/>
          <w:szCs w:val="22"/>
          <w:lang w:val="fr-FR"/>
        </w:rPr>
        <w:t>Convention de mise à disposition de locaux :</w:t>
      </w:r>
    </w:p>
    <w:p w14:paraId="1A4CD75A"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En date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2014, la Société a souhaité louer des locaux au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étage de l’immeuble situé 5, rue de la Baume à la SCI Truffle Baume par la conclusion d’une sous-location de bail dérogatoire. Cette convention a été conclue pour une durée de deux ans moyennant une rémunération annuelle de cent soixante-quinze mille (175.000) euros hors taxes.</w:t>
      </w:r>
      <w:r w:rsidRPr="00C73365">
        <w:rPr>
          <w:rFonts w:asciiTheme="minorHAnsi" w:hAnsiTheme="minorHAnsi" w:cstheme="minorHAnsi"/>
          <w:sz w:val="21"/>
          <w:szCs w:val="21"/>
          <w:lang w:val="fr-FR" w:eastAsia="fr-FR"/>
        </w:rPr>
        <w:t xml:space="preserve"> </w:t>
      </w:r>
      <w:r w:rsidRPr="00C73365">
        <w:rPr>
          <w:rFonts w:asciiTheme="minorHAnsi" w:hAnsiTheme="minorHAnsi" w:cstheme="minorHAnsi"/>
          <w:lang w:val="fr-FR"/>
        </w:rPr>
        <w:t>Au 31 décembre 2016, le loyer relatif à la période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au 31 août 2016 est de 123.000 euros hors taxes. Cette convention a pris fin le 31 août 2016.</w:t>
      </w:r>
    </w:p>
    <w:p w14:paraId="10EE4D92" w14:textId="77777777" w:rsidR="00B740A8" w:rsidRPr="00C73365" w:rsidRDefault="00B740A8" w:rsidP="00B740A8">
      <w:pPr>
        <w:pStyle w:val="ConmainL2"/>
        <w:numPr>
          <w:ilvl w:val="1"/>
          <w:numId w:val="9"/>
        </w:numPr>
        <w:rPr>
          <w:rFonts w:asciiTheme="minorHAnsi" w:hAnsiTheme="minorHAnsi" w:cstheme="minorHAnsi"/>
          <w:lang w:val="fr-FR"/>
        </w:rPr>
      </w:pPr>
      <w:bookmarkStart w:id="1077" w:name="_Toc401594134"/>
      <w:r w:rsidRPr="00C73365">
        <w:rPr>
          <w:rFonts w:asciiTheme="minorHAnsi" w:hAnsiTheme="minorHAnsi" w:cstheme="minorHAnsi"/>
          <w:sz w:val="22"/>
          <w:lang w:val="fr-FR"/>
        </w:rPr>
        <w:t xml:space="preserve"> </w:t>
      </w:r>
      <w:bookmarkStart w:id="1078" w:name="_Toc462673295"/>
      <w:bookmarkStart w:id="1079" w:name="_Toc467835644"/>
      <w:bookmarkStart w:id="1080" w:name="_Toc482695318"/>
      <w:bookmarkStart w:id="1081" w:name="_Toc510548474"/>
      <w:bookmarkEnd w:id="1077"/>
      <w:r w:rsidRPr="00C73365">
        <w:rPr>
          <w:rFonts w:asciiTheme="minorHAnsi" w:hAnsiTheme="minorHAnsi" w:cstheme="minorHAnsi"/>
          <w:lang w:val="fr-FR"/>
        </w:rPr>
        <w:t xml:space="preserve">Rapports spéciaux des commissaires aux comptes établis au titre des exercices clos </w:t>
      </w:r>
      <w:bookmarkEnd w:id="1078"/>
      <w:bookmarkEnd w:id="1079"/>
      <w:r w:rsidRPr="00C73365">
        <w:rPr>
          <w:rFonts w:asciiTheme="minorHAnsi" w:hAnsiTheme="minorHAnsi" w:cstheme="minorHAnsi"/>
          <w:lang w:val="fr-FR"/>
        </w:rPr>
        <w:t>le 31 décembre 2017</w:t>
      </w:r>
      <w:bookmarkEnd w:id="1080"/>
      <w:bookmarkEnd w:id="1081"/>
    </w:p>
    <w:p w14:paraId="2122A485" w14:textId="77777777" w:rsidR="00B740A8" w:rsidRPr="004834A9" w:rsidRDefault="00B740A8" w:rsidP="005B066C">
      <w:pPr>
        <w:pStyle w:val="Listecontinue"/>
        <w:ind w:left="0"/>
        <w:rPr>
          <w:rFonts w:asciiTheme="minorHAnsi" w:hAnsiTheme="minorHAnsi" w:cstheme="minorHAnsi"/>
          <w:lang w:val="fr-FR"/>
        </w:rPr>
      </w:pPr>
      <w:r w:rsidRPr="004834A9">
        <w:rPr>
          <w:rFonts w:asciiTheme="minorHAnsi" w:hAnsiTheme="minorHAnsi" w:cstheme="minorHAnsi"/>
          <w:lang w:val="fr-FR"/>
        </w:rPr>
        <w:t>[</w:t>
      </w:r>
      <w:r w:rsidRPr="004834A9">
        <w:rPr>
          <w:rFonts w:asciiTheme="minorHAnsi" w:hAnsiTheme="minorHAnsi" w:cstheme="minorHAnsi"/>
          <w:b/>
          <w:i/>
          <w:highlight w:val="yellow"/>
          <w:lang w:val="fr-FR"/>
        </w:rPr>
        <w:t>A insérer</w:t>
      </w:r>
      <w:r w:rsidRPr="004834A9">
        <w:rPr>
          <w:rFonts w:asciiTheme="minorHAnsi" w:hAnsiTheme="minorHAnsi" w:cstheme="minorHAnsi"/>
          <w:lang w:val="fr-FR"/>
        </w:rPr>
        <w:t>]</w:t>
      </w:r>
    </w:p>
    <w:p w14:paraId="490E4AEC" w14:textId="77777777" w:rsidR="00114C75" w:rsidRPr="00C73365" w:rsidRDefault="00114C75" w:rsidP="00A96CCA">
      <w:pPr>
        <w:spacing w:after="0"/>
        <w:jc w:val="center"/>
        <w:rPr>
          <w:rFonts w:asciiTheme="minorHAnsi" w:hAnsiTheme="minorHAnsi" w:cstheme="minorHAnsi"/>
          <w:lang w:val="fr-FR"/>
        </w:rPr>
      </w:pPr>
    </w:p>
    <w:p w14:paraId="445D19F3" w14:textId="77777777" w:rsidR="00114C75" w:rsidRPr="00C73365" w:rsidRDefault="00114C75" w:rsidP="007F1850">
      <w:pPr>
        <w:spacing w:after="0"/>
        <w:rPr>
          <w:rFonts w:asciiTheme="minorHAnsi" w:hAnsiTheme="minorHAnsi" w:cstheme="minorHAnsi"/>
          <w:lang w:val="fr-FR"/>
        </w:rPr>
      </w:pPr>
    </w:p>
    <w:p w14:paraId="42B94D6D" w14:textId="77777777" w:rsidR="00114C75" w:rsidRPr="00C73365" w:rsidRDefault="00114C75" w:rsidP="00A96CCA">
      <w:pPr>
        <w:spacing w:after="0"/>
        <w:jc w:val="center"/>
        <w:rPr>
          <w:rFonts w:asciiTheme="minorHAnsi" w:hAnsiTheme="minorHAnsi" w:cstheme="minorHAnsi"/>
          <w:lang w:val="fr-FR"/>
        </w:rPr>
      </w:pPr>
    </w:p>
    <w:p w14:paraId="59DC39BE" w14:textId="77777777" w:rsidR="00114C75" w:rsidRPr="00C73365" w:rsidRDefault="00114C75" w:rsidP="00A96CCA">
      <w:pPr>
        <w:spacing w:after="0"/>
        <w:jc w:val="center"/>
        <w:rPr>
          <w:rFonts w:asciiTheme="minorHAnsi" w:hAnsiTheme="minorHAnsi" w:cstheme="minorHAnsi"/>
          <w:lang w:val="fr-FR"/>
        </w:rPr>
      </w:pPr>
    </w:p>
    <w:p w14:paraId="70A0247B" w14:textId="77777777" w:rsidR="00114C75" w:rsidRPr="00C73365" w:rsidRDefault="00114C75" w:rsidP="00A96CCA">
      <w:pPr>
        <w:spacing w:after="0"/>
        <w:jc w:val="center"/>
        <w:rPr>
          <w:rFonts w:asciiTheme="minorHAnsi" w:hAnsiTheme="minorHAnsi" w:cstheme="minorHAnsi"/>
          <w:lang w:val="fr-FR"/>
        </w:rPr>
      </w:pPr>
    </w:p>
    <w:p w14:paraId="4AA4898E" w14:textId="77777777" w:rsidR="00114C75" w:rsidRPr="00C73365" w:rsidRDefault="00114C75" w:rsidP="00A96CCA">
      <w:pPr>
        <w:spacing w:after="0"/>
        <w:jc w:val="center"/>
        <w:rPr>
          <w:rFonts w:asciiTheme="minorHAnsi" w:hAnsiTheme="minorHAnsi" w:cstheme="minorHAnsi"/>
          <w:lang w:val="fr-FR"/>
        </w:rPr>
      </w:pPr>
    </w:p>
    <w:p w14:paraId="253DE4A1" w14:textId="77777777" w:rsidR="00114C75" w:rsidRPr="00C73365" w:rsidRDefault="00114C75" w:rsidP="00A96CCA">
      <w:pPr>
        <w:spacing w:after="0"/>
        <w:jc w:val="center"/>
        <w:rPr>
          <w:rFonts w:asciiTheme="minorHAnsi" w:hAnsiTheme="minorHAnsi" w:cstheme="minorHAnsi"/>
          <w:lang w:val="fr-FR"/>
        </w:rPr>
      </w:pPr>
    </w:p>
    <w:p w14:paraId="5278B85F" w14:textId="77777777" w:rsidR="00114C75" w:rsidRPr="00C73365" w:rsidRDefault="00114C75" w:rsidP="00A96CCA">
      <w:pPr>
        <w:spacing w:after="0"/>
        <w:jc w:val="center"/>
        <w:rPr>
          <w:rFonts w:asciiTheme="minorHAnsi" w:hAnsiTheme="minorHAnsi" w:cstheme="minorHAnsi"/>
          <w:lang w:val="fr-FR"/>
        </w:rPr>
      </w:pPr>
    </w:p>
    <w:p w14:paraId="7C460414" w14:textId="77777777" w:rsidR="00114C75" w:rsidRPr="00C73365" w:rsidRDefault="00114C75" w:rsidP="00A96CCA">
      <w:pPr>
        <w:spacing w:after="0"/>
        <w:jc w:val="center"/>
        <w:rPr>
          <w:rFonts w:asciiTheme="minorHAnsi" w:hAnsiTheme="minorHAnsi" w:cstheme="minorHAnsi"/>
          <w:lang w:val="fr-FR"/>
        </w:rPr>
      </w:pPr>
    </w:p>
    <w:p w14:paraId="25175EDD" w14:textId="77777777" w:rsidR="00114C75" w:rsidRPr="00C73365" w:rsidRDefault="00114C75" w:rsidP="00A96CCA">
      <w:pPr>
        <w:spacing w:after="0"/>
        <w:jc w:val="center"/>
        <w:rPr>
          <w:rFonts w:asciiTheme="minorHAnsi" w:hAnsiTheme="minorHAnsi" w:cstheme="minorHAnsi"/>
          <w:lang w:val="fr-FR"/>
        </w:rPr>
      </w:pPr>
    </w:p>
    <w:p w14:paraId="0C9F17D5" w14:textId="77777777" w:rsidR="00114C75" w:rsidRPr="00C73365" w:rsidRDefault="00114C75" w:rsidP="00A96CCA">
      <w:pPr>
        <w:spacing w:after="0"/>
        <w:jc w:val="center"/>
        <w:rPr>
          <w:rFonts w:asciiTheme="minorHAnsi" w:hAnsiTheme="minorHAnsi" w:cstheme="minorHAnsi"/>
          <w:lang w:val="fr-FR"/>
        </w:rPr>
      </w:pPr>
    </w:p>
    <w:p w14:paraId="4E620E29" w14:textId="77777777" w:rsidR="00114C75" w:rsidRPr="00C73365" w:rsidRDefault="00114C75" w:rsidP="00A96CCA">
      <w:pPr>
        <w:spacing w:after="0"/>
        <w:jc w:val="center"/>
        <w:rPr>
          <w:rFonts w:asciiTheme="minorHAnsi" w:hAnsiTheme="minorHAnsi" w:cstheme="minorHAnsi"/>
          <w:lang w:val="fr-FR"/>
        </w:rPr>
      </w:pPr>
    </w:p>
    <w:p w14:paraId="22C6152F" w14:textId="77777777" w:rsidR="00114C75" w:rsidRPr="00C73365" w:rsidRDefault="00114C75" w:rsidP="00A96CCA">
      <w:pPr>
        <w:spacing w:after="0"/>
        <w:jc w:val="center"/>
        <w:rPr>
          <w:rFonts w:asciiTheme="minorHAnsi" w:hAnsiTheme="minorHAnsi" w:cstheme="minorHAnsi"/>
          <w:lang w:val="fr-FR"/>
        </w:rPr>
      </w:pPr>
    </w:p>
    <w:p w14:paraId="24278132" w14:textId="77777777" w:rsidR="00114C75" w:rsidRPr="00C73365" w:rsidRDefault="00114C75" w:rsidP="00A96CCA">
      <w:pPr>
        <w:spacing w:after="0"/>
        <w:jc w:val="center"/>
        <w:rPr>
          <w:rFonts w:asciiTheme="minorHAnsi" w:hAnsiTheme="minorHAnsi" w:cstheme="minorHAnsi"/>
          <w:lang w:val="fr-FR"/>
        </w:rPr>
      </w:pPr>
    </w:p>
    <w:p w14:paraId="1A941BD4" w14:textId="77777777" w:rsidR="00114C75" w:rsidRPr="00C73365" w:rsidRDefault="00114C75" w:rsidP="00A96CCA">
      <w:pPr>
        <w:spacing w:after="0"/>
        <w:jc w:val="center"/>
        <w:rPr>
          <w:rFonts w:asciiTheme="minorHAnsi" w:hAnsiTheme="minorHAnsi" w:cstheme="minorHAnsi"/>
          <w:lang w:val="fr-FR"/>
        </w:rPr>
      </w:pPr>
    </w:p>
    <w:p w14:paraId="3EFC647D" w14:textId="77777777" w:rsidR="00270D4B" w:rsidRPr="00C73365" w:rsidRDefault="00270D4B" w:rsidP="00A96CCA">
      <w:pPr>
        <w:pStyle w:val="ConmainL2"/>
        <w:numPr>
          <w:ilvl w:val="0"/>
          <w:numId w:val="0"/>
        </w:numPr>
        <w:spacing w:after="0"/>
        <w:outlineLvl w:val="9"/>
        <w:rPr>
          <w:rFonts w:asciiTheme="minorHAnsi" w:hAnsiTheme="minorHAnsi" w:cstheme="minorHAnsi"/>
          <w:sz w:val="22"/>
          <w:lang w:val="fr-FR"/>
        </w:rPr>
      </w:pPr>
    </w:p>
    <w:p w14:paraId="73A7EC65" w14:textId="77777777" w:rsidR="00270D4B" w:rsidRPr="00C73365" w:rsidRDefault="00270D4B" w:rsidP="00A96CCA">
      <w:pPr>
        <w:pStyle w:val="ConmainL2"/>
        <w:numPr>
          <w:ilvl w:val="0"/>
          <w:numId w:val="0"/>
        </w:numPr>
        <w:spacing w:after="0"/>
        <w:outlineLvl w:val="9"/>
        <w:rPr>
          <w:rFonts w:asciiTheme="minorHAnsi" w:hAnsiTheme="minorHAnsi" w:cstheme="minorHAnsi"/>
          <w:sz w:val="22"/>
          <w:lang w:val="fr-FR"/>
        </w:rPr>
      </w:pPr>
    </w:p>
    <w:p w14:paraId="0C24C87E" w14:textId="0CB4479E" w:rsidR="00F46C7B" w:rsidRPr="00C73365" w:rsidRDefault="00270D4B" w:rsidP="00B740A8">
      <w:pPr>
        <w:pStyle w:val="ConmainL1"/>
        <w:numPr>
          <w:ilvl w:val="0"/>
          <w:numId w:val="9"/>
        </w:numPr>
        <w:rPr>
          <w:rFonts w:asciiTheme="minorHAnsi" w:hAnsiTheme="minorHAnsi" w:cstheme="minorHAnsi"/>
          <w:sz w:val="22"/>
          <w:lang w:val="fr-FR"/>
        </w:rPr>
      </w:pPr>
      <w:bookmarkStart w:id="1082" w:name="_Toc481658233"/>
      <w:bookmarkStart w:id="1083" w:name="_Toc481658816"/>
      <w:bookmarkStart w:id="1084" w:name="_Toc481661992"/>
      <w:bookmarkStart w:id="1085" w:name="_Toc481683595"/>
      <w:bookmarkStart w:id="1086" w:name="_Toc482087358"/>
      <w:bookmarkStart w:id="1087" w:name="_Toc482089599"/>
      <w:bookmarkStart w:id="1088" w:name="_Toc482090908"/>
      <w:bookmarkStart w:id="1089" w:name="_Toc482174935"/>
      <w:bookmarkStart w:id="1090" w:name="_Toc482175080"/>
      <w:bookmarkStart w:id="1091" w:name="_Toc482188596"/>
      <w:bookmarkStart w:id="1092" w:name="_Toc482189484"/>
      <w:bookmarkStart w:id="1093" w:name="_Toc481658234"/>
      <w:bookmarkStart w:id="1094" w:name="_Toc481658817"/>
      <w:bookmarkStart w:id="1095" w:name="_Toc481661993"/>
      <w:bookmarkStart w:id="1096" w:name="_Toc481683596"/>
      <w:bookmarkStart w:id="1097" w:name="_Toc482087359"/>
      <w:bookmarkStart w:id="1098" w:name="_Toc482089600"/>
      <w:bookmarkStart w:id="1099" w:name="_Toc482090909"/>
      <w:bookmarkStart w:id="1100" w:name="_Toc482174936"/>
      <w:bookmarkStart w:id="1101" w:name="_Toc482175081"/>
      <w:bookmarkStart w:id="1102" w:name="_Toc482188597"/>
      <w:bookmarkStart w:id="1103" w:name="_Toc482189485"/>
      <w:bookmarkStart w:id="1104" w:name="_Toc481658235"/>
      <w:bookmarkStart w:id="1105" w:name="_Toc481658818"/>
      <w:bookmarkStart w:id="1106" w:name="_Toc481661994"/>
      <w:bookmarkStart w:id="1107" w:name="_Toc481683597"/>
      <w:bookmarkStart w:id="1108" w:name="_Toc482087360"/>
      <w:bookmarkStart w:id="1109" w:name="_Toc482089601"/>
      <w:bookmarkStart w:id="1110" w:name="_Toc482090910"/>
      <w:bookmarkStart w:id="1111" w:name="_Toc482174937"/>
      <w:bookmarkStart w:id="1112" w:name="_Toc482175082"/>
      <w:bookmarkStart w:id="1113" w:name="_Toc482188598"/>
      <w:bookmarkStart w:id="1114" w:name="_Toc482189486"/>
      <w:bookmarkStart w:id="1115" w:name="_Toc481658236"/>
      <w:bookmarkStart w:id="1116" w:name="_Toc481658819"/>
      <w:bookmarkStart w:id="1117" w:name="_Toc481661995"/>
      <w:bookmarkStart w:id="1118" w:name="_Toc481683598"/>
      <w:bookmarkStart w:id="1119" w:name="_Toc482087361"/>
      <w:bookmarkStart w:id="1120" w:name="_Toc482089602"/>
      <w:bookmarkStart w:id="1121" w:name="_Toc482090911"/>
      <w:bookmarkStart w:id="1122" w:name="_Toc482174938"/>
      <w:bookmarkStart w:id="1123" w:name="_Toc482175083"/>
      <w:bookmarkStart w:id="1124" w:name="_Toc482188599"/>
      <w:bookmarkStart w:id="1125" w:name="_Toc482189487"/>
      <w:bookmarkStart w:id="1126" w:name="_Toc481658237"/>
      <w:bookmarkStart w:id="1127" w:name="_Toc481658820"/>
      <w:bookmarkStart w:id="1128" w:name="_Toc481661996"/>
      <w:bookmarkStart w:id="1129" w:name="_Toc481683599"/>
      <w:bookmarkStart w:id="1130" w:name="_Toc482087362"/>
      <w:bookmarkStart w:id="1131" w:name="_Toc482089603"/>
      <w:bookmarkStart w:id="1132" w:name="_Toc482090912"/>
      <w:bookmarkStart w:id="1133" w:name="_Toc482174939"/>
      <w:bookmarkStart w:id="1134" w:name="_Toc482175084"/>
      <w:bookmarkStart w:id="1135" w:name="_Toc482188600"/>
      <w:bookmarkStart w:id="1136" w:name="_Toc482189488"/>
      <w:bookmarkStart w:id="1137" w:name="_Toc481658238"/>
      <w:bookmarkStart w:id="1138" w:name="_Toc481658821"/>
      <w:bookmarkStart w:id="1139" w:name="_Toc481661997"/>
      <w:bookmarkStart w:id="1140" w:name="_Toc481683600"/>
      <w:bookmarkStart w:id="1141" w:name="_Toc482087363"/>
      <w:bookmarkStart w:id="1142" w:name="_Toc482089604"/>
      <w:bookmarkStart w:id="1143" w:name="_Toc482090913"/>
      <w:bookmarkStart w:id="1144" w:name="_Toc482174940"/>
      <w:bookmarkStart w:id="1145" w:name="_Toc482175085"/>
      <w:bookmarkStart w:id="1146" w:name="_Toc482188601"/>
      <w:bookmarkStart w:id="1147" w:name="_Toc482189489"/>
      <w:bookmarkStart w:id="1148" w:name="_Toc481658239"/>
      <w:bookmarkStart w:id="1149" w:name="_Toc481658822"/>
      <w:bookmarkStart w:id="1150" w:name="_Toc481661998"/>
      <w:bookmarkStart w:id="1151" w:name="_Toc481683601"/>
      <w:bookmarkStart w:id="1152" w:name="_Toc482087364"/>
      <w:bookmarkStart w:id="1153" w:name="_Toc482089605"/>
      <w:bookmarkStart w:id="1154" w:name="_Toc482090914"/>
      <w:bookmarkStart w:id="1155" w:name="_Toc482174941"/>
      <w:bookmarkStart w:id="1156" w:name="_Toc482175086"/>
      <w:bookmarkStart w:id="1157" w:name="_Toc482188602"/>
      <w:bookmarkStart w:id="1158" w:name="_Toc482189490"/>
      <w:bookmarkStart w:id="1159" w:name="_Toc481658240"/>
      <w:bookmarkStart w:id="1160" w:name="_Toc481658823"/>
      <w:bookmarkStart w:id="1161" w:name="_Toc481661999"/>
      <w:bookmarkStart w:id="1162" w:name="_Toc481683602"/>
      <w:bookmarkStart w:id="1163" w:name="_Toc482087365"/>
      <w:bookmarkStart w:id="1164" w:name="_Toc482089606"/>
      <w:bookmarkStart w:id="1165" w:name="_Toc482090915"/>
      <w:bookmarkStart w:id="1166" w:name="_Toc482174942"/>
      <w:bookmarkStart w:id="1167" w:name="_Toc482175087"/>
      <w:bookmarkStart w:id="1168" w:name="_Toc482188603"/>
      <w:bookmarkStart w:id="1169" w:name="_Toc482189491"/>
      <w:bookmarkStart w:id="1170" w:name="_Toc481658241"/>
      <w:bookmarkStart w:id="1171" w:name="_Toc481658824"/>
      <w:bookmarkStart w:id="1172" w:name="_Toc481662000"/>
      <w:bookmarkStart w:id="1173" w:name="_Toc481683603"/>
      <w:bookmarkStart w:id="1174" w:name="_Toc482087366"/>
      <w:bookmarkStart w:id="1175" w:name="_Toc482089607"/>
      <w:bookmarkStart w:id="1176" w:name="_Toc482090916"/>
      <w:bookmarkStart w:id="1177" w:name="_Toc482174943"/>
      <w:bookmarkStart w:id="1178" w:name="_Toc482175088"/>
      <w:bookmarkStart w:id="1179" w:name="_Toc482188604"/>
      <w:bookmarkStart w:id="1180" w:name="_Toc482189492"/>
      <w:bookmarkStart w:id="1181" w:name="_Toc481658242"/>
      <w:bookmarkStart w:id="1182" w:name="_Toc481658825"/>
      <w:bookmarkStart w:id="1183" w:name="_Toc481662001"/>
      <w:bookmarkStart w:id="1184" w:name="_Toc481683604"/>
      <w:bookmarkStart w:id="1185" w:name="_Toc482087367"/>
      <w:bookmarkStart w:id="1186" w:name="_Toc482089608"/>
      <w:bookmarkStart w:id="1187" w:name="_Toc482090917"/>
      <w:bookmarkStart w:id="1188" w:name="_Toc482174944"/>
      <w:bookmarkStart w:id="1189" w:name="_Toc482175089"/>
      <w:bookmarkStart w:id="1190" w:name="_Toc482188605"/>
      <w:bookmarkStart w:id="1191" w:name="_Toc482189493"/>
      <w:bookmarkStart w:id="1192" w:name="_Toc481658243"/>
      <w:bookmarkStart w:id="1193" w:name="_Toc481658826"/>
      <w:bookmarkStart w:id="1194" w:name="_Toc481662002"/>
      <w:bookmarkStart w:id="1195" w:name="_Toc481683605"/>
      <w:bookmarkStart w:id="1196" w:name="_Toc482087368"/>
      <w:bookmarkStart w:id="1197" w:name="_Toc482089609"/>
      <w:bookmarkStart w:id="1198" w:name="_Toc482090918"/>
      <w:bookmarkStart w:id="1199" w:name="_Toc482174945"/>
      <w:bookmarkStart w:id="1200" w:name="_Toc482175090"/>
      <w:bookmarkStart w:id="1201" w:name="_Toc482188606"/>
      <w:bookmarkStart w:id="1202" w:name="_Toc482189494"/>
      <w:bookmarkStart w:id="1203" w:name="_Toc481658244"/>
      <w:bookmarkStart w:id="1204" w:name="_Toc481658827"/>
      <w:bookmarkStart w:id="1205" w:name="_Toc481662003"/>
      <w:bookmarkStart w:id="1206" w:name="_Toc481683606"/>
      <w:bookmarkStart w:id="1207" w:name="_Toc482087369"/>
      <w:bookmarkStart w:id="1208" w:name="_Toc482089610"/>
      <w:bookmarkStart w:id="1209" w:name="_Toc482090919"/>
      <w:bookmarkStart w:id="1210" w:name="_Toc482174946"/>
      <w:bookmarkStart w:id="1211" w:name="_Toc482175091"/>
      <w:bookmarkStart w:id="1212" w:name="_Toc482188607"/>
      <w:bookmarkStart w:id="1213" w:name="_Toc482189495"/>
      <w:bookmarkStart w:id="1214" w:name="_Toc481658245"/>
      <w:bookmarkStart w:id="1215" w:name="_Toc481658828"/>
      <w:bookmarkStart w:id="1216" w:name="_Toc481662004"/>
      <w:bookmarkStart w:id="1217" w:name="_Toc481683607"/>
      <w:bookmarkStart w:id="1218" w:name="_Toc482087370"/>
      <w:bookmarkStart w:id="1219" w:name="_Toc482089611"/>
      <w:bookmarkStart w:id="1220" w:name="_Toc482090920"/>
      <w:bookmarkStart w:id="1221" w:name="_Toc482174947"/>
      <w:bookmarkStart w:id="1222" w:name="_Toc482175092"/>
      <w:bookmarkStart w:id="1223" w:name="_Toc482188608"/>
      <w:bookmarkStart w:id="1224" w:name="_Toc482189496"/>
      <w:bookmarkStart w:id="1225" w:name="_Toc481658246"/>
      <w:bookmarkStart w:id="1226" w:name="_Toc481658829"/>
      <w:bookmarkStart w:id="1227" w:name="_Toc481662005"/>
      <w:bookmarkStart w:id="1228" w:name="_Toc481683608"/>
      <w:bookmarkStart w:id="1229" w:name="_Toc482087371"/>
      <w:bookmarkStart w:id="1230" w:name="_Toc482089612"/>
      <w:bookmarkStart w:id="1231" w:name="_Toc482090921"/>
      <w:bookmarkStart w:id="1232" w:name="_Toc482174948"/>
      <w:bookmarkStart w:id="1233" w:name="_Toc482175093"/>
      <w:bookmarkStart w:id="1234" w:name="_Toc482188609"/>
      <w:bookmarkStart w:id="1235" w:name="_Toc482189497"/>
      <w:bookmarkStart w:id="1236" w:name="_Toc481658247"/>
      <w:bookmarkStart w:id="1237" w:name="_Toc481658830"/>
      <w:bookmarkStart w:id="1238" w:name="_Toc481662006"/>
      <w:bookmarkStart w:id="1239" w:name="_Toc481683609"/>
      <w:bookmarkStart w:id="1240" w:name="_Toc482087372"/>
      <w:bookmarkStart w:id="1241" w:name="_Toc482089613"/>
      <w:bookmarkStart w:id="1242" w:name="_Toc482090922"/>
      <w:bookmarkStart w:id="1243" w:name="_Toc482174949"/>
      <w:bookmarkStart w:id="1244" w:name="_Toc482175094"/>
      <w:bookmarkStart w:id="1245" w:name="_Toc482188610"/>
      <w:bookmarkStart w:id="1246" w:name="_Toc482189498"/>
      <w:bookmarkStart w:id="1247" w:name="_Toc481658248"/>
      <w:bookmarkStart w:id="1248" w:name="_Toc481658831"/>
      <w:bookmarkStart w:id="1249" w:name="_Toc481662007"/>
      <w:bookmarkStart w:id="1250" w:name="_Toc481683610"/>
      <w:bookmarkStart w:id="1251" w:name="_Toc482087373"/>
      <w:bookmarkStart w:id="1252" w:name="_Toc482089614"/>
      <w:bookmarkStart w:id="1253" w:name="_Toc482090923"/>
      <w:bookmarkStart w:id="1254" w:name="_Toc482174950"/>
      <w:bookmarkStart w:id="1255" w:name="_Toc482175095"/>
      <w:bookmarkStart w:id="1256" w:name="_Toc482188611"/>
      <w:bookmarkStart w:id="1257" w:name="_Toc482189499"/>
      <w:bookmarkStart w:id="1258" w:name="_Toc481658249"/>
      <w:bookmarkStart w:id="1259" w:name="_Toc481658832"/>
      <w:bookmarkStart w:id="1260" w:name="_Toc481662008"/>
      <w:bookmarkStart w:id="1261" w:name="_Toc481683611"/>
      <w:bookmarkStart w:id="1262" w:name="_Toc482087374"/>
      <w:bookmarkStart w:id="1263" w:name="_Toc482089615"/>
      <w:bookmarkStart w:id="1264" w:name="_Toc482090924"/>
      <w:bookmarkStart w:id="1265" w:name="_Toc482174951"/>
      <w:bookmarkStart w:id="1266" w:name="_Toc482175096"/>
      <w:bookmarkStart w:id="1267" w:name="_Toc482188612"/>
      <w:bookmarkStart w:id="1268" w:name="_Toc482189500"/>
      <w:bookmarkStart w:id="1269" w:name="_Toc481658250"/>
      <w:bookmarkStart w:id="1270" w:name="_Toc481658833"/>
      <w:bookmarkStart w:id="1271" w:name="_Toc481662009"/>
      <w:bookmarkStart w:id="1272" w:name="_Toc481683612"/>
      <w:bookmarkStart w:id="1273" w:name="_Toc482087375"/>
      <w:bookmarkStart w:id="1274" w:name="_Toc482089616"/>
      <w:bookmarkStart w:id="1275" w:name="_Toc482090925"/>
      <w:bookmarkStart w:id="1276" w:name="_Toc482174952"/>
      <w:bookmarkStart w:id="1277" w:name="_Toc482175097"/>
      <w:bookmarkStart w:id="1278" w:name="_Toc482188613"/>
      <w:bookmarkStart w:id="1279" w:name="_Toc482189501"/>
      <w:bookmarkStart w:id="1280" w:name="_Toc481658251"/>
      <w:bookmarkStart w:id="1281" w:name="_Toc481658834"/>
      <w:bookmarkStart w:id="1282" w:name="_Toc481662010"/>
      <w:bookmarkStart w:id="1283" w:name="_Toc481683613"/>
      <w:bookmarkStart w:id="1284" w:name="_Toc482087376"/>
      <w:bookmarkStart w:id="1285" w:name="_Toc482089617"/>
      <w:bookmarkStart w:id="1286" w:name="_Toc482090926"/>
      <w:bookmarkStart w:id="1287" w:name="_Toc482174953"/>
      <w:bookmarkStart w:id="1288" w:name="_Toc482175098"/>
      <w:bookmarkStart w:id="1289" w:name="_Toc482188614"/>
      <w:bookmarkStart w:id="1290" w:name="_Toc482189502"/>
      <w:bookmarkStart w:id="1291" w:name="_Toc481658252"/>
      <w:bookmarkStart w:id="1292" w:name="_Toc481658835"/>
      <w:bookmarkStart w:id="1293" w:name="_Toc481662011"/>
      <w:bookmarkStart w:id="1294" w:name="_Toc481683614"/>
      <w:bookmarkStart w:id="1295" w:name="_Toc482087377"/>
      <w:bookmarkStart w:id="1296" w:name="_Toc482089618"/>
      <w:bookmarkStart w:id="1297" w:name="_Toc482090927"/>
      <w:bookmarkStart w:id="1298" w:name="_Toc482174954"/>
      <w:bookmarkStart w:id="1299" w:name="_Toc482175099"/>
      <w:bookmarkStart w:id="1300" w:name="_Toc482188615"/>
      <w:bookmarkStart w:id="1301" w:name="_Toc482189503"/>
      <w:bookmarkStart w:id="1302" w:name="_Toc481658253"/>
      <w:bookmarkStart w:id="1303" w:name="_Toc481658836"/>
      <w:bookmarkStart w:id="1304" w:name="_Toc481662012"/>
      <w:bookmarkStart w:id="1305" w:name="_Toc481683615"/>
      <w:bookmarkStart w:id="1306" w:name="_Toc482087378"/>
      <w:bookmarkStart w:id="1307" w:name="_Toc482089619"/>
      <w:bookmarkStart w:id="1308" w:name="_Toc482090928"/>
      <w:bookmarkStart w:id="1309" w:name="_Toc482174955"/>
      <w:bookmarkStart w:id="1310" w:name="_Toc482175100"/>
      <w:bookmarkStart w:id="1311" w:name="_Toc482188616"/>
      <w:bookmarkStart w:id="1312" w:name="_Toc482189504"/>
      <w:bookmarkStart w:id="1313" w:name="_Toc481658254"/>
      <w:bookmarkStart w:id="1314" w:name="_Toc481658837"/>
      <w:bookmarkStart w:id="1315" w:name="_Toc481662013"/>
      <w:bookmarkStart w:id="1316" w:name="_Toc481683616"/>
      <w:bookmarkStart w:id="1317" w:name="_Toc482087379"/>
      <w:bookmarkStart w:id="1318" w:name="_Toc482089620"/>
      <w:bookmarkStart w:id="1319" w:name="_Toc482090929"/>
      <w:bookmarkStart w:id="1320" w:name="_Toc482174956"/>
      <w:bookmarkStart w:id="1321" w:name="_Toc482175101"/>
      <w:bookmarkStart w:id="1322" w:name="_Toc482188617"/>
      <w:bookmarkStart w:id="1323" w:name="_Toc482189505"/>
      <w:bookmarkStart w:id="1324" w:name="_Toc481658255"/>
      <w:bookmarkStart w:id="1325" w:name="_Toc481658838"/>
      <w:bookmarkStart w:id="1326" w:name="_Toc481662014"/>
      <w:bookmarkStart w:id="1327" w:name="_Toc481683617"/>
      <w:bookmarkStart w:id="1328" w:name="_Toc482087380"/>
      <w:bookmarkStart w:id="1329" w:name="_Toc482089621"/>
      <w:bookmarkStart w:id="1330" w:name="_Toc482090930"/>
      <w:bookmarkStart w:id="1331" w:name="_Toc482174957"/>
      <w:bookmarkStart w:id="1332" w:name="_Toc482175102"/>
      <w:bookmarkStart w:id="1333" w:name="_Toc482188618"/>
      <w:bookmarkStart w:id="1334" w:name="_Toc482189506"/>
      <w:bookmarkStart w:id="1335" w:name="_Toc481658256"/>
      <w:bookmarkStart w:id="1336" w:name="_Toc481658839"/>
      <w:bookmarkStart w:id="1337" w:name="_Toc481662015"/>
      <w:bookmarkStart w:id="1338" w:name="_Toc481683618"/>
      <w:bookmarkStart w:id="1339" w:name="_Toc482087381"/>
      <w:bookmarkStart w:id="1340" w:name="_Toc482089622"/>
      <w:bookmarkStart w:id="1341" w:name="_Toc482090931"/>
      <w:bookmarkStart w:id="1342" w:name="_Toc482174958"/>
      <w:bookmarkStart w:id="1343" w:name="_Toc482175103"/>
      <w:bookmarkStart w:id="1344" w:name="_Toc482188619"/>
      <w:bookmarkStart w:id="1345" w:name="_Toc482189507"/>
      <w:bookmarkStart w:id="1346" w:name="_Toc481658257"/>
      <w:bookmarkStart w:id="1347" w:name="_Toc481658840"/>
      <w:bookmarkStart w:id="1348" w:name="_Toc481662016"/>
      <w:bookmarkStart w:id="1349" w:name="_Toc481683619"/>
      <w:bookmarkStart w:id="1350" w:name="_Toc482087382"/>
      <w:bookmarkStart w:id="1351" w:name="_Toc482089623"/>
      <w:bookmarkStart w:id="1352" w:name="_Toc482090932"/>
      <w:bookmarkStart w:id="1353" w:name="_Toc482174959"/>
      <w:bookmarkStart w:id="1354" w:name="_Toc482175104"/>
      <w:bookmarkStart w:id="1355" w:name="_Toc482188620"/>
      <w:bookmarkStart w:id="1356" w:name="_Toc482189508"/>
      <w:bookmarkStart w:id="1357" w:name="_Toc481658258"/>
      <w:bookmarkStart w:id="1358" w:name="_Toc481658841"/>
      <w:bookmarkStart w:id="1359" w:name="_Toc481662017"/>
      <w:bookmarkStart w:id="1360" w:name="_Toc481683620"/>
      <w:bookmarkStart w:id="1361" w:name="_Toc482087383"/>
      <w:bookmarkStart w:id="1362" w:name="_Toc482089624"/>
      <w:bookmarkStart w:id="1363" w:name="_Toc482090933"/>
      <w:bookmarkStart w:id="1364" w:name="_Toc482174960"/>
      <w:bookmarkStart w:id="1365" w:name="_Toc482175105"/>
      <w:bookmarkStart w:id="1366" w:name="_Toc482188621"/>
      <w:bookmarkStart w:id="1367" w:name="_Toc482189509"/>
      <w:bookmarkStart w:id="1368" w:name="_Toc481658259"/>
      <w:bookmarkStart w:id="1369" w:name="_Toc481658842"/>
      <w:bookmarkStart w:id="1370" w:name="_Toc481662018"/>
      <w:bookmarkStart w:id="1371" w:name="_Toc481683621"/>
      <w:bookmarkStart w:id="1372" w:name="_Toc482087384"/>
      <w:bookmarkStart w:id="1373" w:name="_Toc482089625"/>
      <w:bookmarkStart w:id="1374" w:name="_Toc482090934"/>
      <w:bookmarkStart w:id="1375" w:name="_Toc482174961"/>
      <w:bookmarkStart w:id="1376" w:name="_Toc482175106"/>
      <w:bookmarkStart w:id="1377" w:name="_Toc482188622"/>
      <w:bookmarkStart w:id="1378" w:name="_Toc482189510"/>
      <w:bookmarkStart w:id="1379" w:name="_Toc481658260"/>
      <w:bookmarkStart w:id="1380" w:name="_Toc481658843"/>
      <w:bookmarkStart w:id="1381" w:name="_Toc481662019"/>
      <w:bookmarkStart w:id="1382" w:name="_Toc481683622"/>
      <w:bookmarkStart w:id="1383" w:name="_Toc482087385"/>
      <w:bookmarkStart w:id="1384" w:name="_Toc482089626"/>
      <w:bookmarkStart w:id="1385" w:name="_Toc482090935"/>
      <w:bookmarkStart w:id="1386" w:name="_Toc482174962"/>
      <w:bookmarkStart w:id="1387" w:name="_Toc482175107"/>
      <w:bookmarkStart w:id="1388" w:name="_Toc482188623"/>
      <w:bookmarkStart w:id="1389" w:name="_Toc482189511"/>
      <w:bookmarkStart w:id="1390" w:name="_Toc481658261"/>
      <w:bookmarkStart w:id="1391" w:name="_Toc481658844"/>
      <w:bookmarkStart w:id="1392" w:name="_Toc481662020"/>
      <w:bookmarkStart w:id="1393" w:name="_Toc481683623"/>
      <w:bookmarkStart w:id="1394" w:name="_Toc482087386"/>
      <w:bookmarkStart w:id="1395" w:name="_Toc482089627"/>
      <w:bookmarkStart w:id="1396" w:name="_Toc482090936"/>
      <w:bookmarkStart w:id="1397" w:name="_Toc482174963"/>
      <w:bookmarkStart w:id="1398" w:name="_Toc482175108"/>
      <w:bookmarkStart w:id="1399" w:name="_Toc482188624"/>
      <w:bookmarkStart w:id="1400" w:name="_Toc482189512"/>
      <w:bookmarkStart w:id="1401" w:name="_Toc481658262"/>
      <w:bookmarkStart w:id="1402" w:name="_Toc481658845"/>
      <w:bookmarkStart w:id="1403" w:name="_Toc481662021"/>
      <w:bookmarkStart w:id="1404" w:name="_Toc481683624"/>
      <w:bookmarkStart w:id="1405" w:name="_Toc482087387"/>
      <w:bookmarkStart w:id="1406" w:name="_Toc482089628"/>
      <w:bookmarkStart w:id="1407" w:name="_Toc482090937"/>
      <w:bookmarkStart w:id="1408" w:name="_Toc482174964"/>
      <w:bookmarkStart w:id="1409" w:name="_Toc482175109"/>
      <w:bookmarkStart w:id="1410" w:name="_Toc482188625"/>
      <w:bookmarkStart w:id="1411" w:name="_Toc482189513"/>
      <w:bookmarkStart w:id="1412" w:name="_Toc481658263"/>
      <w:bookmarkStart w:id="1413" w:name="_Toc481658846"/>
      <w:bookmarkStart w:id="1414" w:name="_Toc481662022"/>
      <w:bookmarkStart w:id="1415" w:name="_Toc481683625"/>
      <w:bookmarkStart w:id="1416" w:name="_Toc482087388"/>
      <w:bookmarkStart w:id="1417" w:name="_Toc482089629"/>
      <w:bookmarkStart w:id="1418" w:name="_Toc482090938"/>
      <w:bookmarkStart w:id="1419" w:name="_Toc482174965"/>
      <w:bookmarkStart w:id="1420" w:name="_Toc482175110"/>
      <w:bookmarkStart w:id="1421" w:name="_Toc482188626"/>
      <w:bookmarkStart w:id="1422" w:name="_Toc482189514"/>
      <w:bookmarkStart w:id="1423" w:name="_Toc481658264"/>
      <w:bookmarkStart w:id="1424" w:name="_Toc481658847"/>
      <w:bookmarkStart w:id="1425" w:name="_Toc481662023"/>
      <w:bookmarkStart w:id="1426" w:name="_Toc481683626"/>
      <w:bookmarkStart w:id="1427" w:name="_Toc482087389"/>
      <w:bookmarkStart w:id="1428" w:name="_Toc482089630"/>
      <w:bookmarkStart w:id="1429" w:name="_Toc482090939"/>
      <w:bookmarkStart w:id="1430" w:name="_Toc482174966"/>
      <w:bookmarkStart w:id="1431" w:name="_Toc482175111"/>
      <w:bookmarkStart w:id="1432" w:name="_Toc482188627"/>
      <w:bookmarkStart w:id="1433" w:name="_Toc482189515"/>
      <w:bookmarkStart w:id="1434" w:name="_Toc481658265"/>
      <w:bookmarkStart w:id="1435" w:name="_Toc481658848"/>
      <w:bookmarkStart w:id="1436" w:name="_Toc481662024"/>
      <w:bookmarkStart w:id="1437" w:name="_Toc481683627"/>
      <w:bookmarkStart w:id="1438" w:name="_Toc482087390"/>
      <w:bookmarkStart w:id="1439" w:name="_Toc482089631"/>
      <w:bookmarkStart w:id="1440" w:name="_Toc482090940"/>
      <w:bookmarkStart w:id="1441" w:name="_Toc482174967"/>
      <w:bookmarkStart w:id="1442" w:name="_Toc482175112"/>
      <w:bookmarkStart w:id="1443" w:name="_Toc482188628"/>
      <w:bookmarkStart w:id="1444" w:name="_Toc482189516"/>
      <w:bookmarkStart w:id="1445" w:name="_Toc402884186"/>
      <w:bookmarkStart w:id="1446" w:name="_Toc462673296"/>
      <w:bookmarkStart w:id="1447" w:name="_Toc467835645"/>
      <w:bookmarkStart w:id="1448" w:name="_Toc510548475"/>
      <w:bookmarkEnd w:id="1066"/>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r w:rsidRPr="00C73365">
        <w:rPr>
          <w:rFonts w:asciiTheme="minorHAnsi" w:hAnsiTheme="minorHAnsi" w:cstheme="minorHAnsi"/>
          <w:sz w:val="22"/>
          <w:lang w:val="fr-FR"/>
        </w:rPr>
        <w:lastRenderedPageBreak/>
        <w:t>I</w:t>
      </w:r>
      <w:r w:rsidR="00F46C7B" w:rsidRPr="00C73365">
        <w:rPr>
          <w:rFonts w:asciiTheme="minorHAnsi" w:hAnsiTheme="minorHAnsi" w:cstheme="minorHAnsi"/>
          <w:sz w:val="22"/>
          <w:lang w:val="fr-FR"/>
        </w:rPr>
        <w:t>NFORMATIONS FINANCIERES</w:t>
      </w:r>
      <w:bookmarkEnd w:id="1445"/>
      <w:bookmarkEnd w:id="1446"/>
      <w:bookmarkEnd w:id="1447"/>
      <w:bookmarkEnd w:id="1448"/>
    </w:p>
    <w:p w14:paraId="7A2C4F87" w14:textId="23EE7829" w:rsidR="00F46C7B" w:rsidRPr="00C73365" w:rsidRDefault="00F46C7B" w:rsidP="00B13DC0">
      <w:pPr>
        <w:pStyle w:val="ConmainL2"/>
        <w:numPr>
          <w:ilvl w:val="1"/>
          <w:numId w:val="9"/>
        </w:numPr>
        <w:rPr>
          <w:rFonts w:asciiTheme="minorHAnsi" w:hAnsiTheme="minorHAnsi" w:cstheme="minorHAnsi"/>
          <w:sz w:val="22"/>
          <w:lang w:val="fr-FR"/>
        </w:rPr>
      </w:pPr>
      <w:bookmarkStart w:id="1449" w:name="_Toc402884187"/>
      <w:bookmarkStart w:id="1450" w:name="_Toc462673297"/>
      <w:bookmarkStart w:id="1451" w:name="_Toc467835646"/>
      <w:bookmarkStart w:id="1452" w:name="_Toc510548476"/>
      <w:r w:rsidRPr="00C73365">
        <w:rPr>
          <w:rFonts w:asciiTheme="minorHAnsi" w:hAnsiTheme="minorHAnsi" w:cstheme="minorHAnsi"/>
          <w:sz w:val="22"/>
          <w:lang w:val="fr-FR"/>
        </w:rPr>
        <w:t>Informations financières historiques</w:t>
      </w:r>
      <w:bookmarkEnd w:id="1449"/>
      <w:bookmarkEnd w:id="1450"/>
      <w:bookmarkEnd w:id="1451"/>
      <w:bookmarkEnd w:id="1452"/>
    </w:p>
    <w:p w14:paraId="10F3F25F" w14:textId="77777777"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l’exercice clos le 31 Décembre </w:t>
      </w:r>
      <w:r w:rsidR="00EB6C9B" w:rsidRPr="00C73365">
        <w:rPr>
          <w:rFonts w:asciiTheme="minorHAnsi" w:hAnsiTheme="minorHAnsi" w:cstheme="minorHAnsi"/>
          <w:b/>
          <w:color w:val="7030A0"/>
          <w:lang w:val="fr-FR"/>
        </w:rPr>
        <w:t>2017</w:t>
      </w:r>
    </w:p>
    <w:p w14:paraId="79A5D198" w14:textId="77777777" w:rsidR="00F46C7B" w:rsidRPr="00C73365" w:rsidRDefault="00F46C7B">
      <w:pPr>
        <w:pStyle w:val="ConmainL3"/>
        <w:tabs>
          <w:tab w:val="clear" w:pos="360"/>
        </w:tabs>
        <w:spacing w:after="0"/>
        <w:ind w:left="1440" w:firstLine="0"/>
        <w:outlineLvl w:val="9"/>
        <w:rPr>
          <w:rFonts w:asciiTheme="minorHAnsi" w:hAnsiTheme="minorHAnsi" w:cstheme="minorHAnsi"/>
          <w:b/>
          <w:i/>
          <w:iCs/>
          <w:color w:val="7030A0"/>
          <w:lang w:val="fr-FR"/>
        </w:rPr>
      </w:pPr>
    </w:p>
    <w:tbl>
      <w:tblPr>
        <w:tblW w:w="9333" w:type="dxa"/>
        <w:tblLook w:val="04A0" w:firstRow="1" w:lastRow="0" w:firstColumn="1" w:lastColumn="0" w:noHBand="0" w:noVBand="1"/>
      </w:tblPr>
      <w:tblGrid>
        <w:gridCol w:w="4627"/>
        <w:gridCol w:w="950"/>
        <w:gridCol w:w="1252"/>
        <w:gridCol w:w="1252"/>
        <w:gridCol w:w="1252"/>
      </w:tblGrid>
      <w:tr w:rsidR="00EB6C9B" w:rsidRPr="00C73365" w14:paraId="5EC17F64" w14:textId="77777777" w:rsidTr="008E2E80">
        <w:trPr>
          <w:trHeight w:val="289"/>
        </w:trPr>
        <w:tc>
          <w:tcPr>
            <w:tcW w:w="4627" w:type="dxa"/>
            <w:tcBorders>
              <w:top w:val="single" w:sz="12" w:space="0" w:color="7030A0"/>
              <w:left w:val="nil"/>
              <w:bottom w:val="nil"/>
              <w:right w:val="nil"/>
            </w:tcBorders>
            <w:shd w:val="clear" w:color="auto" w:fill="auto"/>
            <w:noWrap/>
            <w:vAlign w:val="center"/>
            <w:hideMark/>
          </w:tcPr>
          <w:p w14:paraId="69669F10" w14:textId="77777777"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ACTIF</w:t>
            </w:r>
          </w:p>
        </w:tc>
        <w:tc>
          <w:tcPr>
            <w:tcW w:w="949" w:type="dxa"/>
            <w:vMerge w:val="restart"/>
            <w:tcBorders>
              <w:top w:val="single" w:sz="12" w:space="0" w:color="7030A0"/>
              <w:left w:val="nil"/>
              <w:right w:val="nil"/>
            </w:tcBorders>
            <w:shd w:val="clear" w:color="auto" w:fill="auto"/>
            <w:vAlign w:val="center"/>
            <w:hideMark/>
          </w:tcPr>
          <w:p w14:paraId="20F129EB" w14:textId="77777777" w:rsidR="00EB6C9B" w:rsidRPr="00C73365" w:rsidRDefault="00EB6C9B"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Note</w:t>
            </w:r>
          </w:p>
        </w:tc>
        <w:tc>
          <w:tcPr>
            <w:tcW w:w="1252" w:type="dxa"/>
            <w:vMerge w:val="restart"/>
            <w:tcBorders>
              <w:top w:val="single" w:sz="12" w:space="0" w:color="7030A0"/>
              <w:left w:val="nil"/>
              <w:right w:val="nil"/>
            </w:tcBorders>
            <w:shd w:val="clear" w:color="auto" w:fill="auto"/>
            <w:noWrap/>
            <w:vAlign w:val="center"/>
            <w:hideMark/>
          </w:tcPr>
          <w:p w14:paraId="5EE1CE92" w14:textId="77777777"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52" w:type="dxa"/>
            <w:vMerge w:val="restart"/>
            <w:tcBorders>
              <w:top w:val="single" w:sz="12" w:space="0" w:color="7030A0"/>
              <w:left w:val="nil"/>
              <w:right w:val="nil"/>
            </w:tcBorders>
            <w:shd w:val="clear" w:color="auto" w:fill="auto"/>
            <w:vAlign w:val="center"/>
            <w:hideMark/>
          </w:tcPr>
          <w:p w14:paraId="17BEABB5" w14:textId="77777777"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52" w:type="dxa"/>
            <w:vMerge w:val="restart"/>
            <w:tcBorders>
              <w:top w:val="single" w:sz="12" w:space="0" w:color="7030A0"/>
              <w:left w:val="nil"/>
              <w:right w:val="nil"/>
            </w:tcBorders>
            <w:shd w:val="clear" w:color="auto" w:fill="auto"/>
            <w:vAlign w:val="center"/>
            <w:hideMark/>
          </w:tcPr>
          <w:p w14:paraId="08CDEB1D" w14:textId="77777777"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EB6C9B" w:rsidRPr="00C73365" w14:paraId="5644158D" w14:textId="77777777" w:rsidTr="008E2E80">
        <w:trPr>
          <w:trHeight w:val="289"/>
        </w:trPr>
        <w:tc>
          <w:tcPr>
            <w:tcW w:w="4627" w:type="dxa"/>
            <w:tcBorders>
              <w:top w:val="nil"/>
              <w:left w:val="nil"/>
              <w:bottom w:val="single" w:sz="8" w:space="0" w:color="7030A0"/>
              <w:right w:val="nil"/>
            </w:tcBorders>
            <w:shd w:val="clear" w:color="auto" w:fill="auto"/>
            <w:noWrap/>
            <w:vAlign w:val="center"/>
            <w:hideMark/>
          </w:tcPr>
          <w:p w14:paraId="40410096"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9" w:type="dxa"/>
            <w:vMerge/>
            <w:tcBorders>
              <w:left w:val="nil"/>
              <w:bottom w:val="single" w:sz="8" w:space="0" w:color="7030A0"/>
              <w:right w:val="nil"/>
            </w:tcBorders>
            <w:vAlign w:val="center"/>
            <w:hideMark/>
          </w:tcPr>
          <w:p w14:paraId="18C04B7E" w14:textId="77777777" w:rsidR="00EB6C9B" w:rsidRPr="00C73365" w:rsidRDefault="00EB6C9B" w:rsidP="00A96CCA">
            <w:pPr>
              <w:spacing w:after="0"/>
              <w:rPr>
                <w:rFonts w:asciiTheme="minorHAnsi" w:hAnsiTheme="minorHAnsi" w:cstheme="minorHAnsi"/>
                <w:b/>
                <w:bCs/>
                <w:color w:val="000000"/>
                <w:szCs w:val="20"/>
              </w:rPr>
            </w:pPr>
          </w:p>
        </w:tc>
        <w:tc>
          <w:tcPr>
            <w:tcW w:w="1252" w:type="dxa"/>
            <w:vMerge/>
            <w:tcBorders>
              <w:left w:val="nil"/>
              <w:bottom w:val="single" w:sz="8" w:space="0" w:color="7030A0"/>
              <w:right w:val="nil"/>
            </w:tcBorders>
            <w:vAlign w:val="center"/>
            <w:hideMark/>
          </w:tcPr>
          <w:p w14:paraId="241CE1D0" w14:textId="77777777" w:rsidR="00EB6C9B" w:rsidRPr="00C73365" w:rsidRDefault="00EB6C9B" w:rsidP="00A96CCA">
            <w:pPr>
              <w:spacing w:after="0"/>
              <w:rPr>
                <w:rFonts w:asciiTheme="minorHAnsi" w:hAnsiTheme="minorHAnsi" w:cstheme="minorHAnsi"/>
                <w:b/>
                <w:bCs/>
                <w:color w:val="7030A0"/>
                <w:szCs w:val="20"/>
              </w:rPr>
            </w:pPr>
          </w:p>
        </w:tc>
        <w:tc>
          <w:tcPr>
            <w:tcW w:w="1252" w:type="dxa"/>
            <w:vMerge/>
            <w:tcBorders>
              <w:left w:val="nil"/>
              <w:bottom w:val="single" w:sz="8" w:space="0" w:color="7030A0"/>
              <w:right w:val="nil"/>
            </w:tcBorders>
            <w:vAlign w:val="center"/>
            <w:hideMark/>
          </w:tcPr>
          <w:p w14:paraId="030FB585" w14:textId="77777777" w:rsidR="00EB6C9B" w:rsidRPr="00C73365" w:rsidRDefault="00EB6C9B" w:rsidP="00A96CCA">
            <w:pPr>
              <w:spacing w:after="0"/>
              <w:rPr>
                <w:rFonts w:asciiTheme="minorHAnsi" w:hAnsiTheme="minorHAnsi" w:cstheme="minorHAnsi"/>
                <w:b/>
                <w:bCs/>
                <w:color w:val="000000"/>
                <w:szCs w:val="20"/>
              </w:rPr>
            </w:pPr>
          </w:p>
        </w:tc>
        <w:tc>
          <w:tcPr>
            <w:tcW w:w="1252" w:type="dxa"/>
            <w:vMerge/>
            <w:tcBorders>
              <w:left w:val="nil"/>
              <w:bottom w:val="single" w:sz="8" w:space="0" w:color="7030A0"/>
              <w:right w:val="nil"/>
            </w:tcBorders>
            <w:vAlign w:val="center"/>
            <w:hideMark/>
          </w:tcPr>
          <w:p w14:paraId="0CB35156" w14:textId="77777777" w:rsidR="00EB6C9B" w:rsidRPr="00C73365" w:rsidRDefault="00EB6C9B" w:rsidP="00A96CCA">
            <w:pPr>
              <w:spacing w:after="0"/>
              <w:rPr>
                <w:rFonts w:asciiTheme="minorHAnsi" w:hAnsiTheme="minorHAnsi" w:cstheme="minorHAnsi"/>
                <w:b/>
                <w:bCs/>
                <w:color w:val="000000"/>
                <w:szCs w:val="20"/>
              </w:rPr>
            </w:pPr>
          </w:p>
        </w:tc>
      </w:tr>
      <w:tr w:rsidR="00EB6C9B" w:rsidRPr="00C73365" w14:paraId="5E78AD20" w14:textId="77777777" w:rsidTr="008E2E80">
        <w:trPr>
          <w:trHeight w:val="277"/>
        </w:trPr>
        <w:tc>
          <w:tcPr>
            <w:tcW w:w="4627" w:type="dxa"/>
            <w:tcBorders>
              <w:top w:val="single" w:sz="8" w:space="0" w:color="7030A0"/>
              <w:left w:val="nil"/>
              <w:bottom w:val="nil"/>
              <w:right w:val="nil"/>
            </w:tcBorders>
            <w:shd w:val="clear" w:color="auto" w:fill="auto"/>
            <w:noWrap/>
            <w:vAlign w:val="center"/>
            <w:hideMark/>
          </w:tcPr>
          <w:p w14:paraId="0CFBB3BC" w14:textId="77777777"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Actif immobilisé</w:t>
            </w:r>
          </w:p>
        </w:tc>
        <w:tc>
          <w:tcPr>
            <w:tcW w:w="949" w:type="dxa"/>
            <w:tcBorders>
              <w:top w:val="single" w:sz="8" w:space="0" w:color="7030A0"/>
              <w:left w:val="nil"/>
              <w:bottom w:val="nil"/>
              <w:right w:val="nil"/>
            </w:tcBorders>
            <w:shd w:val="clear" w:color="auto" w:fill="auto"/>
            <w:noWrap/>
            <w:vAlign w:val="center"/>
            <w:hideMark/>
          </w:tcPr>
          <w:p w14:paraId="2F2ADE9B" w14:textId="77777777" w:rsidR="00EB6C9B" w:rsidRPr="00C73365" w:rsidRDefault="00EB6C9B" w:rsidP="00A96CCA">
            <w:pPr>
              <w:spacing w:after="0"/>
              <w:rPr>
                <w:rFonts w:asciiTheme="minorHAnsi" w:hAnsiTheme="minorHAnsi" w:cstheme="minorHAnsi"/>
                <w:b/>
                <w:bCs/>
                <w:color w:val="000000"/>
                <w:szCs w:val="20"/>
              </w:rPr>
            </w:pPr>
          </w:p>
        </w:tc>
        <w:tc>
          <w:tcPr>
            <w:tcW w:w="1252" w:type="dxa"/>
            <w:tcBorders>
              <w:top w:val="single" w:sz="8" w:space="0" w:color="7030A0"/>
              <w:left w:val="nil"/>
              <w:bottom w:val="nil"/>
              <w:right w:val="nil"/>
            </w:tcBorders>
            <w:shd w:val="clear" w:color="auto" w:fill="auto"/>
            <w:noWrap/>
            <w:vAlign w:val="center"/>
            <w:hideMark/>
          </w:tcPr>
          <w:p w14:paraId="1AAAB9B3" w14:textId="77777777" w:rsidR="00EB6C9B" w:rsidRPr="00C73365" w:rsidRDefault="00EB6C9B" w:rsidP="00A96CCA">
            <w:pPr>
              <w:spacing w:after="0"/>
              <w:rPr>
                <w:rFonts w:asciiTheme="minorHAnsi" w:hAnsiTheme="minorHAnsi" w:cstheme="minorHAnsi"/>
                <w:szCs w:val="20"/>
              </w:rPr>
            </w:pPr>
          </w:p>
        </w:tc>
        <w:tc>
          <w:tcPr>
            <w:tcW w:w="1252" w:type="dxa"/>
            <w:tcBorders>
              <w:top w:val="single" w:sz="8" w:space="0" w:color="7030A0"/>
              <w:left w:val="nil"/>
              <w:bottom w:val="nil"/>
              <w:right w:val="nil"/>
            </w:tcBorders>
            <w:shd w:val="clear" w:color="auto" w:fill="auto"/>
            <w:noWrap/>
            <w:vAlign w:val="center"/>
            <w:hideMark/>
          </w:tcPr>
          <w:p w14:paraId="22A2D641" w14:textId="77777777" w:rsidR="00EB6C9B" w:rsidRPr="00C73365" w:rsidRDefault="00EB6C9B" w:rsidP="00A96CCA">
            <w:pPr>
              <w:spacing w:after="0"/>
              <w:rPr>
                <w:rFonts w:asciiTheme="minorHAnsi" w:hAnsiTheme="minorHAnsi" w:cstheme="minorHAnsi"/>
                <w:szCs w:val="20"/>
              </w:rPr>
            </w:pPr>
          </w:p>
        </w:tc>
        <w:tc>
          <w:tcPr>
            <w:tcW w:w="1252" w:type="dxa"/>
            <w:tcBorders>
              <w:top w:val="single" w:sz="8" w:space="0" w:color="7030A0"/>
              <w:left w:val="nil"/>
              <w:bottom w:val="nil"/>
              <w:right w:val="nil"/>
            </w:tcBorders>
            <w:shd w:val="clear" w:color="auto" w:fill="auto"/>
            <w:noWrap/>
            <w:vAlign w:val="center"/>
            <w:hideMark/>
          </w:tcPr>
          <w:p w14:paraId="5C02475D" w14:textId="77777777" w:rsidR="00EB6C9B" w:rsidRPr="00C73365" w:rsidRDefault="00EB6C9B" w:rsidP="00A96CCA">
            <w:pPr>
              <w:spacing w:after="0"/>
              <w:rPr>
                <w:rFonts w:asciiTheme="minorHAnsi" w:hAnsiTheme="minorHAnsi" w:cstheme="minorHAnsi"/>
                <w:szCs w:val="20"/>
              </w:rPr>
            </w:pPr>
          </w:p>
        </w:tc>
      </w:tr>
      <w:tr w:rsidR="00EB6C9B" w:rsidRPr="00C73365" w14:paraId="4CFCFE61" w14:textId="77777777" w:rsidTr="00C50FC3">
        <w:trPr>
          <w:trHeight w:val="277"/>
        </w:trPr>
        <w:tc>
          <w:tcPr>
            <w:tcW w:w="4627" w:type="dxa"/>
            <w:tcBorders>
              <w:top w:val="nil"/>
              <w:left w:val="nil"/>
              <w:bottom w:val="nil"/>
              <w:right w:val="nil"/>
            </w:tcBorders>
            <w:shd w:val="clear" w:color="auto" w:fill="auto"/>
            <w:noWrap/>
            <w:vAlign w:val="center"/>
            <w:hideMark/>
          </w:tcPr>
          <w:p w14:paraId="56968582" w14:textId="77777777"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Immobilisations incorporelles </w:t>
            </w:r>
          </w:p>
        </w:tc>
        <w:tc>
          <w:tcPr>
            <w:tcW w:w="949" w:type="dxa"/>
            <w:tcBorders>
              <w:top w:val="nil"/>
              <w:left w:val="nil"/>
              <w:bottom w:val="nil"/>
              <w:right w:val="nil"/>
            </w:tcBorders>
            <w:shd w:val="clear" w:color="auto" w:fill="auto"/>
            <w:noWrap/>
            <w:vAlign w:val="center"/>
            <w:hideMark/>
          </w:tcPr>
          <w:p w14:paraId="678CA0BE"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14:paraId="18FF9508"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32 005</w:t>
            </w:r>
          </w:p>
        </w:tc>
        <w:tc>
          <w:tcPr>
            <w:tcW w:w="1252" w:type="dxa"/>
            <w:tcBorders>
              <w:top w:val="nil"/>
              <w:left w:val="nil"/>
              <w:bottom w:val="nil"/>
              <w:right w:val="nil"/>
            </w:tcBorders>
            <w:shd w:val="clear" w:color="auto" w:fill="auto"/>
            <w:noWrap/>
            <w:vAlign w:val="center"/>
            <w:hideMark/>
          </w:tcPr>
          <w:p w14:paraId="20051EFD"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32 005</w:t>
            </w:r>
          </w:p>
        </w:tc>
        <w:tc>
          <w:tcPr>
            <w:tcW w:w="1252" w:type="dxa"/>
            <w:tcBorders>
              <w:top w:val="nil"/>
              <w:left w:val="nil"/>
              <w:bottom w:val="nil"/>
              <w:right w:val="nil"/>
            </w:tcBorders>
            <w:shd w:val="clear" w:color="auto" w:fill="auto"/>
            <w:noWrap/>
            <w:vAlign w:val="center"/>
            <w:hideMark/>
          </w:tcPr>
          <w:p w14:paraId="7F828388"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14:paraId="38CFDB60" w14:textId="77777777" w:rsidTr="00C50FC3">
        <w:trPr>
          <w:trHeight w:val="277"/>
        </w:trPr>
        <w:tc>
          <w:tcPr>
            <w:tcW w:w="4627" w:type="dxa"/>
            <w:tcBorders>
              <w:top w:val="nil"/>
              <w:left w:val="nil"/>
              <w:bottom w:val="nil"/>
              <w:right w:val="nil"/>
            </w:tcBorders>
            <w:shd w:val="clear" w:color="auto" w:fill="auto"/>
            <w:noWrap/>
            <w:vAlign w:val="center"/>
            <w:hideMark/>
          </w:tcPr>
          <w:p w14:paraId="20B7A063"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Concessions, brevets, licences, logiciels</w:t>
            </w:r>
          </w:p>
        </w:tc>
        <w:tc>
          <w:tcPr>
            <w:tcW w:w="949" w:type="dxa"/>
            <w:tcBorders>
              <w:top w:val="nil"/>
              <w:left w:val="nil"/>
              <w:bottom w:val="nil"/>
              <w:right w:val="nil"/>
            </w:tcBorders>
            <w:shd w:val="clear" w:color="auto" w:fill="auto"/>
            <w:noWrap/>
            <w:vAlign w:val="center"/>
            <w:hideMark/>
          </w:tcPr>
          <w:p w14:paraId="3F90C4F1" w14:textId="77777777"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14:paraId="2FE01643" w14:textId="77777777"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42C2D178" w14:textId="77777777"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46EACD39"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14:paraId="42CA107B" w14:textId="77777777" w:rsidTr="00C50FC3">
        <w:trPr>
          <w:trHeight w:val="277"/>
        </w:trPr>
        <w:tc>
          <w:tcPr>
            <w:tcW w:w="4627" w:type="dxa"/>
            <w:tcBorders>
              <w:top w:val="nil"/>
              <w:left w:val="nil"/>
              <w:bottom w:val="nil"/>
              <w:right w:val="nil"/>
            </w:tcBorders>
            <w:shd w:val="clear" w:color="auto" w:fill="auto"/>
            <w:noWrap/>
            <w:vAlign w:val="center"/>
            <w:hideMark/>
          </w:tcPr>
          <w:p w14:paraId="191FB949" w14:textId="77777777"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949" w:type="dxa"/>
            <w:tcBorders>
              <w:top w:val="nil"/>
              <w:left w:val="nil"/>
              <w:bottom w:val="nil"/>
              <w:right w:val="nil"/>
            </w:tcBorders>
            <w:shd w:val="clear" w:color="auto" w:fill="auto"/>
            <w:noWrap/>
            <w:vAlign w:val="center"/>
            <w:hideMark/>
          </w:tcPr>
          <w:p w14:paraId="7113DCF7"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14:paraId="2210D975" w14:textId="77777777" w:rsidR="00EB6C9B" w:rsidRPr="00C73365" w:rsidRDefault="00EB6C9B" w:rsidP="00A96CCA">
            <w:pPr>
              <w:spacing w:after="0"/>
              <w:jc w:val="center"/>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14:paraId="7B731C5E" w14:textId="77777777"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0A142B34"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14:paraId="4F393932" w14:textId="77777777" w:rsidTr="00C50FC3">
        <w:trPr>
          <w:trHeight w:val="277"/>
        </w:trPr>
        <w:tc>
          <w:tcPr>
            <w:tcW w:w="5577" w:type="dxa"/>
            <w:gridSpan w:val="2"/>
            <w:tcBorders>
              <w:top w:val="nil"/>
              <w:left w:val="nil"/>
              <w:bottom w:val="nil"/>
              <w:right w:val="nil"/>
            </w:tcBorders>
            <w:shd w:val="clear" w:color="auto" w:fill="auto"/>
            <w:noWrap/>
            <w:vAlign w:val="center"/>
            <w:hideMark/>
          </w:tcPr>
          <w:p w14:paraId="5CE70710" w14:textId="77777777"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Installations techniques, matériel et outillage industriels</w:t>
            </w:r>
          </w:p>
        </w:tc>
        <w:tc>
          <w:tcPr>
            <w:tcW w:w="1252" w:type="dxa"/>
            <w:tcBorders>
              <w:top w:val="nil"/>
              <w:left w:val="nil"/>
              <w:bottom w:val="nil"/>
              <w:right w:val="nil"/>
            </w:tcBorders>
            <w:shd w:val="clear" w:color="auto" w:fill="auto"/>
            <w:noWrap/>
            <w:vAlign w:val="center"/>
            <w:hideMark/>
          </w:tcPr>
          <w:p w14:paraId="2606DC7D"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147</w:t>
            </w:r>
          </w:p>
        </w:tc>
        <w:tc>
          <w:tcPr>
            <w:tcW w:w="1252" w:type="dxa"/>
            <w:tcBorders>
              <w:top w:val="nil"/>
              <w:left w:val="nil"/>
              <w:bottom w:val="nil"/>
              <w:right w:val="nil"/>
            </w:tcBorders>
            <w:shd w:val="clear" w:color="auto" w:fill="auto"/>
            <w:noWrap/>
            <w:vAlign w:val="center"/>
            <w:hideMark/>
          </w:tcPr>
          <w:p w14:paraId="70455B8F"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153</w:t>
            </w:r>
          </w:p>
        </w:tc>
        <w:tc>
          <w:tcPr>
            <w:tcW w:w="1252" w:type="dxa"/>
            <w:tcBorders>
              <w:top w:val="nil"/>
              <w:left w:val="nil"/>
              <w:bottom w:val="nil"/>
              <w:right w:val="nil"/>
            </w:tcBorders>
            <w:shd w:val="clear" w:color="auto" w:fill="auto"/>
            <w:noWrap/>
            <w:vAlign w:val="center"/>
            <w:hideMark/>
          </w:tcPr>
          <w:p w14:paraId="2FD666F9"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r>
      <w:tr w:rsidR="00EB6C9B" w:rsidRPr="00C73365" w14:paraId="7A9C49AB" w14:textId="77777777" w:rsidTr="00C50FC3">
        <w:trPr>
          <w:trHeight w:val="277"/>
        </w:trPr>
        <w:tc>
          <w:tcPr>
            <w:tcW w:w="4627" w:type="dxa"/>
            <w:tcBorders>
              <w:top w:val="nil"/>
              <w:left w:val="nil"/>
              <w:bottom w:val="nil"/>
              <w:right w:val="nil"/>
            </w:tcBorders>
            <w:shd w:val="clear" w:color="auto" w:fill="auto"/>
            <w:noWrap/>
            <w:vAlign w:val="center"/>
            <w:hideMark/>
          </w:tcPr>
          <w:p w14:paraId="61540BBA"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corporelles</w:t>
            </w:r>
          </w:p>
        </w:tc>
        <w:tc>
          <w:tcPr>
            <w:tcW w:w="949" w:type="dxa"/>
            <w:tcBorders>
              <w:top w:val="nil"/>
              <w:left w:val="nil"/>
              <w:bottom w:val="nil"/>
              <w:right w:val="nil"/>
            </w:tcBorders>
            <w:shd w:val="clear" w:color="auto" w:fill="auto"/>
            <w:noWrap/>
            <w:vAlign w:val="center"/>
            <w:hideMark/>
          </w:tcPr>
          <w:p w14:paraId="7052D33B" w14:textId="77777777"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14:paraId="347E7785"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55</w:t>
            </w:r>
          </w:p>
        </w:tc>
        <w:tc>
          <w:tcPr>
            <w:tcW w:w="1252" w:type="dxa"/>
            <w:tcBorders>
              <w:top w:val="nil"/>
              <w:left w:val="nil"/>
              <w:bottom w:val="nil"/>
              <w:right w:val="nil"/>
            </w:tcBorders>
            <w:shd w:val="clear" w:color="auto" w:fill="auto"/>
            <w:noWrap/>
            <w:vAlign w:val="center"/>
            <w:hideMark/>
          </w:tcPr>
          <w:p w14:paraId="72BBF12B"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w:t>
            </w:r>
          </w:p>
        </w:tc>
        <w:tc>
          <w:tcPr>
            <w:tcW w:w="1252" w:type="dxa"/>
            <w:tcBorders>
              <w:top w:val="nil"/>
              <w:left w:val="nil"/>
              <w:bottom w:val="nil"/>
              <w:right w:val="nil"/>
            </w:tcBorders>
            <w:shd w:val="clear" w:color="auto" w:fill="auto"/>
            <w:noWrap/>
            <w:vAlign w:val="center"/>
            <w:hideMark/>
          </w:tcPr>
          <w:p w14:paraId="2F20063E"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w:t>
            </w:r>
          </w:p>
        </w:tc>
      </w:tr>
      <w:tr w:rsidR="00EB6C9B" w:rsidRPr="00C73365" w14:paraId="562E4026" w14:textId="77777777" w:rsidTr="00C50FC3">
        <w:trPr>
          <w:trHeight w:val="277"/>
        </w:trPr>
        <w:tc>
          <w:tcPr>
            <w:tcW w:w="4627" w:type="dxa"/>
            <w:tcBorders>
              <w:top w:val="nil"/>
              <w:left w:val="nil"/>
              <w:bottom w:val="nil"/>
              <w:right w:val="nil"/>
            </w:tcBorders>
            <w:shd w:val="clear" w:color="auto" w:fill="auto"/>
            <w:noWrap/>
            <w:vAlign w:val="center"/>
            <w:hideMark/>
          </w:tcPr>
          <w:p w14:paraId="58C31A75" w14:textId="77777777"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949" w:type="dxa"/>
            <w:tcBorders>
              <w:top w:val="nil"/>
              <w:left w:val="nil"/>
              <w:bottom w:val="nil"/>
              <w:right w:val="nil"/>
            </w:tcBorders>
            <w:shd w:val="clear" w:color="auto" w:fill="auto"/>
            <w:noWrap/>
            <w:vAlign w:val="center"/>
            <w:hideMark/>
          </w:tcPr>
          <w:p w14:paraId="4FDAE5BA"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14:paraId="1BABE7A4" w14:textId="77777777" w:rsidR="00EB6C9B" w:rsidRPr="00C73365" w:rsidRDefault="00EB6C9B" w:rsidP="00A96CCA">
            <w:pPr>
              <w:spacing w:after="0"/>
              <w:jc w:val="center"/>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bottom"/>
            <w:hideMark/>
          </w:tcPr>
          <w:p w14:paraId="2CE2349A" w14:textId="77777777"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7D08D05B"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14:paraId="2022D744" w14:textId="77777777" w:rsidTr="00C50FC3">
        <w:trPr>
          <w:trHeight w:val="289"/>
        </w:trPr>
        <w:tc>
          <w:tcPr>
            <w:tcW w:w="4627" w:type="dxa"/>
            <w:tcBorders>
              <w:top w:val="nil"/>
              <w:left w:val="nil"/>
              <w:bottom w:val="nil"/>
              <w:right w:val="nil"/>
            </w:tcBorders>
            <w:shd w:val="clear" w:color="auto" w:fill="auto"/>
            <w:noWrap/>
            <w:vAlign w:val="center"/>
            <w:hideMark/>
          </w:tcPr>
          <w:p w14:paraId="475FCCD8"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financières</w:t>
            </w:r>
          </w:p>
        </w:tc>
        <w:tc>
          <w:tcPr>
            <w:tcW w:w="949" w:type="dxa"/>
            <w:tcBorders>
              <w:top w:val="nil"/>
              <w:left w:val="nil"/>
              <w:bottom w:val="nil"/>
              <w:right w:val="nil"/>
            </w:tcBorders>
            <w:shd w:val="clear" w:color="auto" w:fill="auto"/>
            <w:noWrap/>
            <w:vAlign w:val="center"/>
            <w:hideMark/>
          </w:tcPr>
          <w:p w14:paraId="4142488B" w14:textId="77777777"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14:paraId="26E5E0AD"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731</w:t>
            </w:r>
          </w:p>
        </w:tc>
        <w:tc>
          <w:tcPr>
            <w:tcW w:w="1252" w:type="dxa"/>
            <w:tcBorders>
              <w:top w:val="nil"/>
              <w:left w:val="nil"/>
              <w:bottom w:val="nil"/>
              <w:right w:val="nil"/>
            </w:tcBorders>
            <w:shd w:val="clear" w:color="auto" w:fill="auto"/>
            <w:noWrap/>
            <w:vAlign w:val="center"/>
            <w:hideMark/>
          </w:tcPr>
          <w:p w14:paraId="5BE92111"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560</w:t>
            </w:r>
          </w:p>
        </w:tc>
        <w:tc>
          <w:tcPr>
            <w:tcW w:w="1252" w:type="dxa"/>
            <w:tcBorders>
              <w:top w:val="nil"/>
              <w:left w:val="nil"/>
              <w:bottom w:val="nil"/>
              <w:right w:val="nil"/>
            </w:tcBorders>
            <w:shd w:val="clear" w:color="auto" w:fill="auto"/>
            <w:noWrap/>
            <w:vAlign w:val="center"/>
            <w:hideMark/>
          </w:tcPr>
          <w:p w14:paraId="19A66950"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171</w:t>
            </w:r>
          </w:p>
        </w:tc>
      </w:tr>
      <w:tr w:rsidR="00EB6C9B" w:rsidRPr="00C73365" w14:paraId="144F0605" w14:textId="77777777" w:rsidTr="00C50FC3">
        <w:trPr>
          <w:trHeight w:val="289"/>
        </w:trPr>
        <w:tc>
          <w:tcPr>
            <w:tcW w:w="4627" w:type="dxa"/>
            <w:tcBorders>
              <w:top w:val="single" w:sz="8" w:space="0" w:color="7030A0"/>
              <w:left w:val="nil"/>
              <w:bottom w:val="single" w:sz="8" w:space="0" w:color="7030A0"/>
              <w:right w:val="nil"/>
            </w:tcBorders>
            <w:shd w:val="clear" w:color="auto" w:fill="auto"/>
            <w:noWrap/>
            <w:vAlign w:val="center"/>
            <w:hideMark/>
          </w:tcPr>
          <w:p w14:paraId="73A8FDD4" w14:textId="77777777"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single" w:sz="8" w:space="0" w:color="7030A0"/>
              <w:left w:val="nil"/>
              <w:bottom w:val="single" w:sz="8" w:space="0" w:color="7030A0"/>
              <w:right w:val="nil"/>
            </w:tcBorders>
            <w:shd w:val="clear" w:color="auto" w:fill="auto"/>
            <w:noWrap/>
            <w:vAlign w:val="center"/>
            <w:hideMark/>
          </w:tcPr>
          <w:p w14:paraId="351E9BB6" w14:textId="77777777" w:rsidR="00EB6C9B" w:rsidRPr="00C73365" w:rsidRDefault="00EB6C9B" w:rsidP="00A96CCA">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single" w:sz="8" w:space="0" w:color="7030A0"/>
              <w:left w:val="nil"/>
              <w:bottom w:val="single" w:sz="8" w:space="0" w:color="7030A0"/>
              <w:right w:val="nil"/>
            </w:tcBorders>
            <w:shd w:val="clear" w:color="auto" w:fill="auto"/>
            <w:noWrap/>
            <w:vAlign w:val="center"/>
            <w:hideMark/>
          </w:tcPr>
          <w:p w14:paraId="72486BF5"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32 939</w:t>
            </w:r>
          </w:p>
        </w:tc>
        <w:tc>
          <w:tcPr>
            <w:tcW w:w="1252" w:type="dxa"/>
            <w:tcBorders>
              <w:top w:val="single" w:sz="8" w:space="0" w:color="7030A0"/>
              <w:left w:val="nil"/>
              <w:bottom w:val="single" w:sz="8" w:space="0" w:color="7030A0"/>
              <w:right w:val="nil"/>
            </w:tcBorders>
            <w:shd w:val="clear" w:color="auto" w:fill="auto"/>
            <w:noWrap/>
            <w:vAlign w:val="center"/>
            <w:hideMark/>
          </w:tcPr>
          <w:p w14:paraId="5F6283D9"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32 757</w:t>
            </w:r>
          </w:p>
        </w:tc>
        <w:tc>
          <w:tcPr>
            <w:tcW w:w="1252" w:type="dxa"/>
            <w:tcBorders>
              <w:top w:val="single" w:sz="8" w:space="0" w:color="7030A0"/>
              <w:left w:val="nil"/>
              <w:bottom w:val="single" w:sz="8" w:space="0" w:color="7030A0"/>
              <w:right w:val="nil"/>
            </w:tcBorders>
            <w:shd w:val="clear" w:color="auto" w:fill="auto"/>
            <w:noWrap/>
            <w:vAlign w:val="center"/>
            <w:hideMark/>
          </w:tcPr>
          <w:p w14:paraId="616900C2"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w:t>
            </w:r>
            <w:r w:rsidR="00117EB8" w:rsidRPr="00C73365">
              <w:rPr>
                <w:rFonts w:asciiTheme="minorHAnsi" w:hAnsiTheme="minorHAnsi" w:cstheme="minorHAnsi"/>
                <w:color w:val="7030A0"/>
                <w:szCs w:val="20"/>
              </w:rPr>
              <w:t>2</w:t>
            </w:r>
          </w:p>
        </w:tc>
      </w:tr>
      <w:tr w:rsidR="00EB6C9B" w:rsidRPr="00C73365" w14:paraId="026C6123" w14:textId="77777777" w:rsidTr="00C50FC3">
        <w:trPr>
          <w:trHeight w:val="277"/>
        </w:trPr>
        <w:tc>
          <w:tcPr>
            <w:tcW w:w="4627" w:type="dxa"/>
            <w:tcBorders>
              <w:top w:val="nil"/>
              <w:left w:val="nil"/>
              <w:bottom w:val="nil"/>
              <w:right w:val="nil"/>
            </w:tcBorders>
            <w:shd w:val="clear" w:color="auto" w:fill="auto"/>
            <w:noWrap/>
            <w:vAlign w:val="center"/>
            <w:hideMark/>
          </w:tcPr>
          <w:p w14:paraId="36A6A4BD" w14:textId="77777777"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Actif circulant</w:t>
            </w:r>
          </w:p>
        </w:tc>
        <w:tc>
          <w:tcPr>
            <w:tcW w:w="949" w:type="dxa"/>
            <w:tcBorders>
              <w:top w:val="nil"/>
              <w:left w:val="nil"/>
              <w:bottom w:val="nil"/>
              <w:right w:val="nil"/>
            </w:tcBorders>
            <w:shd w:val="clear" w:color="auto" w:fill="auto"/>
            <w:noWrap/>
            <w:vAlign w:val="center"/>
            <w:hideMark/>
          </w:tcPr>
          <w:p w14:paraId="320AC5F8" w14:textId="77777777"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14:paraId="625996BB" w14:textId="77777777"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21F86365" w14:textId="77777777"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5109DCE7"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14:paraId="05F12EE9" w14:textId="77777777" w:rsidTr="00C50FC3">
        <w:trPr>
          <w:trHeight w:val="277"/>
        </w:trPr>
        <w:tc>
          <w:tcPr>
            <w:tcW w:w="4627" w:type="dxa"/>
            <w:tcBorders>
              <w:top w:val="nil"/>
              <w:left w:val="nil"/>
              <w:bottom w:val="nil"/>
              <w:right w:val="nil"/>
            </w:tcBorders>
            <w:shd w:val="clear" w:color="auto" w:fill="auto"/>
            <w:noWrap/>
            <w:vAlign w:val="center"/>
            <w:hideMark/>
          </w:tcPr>
          <w:p w14:paraId="12D73FAE"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Créances  </w:t>
            </w:r>
          </w:p>
        </w:tc>
        <w:tc>
          <w:tcPr>
            <w:tcW w:w="949" w:type="dxa"/>
            <w:tcBorders>
              <w:top w:val="nil"/>
              <w:left w:val="nil"/>
              <w:bottom w:val="nil"/>
              <w:right w:val="nil"/>
            </w:tcBorders>
            <w:shd w:val="clear" w:color="auto" w:fill="auto"/>
            <w:noWrap/>
            <w:vAlign w:val="center"/>
            <w:hideMark/>
          </w:tcPr>
          <w:p w14:paraId="66B2A005"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w:t>
            </w:r>
          </w:p>
        </w:tc>
        <w:tc>
          <w:tcPr>
            <w:tcW w:w="1252" w:type="dxa"/>
            <w:tcBorders>
              <w:top w:val="nil"/>
              <w:left w:val="nil"/>
              <w:bottom w:val="nil"/>
              <w:right w:val="nil"/>
            </w:tcBorders>
            <w:shd w:val="clear" w:color="auto" w:fill="auto"/>
            <w:noWrap/>
            <w:vAlign w:val="center"/>
            <w:hideMark/>
          </w:tcPr>
          <w:p w14:paraId="6DB1DE4B"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3 647</w:t>
            </w:r>
          </w:p>
        </w:tc>
        <w:tc>
          <w:tcPr>
            <w:tcW w:w="1252" w:type="dxa"/>
            <w:tcBorders>
              <w:top w:val="nil"/>
              <w:left w:val="nil"/>
              <w:bottom w:val="nil"/>
              <w:right w:val="nil"/>
            </w:tcBorders>
            <w:shd w:val="clear" w:color="auto" w:fill="auto"/>
            <w:noWrap/>
            <w:vAlign w:val="center"/>
            <w:hideMark/>
          </w:tcPr>
          <w:p w14:paraId="5BA9D476"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4 803</w:t>
            </w:r>
          </w:p>
        </w:tc>
        <w:tc>
          <w:tcPr>
            <w:tcW w:w="1252" w:type="dxa"/>
            <w:tcBorders>
              <w:top w:val="nil"/>
              <w:left w:val="nil"/>
              <w:bottom w:val="nil"/>
              <w:right w:val="nil"/>
            </w:tcBorders>
            <w:shd w:val="clear" w:color="auto" w:fill="auto"/>
            <w:vAlign w:val="center"/>
            <w:hideMark/>
          </w:tcPr>
          <w:p w14:paraId="1D489E64"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-1 156</w:t>
            </w:r>
          </w:p>
        </w:tc>
      </w:tr>
      <w:tr w:rsidR="00EB6C9B" w:rsidRPr="00C73365" w14:paraId="2E42FD1B" w14:textId="77777777" w:rsidTr="00C50FC3">
        <w:trPr>
          <w:trHeight w:val="277"/>
        </w:trPr>
        <w:tc>
          <w:tcPr>
            <w:tcW w:w="4627" w:type="dxa"/>
            <w:tcBorders>
              <w:top w:val="nil"/>
              <w:left w:val="nil"/>
              <w:bottom w:val="nil"/>
              <w:right w:val="nil"/>
            </w:tcBorders>
            <w:shd w:val="clear" w:color="auto" w:fill="auto"/>
            <w:noWrap/>
            <w:vAlign w:val="center"/>
            <w:hideMark/>
          </w:tcPr>
          <w:p w14:paraId="10A14630"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Valeurs mobilières de placement</w:t>
            </w:r>
          </w:p>
        </w:tc>
        <w:tc>
          <w:tcPr>
            <w:tcW w:w="949" w:type="dxa"/>
            <w:tcBorders>
              <w:top w:val="nil"/>
              <w:left w:val="nil"/>
              <w:bottom w:val="nil"/>
              <w:right w:val="nil"/>
            </w:tcBorders>
            <w:shd w:val="clear" w:color="auto" w:fill="auto"/>
            <w:noWrap/>
            <w:vAlign w:val="center"/>
            <w:hideMark/>
          </w:tcPr>
          <w:p w14:paraId="160E52FE" w14:textId="77777777"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14:paraId="3E928C8D"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15 151</w:t>
            </w:r>
          </w:p>
        </w:tc>
        <w:tc>
          <w:tcPr>
            <w:tcW w:w="1252" w:type="dxa"/>
            <w:tcBorders>
              <w:top w:val="nil"/>
              <w:left w:val="nil"/>
              <w:bottom w:val="nil"/>
              <w:right w:val="nil"/>
            </w:tcBorders>
            <w:shd w:val="clear" w:color="auto" w:fill="auto"/>
            <w:noWrap/>
            <w:vAlign w:val="center"/>
            <w:hideMark/>
          </w:tcPr>
          <w:p w14:paraId="1726D27E"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15 050</w:t>
            </w:r>
          </w:p>
        </w:tc>
        <w:tc>
          <w:tcPr>
            <w:tcW w:w="1252" w:type="dxa"/>
            <w:tcBorders>
              <w:top w:val="nil"/>
              <w:left w:val="nil"/>
              <w:bottom w:val="nil"/>
              <w:right w:val="nil"/>
            </w:tcBorders>
            <w:shd w:val="clear" w:color="auto" w:fill="auto"/>
            <w:vAlign w:val="center"/>
            <w:hideMark/>
          </w:tcPr>
          <w:p w14:paraId="4765FA60"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w:t>
            </w:r>
          </w:p>
        </w:tc>
      </w:tr>
      <w:tr w:rsidR="00EB6C9B" w:rsidRPr="00C73365" w14:paraId="17A12DB6" w14:textId="77777777" w:rsidTr="00C50FC3">
        <w:trPr>
          <w:trHeight w:val="277"/>
        </w:trPr>
        <w:tc>
          <w:tcPr>
            <w:tcW w:w="4627" w:type="dxa"/>
            <w:tcBorders>
              <w:top w:val="nil"/>
              <w:left w:val="nil"/>
              <w:bottom w:val="nil"/>
              <w:right w:val="nil"/>
            </w:tcBorders>
            <w:shd w:val="clear" w:color="auto" w:fill="auto"/>
            <w:noWrap/>
            <w:vAlign w:val="center"/>
            <w:hideMark/>
          </w:tcPr>
          <w:p w14:paraId="5AF4D28B"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Disponibilités </w:t>
            </w:r>
          </w:p>
        </w:tc>
        <w:tc>
          <w:tcPr>
            <w:tcW w:w="949" w:type="dxa"/>
            <w:tcBorders>
              <w:top w:val="nil"/>
              <w:left w:val="nil"/>
              <w:bottom w:val="nil"/>
              <w:right w:val="nil"/>
            </w:tcBorders>
            <w:shd w:val="clear" w:color="auto" w:fill="auto"/>
            <w:noWrap/>
            <w:vAlign w:val="center"/>
            <w:hideMark/>
          </w:tcPr>
          <w:p w14:paraId="7D3E0140"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w:t>
            </w:r>
          </w:p>
        </w:tc>
        <w:tc>
          <w:tcPr>
            <w:tcW w:w="1252" w:type="dxa"/>
            <w:tcBorders>
              <w:top w:val="nil"/>
              <w:left w:val="nil"/>
              <w:bottom w:val="nil"/>
              <w:right w:val="nil"/>
            </w:tcBorders>
            <w:shd w:val="clear" w:color="auto" w:fill="auto"/>
            <w:noWrap/>
            <w:vAlign w:val="center"/>
            <w:hideMark/>
          </w:tcPr>
          <w:p w14:paraId="4EC2DD86"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252" w:type="dxa"/>
            <w:tcBorders>
              <w:top w:val="nil"/>
              <w:left w:val="nil"/>
              <w:bottom w:val="nil"/>
              <w:right w:val="nil"/>
            </w:tcBorders>
            <w:shd w:val="clear" w:color="auto" w:fill="auto"/>
            <w:noWrap/>
            <w:vAlign w:val="center"/>
            <w:hideMark/>
          </w:tcPr>
          <w:p w14:paraId="24B93F77"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7 937</w:t>
            </w:r>
          </w:p>
        </w:tc>
        <w:tc>
          <w:tcPr>
            <w:tcW w:w="1252" w:type="dxa"/>
            <w:tcBorders>
              <w:top w:val="nil"/>
              <w:left w:val="nil"/>
              <w:bottom w:val="nil"/>
              <w:right w:val="nil"/>
            </w:tcBorders>
            <w:shd w:val="clear" w:color="auto" w:fill="auto"/>
            <w:vAlign w:val="center"/>
            <w:hideMark/>
          </w:tcPr>
          <w:p w14:paraId="71C46D47"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-6 056</w:t>
            </w:r>
          </w:p>
        </w:tc>
      </w:tr>
      <w:tr w:rsidR="00EB6C9B" w:rsidRPr="00C73365" w14:paraId="1479508C" w14:textId="77777777" w:rsidTr="00C50FC3">
        <w:trPr>
          <w:trHeight w:val="277"/>
        </w:trPr>
        <w:tc>
          <w:tcPr>
            <w:tcW w:w="4627" w:type="dxa"/>
            <w:tcBorders>
              <w:top w:val="nil"/>
              <w:left w:val="nil"/>
              <w:bottom w:val="nil"/>
              <w:right w:val="nil"/>
            </w:tcBorders>
            <w:shd w:val="clear" w:color="auto" w:fill="auto"/>
            <w:noWrap/>
            <w:vAlign w:val="center"/>
            <w:hideMark/>
          </w:tcPr>
          <w:p w14:paraId="1D636EC5"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Charges constatées d’avance  </w:t>
            </w:r>
          </w:p>
        </w:tc>
        <w:tc>
          <w:tcPr>
            <w:tcW w:w="949" w:type="dxa"/>
            <w:tcBorders>
              <w:top w:val="nil"/>
              <w:left w:val="nil"/>
              <w:bottom w:val="nil"/>
              <w:right w:val="nil"/>
            </w:tcBorders>
            <w:shd w:val="clear" w:color="auto" w:fill="auto"/>
            <w:noWrap/>
            <w:vAlign w:val="center"/>
            <w:hideMark/>
          </w:tcPr>
          <w:p w14:paraId="0A9D3245"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w:t>
            </w:r>
          </w:p>
        </w:tc>
        <w:tc>
          <w:tcPr>
            <w:tcW w:w="1252" w:type="dxa"/>
            <w:tcBorders>
              <w:top w:val="nil"/>
              <w:left w:val="nil"/>
              <w:bottom w:val="nil"/>
              <w:right w:val="nil"/>
            </w:tcBorders>
            <w:shd w:val="clear" w:color="auto" w:fill="auto"/>
            <w:vAlign w:val="center"/>
            <w:hideMark/>
          </w:tcPr>
          <w:p w14:paraId="4B9E251B"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252" w:type="dxa"/>
            <w:tcBorders>
              <w:top w:val="nil"/>
              <w:left w:val="nil"/>
              <w:bottom w:val="nil"/>
              <w:right w:val="nil"/>
            </w:tcBorders>
            <w:shd w:val="clear" w:color="auto" w:fill="auto"/>
            <w:vAlign w:val="center"/>
            <w:hideMark/>
          </w:tcPr>
          <w:p w14:paraId="0D0264D0"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w:t>
            </w:r>
          </w:p>
        </w:tc>
        <w:tc>
          <w:tcPr>
            <w:tcW w:w="1252" w:type="dxa"/>
            <w:tcBorders>
              <w:top w:val="nil"/>
              <w:left w:val="nil"/>
              <w:bottom w:val="nil"/>
              <w:right w:val="nil"/>
            </w:tcBorders>
            <w:shd w:val="clear" w:color="auto" w:fill="auto"/>
            <w:noWrap/>
            <w:vAlign w:val="center"/>
            <w:hideMark/>
          </w:tcPr>
          <w:p w14:paraId="2FE23789"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135</w:t>
            </w:r>
          </w:p>
        </w:tc>
      </w:tr>
      <w:tr w:rsidR="00EB6C9B" w:rsidRPr="00C73365" w14:paraId="4BEAFA9D"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0D13D32B" w14:textId="77777777"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Avances et acomptes versés sur commande</w:t>
            </w:r>
          </w:p>
        </w:tc>
        <w:tc>
          <w:tcPr>
            <w:tcW w:w="949" w:type="dxa"/>
            <w:tcBorders>
              <w:top w:val="nil"/>
              <w:left w:val="nil"/>
              <w:bottom w:val="single" w:sz="8" w:space="0" w:color="7030A0"/>
              <w:right w:val="nil"/>
            </w:tcBorders>
            <w:shd w:val="clear" w:color="auto" w:fill="auto"/>
            <w:noWrap/>
            <w:vAlign w:val="center"/>
            <w:hideMark/>
          </w:tcPr>
          <w:p w14:paraId="4C98D6F6" w14:textId="77777777" w:rsidR="00EB6C9B" w:rsidRPr="00C73365" w:rsidRDefault="00EB6C9B"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52" w:type="dxa"/>
            <w:tcBorders>
              <w:top w:val="nil"/>
              <w:left w:val="nil"/>
              <w:bottom w:val="single" w:sz="8" w:space="0" w:color="7030A0"/>
              <w:right w:val="nil"/>
            </w:tcBorders>
            <w:shd w:val="clear" w:color="auto" w:fill="auto"/>
            <w:vAlign w:val="center"/>
            <w:hideMark/>
          </w:tcPr>
          <w:p w14:paraId="1E7B7A01"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252" w:type="dxa"/>
            <w:tcBorders>
              <w:top w:val="nil"/>
              <w:left w:val="nil"/>
              <w:bottom w:val="single" w:sz="8" w:space="0" w:color="7030A0"/>
              <w:right w:val="nil"/>
            </w:tcBorders>
            <w:shd w:val="clear" w:color="auto" w:fill="auto"/>
            <w:vAlign w:val="center"/>
            <w:hideMark/>
          </w:tcPr>
          <w:p w14:paraId="02043BA7"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tcBorders>
              <w:top w:val="nil"/>
              <w:left w:val="nil"/>
              <w:bottom w:val="single" w:sz="8" w:space="0" w:color="7030A0"/>
              <w:right w:val="nil"/>
            </w:tcBorders>
            <w:shd w:val="clear" w:color="auto" w:fill="auto"/>
            <w:noWrap/>
            <w:vAlign w:val="center"/>
            <w:hideMark/>
          </w:tcPr>
          <w:p w14:paraId="77712D7D"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EB6C9B" w:rsidRPr="00C73365" w14:paraId="1C470F0F"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109D40AA" w14:textId="77777777"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14:paraId="7BC6753F" w14:textId="77777777" w:rsidR="00EB6C9B" w:rsidRPr="00C73365" w:rsidRDefault="00EB6C9B" w:rsidP="00A96CCA">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14:paraId="078CFAA2"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20 876</w:t>
            </w:r>
          </w:p>
        </w:tc>
        <w:tc>
          <w:tcPr>
            <w:tcW w:w="1252" w:type="dxa"/>
            <w:tcBorders>
              <w:top w:val="nil"/>
              <w:left w:val="nil"/>
              <w:bottom w:val="single" w:sz="8" w:space="0" w:color="7030A0"/>
              <w:right w:val="nil"/>
            </w:tcBorders>
            <w:shd w:val="clear" w:color="auto" w:fill="auto"/>
            <w:vAlign w:val="center"/>
            <w:hideMark/>
          </w:tcPr>
          <w:p w14:paraId="4677DF5C"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27 841</w:t>
            </w:r>
          </w:p>
        </w:tc>
        <w:tc>
          <w:tcPr>
            <w:tcW w:w="1252" w:type="dxa"/>
            <w:tcBorders>
              <w:top w:val="nil"/>
              <w:left w:val="nil"/>
              <w:bottom w:val="single" w:sz="8" w:space="0" w:color="7030A0"/>
              <w:right w:val="nil"/>
            </w:tcBorders>
            <w:shd w:val="clear" w:color="auto" w:fill="auto"/>
            <w:noWrap/>
            <w:vAlign w:val="center"/>
            <w:hideMark/>
          </w:tcPr>
          <w:p w14:paraId="7FC0A356"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-6 965</w:t>
            </w:r>
          </w:p>
        </w:tc>
      </w:tr>
      <w:tr w:rsidR="00EB6C9B" w:rsidRPr="00C73365" w14:paraId="04280938"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6D196CD1" w14:textId="77777777"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 Général</w:t>
            </w:r>
          </w:p>
        </w:tc>
        <w:tc>
          <w:tcPr>
            <w:tcW w:w="949" w:type="dxa"/>
            <w:tcBorders>
              <w:top w:val="nil"/>
              <w:left w:val="nil"/>
              <w:bottom w:val="single" w:sz="8" w:space="0" w:color="7030A0"/>
              <w:right w:val="nil"/>
            </w:tcBorders>
            <w:shd w:val="clear" w:color="auto" w:fill="auto"/>
            <w:noWrap/>
            <w:vAlign w:val="center"/>
            <w:hideMark/>
          </w:tcPr>
          <w:p w14:paraId="03707AE0" w14:textId="77777777"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52" w:type="dxa"/>
            <w:tcBorders>
              <w:top w:val="nil"/>
              <w:left w:val="nil"/>
              <w:bottom w:val="single" w:sz="8" w:space="0" w:color="7030A0"/>
              <w:right w:val="nil"/>
            </w:tcBorders>
            <w:shd w:val="clear" w:color="auto" w:fill="auto"/>
            <w:noWrap/>
            <w:vAlign w:val="center"/>
            <w:hideMark/>
          </w:tcPr>
          <w:p w14:paraId="0D269B0D" w14:textId="77777777"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w:t>
            </w:r>
          </w:p>
        </w:tc>
        <w:tc>
          <w:tcPr>
            <w:tcW w:w="1252" w:type="dxa"/>
            <w:tcBorders>
              <w:top w:val="nil"/>
              <w:left w:val="nil"/>
              <w:bottom w:val="single" w:sz="8" w:space="0" w:color="7030A0"/>
              <w:right w:val="nil"/>
            </w:tcBorders>
            <w:shd w:val="clear" w:color="auto" w:fill="auto"/>
            <w:noWrap/>
            <w:vAlign w:val="center"/>
            <w:hideMark/>
          </w:tcPr>
          <w:p w14:paraId="1D16F3A1" w14:textId="77777777"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60 597</w:t>
            </w:r>
          </w:p>
        </w:tc>
        <w:tc>
          <w:tcPr>
            <w:tcW w:w="1252" w:type="dxa"/>
            <w:tcBorders>
              <w:top w:val="nil"/>
              <w:left w:val="nil"/>
              <w:bottom w:val="single" w:sz="8" w:space="0" w:color="7030A0"/>
              <w:right w:val="nil"/>
            </w:tcBorders>
            <w:shd w:val="clear" w:color="auto" w:fill="auto"/>
            <w:noWrap/>
            <w:vAlign w:val="center"/>
            <w:hideMark/>
          </w:tcPr>
          <w:p w14:paraId="148D19EB" w14:textId="77777777"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-6 782</w:t>
            </w:r>
          </w:p>
        </w:tc>
      </w:tr>
      <w:tr w:rsidR="00EB6C9B" w:rsidRPr="00C73365" w14:paraId="047A27C0" w14:textId="77777777" w:rsidTr="00C50FC3">
        <w:trPr>
          <w:trHeight w:val="277"/>
        </w:trPr>
        <w:tc>
          <w:tcPr>
            <w:tcW w:w="4627" w:type="dxa"/>
            <w:tcBorders>
              <w:top w:val="nil"/>
              <w:left w:val="nil"/>
              <w:bottom w:val="nil"/>
              <w:right w:val="nil"/>
            </w:tcBorders>
            <w:shd w:val="clear" w:color="auto" w:fill="auto"/>
            <w:noWrap/>
            <w:vAlign w:val="center"/>
            <w:hideMark/>
          </w:tcPr>
          <w:p w14:paraId="0EF64957" w14:textId="77777777"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PASSIF</w:t>
            </w:r>
          </w:p>
        </w:tc>
        <w:tc>
          <w:tcPr>
            <w:tcW w:w="949" w:type="dxa"/>
            <w:tcBorders>
              <w:top w:val="nil"/>
              <w:left w:val="nil"/>
              <w:bottom w:val="nil"/>
              <w:right w:val="nil"/>
            </w:tcBorders>
            <w:shd w:val="clear" w:color="auto" w:fill="auto"/>
            <w:noWrap/>
            <w:vAlign w:val="center"/>
            <w:hideMark/>
          </w:tcPr>
          <w:p w14:paraId="19685797" w14:textId="77777777" w:rsidR="00EB6C9B" w:rsidRPr="00C73365" w:rsidRDefault="00EB6C9B" w:rsidP="00A96CCA">
            <w:pPr>
              <w:spacing w:after="0"/>
              <w:rPr>
                <w:rFonts w:asciiTheme="minorHAnsi" w:hAnsiTheme="minorHAnsi" w:cstheme="minorHAnsi"/>
                <w:b/>
                <w:bCs/>
                <w:color w:val="7030A0"/>
                <w:szCs w:val="20"/>
              </w:rPr>
            </w:pPr>
          </w:p>
        </w:tc>
        <w:tc>
          <w:tcPr>
            <w:tcW w:w="1252" w:type="dxa"/>
            <w:vMerge w:val="restart"/>
            <w:tcBorders>
              <w:top w:val="nil"/>
              <w:left w:val="nil"/>
              <w:bottom w:val="single" w:sz="8" w:space="0" w:color="7030A0"/>
              <w:right w:val="nil"/>
            </w:tcBorders>
            <w:shd w:val="clear" w:color="auto" w:fill="auto"/>
            <w:noWrap/>
            <w:vAlign w:val="center"/>
            <w:hideMark/>
          </w:tcPr>
          <w:p w14:paraId="52F4EC2F" w14:textId="77777777"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w:t>
            </w:r>
            <w:r w:rsidR="007C3A24" w:rsidRPr="00C73365">
              <w:rPr>
                <w:rFonts w:asciiTheme="minorHAnsi" w:hAnsiTheme="minorHAnsi" w:cstheme="minorHAnsi"/>
                <w:b/>
                <w:bCs/>
                <w:color w:val="7030A0"/>
                <w:szCs w:val="20"/>
              </w:rPr>
              <w:t>1</w:t>
            </w:r>
            <w:r w:rsidRPr="00C73365">
              <w:rPr>
                <w:rFonts w:asciiTheme="minorHAnsi" w:hAnsiTheme="minorHAnsi" w:cstheme="minorHAnsi"/>
                <w:b/>
                <w:bCs/>
                <w:color w:val="7030A0"/>
                <w:szCs w:val="20"/>
              </w:rPr>
              <w:t>/</w:t>
            </w:r>
            <w:r w:rsidR="007C3A24" w:rsidRPr="00C73365">
              <w:rPr>
                <w:rFonts w:asciiTheme="minorHAnsi" w:hAnsiTheme="minorHAnsi" w:cstheme="minorHAnsi"/>
                <w:b/>
                <w:bCs/>
                <w:color w:val="7030A0"/>
                <w:szCs w:val="20"/>
              </w:rPr>
              <w:t>12</w:t>
            </w:r>
            <w:r w:rsidRPr="00C73365">
              <w:rPr>
                <w:rFonts w:asciiTheme="minorHAnsi" w:hAnsiTheme="minorHAnsi" w:cstheme="minorHAnsi"/>
                <w:b/>
                <w:bCs/>
                <w:color w:val="7030A0"/>
                <w:szCs w:val="20"/>
              </w:rPr>
              <w:t>/201</w:t>
            </w:r>
            <w:r w:rsidR="007C3A24" w:rsidRPr="00C73365">
              <w:rPr>
                <w:rFonts w:asciiTheme="minorHAnsi" w:hAnsiTheme="minorHAnsi" w:cstheme="minorHAnsi"/>
                <w:b/>
                <w:bCs/>
                <w:color w:val="7030A0"/>
                <w:szCs w:val="20"/>
              </w:rPr>
              <w:t>7</w:t>
            </w:r>
          </w:p>
        </w:tc>
        <w:tc>
          <w:tcPr>
            <w:tcW w:w="1252" w:type="dxa"/>
            <w:vMerge w:val="restart"/>
            <w:tcBorders>
              <w:top w:val="nil"/>
              <w:left w:val="nil"/>
              <w:bottom w:val="single" w:sz="8" w:space="0" w:color="7030A0"/>
              <w:right w:val="nil"/>
            </w:tcBorders>
            <w:shd w:val="clear" w:color="auto" w:fill="auto"/>
            <w:vAlign w:val="center"/>
            <w:hideMark/>
          </w:tcPr>
          <w:p w14:paraId="1915A6FC" w14:textId="77777777"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52" w:type="dxa"/>
            <w:vMerge w:val="restart"/>
            <w:tcBorders>
              <w:top w:val="nil"/>
              <w:left w:val="nil"/>
              <w:bottom w:val="single" w:sz="8" w:space="0" w:color="7030A0"/>
              <w:right w:val="nil"/>
            </w:tcBorders>
            <w:shd w:val="clear" w:color="auto" w:fill="auto"/>
            <w:vAlign w:val="center"/>
            <w:hideMark/>
          </w:tcPr>
          <w:p w14:paraId="6EB3D834" w14:textId="77777777"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EB6C9B" w:rsidRPr="00C73365" w14:paraId="01F5A308"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5D5390BE"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9" w:type="dxa"/>
            <w:tcBorders>
              <w:top w:val="nil"/>
              <w:left w:val="nil"/>
              <w:bottom w:val="single" w:sz="8" w:space="0" w:color="7030A0"/>
              <w:right w:val="nil"/>
            </w:tcBorders>
            <w:shd w:val="clear" w:color="auto" w:fill="auto"/>
            <w:noWrap/>
            <w:vAlign w:val="center"/>
            <w:hideMark/>
          </w:tcPr>
          <w:p w14:paraId="69E4B85D"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vMerge/>
            <w:tcBorders>
              <w:top w:val="nil"/>
              <w:left w:val="nil"/>
              <w:bottom w:val="single" w:sz="8" w:space="0" w:color="7030A0"/>
              <w:right w:val="nil"/>
            </w:tcBorders>
            <w:vAlign w:val="center"/>
            <w:hideMark/>
          </w:tcPr>
          <w:p w14:paraId="0681C4D8" w14:textId="77777777" w:rsidR="00EB6C9B" w:rsidRPr="00C73365" w:rsidRDefault="00EB6C9B" w:rsidP="00A96CCA">
            <w:pPr>
              <w:spacing w:after="0"/>
              <w:rPr>
                <w:rFonts w:asciiTheme="minorHAnsi" w:hAnsiTheme="minorHAnsi" w:cstheme="minorHAnsi"/>
                <w:b/>
                <w:bCs/>
                <w:color w:val="7030A0"/>
                <w:szCs w:val="20"/>
              </w:rPr>
            </w:pPr>
          </w:p>
        </w:tc>
        <w:tc>
          <w:tcPr>
            <w:tcW w:w="1252" w:type="dxa"/>
            <w:vMerge/>
            <w:tcBorders>
              <w:top w:val="nil"/>
              <w:left w:val="nil"/>
              <w:bottom w:val="single" w:sz="8" w:space="0" w:color="7030A0"/>
              <w:right w:val="nil"/>
            </w:tcBorders>
            <w:vAlign w:val="center"/>
            <w:hideMark/>
          </w:tcPr>
          <w:p w14:paraId="3B694C04" w14:textId="77777777" w:rsidR="00EB6C9B" w:rsidRPr="00C73365" w:rsidRDefault="00EB6C9B" w:rsidP="00A96CCA">
            <w:pPr>
              <w:spacing w:after="0"/>
              <w:rPr>
                <w:rFonts w:asciiTheme="minorHAnsi" w:hAnsiTheme="minorHAnsi" w:cstheme="minorHAnsi"/>
                <w:b/>
                <w:bCs/>
                <w:color w:val="000000"/>
                <w:szCs w:val="20"/>
              </w:rPr>
            </w:pPr>
          </w:p>
        </w:tc>
        <w:tc>
          <w:tcPr>
            <w:tcW w:w="1252" w:type="dxa"/>
            <w:vMerge/>
            <w:tcBorders>
              <w:top w:val="nil"/>
              <w:left w:val="nil"/>
              <w:bottom w:val="single" w:sz="8" w:space="0" w:color="7030A0"/>
              <w:right w:val="nil"/>
            </w:tcBorders>
            <w:vAlign w:val="center"/>
            <w:hideMark/>
          </w:tcPr>
          <w:p w14:paraId="5195FC1C" w14:textId="77777777" w:rsidR="00EB6C9B" w:rsidRPr="00C73365" w:rsidRDefault="00EB6C9B" w:rsidP="00A96CCA">
            <w:pPr>
              <w:spacing w:after="0"/>
              <w:rPr>
                <w:rFonts w:asciiTheme="minorHAnsi" w:hAnsiTheme="minorHAnsi" w:cstheme="minorHAnsi"/>
                <w:b/>
                <w:bCs/>
                <w:color w:val="000000"/>
                <w:szCs w:val="20"/>
              </w:rPr>
            </w:pPr>
          </w:p>
        </w:tc>
      </w:tr>
      <w:tr w:rsidR="00EB6C9B" w:rsidRPr="00C73365" w14:paraId="43DBA946" w14:textId="77777777" w:rsidTr="00C50FC3">
        <w:trPr>
          <w:trHeight w:val="277"/>
        </w:trPr>
        <w:tc>
          <w:tcPr>
            <w:tcW w:w="4627" w:type="dxa"/>
            <w:tcBorders>
              <w:top w:val="nil"/>
              <w:left w:val="nil"/>
              <w:bottom w:val="nil"/>
              <w:right w:val="nil"/>
            </w:tcBorders>
            <w:shd w:val="clear" w:color="auto" w:fill="auto"/>
            <w:noWrap/>
            <w:vAlign w:val="center"/>
            <w:hideMark/>
          </w:tcPr>
          <w:p w14:paraId="477C09C0" w14:textId="77777777"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Capitaux propres</w:t>
            </w:r>
          </w:p>
        </w:tc>
        <w:tc>
          <w:tcPr>
            <w:tcW w:w="949" w:type="dxa"/>
            <w:tcBorders>
              <w:top w:val="nil"/>
              <w:left w:val="nil"/>
              <w:bottom w:val="nil"/>
              <w:right w:val="nil"/>
            </w:tcBorders>
            <w:shd w:val="clear" w:color="auto" w:fill="auto"/>
            <w:noWrap/>
            <w:vAlign w:val="center"/>
            <w:hideMark/>
          </w:tcPr>
          <w:p w14:paraId="7C8EEC28" w14:textId="77777777"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14:paraId="1206B079" w14:textId="77777777"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25ACC1D7" w14:textId="77777777"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vAlign w:val="center"/>
            <w:hideMark/>
          </w:tcPr>
          <w:p w14:paraId="6F950B33" w14:textId="77777777" w:rsidR="00EB6C9B" w:rsidRPr="00C73365" w:rsidRDefault="00EB6C9B" w:rsidP="00A96CCA">
            <w:pPr>
              <w:spacing w:after="0"/>
              <w:rPr>
                <w:rFonts w:asciiTheme="minorHAnsi" w:hAnsiTheme="minorHAnsi" w:cstheme="minorHAnsi"/>
                <w:szCs w:val="20"/>
              </w:rPr>
            </w:pPr>
          </w:p>
        </w:tc>
      </w:tr>
      <w:tr w:rsidR="00EB6C9B" w:rsidRPr="00C73365" w14:paraId="20212DBD" w14:textId="77777777" w:rsidTr="00C50FC3">
        <w:trPr>
          <w:trHeight w:val="277"/>
        </w:trPr>
        <w:tc>
          <w:tcPr>
            <w:tcW w:w="4627" w:type="dxa"/>
            <w:tcBorders>
              <w:top w:val="nil"/>
              <w:left w:val="nil"/>
              <w:bottom w:val="nil"/>
              <w:right w:val="nil"/>
            </w:tcBorders>
            <w:shd w:val="clear" w:color="auto" w:fill="auto"/>
            <w:noWrap/>
            <w:vAlign w:val="center"/>
            <w:hideMark/>
          </w:tcPr>
          <w:p w14:paraId="5CF9C51C"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Capital </w:t>
            </w:r>
          </w:p>
        </w:tc>
        <w:tc>
          <w:tcPr>
            <w:tcW w:w="949" w:type="dxa"/>
            <w:tcBorders>
              <w:top w:val="nil"/>
              <w:left w:val="nil"/>
              <w:bottom w:val="nil"/>
              <w:right w:val="nil"/>
            </w:tcBorders>
            <w:shd w:val="clear" w:color="auto" w:fill="auto"/>
            <w:noWrap/>
            <w:vAlign w:val="center"/>
            <w:hideMark/>
          </w:tcPr>
          <w:p w14:paraId="750BA57A"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14:paraId="5AD81F26"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99</w:t>
            </w:r>
          </w:p>
        </w:tc>
        <w:tc>
          <w:tcPr>
            <w:tcW w:w="1252" w:type="dxa"/>
            <w:tcBorders>
              <w:top w:val="nil"/>
              <w:left w:val="nil"/>
              <w:bottom w:val="nil"/>
              <w:right w:val="nil"/>
            </w:tcBorders>
            <w:shd w:val="clear" w:color="auto" w:fill="auto"/>
            <w:noWrap/>
            <w:vAlign w:val="center"/>
            <w:hideMark/>
          </w:tcPr>
          <w:p w14:paraId="302FC8F3"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97</w:t>
            </w:r>
          </w:p>
        </w:tc>
        <w:tc>
          <w:tcPr>
            <w:tcW w:w="1252" w:type="dxa"/>
            <w:tcBorders>
              <w:top w:val="nil"/>
              <w:left w:val="nil"/>
              <w:bottom w:val="nil"/>
              <w:right w:val="nil"/>
            </w:tcBorders>
            <w:shd w:val="clear" w:color="auto" w:fill="auto"/>
            <w:vAlign w:val="center"/>
            <w:hideMark/>
          </w:tcPr>
          <w:p w14:paraId="343CEB71"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r>
      <w:tr w:rsidR="00EB6C9B" w:rsidRPr="00C73365" w14:paraId="2942996E" w14:textId="77777777" w:rsidTr="00C50FC3">
        <w:trPr>
          <w:trHeight w:val="277"/>
        </w:trPr>
        <w:tc>
          <w:tcPr>
            <w:tcW w:w="4627" w:type="dxa"/>
            <w:tcBorders>
              <w:top w:val="nil"/>
              <w:left w:val="nil"/>
              <w:bottom w:val="nil"/>
              <w:right w:val="nil"/>
            </w:tcBorders>
            <w:shd w:val="clear" w:color="auto" w:fill="auto"/>
            <w:noWrap/>
            <w:vAlign w:val="center"/>
            <w:hideMark/>
          </w:tcPr>
          <w:p w14:paraId="33E45D6A" w14:textId="77777777"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Primes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émission, de fusion,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apport</w:t>
            </w:r>
          </w:p>
        </w:tc>
        <w:tc>
          <w:tcPr>
            <w:tcW w:w="949" w:type="dxa"/>
            <w:tcBorders>
              <w:top w:val="nil"/>
              <w:left w:val="nil"/>
              <w:bottom w:val="nil"/>
              <w:right w:val="nil"/>
            </w:tcBorders>
            <w:shd w:val="clear" w:color="auto" w:fill="auto"/>
            <w:noWrap/>
            <w:vAlign w:val="center"/>
            <w:hideMark/>
          </w:tcPr>
          <w:p w14:paraId="5AE0765C"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14:paraId="702992DE"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90 392</w:t>
            </w:r>
          </w:p>
        </w:tc>
        <w:tc>
          <w:tcPr>
            <w:tcW w:w="1252" w:type="dxa"/>
            <w:tcBorders>
              <w:top w:val="nil"/>
              <w:left w:val="nil"/>
              <w:bottom w:val="nil"/>
              <w:right w:val="nil"/>
            </w:tcBorders>
            <w:shd w:val="clear" w:color="auto" w:fill="auto"/>
            <w:noWrap/>
            <w:vAlign w:val="center"/>
            <w:hideMark/>
          </w:tcPr>
          <w:p w14:paraId="05F43AA0"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89 765</w:t>
            </w:r>
          </w:p>
        </w:tc>
        <w:tc>
          <w:tcPr>
            <w:tcW w:w="1252" w:type="dxa"/>
            <w:tcBorders>
              <w:top w:val="nil"/>
              <w:left w:val="nil"/>
              <w:bottom w:val="nil"/>
              <w:right w:val="nil"/>
            </w:tcBorders>
            <w:shd w:val="clear" w:color="auto" w:fill="auto"/>
            <w:vAlign w:val="center"/>
            <w:hideMark/>
          </w:tcPr>
          <w:p w14:paraId="0579B5DD"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626</w:t>
            </w:r>
          </w:p>
        </w:tc>
      </w:tr>
      <w:tr w:rsidR="00EB6C9B" w:rsidRPr="00C73365" w14:paraId="3EB03B71" w14:textId="77777777" w:rsidTr="00C50FC3">
        <w:trPr>
          <w:trHeight w:val="277"/>
        </w:trPr>
        <w:tc>
          <w:tcPr>
            <w:tcW w:w="4627" w:type="dxa"/>
            <w:tcBorders>
              <w:top w:val="nil"/>
              <w:left w:val="nil"/>
              <w:bottom w:val="nil"/>
              <w:right w:val="nil"/>
            </w:tcBorders>
            <w:shd w:val="clear" w:color="auto" w:fill="auto"/>
            <w:noWrap/>
            <w:vAlign w:val="center"/>
            <w:hideMark/>
          </w:tcPr>
          <w:p w14:paraId="7B04E900"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Report à nouveau</w:t>
            </w:r>
          </w:p>
        </w:tc>
        <w:tc>
          <w:tcPr>
            <w:tcW w:w="949" w:type="dxa"/>
            <w:tcBorders>
              <w:top w:val="nil"/>
              <w:left w:val="nil"/>
              <w:bottom w:val="nil"/>
              <w:right w:val="nil"/>
            </w:tcBorders>
            <w:shd w:val="clear" w:color="auto" w:fill="auto"/>
            <w:noWrap/>
            <w:vAlign w:val="center"/>
            <w:hideMark/>
          </w:tcPr>
          <w:p w14:paraId="066B8F41"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14:paraId="6763539A"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-35 352</w:t>
            </w:r>
          </w:p>
        </w:tc>
        <w:tc>
          <w:tcPr>
            <w:tcW w:w="1252" w:type="dxa"/>
            <w:tcBorders>
              <w:top w:val="nil"/>
              <w:left w:val="nil"/>
              <w:bottom w:val="nil"/>
              <w:right w:val="nil"/>
            </w:tcBorders>
            <w:shd w:val="clear" w:color="auto" w:fill="auto"/>
            <w:noWrap/>
            <w:vAlign w:val="center"/>
            <w:hideMark/>
          </w:tcPr>
          <w:p w14:paraId="688B347A"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-21 045</w:t>
            </w:r>
          </w:p>
        </w:tc>
        <w:tc>
          <w:tcPr>
            <w:tcW w:w="1252" w:type="dxa"/>
            <w:tcBorders>
              <w:top w:val="nil"/>
              <w:left w:val="nil"/>
              <w:bottom w:val="nil"/>
              <w:right w:val="nil"/>
            </w:tcBorders>
            <w:shd w:val="clear" w:color="auto" w:fill="auto"/>
            <w:vAlign w:val="center"/>
            <w:hideMark/>
          </w:tcPr>
          <w:p w14:paraId="3F691DFD"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EB6C9B" w:rsidRPr="00C73365" w14:paraId="596D2351" w14:textId="77777777" w:rsidTr="00C50FC3">
        <w:trPr>
          <w:trHeight w:val="289"/>
        </w:trPr>
        <w:tc>
          <w:tcPr>
            <w:tcW w:w="4627" w:type="dxa"/>
            <w:tcBorders>
              <w:top w:val="nil"/>
              <w:left w:val="nil"/>
              <w:bottom w:val="nil"/>
              <w:right w:val="nil"/>
            </w:tcBorders>
            <w:shd w:val="clear" w:color="auto" w:fill="auto"/>
            <w:noWrap/>
            <w:vAlign w:val="center"/>
            <w:hideMark/>
          </w:tcPr>
          <w:p w14:paraId="09E5314D" w14:textId="77777777"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Résultat de l</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 (bénéfice ou perte)</w:t>
            </w:r>
          </w:p>
        </w:tc>
        <w:tc>
          <w:tcPr>
            <w:tcW w:w="949" w:type="dxa"/>
            <w:tcBorders>
              <w:top w:val="nil"/>
              <w:left w:val="nil"/>
              <w:bottom w:val="nil"/>
              <w:right w:val="nil"/>
            </w:tcBorders>
            <w:shd w:val="clear" w:color="auto" w:fill="auto"/>
            <w:noWrap/>
            <w:vAlign w:val="center"/>
            <w:hideMark/>
          </w:tcPr>
          <w:p w14:paraId="38A102E2" w14:textId="77777777" w:rsidR="00EB6C9B" w:rsidRPr="00C73365" w:rsidRDefault="00EB6C9B" w:rsidP="00A96CCA">
            <w:pPr>
              <w:spacing w:after="0"/>
              <w:rPr>
                <w:rFonts w:asciiTheme="minorHAnsi" w:hAnsiTheme="minorHAnsi" w:cstheme="minorHAnsi"/>
                <w:color w:val="000000"/>
                <w:szCs w:val="20"/>
                <w:lang w:val="fr-FR"/>
              </w:rPr>
            </w:pPr>
          </w:p>
        </w:tc>
        <w:tc>
          <w:tcPr>
            <w:tcW w:w="1252" w:type="dxa"/>
            <w:tcBorders>
              <w:top w:val="nil"/>
              <w:left w:val="nil"/>
              <w:bottom w:val="nil"/>
              <w:right w:val="nil"/>
            </w:tcBorders>
            <w:shd w:val="clear" w:color="auto" w:fill="auto"/>
            <w:vAlign w:val="center"/>
            <w:hideMark/>
          </w:tcPr>
          <w:p w14:paraId="13F85C84"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1252" w:type="dxa"/>
            <w:tcBorders>
              <w:top w:val="nil"/>
              <w:left w:val="nil"/>
              <w:bottom w:val="nil"/>
              <w:right w:val="nil"/>
            </w:tcBorders>
            <w:shd w:val="clear" w:color="auto" w:fill="auto"/>
            <w:vAlign w:val="center"/>
            <w:hideMark/>
          </w:tcPr>
          <w:p w14:paraId="3A01E136"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1252" w:type="dxa"/>
            <w:tcBorders>
              <w:top w:val="nil"/>
              <w:left w:val="nil"/>
              <w:bottom w:val="nil"/>
              <w:right w:val="nil"/>
            </w:tcBorders>
            <w:shd w:val="clear" w:color="auto" w:fill="auto"/>
            <w:vAlign w:val="center"/>
            <w:hideMark/>
          </w:tcPr>
          <w:p w14:paraId="7529A35D"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3 085</w:t>
            </w:r>
          </w:p>
        </w:tc>
      </w:tr>
      <w:tr w:rsidR="00EB6C9B" w:rsidRPr="00C73365" w14:paraId="766E2532" w14:textId="77777777" w:rsidTr="00C50FC3">
        <w:trPr>
          <w:trHeight w:val="289"/>
        </w:trPr>
        <w:tc>
          <w:tcPr>
            <w:tcW w:w="4627" w:type="dxa"/>
            <w:tcBorders>
              <w:top w:val="single" w:sz="8" w:space="0" w:color="7030A0"/>
              <w:left w:val="nil"/>
              <w:bottom w:val="single" w:sz="8" w:space="0" w:color="7030A0"/>
              <w:right w:val="nil"/>
            </w:tcBorders>
            <w:shd w:val="clear" w:color="auto" w:fill="auto"/>
            <w:noWrap/>
            <w:vAlign w:val="center"/>
            <w:hideMark/>
          </w:tcPr>
          <w:p w14:paraId="4AF0B012" w14:textId="77777777"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single" w:sz="8" w:space="0" w:color="7030A0"/>
              <w:left w:val="nil"/>
              <w:bottom w:val="single" w:sz="8" w:space="0" w:color="7030A0"/>
              <w:right w:val="nil"/>
            </w:tcBorders>
            <w:shd w:val="clear" w:color="auto" w:fill="auto"/>
            <w:noWrap/>
            <w:vAlign w:val="center"/>
            <w:hideMark/>
          </w:tcPr>
          <w:p w14:paraId="0E9F6D9F" w14:textId="77777777"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single" w:sz="8" w:space="0" w:color="7030A0"/>
              <w:left w:val="nil"/>
              <w:bottom w:val="single" w:sz="8" w:space="0" w:color="7030A0"/>
              <w:right w:val="nil"/>
            </w:tcBorders>
            <w:shd w:val="clear" w:color="auto" w:fill="auto"/>
            <w:noWrap/>
            <w:vAlign w:val="center"/>
            <w:hideMark/>
          </w:tcPr>
          <w:p w14:paraId="153D2064"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43 916</w:t>
            </w:r>
          </w:p>
        </w:tc>
        <w:tc>
          <w:tcPr>
            <w:tcW w:w="1252" w:type="dxa"/>
            <w:tcBorders>
              <w:top w:val="single" w:sz="8" w:space="0" w:color="7030A0"/>
              <w:left w:val="nil"/>
              <w:bottom w:val="single" w:sz="8" w:space="0" w:color="7030A0"/>
              <w:right w:val="nil"/>
            </w:tcBorders>
            <w:shd w:val="clear" w:color="auto" w:fill="auto"/>
            <w:noWrap/>
            <w:vAlign w:val="center"/>
            <w:hideMark/>
          </w:tcPr>
          <w:p w14:paraId="65105592"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54 510</w:t>
            </w:r>
          </w:p>
        </w:tc>
        <w:tc>
          <w:tcPr>
            <w:tcW w:w="1252" w:type="dxa"/>
            <w:tcBorders>
              <w:top w:val="single" w:sz="8" w:space="0" w:color="7030A0"/>
              <w:left w:val="nil"/>
              <w:bottom w:val="single" w:sz="8" w:space="0" w:color="7030A0"/>
              <w:right w:val="nil"/>
            </w:tcBorders>
            <w:shd w:val="clear" w:color="auto" w:fill="auto"/>
            <w:noWrap/>
            <w:vAlign w:val="center"/>
            <w:hideMark/>
          </w:tcPr>
          <w:p w14:paraId="3EAFB98D"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-10 594</w:t>
            </w:r>
          </w:p>
        </w:tc>
      </w:tr>
      <w:tr w:rsidR="00EB6C9B" w:rsidRPr="00C73365" w14:paraId="4F1F0AFC" w14:textId="77777777" w:rsidTr="00C50FC3">
        <w:trPr>
          <w:trHeight w:val="277"/>
        </w:trPr>
        <w:tc>
          <w:tcPr>
            <w:tcW w:w="4627" w:type="dxa"/>
            <w:tcBorders>
              <w:top w:val="nil"/>
              <w:left w:val="nil"/>
              <w:bottom w:val="nil"/>
              <w:right w:val="nil"/>
            </w:tcBorders>
            <w:shd w:val="clear" w:color="auto" w:fill="auto"/>
            <w:noWrap/>
            <w:vAlign w:val="center"/>
            <w:hideMark/>
          </w:tcPr>
          <w:p w14:paraId="7A95DA3C" w14:textId="77777777"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Autres fonds propres</w:t>
            </w:r>
          </w:p>
        </w:tc>
        <w:tc>
          <w:tcPr>
            <w:tcW w:w="949" w:type="dxa"/>
            <w:tcBorders>
              <w:top w:val="nil"/>
              <w:left w:val="nil"/>
              <w:bottom w:val="nil"/>
              <w:right w:val="nil"/>
            </w:tcBorders>
            <w:shd w:val="clear" w:color="auto" w:fill="auto"/>
            <w:noWrap/>
            <w:vAlign w:val="center"/>
            <w:hideMark/>
          </w:tcPr>
          <w:p w14:paraId="61E21F5D" w14:textId="77777777"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14:paraId="3ADA1E75" w14:textId="77777777"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5CCF4904" w14:textId="77777777"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1731087B"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14:paraId="499401D7"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74F53724"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Avances conditionnées</w:t>
            </w:r>
          </w:p>
        </w:tc>
        <w:tc>
          <w:tcPr>
            <w:tcW w:w="949" w:type="dxa"/>
            <w:tcBorders>
              <w:top w:val="nil"/>
              <w:left w:val="nil"/>
              <w:bottom w:val="single" w:sz="8" w:space="0" w:color="7030A0"/>
              <w:right w:val="nil"/>
            </w:tcBorders>
            <w:shd w:val="clear" w:color="auto" w:fill="auto"/>
            <w:noWrap/>
            <w:vAlign w:val="center"/>
            <w:hideMark/>
          </w:tcPr>
          <w:p w14:paraId="7E5158DC"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52" w:type="dxa"/>
            <w:tcBorders>
              <w:top w:val="nil"/>
              <w:left w:val="nil"/>
              <w:bottom w:val="single" w:sz="8" w:space="0" w:color="7030A0"/>
              <w:right w:val="nil"/>
            </w:tcBorders>
            <w:shd w:val="clear" w:color="auto" w:fill="auto"/>
            <w:vAlign w:val="center"/>
            <w:hideMark/>
          </w:tcPr>
          <w:p w14:paraId="11CAE8A2"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4 264</w:t>
            </w:r>
          </w:p>
        </w:tc>
        <w:tc>
          <w:tcPr>
            <w:tcW w:w="1252" w:type="dxa"/>
            <w:tcBorders>
              <w:top w:val="nil"/>
              <w:left w:val="nil"/>
              <w:bottom w:val="single" w:sz="8" w:space="0" w:color="7030A0"/>
              <w:right w:val="nil"/>
            </w:tcBorders>
            <w:shd w:val="clear" w:color="auto" w:fill="auto"/>
            <w:vAlign w:val="center"/>
            <w:hideMark/>
          </w:tcPr>
          <w:p w14:paraId="304B5A4E"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2 208</w:t>
            </w:r>
          </w:p>
        </w:tc>
        <w:tc>
          <w:tcPr>
            <w:tcW w:w="1252" w:type="dxa"/>
            <w:tcBorders>
              <w:top w:val="nil"/>
              <w:left w:val="nil"/>
              <w:bottom w:val="single" w:sz="8" w:space="0" w:color="7030A0"/>
              <w:right w:val="nil"/>
            </w:tcBorders>
            <w:shd w:val="clear" w:color="auto" w:fill="auto"/>
            <w:noWrap/>
            <w:vAlign w:val="center"/>
            <w:hideMark/>
          </w:tcPr>
          <w:p w14:paraId="55D438CD"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2 056</w:t>
            </w:r>
          </w:p>
        </w:tc>
      </w:tr>
      <w:tr w:rsidR="00EB6C9B" w:rsidRPr="00C73365" w14:paraId="59366E56"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4E176820" w14:textId="77777777"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14:paraId="7302775A" w14:textId="77777777"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14:paraId="40A9AED5"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4 264</w:t>
            </w:r>
          </w:p>
        </w:tc>
        <w:tc>
          <w:tcPr>
            <w:tcW w:w="1252" w:type="dxa"/>
            <w:tcBorders>
              <w:top w:val="nil"/>
              <w:left w:val="nil"/>
              <w:bottom w:val="single" w:sz="8" w:space="0" w:color="7030A0"/>
              <w:right w:val="nil"/>
            </w:tcBorders>
            <w:shd w:val="clear" w:color="auto" w:fill="auto"/>
            <w:noWrap/>
            <w:vAlign w:val="center"/>
            <w:hideMark/>
          </w:tcPr>
          <w:p w14:paraId="48A4F406"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2 208</w:t>
            </w:r>
          </w:p>
        </w:tc>
        <w:tc>
          <w:tcPr>
            <w:tcW w:w="1252" w:type="dxa"/>
            <w:tcBorders>
              <w:top w:val="nil"/>
              <w:left w:val="nil"/>
              <w:bottom w:val="single" w:sz="8" w:space="0" w:color="7030A0"/>
              <w:right w:val="nil"/>
            </w:tcBorders>
            <w:shd w:val="clear" w:color="auto" w:fill="auto"/>
            <w:noWrap/>
            <w:vAlign w:val="center"/>
            <w:hideMark/>
          </w:tcPr>
          <w:p w14:paraId="7B32716D"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2 056</w:t>
            </w:r>
          </w:p>
        </w:tc>
      </w:tr>
      <w:tr w:rsidR="00EB6C9B" w:rsidRPr="00C73365" w14:paraId="15CC18F6" w14:textId="77777777" w:rsidTr="00C50FC3">
        <w:trPr>
          <w:trHeight w:val="277"/>
        </w:trPr>
        <w:tc>
          <w:tcPr>
            <w:tcW w:w="4627" w:type="dxa"/>
            <w:tcBorders>
              <w:top w:val="nil"/>
              <w:left w:val="nil"/>
              <w:bottom w:val="nil"/>
              <w:right w:val="nil"/>
            </w:tcBorders>
            <w:shd w:val="clear" w:color="auto" w:fill="auto"/>
            <w:noWrap/>
            <w:vAlign w:val="center"/>
            <w:hideMark/>
          </w:tcPr>
          <w:p w14:paraId="1833D04E" w14:textId="77777777"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Provisions</w:t>
            </w:r>
          </w:p>
        </w:tc>
        <w:tc>
          <w:tcPr>
            <w:tcW w:w="949" w:type="dxa"/>
            <w:tcBorders>
              <w:top w:val="nil"/>
              <w:left w:val="nil"/>
              <w:bottom w:val="nil"/>
              <w:right w:val="nil"/>
            </w:tcBorders>
            <w:shd w:val="clear" w:color="auto" w:fill="auto"/>
            <w:noWrap/>
            <w:vAlign w:val="center"/>
            <w:hideMark/>
          </w:tcPr>
          <w:p w14:paraId="16CB0BDE" w14:textId="77777777"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14:paraId="0692FAB9" w14:textId="77777777"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4FA95217" w14:textId="77777777"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2DBF0FC1"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14:paraId="7632561E"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51E65189" w14:textId="77777777"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Provisions pour risques et charges </w:t>
            </w:r>
          </w:p>
        </w:tc>
        <w:tc>
          <w:tcPr>
            <w:tcW w:w="949" w:type="dxa"/>
            <w:tcBorders>
              <w:top w:val="nil"/>
              <w:left w:val="nil"/>
              <w:bottom w:val="single" w:sz="8" w:space="0" w:color="7030A0"/>
              <w:right w:val="nil"/>
            </w:tcBorders>
            <w:shd w:val="clear" w:color="auto" w:fill="auto"/>
            <w:noWrap/>
            <w:vAlign w:val="center"/>
            <w:hideMark/>
          </w:tcPr>
          <w:p w14:paraId="0BD2C924"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w:t>
            </w:r>
          </w:p>
        </w:tc>
        <w:tc>
          <w:tcPr>
            <w:tcW w:w="1252" w:type="dxa"/>
            <w:tcBorders>
              <w:top w:val="nil"/>
              <w:left w:val="nil"/>
              <w:bottom w:val="single" w:sz="8" w:space="0" w:color="7030A0"/>
              <w:right w:val="nil"/>
            </w:tcBorders>
            <w:shd w:val="clear" w:color="auto" w:fill="auto"/>
            <w:vAlign w:val="center"/>
            <w:hideMark/>
          </w:tcPr>
          <w:p w14:paraId="307B31C9"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1252" w:type="dxa"/>
            <w:tcBorders>
              <w:top w:val="nil"/>
              <w:left w:val="nil"/>
              <w:bottom w:val="single" w:sz="8" w:space="0" w:color="7030A0"/>
              <w:right w:val="nil"/>
            </w:tcBorders>
            <w:shd w:val="clear" w:color="auto" w:fill="auto"/>
            <w:vAlign w:val="center"/>
            <w:hideMark/>
          </w:tcPr>
          <w:p w14:paraId="0131BF58"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252" w:type="dxa"/>
            <w:tcBorders>
              <w:top w:val="nil"/>
              <w:left w:val="nil"/>
              <w:bottom w:val="single" w:sz="8" w:space="0" w:color="7030A0"/>
              <w:right w:val="nil"/>
            </w:tcBorders>
            <w:shd w:val="clear" w:color="auto" w:fill="auto"/>
            <w:noWrap/>
            <w:vAlign w:val="center"/>
            <w:hideMark/>
          </w:tcPr>
          <w:p w14:paraId="6C8645D8"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EB6C9B" w:rsidRPr="00C73365" w14:paraId="6758D255"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041EC2CD" w14:textId="77777777"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14:paraId="2B23D65D" w14:textId="77777777"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14:paraId="18E387DA"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w:t>
            </w:r>
          </w:p>
        </w:tc>
        <w:tc>
          <w:tcPr>
            <w:tcW w:w="1252" w:type="dxa"/>
            <w:tcBorders>
              <w:top w:val="nil"/>
              <w:left w:val="nil"/>
              <w:bottom w:val="single" w:sz="8" w:space="0" w:color="7030A0"/>
              <w:right w:val="nil"/>
            </w:tcBorders>
            <w:shd w:val="clear" w:color="auto" w:fill="auto"/>
            <w:noWrap/>
            <w:vAlign w:val="center"/>
            <w:hideMark/>
          </w:tcPr>
          <w:p w14:paraId="6BDF7668"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16</w:t>
            </w:r>
          </w:p>
        </w:tc>
        <w:tc>
          <w:tcPr>
            <w:tcW w:w="1252" w:type="dxa"/>
            <w:tcBorders>
              <w:top w:val="nil"/>
              <w:left w:val="nil"/>
              <w:bottom w:val="single" w:sz="8" w:space="0" w:color="7030A0"/>
              <w:right w:val="nil"/>
            </w:tcBorders>
            <w:shd w:val="clear" w:color="auto" w:fill="auto"/>
            <w:noWrap/>
            <w:vAlign w:val="center"/>
            <w:hideMark/>
          </w:tcPr>
          <w:p w14:paraId="76CE672B"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11</w:t>
            </w:r>
          </w:p>
        </w:tc>
      </w:tr>
      <w:tr w:rsidR="00EB6C9B" w:rsidRPr="00C73365" w14:paraId="4D983635" w14:textId="77777777" w:rsidTr="00C50FC3">
        <w:trPr>
          <w:trHeight w:val="277"/>
        </w:trPr>
        <w:tc>
          <w:tcPr>
            <w:tcW w:w="4627" w:type="dxa"/>
            <w:tcBorders>
              <w:top w:val="nil"/>
              <w:left w:val="nil"/>
              <w:bottom w:val="nil"/>
              <w:right w:val="nil"/>
            </w:tcBorders>
            <w:shd w:val="clear" w:color="auto" w:fill="auto"/>
            <w:noWrap/>
            <w:vAlign w:val="center"/>
            <w:hideMark/>
          </w:tcPr>
          <w:p w14:paraId="5589EE81" w14:textId="77777777"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Dettes</w:t>
            </w:r>
          </w:p>
        </w:tc>
        <w:tc>
          <w:tcPr>
            <w:tcW w:w="949" w:type="dxa"/>
            <w:tcBorders>
              <w:top w:val="nil"/>
              <w:left w:val="nil"/>
              <w:bottom w:val="nil"/>
              <w:right w:val="nil"/>
            </w:tcBorders>
            <w:shd w:val="clear" w:color="auto" w:fill="auto"/>
            <w:noWrap/>
            <w:vAlign w:val="center"/>
            <w:hideMark/>
          </w:tcPr>
          <w:p w14:paraId="278FACB9" w14:textId="77777777"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14:paraId="4DE1F139" w14:textId="77777777"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6FF00480" w14:textId="77777777"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14:paraId="65E998CF" w14:textId="77777777" w:rsidR="00EB6C9B" w:rsidRPr="00C73365" w:rsidRDefault="00EB6C9B"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r>
      <w:tr w:rsidR="00EB6C9B" w:rsidRPr="00C73365" w14:paraId="44528859" w14:textId="77777777" w:rsidTr="00C50FC3">
        <w:trPr>
          <w:trHeight w:val="277"/>
        </w:trPr>
        <w:tc>
          <w:tcPr>
            <w:tcW w:w="4627" w:type="dxa"/>
            <w:tcBorders>
              <w:top w:val="nil"/>
              <w:left w:val="nil"/>
              <w:bottom w:val="nil"/>
              <w:right w:val="nil"/>
            </w:tcBorders>
            <w:shd w:val="clear" w:color="auto" w:fill="auto"/>
            <w:noWrap/>
            <w:vAlign w:val="center"/>
            <w:hideMark/>
          </w:tcPr>
          <w:p w14:paraId="63647681"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Emprunts obligataires convertibles </w:t>
            </w:r>
          </w:p>
        </w:tc>
        <w:tc>
          <w:tcPr>
            <w:tcW w:w="949" w:type="dxa"/>
            <w:tcBorders>
              <w:top w:val="nil"/>
              <w:left w:val="nil"/>
              <w:bottom w:val="nil"/>
              <w:right w:val="nil"/>
            </w:tcBorders>
            <w:shd w:val="clear" w:color="auto" w:fill="auto"/>
            <w:noWrap/>
            <w:vAlign w:val="center"/>
            <w:hideMark/>
          </w:tcPr>
          <w:p w14:paraId="2023183E" w14:textId="77777777"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14:paraId="7D65D325"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92</w:t>
            </w:r>
          </w:p>
        </w:tc>
        <w:tc>
          <w:tcPr>
            <w:tcW w:w="1252" w:type="dxa"/>
            <w:tcBorders>
              <w:top w:val="nil"/>
              <w:left w:val="nil"/>
              <w:bottom w:val="nil"/>
              <w:right w:val="nil"/>
            </w:tcBorders>
            <w:shd w:val="clear" w:color="auto" w:fill="auto"/>
            <w:noWrap/>
            <w:vAlign w:val="center"/>
            <w:hideMark/>
          </w:tcPr>
          <w:p w14:paraId="46621D5D"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61</w:t>
            </w:r>
          </w:p>
        </w:tc>
        <w:tc>
          <w:tcPr>
            <w:tcW w:w="1252" w:type="dxa"/>
            <w:tcBorders>
              <w:top w:val="nil"/>
              <w:left w:val="nil"/>
              <w:bottom w:val="nil"/>
              <w:right w:val="nil"/>
            </w:tcBorders>
            <w:shd w:val="clear" w:color="auto" w:fill="auto"/>
            <w:noWrap/>
            <w:vAlign w:val="center"/>
            <w:hideMark/>
          </w:tcPr>
          <w:p w14:paraId="3D0D5A6B"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31</w:t>
            </w:r>
          </w:p>
        </w:tc>
      </w:tr>
      <w:tr w:rsidR="00EB6C9B" w:rsidRPr="00C73365" w14:paraId="66E59488" w14:textId="77777777" w:rsidTr="00C50FC3">
        <w:trPr>
          <w:trHeight w:val="277"/>
        </w:trPr>
        <w:tc>
          <w:tcPr>
            <w:tcW w:w="4627" w:type="dxa"/>
            <w:tcBorders>
              <w:top w:val="nil"/>
              <w:left w:val="nil"/>
              <w:bottom w:val="nil"/>
              <w:right w:val="nil"/>
            </w:tcBorders>
            <w:shd w:val="clear" w:color="auto" w:fill="auto"/>
            <w:noWrap/>
            <w:vAlign w:val="center"/>
            <w:hideMark/>
          </w:tcPr>
          <w:p w14:paraId="2D459121" w14:textId="77777777"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Emprunts et dettes financières – Autres</w:t>
            </w:r>
          </w:p>
        </w:tc>
        <w:tc>
          <w:tcPr>
            <w:tcW w:w="949" w:type="dxa"/>
            <w:tcBorders>
              <w:top w:val="nil"/>
              <w:left w:val="nil"/>
              <w:bottom w:val="nil"/>
              <w:right w:val="nil"/>
            </w:tcBorders>
            <w:shd w:val="clear" w:color="auto" w:fill="auto"/>
            <w:noWrap/>
            <w:vAlign w:val="center"/>
            <w:hideMark/>
          </w:tcPr>
          <w:p w14:paraId="60DD6DD0"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52" w:type="dxa"/>
            <w:tcBorders>
              <w:top w:val="nil"/>
              <w:left w:val="nil"/>
              <w:bottom w:val="nil"/>
              <w:right w:val="nil"/>
            </w:tcBorders>
            <w:shd w:val="clear" w:color="auto" w:fill="auto"/>
            <w:noWrap/>
            <w:vAlign w:val="center"/>
            <w:hideMark/>
          </w:tcPr>
          <w:p w14:paraId="29CAA1B3"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52" w:type="dxa"/>
            <w:tcBorders>
              <w:top w:val="nil"/>
              <w:left w:val="nil"/>
              <w:bottom w:val="nil"/>
              <w:right w:val="nil"/>
            </w:tcBorders>
            <w:shd w:val="clear" w:color="auto" w:fill="auto"/>
            <w:noWrap/>
            <w:vAlign w:val="center"/>
            <w:hideMark/>
          </w:tcPr>
          <w:p w14:paraId="5DAA2166"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1252" w:type="dxa"/>
            <w:tcBorders>
              <w:top w:val="nil"/>
              <w:left w:val="nil"/>
              <w:bottom w:val="nil"/>
              <w:right w:val="nil"/>
            </w:tcBorders>
            <w:shd w:val="clear" w:color="auto" w:fill="auto"/>
            <w:noWrap/>
            <w:vAlign w:val="center"/>
            <w:hideMark/>
          </w:tcPr>
          <w:p w14:paraId="62D029EF"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r>
      <w:tr w:rsidR="00EB6C9B" w:rsidRPr="00C73365" w14:paraId="188EF9E4" w14:textId="77777777" w:rsidTr="00C50FC3">
        <w:trPr>
          <w:trHeight w:val="277"/>
        </w:trPr>
        <w:tc>
          <w:tcPr>
            <w:tcW w:w="4627" w:type="dxa"/>
            <w:tcBorders>
              <w:top w:val="nil"/>
              <w:left w:val="nil"/>
              <w:bottom w:val="nil"/>
              <w:right w:val="nil"/>
            </w:tcBorders>
            <w:shd w:val="clear" w:color="auto" w:fill="auto"/>
            <w:noWrap/>
            <w:vAlign w:val="center"/>
            <w:hideMark/>
          </w:tcPr>
          <w:p w14:paraId="10801607"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Fournisseurs et comptes rattachés</w:t>
            </w:r>
          </w:p>
        </w:tc>
        <w:tc>
          <w:tcPr>
            <w:tcW w:w="949" w:type="dxa"/>
            <w:tcBorders>
              <w:top w:val="nil"/>
              <w:left w:val="nil"/>
              <w:bottom w:val="nil"/>
              <w:right w:val="nil"/>
            </w:tcBorders>
            <w:shd w:val="clear" w:color="auto" w:fill="auto"/>
            <w:noWrap/>
            <w:vAlign w:val="center"/>
            <w:hideMark/>
          </w:tcPr>
          <w:p w14:paraId="1CD9BE3F"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w:t>
            </w:r>
          </w:p>
        </w:tc>
        <w:tc>
          <w:tcPr>
            <w:tcW w:w="1252" w:type="dxa"/>
            <w:tcBorders>
              <w:top w:val="nil"/>
              <w:left w:val="nil"/>
              <w:bottom w:val="nil"/>
              <w:right w:val="nil"/>
            </w:tcBorders>
            <w:shd w:val="clear" w:color="auto" w:fill="auto"/>
            <w:noWrap/>
            <w:vAlign w:val="center"/>
            <w:hideMark/>
          </w:tcPr>
          <w:p w14:paraId="68643719"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52" w:type="dxa"/>
            <w:tcBorders>
              <w:top w:val="nil"/>
              <w:left w:val="nil"/>
              <w:bottom w:val="nil"/>
              <w:right w:val="nil"/>
            </w:tcBorders>
            <w:shd w:val="clear" w:color="auto" w:fill="auto"/>
            <w:noWrap/>
            <w:vAlign w:val="center"/>
            <w:hideMark/>
          </w:tcPr>
          <w:p w14:paraId="67A2AD78"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2 571</w:t>
            </w:r>
          </w:p>
        </w:tc>
        <w:tc>
          <w:tcPr>
            <w:tcW w:w="1252" w:type="dxa"/>
            <w:tcBorders>
              <w:top w:val="nil"/>
              <w:left w:val="nil"/>
              <w:bottom w:val="nil"/>
              <w:right w:val="nil"/>
            </w:tcBorders>
            <w:shd w:val="clear" w:color="auto" w:fill="auto"/>
            <w:noWrap/>
            <w:vAlign w:val="center"/>
            <w:hideMark/>
          </w:tcPr>
          <w:p w14:paraId="66E5CA4E"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1 647</w:t>
            </w:r>
          </w:p>
        </w:tc>
      </w:tr>
      <w:tr w:rsidR="00EB6C9B" w:rsidRPr="00C73365" w14:paraId="3CE304E8" w14:textId="77777777" w:rsidTr="00C50FC3">
        <w:trPr>
          <w:trHeight w:val="277"/>
        </w:trPr>
        <w:tc>
          <w:tcPr>
            <w:tcW w:w="4627" w:type="dxa"/>
            <w:tcBorders>
              <w:top w:val="nil"/>
              <w:left w:val="nil"/>
              <w:bottom w:val="nil"/>
              <w:right w:val="nil"/>
            </w:tcBorders>
            <w:shd w:val="clear" w:color="auto" w:fill="auto"/>
            <w:noWrap/>
            <w:vAlign w:val="center"/>
            <w:hideMark/>
          </w:tcPr>
          <w:p w14:paraId="4015545A"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Dettes fiscales et sociales</w:t>
            </w:r>
          </w:p>
        </w:tc>
        <w:tc>
          <w:tcPr>
            <w:tcW w:w="949" w:type="dxa"/>
            <w:tcBorders>
              <w:top w:val="nil"/>
              <w:left w:val="nil"/>
              <w:bottom w:val="nil"/>
              <w:right w:val="nil"/>
            </w:tcBorders>
            <w:shd w:val="clear" w:color="auto" w:fill="auto"/>
            <w:noWrap/>
            <w:vAlign w:val="center"/>
            <w:hideMark/>
          </w:tcPr>
          <w:p w14:paraId="0D51E733" w14:textId="77777777"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w:t>
            </w:r>
          </w:p>
        </w:tc>
        <w:tc>
          <w:tcPr>
            <w:tcW w:w="1252" w:type="dxa"/>
            <w:tcBorders>
              <w:top w:val="nil"/>
              <w:left w:val="nil"/>
              <w:bottom w:val="nil"/>
              <w:right w:val="nil"/>
            </w:tcBorders>
            <w:shd w:val="clear" w:color="auto" w:fill="auto"/>
            <w:noWrap/>
            <w:vAlign w:val="center"/>
            <w:hideMark/>
          </w:tcPr>
          <w:p w14:paraId="1A1F5597"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52" w:type="dxa"/>
            <w:tcBorders>
              <w:top w:val="nil"/>
              <w:left w:val="nil"/>
              <w:bottom w:val="nil"/>
              <w:right w:val="nil"/>
            </w:tcBorders>
            <w:shd w:val="clear" w:color="auto" w:fill="auto"/>
            <w:noWrap/>
            <w:vAlign w:val="center"/>
            <w:hideMark/>
          </w:tcPr>
          <w:p w14:paraId="3F232EF6"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974</w:t>
            </w:r>
          </w:p>
        </w:tc>
        <w:tc>
          <w:tcPr>
            <w:tcW w:w="1252" w:type="dxa"/>
            <w:tcBorders>
              <w:top w:val="nil"/>
              <w:left w:val="nil"/>
              <w:bottom w:val="nil"/>
              <w:right w:val="nil"/>
            </w:tcBorders>
            <w:shd w:val="clear" w:color="auto" w:fill="auto"/>
            <w:noWrap/>
            <w:vAlign w:val="center"/>
            <w:hideMark/>
          </w:tcPr>
          <w:p w14:paraId="43CD7A8B"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127</w:t>
            </w:r>
          </w:p>
        </w:tc>
      </w:tr>
      <w:tr w:rsidR="00EB6C9B" w:rsidRPr="00C73365" w14:paraId="0BC5A43C" w14:textId="77777777" w:rsidTr="00C50FC3">
        <w:trPr>
          <w:trHeight w:val="277"/>
        </w:trPr>
        <w:tc>
          <w:tcPr>
            <w:tcW w:w="4627" w:type="dxa"/>
            <w:tcBorders>
              <w:top w:val="nil"/>
              <w:left w:val="nil"/>
              <w:bottom w:val="nil"/>
              <w:right w:val="nil"/>
            </w:tcBorders>
            <w:shd w:val="clear" w:color="auto" w:fill="auto"/>
            <w:noWrap/>
            <w:vAlign w:val="center"/>
            <w:hideMark/>
          </w:tcPr>
          <w:p w14:paraId="6C400D06"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Dettes</w:t>
            </w:r>
          </w:p>
        </w:tc>
        <w:tc>
          <w:tcPr>
            <w:tcW w:w="949" w:type="dxa"/>
            <w:tcBorders>
              <w:top w:val="nil"/>
              <w:left w:val="nil"/>
              <w:bottom w:val="nil"/>
              <w:right w:val="nil"/>
            </w:tcBorders>
            <w:shd w:val="clear" w:color="auto" w:fill="auto"/>
            <w:noWrap/>
            <w:vAlign w:val="center"/>
            <w:hideMark/>
          </w:tcPr>
          <w:p w14:paraId="704089BA" w14:textId="77777777"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14:paraId="76F089CC"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52" w:type="dxa"/>
            <w:tcBorders>
              <w:top w:val="nil"/>
              <w:left w:val="nil"/>
              <w:bottom w:val="nil"/>
              <w:right w:val="nil"/>
            </w:tcBorders>
            <w:shd w:val="clear" w:color="auto" w:fill="auto"/>
            <w:noWrap/>
            <w:vAlign w:val="center"/>
            <w:hideMark/>
          </w:tcPr>
          <w:p w14:paraId="04E3403D"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252" w:type="dxa"/>
            <w:tcBorders>
              <w:top w:val="nil"/>
              <w:left w:val="nil"/>
              <w:bottom w:val="nil"/>
              <w:right w:val="nil"/>
            </w:tcBorders>
            <w:shd w:val="clear" w:color="auto" w:fill="auto"/>
            <w:noWrap/>
            <w:vAlign w:val="center"/>
            <w:hideMark/>
          </w:tcPr>
          <w:p w14:paraId="1D2411A5"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EB6C9B" w:rsidRPr="00C73365" w14:paraId="58D120AB"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383A5B9A"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constatés d’avance</w:t>
            </w:r>
          </w:p>
        </w:tc>
        <w:tc>
          <w:tcPr>
            <w:tcW w:w="949" w:type="dxa"/>
            <w:tcBorders>
              <w:top w:val="nil"/>
              <w:left w:val="nil"/>
              <w:bottom w:val="single" w:sz="8" w:space="0" w:color="7030A0"/>
              <w:right w:val="nil"/>
            </w:tcBorders>
            <w:shd w:val="clear" w:color="auto" w:fill="auto"/>
            <w:noWrap/>
            <w:vAlign w:val="center"/>
            <w:hideMark/>
          </w:tcPr>
          <w:p w14:paraId="31D8F990" w14:textId="77777777"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tcBorders>
              <w:top w:val="nil"/>
              <w:left w:val="nil"/>
              <w:bottom w:val="single" w:sz="8" w:space="0" w:color="7030A0"/>
              <w:right w:val="nil"/>
            </w:tcBorders>
            <w:shd w:val="clear" w:color="auto" w:fill="auto"/>
            <w:vAlign w:val="center"/>
            <w:hideMark/>
          </w:tcPr>
          <w:p w14:paraId="6BEAE240"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2" w:type="dxa"/>
            <w:tcBorders>
              <w:top w:val="nil"/>
              <w:left w:val="nil"/>
              <w:bottom w:val="single" w:sz="8" w:space="0" w:color="7030A0"/>
              <w:right w:val="nil"/>
            </w:tcBorders>
            <w:shd w:val="clear" w:color="auto" w:fill="auto"/>
            <w:vAlign w:val="center"/>
            <w:hideMark/>
          </w:tcPr>
          <w:p w14:paraId="2CF6A265"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2" w:type="dxa"/>
            <w:tcBorders>
              <w:top w:val="nil"/>
              <w:left w:val="nil"/>
              <w:bottom w:val="single" w:sz="8" w:space="0" w:color="7030A0"/>
              <w:right w:val="nil"/>
            </w:tcBorders>
            <w:shd w:val="clear" w:color="auto" w:fill="auto"/>
            <w:noWrap/>
            <w:vAlign w:val="center"/>
            <w:hideMark/>
          </w:tcPr>
          <w:p w14:paraId="0CC0BAF6" w14:textId="77777777"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14:paraId="0D72EA9B"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69DF2DE4" w14:textId="77777777"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14:paraId="31F061A4" w14:textId="77777777"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vAlign w:val="center"/>
            <w:hideMark/>
          </w:tcPr>
          <w:p w14:paraId="6DDE93F0"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5 604</w:t>
            </w:r>
          </w:p>
        </w:tc>
        <w:tc>
          <w:tcPr>
            <w:tcW w:w="1252" w:type="dxa"/>
            <w:tcBorders>
              <w:top w:val="nil"/>
              <w:left w:val="nil"/>
              <w:bottom w:val="single" w:sz="8" w:space="0" w:color="7030A0"/>
              <w:right w:val="nil"/>
            </w:tcBorders>
            <w:shd w:val="clear" w:color="auto" w:fill="auto"/>
            <w:vAlign w:val="center"/>
            <w:hideMark/>
          </w:tcPr>
          <w:p w14:paraId="0EDE4358"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3 863</w:t>
            </w:r>
          </w:p>
        </w:tc>
        <w:tc>
          <w:tcPr>
            <w:tcW w:w="1252" w:type="dxa"/>
            <w:tcBorders>
              <w:top w:val="nil"/>
              <w:left w:val="nil"/>
              <w:bottom w:val="single" w:sz="8" w:space="0" w:color="7030A0"/>
              <w:right w:val="nil"/>
            </w:tcBorders>
            <w:shd w:val="clear" w:color="auto" w:fill="auto"/>
            <w:noWrap/>
            <w:vAlign w:val="center"/>
            <w:hideMark/>
          </w:tcPr>
          <w:p w14:paraId="7FCA42D5" w14:textId="77777777"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1 741</w:t>
            </w:r>
          </w:p>
        </w:tc>
      </w:tr>
      <w:tr w:rsidR="00EB6C9B" w:rsidRPr="00C73365" w14:paraId="203853F6"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0C9EEE4A" w14:textId="77777777" w:rsidR="00EB6C9B" w:rsidRPr="00C73365" w:rsidRDefault="00EB6C9B" w:rsidP="00A96CCA">
            <w:pPr>
              <w:spacing w:after="0"/>
              <w:rPr>
                <w:rFonts w:asciiTheme="minorHAnsi" w:hAnsiTheme="minorHAnsi" w:cstheme="minorHAnsi"/>
                <w:szCs w:val="20"/>
              </w:rPr>
            </w:pPr>
            <w:r w:rsidRPr="00C73365">
              <w:rPr>
                <w:rFonts w:asciiTheme="minorHAnsi" w:hAnsiTheme="minorHAnsi" w:cstheme="minorHAnsi"/>
                <w:szCs w:val="20"/>
              </w:rPr>
              <w:t>Ecart de conversion passif</w:t>
            </w:r>
          </w:p>
        </w:tc>
        <w:tc>
          <w:tcPr>
            <w:tcW w:w="949" w:type="dxa"/>
            <w:tcBorders>
              <w:top w:val="nil"/>
              <w:left w:val="nil"/>
              <w:bottom w:val="single" w:sz="8" w:space="0" w:color="7030A0"/>
              <w:right w:val="nil"/>
            </w:tcBorders>
            <w:shd w:val="clear" w:color="auto" w:fill="auto"/>
            <w:noWrap/>
            <w:vAlign w:val="center"/>
            <w:hideMark/>
          </w:tcPr>
          <w:p w14:paraId="48284647" w14:textId="77777777"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vAlign w:val="center"/>
            <w:hideMark/>
          </w:tcPr>
          <w:p w14:paraId="4C1CF0E0" w14:textId="77777777"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4</w:t>
            </w:r>
          </w:p>
        </w:tc>
        <w:tc>
          <w:tcPr>
            <w:tcW w:w="1252" w:type="dxa"/>
            <w:tcBorders>
              <w:top w:val="nil"/>
              <w:left w:val="nil"/>
              <w:bottom w:val="single" w:sz="8" w:space="0" w:color="7030A0"/>
              <w:right w:val="nil"/>
            </w:tcBorders>
            <w:shd w:val="clear" w:color="auto" w:fill="auto"/>
            <w:vAlign w:val="center"/>
            <w:hideMark/>
          </w:tcPr>
          <w:p w14:paraId="0D51AE79" w14:textId="77777777"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 </w:t>
            </w:r>
          </w:p>
        </w:tc>
        <w:tc>
          <w:tcPr>
            <w:tcW w:w="1252" w:type="dxa"/>
            <w:tcBorders>
              <w:top w:val="nil"/>
              <w:left w:val="nil"/>
              <w:bottom w:val="single" w:sz="8" w:space="0" w:color="7030A0"/>
              <w:right w:val="nil"/>
            </w:tcBorders>
            <w:shd w:val="clear" w:color="auto" w:fill="auto"/>
            <w:noWrap/>
            <w:vAlign w:val="center"/>
            <w:hideMark/>
          </w:tcPr>
          <w:p w14:paraId="119F1D6B" w14:textId="77777777"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4</w:t>
            </w:r>
          </w:p>
        </w:tc>
      </w:tr>
      <w:tr w:rsidR="00EB6C9B" w:rsidRPr="00C73365" w14:paraId="3DB57C0E" w14:textId="77777777" w:rsidTr="00C50FC3">
        <w:trPr>
          <w:trHeight w:val="289"/>
        </w:trPr>
        <w:tc>
          <w:tcPr>
            <w:tcW w:w="4627" w:type="dxa"/>
            <w:tcBorders>
              <w:top w:val="nil"/>
              <w:left w:val="nil"/>
              <w:bottom w:val="single" w:sz="8" w:space="0" w:color="7030A0"/>
              <w:right w:val="nil"/>
            </w:tcBorders>
            <w:shd w:val="clear" w:color="auto" w:fill="auto"/>
            <w:noWrap/>
            <w:vAlign w:val="center"/>
            <w:hideMark/>
          </w:tcPr>
          <w:p w14:paraId="2BF9BFC9" w14:textId="77777777"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 Général</w:t>
            </w:r>
          </w:p>
        </w:tc>
        <w:tc>
          <w:tcPr>
            <w:tcW w:w="949" w:type="dxa"/>
            <w:tcBorders>
              <w:top w:val="nil"/>
              <w:left w:val="nil"/>
              <w:bottom w:val="single" w:sz="8" w:space="0" w:color="7030A0"/>
              <w:right w:val="nil"/>
            </w:tcBorders>
            <w:shd w:val="clear" w:color="auto" w:fill="auto"/>
            <w:noWrap/>
            <w:vAlign w:val="center"/>
            <w:hideMark/>
          </w:tcPr>
          <w:p w14:paraId="273F5D6F" w14:textId="77777777"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52" w:type="dxa"/>
            <w:tcBorders>
              <w:top w:val="nil"/>
              <w:left w:val="nil"/>
              <w:bottom w:val="single" w:sz="8" w:space="0" w:color="7030A0"/>
              <w:right w:val="nil"/>
            </w:tcBorders>
            <w:shd w:val="clear" w:color="auto" w:fill="auto"/>
            <w:noWrap/>
            <w:vAlign w:val="center"/>
            <w:hideMark/>
          </w:tcPr>
          <w:p w14:paraId="44F035E1" w14:textId="77777777"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w:t>
            </w:r>
          </w:p>
        </w:tc>
        <w:tc>
          <w:tcPr>
            <w:tcW w:w="1252" w:type="dxa"/>
            <w:tcBorders>
              <w:top w:val="nil"/>
              <w:left w:val="nil"/>
              <w:bottom w:val="single" w:sz="8" w:space="0" w:color="7030A0"/>
              <w:right w:val="nil"/>
            </w:tcBorders>
            <w:shd w:val="clear" w:color="auto" w:fill="auto"/>
            <w:noWrap/>
            <w:vAlign w:val="center"/>
            <w:hideMark/>
          </w:tcPr>
          <w:p w14:paraId="4E4FC850" w14:textId="77777777"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60 597</w:t>
            </w:r>
          </w:p>
        </w:tc>
        <w:tc>
          <w:tcPr>
            <w:tcW w:w="1252" w:type="dxa"/>
            <w:tcBorders>
              <w:top w:val="nil"/>
              <w:left w:val="nil"/>
              <w:bottom w:val="single" w:sz="8" w:space="0" w:color="7030A0"/>
              <w:right w:val="nil"/>
            </w:tcBorders>
            <w:shd w:val="clear" w:color="auto" w:fill="auto"/>
            <w:noWrap/>
            <w:vAlign w:val="center"/>
            <w:hideMark/>
          </w:tcPr>
          <w:p w14:paraId="65C47B27" w14:textId="77777777"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-6 782</w:t>
            </w:r>
          </w:p>
        </w:tc>
      </w:tr>
    </w:tbl>
    <w:p w14:paraId="76650CB5" w14:textId="77777777" w:rsidR="00F46C7B" w:rsidRPr="00C73365" w:rsidRDefault="00F46C7B" w:rsidP="004572A0">
      <w:pPr>
        <w:pStyle w:val="Lgende"/>
        <w:rPr>
          <w:rFonts w:asciiTheme="minorHAnsi" w:hAnsiTheme="minorHAnsi" w:cstheme="minorHAnsi"/>
          <w:lang w:val="fr-FR"/>
        </w:rPr>
      </w:pPr>
      <w:r w:rsidRPr="00C73365">
        <w:rPr>
          <w:rFonts w:asciiTheme="minorHAnsi" w:hAnsiTheme="minorHAnsi" w:cstheme="minorHAnsi"/>
          <w:lang w:val="fr-FR"/>
        </w:rPr>
        <w:lastRenderedPageBreak/>
        <w:t>Compte de résultat</w:t>
      </w:r>
    </w:p>
    <w:p w14:paraId="1DA583FA" w14:textId="77777777" w:rsidR="00EB6C9B" w:rsidRPr="00C73365" w:rsidRDefault="00EB6C9B" w:rsidP="00A96CCA">
      <w:pPr>
        <w:spacing w:after="0"/>
        <w:rPr>
          <w:rFonts w:asciiTheme="minorHAnsi" w:hAnsiTheme="minorHAnsi" w:cstheme="minorHAnsi"/>
          <w:b/>
          <w:color w:val="7030A0"/>
          <w:lang w:val="fr-FR"/>
        </w:rPr>
      </w:pPr>
    </w:p>
    <w:tbl>
      <w:tblPr>
        <w:tblW w:w="9040" w:type="dxa"/>
        <w:tblLook w:val="04A0" w:firstRow="1" w:lastRow="0" w:firstColumn="1" w:lastColumn="0" w:noHBand="0" w:noVBand="1"/>
      </w:tblPr>
      <w:tblGrid>
        <w:gridCol w:w="4580"/>
        <w:gridCol w:w="881"/>
        <w:gridCol w:w="1240"/>
        <w:gridCol w:w="1199"/>
        <w:gridCol w:w="1140"/>
      </w:tblGrid>
      <w:tr w:rsidR="00A46927" w:rsidRPr="00C73365" w14:paraId="310DA9EB" w14:textId="77777777" w:rsidTr="00A46927">
        <w:trPr>
          <w:trHeight w:val="300"/>
        </w:trPr>
        <w:tc>
          <w:tcPr>
            <w:tcW w:w="4580" w:type="dxa"/>
            <w:tcBorders>
              <w:top w:val="single" w:sz="12" w:space="0" w:color="7030A0"/>
              <w:left w:val="nil"/>
              <w:bottom w:val="nil"/>
              <w:right w:val="nil"/>
            </w:tcBorders>
            <w:shd w:val="clear" w:color="auto" w:fill="auto"/>
            <w:vAlign w:val="center"/>
            <w:hideMark/>
          </w:tcPr>
          <w:p w14:paraId="71C4C9FC" w14:textId="77777777" w:rsidR="00A46927" w:rsidRPr="00C73365" w:rsidRDefault="00A46927"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940" w:type="dxa"/>
            <w:vMerge w:val="restart"/>
            <w:tcBorders>
              <w:top w:val="single" w:sz="12" w:space="0" w:color="7030A0"/>
              <w:left w:val="nil"/>
              <w:bottom w:val="single" w:sz="8" w:space="0" w:color="7030A0"/>
              <w:right w:val="nil"/>
            </w:tcBorders>
            <w:shd w:val="clear" w:color="auto" w:fill="auto"/>
            <w:vAlign w:val="center"/>
            <w:hideMark/>
          </w:tcPr>
          <w:p w14:paraId="2585C348" w14:textId="77777777" w:rsidR="00A46927" w:rsidRPr="00C73365" w:rsidRDefault="00A46927"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Note</w:t>
            </w:r>
          </w:p>
        </w:tc>
        <w:tc>
          <w:tcPr>
            <w:tcW w:w="1240" w:type="dxa"/>
            <w:vMerge w:val="restart"/>
            <w:tcBorders>
              <w:top w:val="single" w:sz="12" w:space="0" w:color="7030A0"/>
              <w:left w:val="nil"/>
              <w:bottom w:val="single" w:sz="8" w:space="0" w:color="7030A0"/>
              <w:right w:val="nil"/>
            </w:tcBorders>
            <w:shd w:val="clear" w:color="auto" w:fill="auto"/>
            <w:vAlign w:val="center"/>
            <w:hideMark/>
          </w:tcPr>
          <w:p w14:paraId="17A16904" w14:textId="77777777"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140" w:type="dxa"/>
            <w:vMerge w:val="restart"/>
            <w:tcBorders>
              <w:top w:val="single" w:sz="12" w:space="0" w:color="7030A0"/>
              <w:left w:val="nil"/>
              <w:bottom w:val="single" w:sz="8" w:space="0" w:color="7030A0"/>
              <w:right w:val="nil"/>
            </w:tcBorders>
            <w:shd w:val="clear" w:color="auto" w:fill="auto"/>
            <w:vAlign w:val="center"/>
            <w:hideMark/>
          </w:tcPr>
          <w:p w14:paraId="26467959" w14:textId="77777777"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140" w:type="dxa"/>
            <w:vMerge w:val="restart"/>
            <w:tcBorders>
              <w:top w:val="single" w:sz="12" w:space="0" w:color="7030A0"/>
              <w:left w:val="nil"/>
              <w:bottom w:val="single" w:sz="8" w:space="0" w:color="7030A0"/>
              <w:right w:val="nil"/>
            </w:tcBorders>
            <w:shd w:val="clear" w:color="auto" w:fill="auto"/>
            <w:vAlign w:val="center"/>
            <w:hideMark/>
          </w:tcPr>
          <w:p w14:paraId="78AA1C54" w14:textId="77777777"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A46927" w:rsidRPr="00C73365" w14:paraId="50BCB97E" w14:textId="77777777" w:rsidTr="00A46927">
        <w:trPr>
          <w:trHeight w:val="300"/>
        </w:trPr>
        <w:tc>
          <w:tcPr>
            <w:tcW w:w="4580" w:type="dxa"/>
            <w:tcBorders>
              <w:top w:val="nil"/>
              <w:left w:val="nil"/>
              <w:bottom w:val="single" w:sz="8" w:space="0" w:color="7030A0"/>
              <w:right w:val="nil"/>
            </w:tcBorders>
            <w:shd w:val="clear" w:color="auto" w:fill="auto"/>
            <w:vAlign w:val="center"/>
            <w:hideMark/>
          </w:tcPr>
          <w:p w14:paraId="743C6952" w14:textId="77777777"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0" w:type="dxa"/>
            <w:vMerge/>
            <w:tcBorders>
              <w:top w:val="single" w:sz="12" w:space="0" w:color="7030A0"/>
              <w:left w:val="nil"/>
              <w:bottom w:val="single" w:sz="8" w:space="0" w:color="7030A0"/>
              <w:right w:val="nil"/>
            </w:tcBorders>
            <w:vAlign w:val="center"/>
            <w:hideMark/>
          </w:tcPr>
          <w:p w14:paraId="4CA15D88" w14:textId="77777777" w:rsidR="00A46927" w:rsidRPr="00C73365" w:rsidRDefault="00A46927"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14:paraId="658E163A" w14:textId="77777777" w:rsidR="00A46927" w:rsidRPr="00C73365" w:rsidRDefault="00A46927" w:rsidP="00A96CCA">
            <w:pPr>
              <w:spacing w:after="0"/>
              <w:rPr>
                <w:rFonts w:asciiTheme="minorHAnsi" w:hAnsiTheme="minorHAnsi" w:cstheme="minorHAnsi"/>
                <w:b/>
                <w:bCs/>
                <w:color w:val="7030A0"/>
                <w:szCs w:val="20"/>
              </w:rPr>
            </w:pPr>
          </w:p>
        </w:tc>
        <w:tc>
          <w:tcPr>
            <w:tcW w:w="1140" w:type="dxa"/>
            <w:vMerge/>
            <w:tcBorders>
              <w:top w:val="single" w:sz="12" w:space="0" w:color="7030A0"/>
              <w:left w:val="nil"/>
              <w:bottom w:val="single" w:sz="8" w:space="0" w:color="7030A0"/>
              <w:right w:val="nil"/>
            </w:tcBorders>
            <w:vAlign w:val="center"/>
            <w:hideMark/>
          </w:tcPr>
          <w:p w14:paraId="16F79786" w14:textId="77777777" w:rsidR="00A46927" w:rsidRPr="00C73365" w:rsidRDefault="00A46927" w:rsidP="00A96CCA">
            <w:pPr>
              <w:spacing w:after="0"/>
              <w:rPr>
                <w:rFonts w:asciiTheme="minorHAnsi" w:hAnsiTheme="minorHAnsi" w:cstheme="minorHAnsi"/>
                <w:b/>
                <w:bCs/>
                <w:color w:val="000000"/>
                <w:szCs w:val="20"/>
              </w:rPr>
            </w:pPr>
          </w:p>
        </w:tc>
        <w:tc>
          <w:tcPr>
            <w:tcW w:w="1140" w:type="dxa"/>
            <w:vMerge/>
            <w:tcBorders>
              <w:top w:val="single" w:sz="12" w:space="0" w:color="7030A0"/>
              <w:left w:val="nil"/>
              <w:bottom w:val="single" w:sz="8" w:space="0" w:color="7030A0"/>
              <w:right w:val="nil"/>
            </w:tcBorders>
            <w:vAlign w:val="center"/>
            <w:hideMark/>
          </w:tcPr>
          <w:p w14:paraId="337CAB19" w14:textId="77777777" w:rsidR="00A46927" w:rsidRPr="00C73365" w:rsidRDefault="00A46927" w:rsidP="00A96CCA">
            <w:pPr>
              <w:spacing w:after="0"/>
              <w:rPr>
                <w:rFonts w:asciiTheme="minorHAnsi" w:hAnsiTheme="minorHAnsi" w:cstheme="minorHAnsi"/>
                <w:b/>
                <w:bCs/>
                <w:color w:val="000000"/>
                <w:szCs w:val="20"/>
              </w:rPr>
            </w:pPr>
          </w:p>
        </w:tc>
      </w:tr>
      <w:tr w:rsidR="00A46927" w:rsidRPr="00C73365" w14:paraId="0EDF8BD6" w14:textId="77777777" w:rsidTr="00A46927">
        <w:trPr>
          <w:trHeight w:val="288"/>
        </w:trPr>
        <w:tc>
          <w:tcPr>
            <w:tcW w:w="4580" w:type="dxa"/>
            <w:tcBorders>
              <w:top w:val="nil"/>
              <w:left w:val="nil"/>
              <w:bottom w:val="nil"/>
              <w:right w:val="nil"/>
            </w:tcBorders>
            <w:shd w:val="clear" w:color="auto" w:fill="auto"/>
            <w:noWrap/>
            <w:vAlign w:val="center"/>
            <w:hideMark/>
          </w:tcPr>
          <w:p w14:paraId="732507B0" w14:textId="77777777" w:rsidR="00A46927" w:rsidRPr="00C73365" w:rsidRDefault="00A46927"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Produits d</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exploitation</w:t>
            </w:r>
          </w:p>
        </w:tc>
        <w:tc>
          <w:tcPr>
            <w:tcW w:w="940" w:type="dxa"/>
            <w:tcBorders>
              <w:top w:val="nil"/>
              <w:left w:val="nil"/>
              <w:bottom w:val="nil"/>
              <w:right w:val="nil"/>
            </w:tcBorders>
            <w:shd w:val="clear" w:color="auto" w:fill="auto"/>
            <w:vAlign w:val="center"/>
            <w:hideMark/>
          </w:tcPr>
          <w:p w14:paraId="6EA4E0DF" w14:textId="77777777" w:rsidR="00A46927" w:rsidRPr="00C73365" w:rsidRDefault="00A46927" w:rsidP="00A96CCA">
            <w:pPr>
              <w:spacing w:after="0"/>
              <w:rPr>
                <w:rFonts w:asciiTheme="minorHAnsi" w:hAnsiTheme="minorHAnsi" w:cstheme="minorHAnsi"/>
                <w:b/>
                <w:bCs/>
                <w:color w:val="000000"/>
                <w:szCs w:val="20"/>
              </w:rPr>
            </w:pPr>
          </w:p>
        </w:tc>
        <w:tc>
          <w:tcPr>
            <w:tcW w:w="1240" w:type="dxa"/>
            <w:tcBorders>
              <w:top w:val="nil"/>
              <w:left w:val="nil"/>
              <w:bottom w:val="nil"/>
              <w:right w:val="nil"/>
            </w:tcBorders>
            <w:shd w:val="clear" w:color="auto" w:fill="auto"/>
            <w:noWrap/>
            <w:vAlign w:val="center"/>
            <w:hideMark/>
          </w:tcPr>
          <w:p w14:paraId="4653C79E" w14:textId="77777777"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357</w:t>
            </w:r>
          </w:p>
        </w:tc>
        <w:tc>
          <w:tcPr>
            <w:tcW w:w="1140" w:type="dxa"/>
            <w:tcBorders>
              <w:top w:val="nil"/>
              <w:left w:val="nil"/>
              <w:bottom w:val="nil"/>
              <w:right w:val="nil"/>
            </w:tcBorders>
            <w:shd w:val="clear" w:color="auto" w:fill="auto"/>
            <w:noWrap/>
            <w:vAlign w:val="center"/>
            <w:hideMark/>
          </w:tcPr>
          <w:p w14:paraId="171DD4F0" w14:textId="77777777"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151</w:t>
            </w:r>
          </w:p>
        </w:tc>
        <w:tc>
          <w:tcPr>
            <w:tcW w:w="1140" w:type="dxa"/>
            <w:tcBorders>
              <w:top w:val="nil"/>
              <w:left w:val="nil"/>
              <w:bottom w:val="nil"/>
              <w:right w:val="nil"/>
            </w:tcBorders>
            <w:shd w:val="clear" w:color="auto" w:fill="auto"/>
            <w:noWrap/>
            <w:vAlign w:val="center"/>
            <w:hideMark/>
          </w:tcPr>
          <w:p w14:paraId="6E7EBB2C" w14:textId="77777777"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206</w:t>
            </w:r>
          </w:p>
        </w:tc>
      </w:tr>
      <w:tr w:rsidR="00A46927" w:rsidRPr="00C73365" w14:paraId="50DB086A" w14:textId="77777777" w:rsidTr="00A46927">
        <w:trPr>
          <w:trHeight w:val="288"/>
        </w:trPr>
        <w:tc>
          <w:tcPr>
            <w:tcW w:w="4580" w:type="dxa"/>
            <w:tcBorders>
              <w:top w:val="nil"/>
              <w:left w:val="nil"/>
              <w:bottom w:val="nil"/>
              <w:right w:val="nil"/>
            </w:tcBorders>
            <w:shd w:val="clear" w:color="auto" w:fill="auto"/>
            <w:noWrap/>
            <w:vAlign w:val="center"/>
            <w:hideMark/>
          </w:tcPr>
          <w:p w14:paraId="3104462B" w14:textId="77777777"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Production vendue</w:t>
            </w:r>
          </w:p>
        </w:tc>
        <w:tc>
          <w:tcPr>
            <w:tcW w:w="940" w:type="dxa"/>
            <w:tcBorders>
              <w:top w:val="nil"/>
              <w:left w:val="nil"/>
              <w:bottom w:val="nil"/>
              <w:right w:val="nil"/>
            </w:tcBorders>
            <w:shd w:val="clear" w:color="auto" w:fill="auto"/>
            <w:vAlign w:val="center"/>
            <w:hideMark/>
          </w:tcPr>
          <w:p w14:paraId="0C04A6A8" w14:textId="77777777"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14:paraId="297A3600" w14:textId="77777777" w:rsidR="00A46927" w:rsidRPr="00C73365" w:rsidRDefault="00A46927" w:rsidP="00A96CCA">
            <w:pPr>
              <w:spacing w:after="0"/>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14:paraId="507675F7" w14:textId="77777777" w:rsidR="00A46927" w:rsidRPr="00C73365" w:rsidRDefault="00A46927" w:rsidP="00A96CCA">
            <w:pPr>
              <w:spacing w:after="0"/>
              <w:jc w:val="right"/>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14:paraId="6B986802"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A46927" w:rsidRPr="00C73365" w14:paraId="55EEBA19" w14:textId="77777777" w:rsidTr="00A46927">
        <w:trPr>
          <w:trHeight w:val="288"/>
        </w:trPr>
        <w:tc>
          <w:tcPr>
            <w:tcW w:w="4580" w:type="dxa"/>
            <w:tcBorders>
              <w:top w:val="nil"/>
              <w:left w:val="nil"/>
              <w:bottom w:val="nil"/>
              <w:right w:val="nil"/>
            </w:tcBorders>
            <w:shd w:val="clear" w:color="auto" w:fill="auto"/>
            <w:noWrap/>
            <w:vAlign w:val="center"/>
            <w:hideMark/>
          </w:tcPr>
          <w:p w14:paraId="7DDEB5BA" w14:textId="77777777"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Subventions d’exploitation</w:t>
            </w:r>
          </w:p>
        </w:tc>
        <w:tc>
          <w:tcPr>
            <w:tcW w:w="940" w:type="dxa"/>
            <w:tcBorders>
              <w:top w:val="nil"/>
              <w:left w:val="nil"/>
              <w:bottom w:val="nil"/>
              <w:right w:val="nil"/>
            </w:tcBorders>
            <w:shd w:val="clear" w:color="auto" w:fill="auto"/>
            <w:vAlign w:val="center"/>
            <w:hideMark/>
          </w:tcPr>
          <w:p w14:paraId="63EE9E00" w14:textId="77777777"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40" w:type="dxa"/>
            <w:tcBorders>
              <w:top w:val="nil"/>
              <w:left w:val="nil"/>
              <w:bottom w:val="nil"/>
              <w:right w:val="nil"/>
            </w:tcBorders>
            <w:shd w:val="clear" w:color="auto" w:fill="auto"/>
            <w:noWrap/>
            <w:vAlign w:val="center"/>
            <w:hideMark/>
          </w:tcPr>
          <w:p w14:paraId="54304289" w14:textId="77777777" w:rsidR="00A46927" w:rsidRPr="00C73365" w:rsidRDefault="00A46927" w:rsidP="00A96CCA">
            <w:pPr>
              <w:spacing w:after="0"/>
              <w:jc w:val="center"/>
              <w:rPr>
                <w:rFonts w:asciiTheme="minorHAnsi" w:hAnsiTheme="minorHAnsi" w:cstheme="minorHAnsi"/>
                <w:color w:val="000000"/>
                <w:szCs w:val="20"/>
              </w:rPr>
            </w:pPr>
          </w:p>
        </w:tc>
        <w:tc>
          <w:tcPr>
            <w:tcW w:w="1140" w:type="dxa"/>
            <w:tcBorders>
              <w:top w:val="nil"/>
              <w:left w:val="nil"/>
              <w:bottom w:val="nil"/>
              <w:right w:val="nil"/>
            </w:tcBorders>
            <w:shd w:val="clear" w:color="auto" w:fill="auto"/>
            <w:noWrap/>
            <w:vAlign w:val="center"/>
            <w:hideMark/>
          </w:tcPr>
          <w:p w14:paraId="5A75681F" w14:textId="77777777" w:rsidR="00A46927" w:rsidRPr="00C73365" w:rsidRDefault="00A46927" w:rsidP="00A96CCA">
            <w:pPr>
              <w:spacing w:after="0"/>
              <w:jc w:val="right"/>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14:paraId="65284BBF"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A46927" w:rsidRPr="00C73365" w14:paraId="78FAE9C5" w14:textId="77777777" w:rsidTr="00A46927">
        <w:trPr>
          <w:trHeight w:val="288"/>
        </w:trPr>
        <w:tc>
          <w:tcPr>
            <w:tcW w:w="4580" w:type="dxa"/>
            <w:tcBorders>
              <w:top w:val="nil"/>
              <w:left w:val="nil"/>
              <w:bottom w:val="nil"/>
              <w:right w:val="nil"/>
            </w:tcBorders>
            <w:shd w:val="clear" w:color="auto" w:fill="auto"/>
            <w:noWrap/>
            <w:vAlign w:val="center"/>
            <w:hideMark/>
          </w:tcPr>
          <w:p w14:paraId="42663782" w14:textId="77777777"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produits</w:t>
            </w:r>
          </w:p>
        </w:tc>
        <w:tc>
          <w:tcPr>
            <w:tcW w:w="940" w:type="dxa"/>
            <w:tcBorders>
              <w:top w:val="nil"/>
              <w:left w:val="nil"/>
              <w:bottom w:val="nil"/>
              <w:right w:val="nil"/>
            </w:tcBorders>
            <w:shd w:val="clear" w:color="auto" w:fill="auto"/>
            <w:vAlign w:val="center"/>
            <w:hideMark/>
          </w:tcPr>
          <w:p w14:paraId="666C5BAD" w14:textId="77777777"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14:paraId="6605F9CD"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357</w:t>
            </w:r>
          </w:p>
        </w:tc>
        <w:tc>
          <w:tcPr>
            <w:tcW w:w="1140" w:type="dxa"/>
            <w:tcBorders>
              <w:top w:val="nil"/>
              <w:left w:val="nil"/>
              <w:bottom w:val="nil"/>
              <w:right w:val="nil"/>
            </w:tcBorders>
            <w:shd w:val="clear" w:color="auto" w:fill="auto"/>
            <w:noWrap/>
            <w:vAlign w:val="center"/>
            <w:hideMark/>
          </w:tcPr>
          <w:p w14:paraId="0E4D1447"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151</w:t>
            </w:r>
          </w:p>
        </w:tc>
        <w:tc>
          <w:tcPr>
            <w:tcW w:w="1140" w:type="dxa"/>
            <w:tcBorders>
              <w:top w:val="nil"/>
              <w:left w:val="nil"/>
              <w:bottom w:val="nil"/>
              <w:right w:val="nil"/>
            </w:tcBorders>
            <w:shd w:val="clear" w:color="auto" w:fill="auto"/>
            <w:noWrap/>
            <w:vAlign w:val="center"/>
            <w:hideMark/>
          </w:tcPr>
          <w:p w14:paraId="3E0FA35D"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206</w:t>
            </w:r>
          </w:p>
        </w:tc>
      </w:tr>
      <w:tr w:rsidR="00A46927" w:rsidRPr="00C73365" w14:paraId="22E00022" w14:textId="77777777" w:rsidTr="00A46927">
        <w:trPr>
          <w:trHeight w:val="288"/>
        </w:trPr>
        <w:tc>
          <w:tcPr>
            <w:tcW w:w="4580" w:type="dxa"/>
            <w:tcBorders>
              <w:top w:val="nil"/>
              <w:left w:val="nil"/>
              <w:bottom w:val="nil"/>
              <w:right w:val="nil"/>
            </w:tcBorders>
            <w:shd w:val="clear" w:color="auto" w:fill="auto"/>
            <w:noWrap/>
            <w:vAlign w:val="center"/>
            <w:hideMark/>
          </w:tcPr>
          <w:p w14:paraId="4CE7133E" w14:textId="77777777" w:rsidR="00A46927" w:rsidRPr="00C73365" w:rsidRDefault="00A46927"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Charges d</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exploitation</w:t>
            </w:r>
          </w:p>
        </w:tc>
        <w:tc>
          <w:tcPr>
            <w:tcW w:w="940" w:type="dxa"/>
            <w:tcBorders>
              <w:top w:val="nil"/>
              <w:left w:val="nil"/>
              <w:bottom w:val="nil"/>
              <w:right w:val="nil"/>
            </w:tcBorders>
            <w:shd w:val="clear" w:color="auto" w:fill="auto"/>
            <w:vAlign w:val="center"/>
            <w:hideMark/>
          </w:tcPr>
          <w:p w14:paraId="57DA01EC" w14:textId="77777777" w:rsidR="00A46927" w:rsidRPr="00C73365" w:rsidRDefault="00A46927" w:rsidP="00A96CCA">
            <w:pPr>
              <w:spacing w:after="0"/>
              <w:rPr>
                <w:rFonts w:asciiTheme="minorHAnsi" w:hAnsiTheme="minorHAnsi" w:cstheme="minorHAnsi"/>
                <w:b/>
                <w:bCs/>
                <w:color w:val="000000"/>
                <w:szCs w:val="20"/>
              </w:rPr>
            </w:pPr>
          </w:p>
        </w:tc>
        <w:tc>
          <w:tcPr>
            <w:tcW w:w="1240" w:type="dxa"/>
            <w:tcBorders>
              <w:top w:val="nil"/>
              <w:left w:val="nil"/>
              <w:bottom w:val="nil"/>
              <w:right w:val="nil"/>
            </w:tcBorders>
            <w:shd w:val="clear" w:color="auto" w:fill="auto"/>
            <w:noWrap/>
            <w:vAlign w:val="center"/>
            <w:hideMark/>
          </w:tcPr>
          <w:p w14:paraId="618890C0" w14:textId="77777777"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14 507</w:t>
            </w:r>
          </w:p>
        </w:tc>
        <w:tc>
          <w:tcPr>
            <w:tcW w:w="1140" w:type="dxa"/>
            <w:tcBorders>
              <w:top w:val="nil"/>
              <w:left w:val="nil"/>
              <w:bottom w:val="nil"/>
              <w:right w:val="nil"/>
            </w:tcBorders>
            <w:shd w:val="clear" w:color="auto" w:fill="auto"/>
            <w:noWrap/>
            <w:vAlign w:val="center"/>
            <w:hideMark/>
          </w:tcPr>
          <w:p w14:paraId="4F2603AB" w14:textId="77777777"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18 387</w:t>
            </w:r>
          </w:p>
        </w:tc>
        <w:tc>
          <w:tcPr>
            <w:tcW w:w="1140" w:type="dxa"/>
            <w:tcBorders>
              <w:top w:val="nil"/>
              <w:left w:val="nil"/>
              <w:bottom w:val="nil"/>
              <w:right w:val="nil"/>
            </w:tcBorders>
            <w:shd w:val="clear" w:color="auto" w:fill="auto"/>
            <w:noWrap/>
            <w:vAlign w:val="center"/>
            <w:hideMark/>
          </w:tcPr>
          <w:p w14:paraId="0067A2DF" w14:textId="77777777"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-3 880</w:t>
            </w:r>
          </w:p>
        </w:tc>
      </w:tr>
      <w:tr w:rsidR="00A46927" w:rsidRPr="00C73365" w14:paraId="4571D2ED" w14:textId="77777777" w:rsidTr="00A46927">
        <w:trPr>
          <w:trHeight w:val="288"/>
        </w:trPr>
        <w:tc>
          <w:tcPr>
            <w:tcW w:w="4580" w:type="dxa"/>
            <w:tcBorders>
              <w:top w:val="nil"/>
              <w:left w:val="nil"/>
              <w:bottom w:val="nil"/>
              <w:right w:val="nil"/>
            </w:tcBorders>
            <w:shd w:val="clear" w:color="auto" w:fill="auto"/>
            <w:noWrap/>
            <w:vAlign w:val="center"/>
            <w:hideMark/>
          </w:tcPr>
          <w:p w14:paraId="0671D7E5" w14:textId="77777777"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Achats de matières premières et approvisionnements</w:t>
            </w:r>
          </w:p>
        </w:tc>
        <w:tc>
          <w:tcPr>
            <w:tcW w:w="940" w:type="dxa"/>
            <w:tcBorders>
              <w:top w:val="nil"/>
              <w:left w:val="nil"/>
              <w:bottom w:val="nil"/>
              <w:right w:val="nil"/>
            </w:tcBorders>
            <w:shd w:val="clear" w:color="auto" w:fill="auto"/>
            <w:vAlign w:val="center"/>
            <w:hideMark/>
          </w:tcPr>
          <w:p w14:paraId="58742F40" w14:textId="77777777" w:rsidR="00A46927" w:rsidRPr="00C73365" w:rsidRDefault="00A46927"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center"/>
            <w:hideMark/>
          </w:tcPr>
          <w:p w14:paraId="7C4599E4"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140" w:type="dxa"/>
            <w:tcBorders>
              <w:top w:val="nil"/>
              <w:left w:val="nil"/>
              <w:bottom w:val="nil"/>
              <w:right w:val="nil"/>
            </w:tcBorders>
            <w:shd w:val="clear" w:color="auto" w:fill="auto"/>
            <w:noWrap/>
            <w:vAlign w:val="center"/>
            <w:hideMark/>
          </w:tcPr>
          <w:p w14:paraId="152DB265"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46</w:t>
            </w:r>
          </w:p>
        </w:tc>
        <w:tc>
          <w:tcPr>
            <w:tcW w:w="1140" w:type="dxa"/>
            <w:tcBorders>
              <w:top w:val="nil"/>
              <w:left w:val="nil"/>
              <w:bottom w:val="nil"/>
              <w:right w:val="nil"/>
            </w:tcBorders>
            <w:shd w:val="clear" w:color="auto" w:fill="auto"/>
            <w:noWrap/>
            <w:vAlign w:val="center"/>
            <w:hideMark/>
          </w:tcPr>
          <w:p w14:paraId="15219C31"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w:t>
            </w:r>
          </w:p>
        </w:tc>
      </w:tr>
      <w:tr w:rsidR="00A46927" w:rsidRPr="00C73365" w14:paraId="0DA3972D" w14:textId="77777777" w:rsidTr="00A46927">
        <w:trPr>
          <w:trHeight w:val="288"/>
        </w:trPr>
        <w:tc>
          <w:tcPr>
            <w:tcW w:w="4580" w:type="dxa"/>
            <w:tcBorders>
              <w:top w:val="nil"/>
              <w:left w:val="nil"/>
              <w:bottom w:val="nil"/>
              <w:right w:val="nil"/>
            </w:tcBorders>
            <w:shd w:val="clear" w:color="auto" w:fill="auto"/>
            <w:noWrap/>
            <w:vAlign w:val="center"/>
            <w:hideMark/>
          </w:tcPr>
          <w:p w14:paraId="3AB5A0BF" w14:textId="77777777"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achats et charges externes</w:t>
            </w:r>
          </w:p>
        </w:tc>
        <w:tc>
          <w:tcPr>
            <w:tcW w:w="940" w:type="dxa"/>
            <w:tcBorders>
              <w:top w:val="nil"/>
              <w:left w:val="nil"/>
              <w:bottom w:val="nil"/>
              <w:right w:val="nil"/>
            </w:tcBorders>
            <w:shd w:val="clear" w:color="auto" w:fill="auto"/>
            <w:vAlign w:val="center"/>
            <w:hideMark/>
          </w:tcPr>
          <w:p w14:paraId="64E48046" w14:textId="77777777"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auto" w:fill="auto"/>
            <w:noWrap/>
            <w:vAlign w:val="center"/>
            <w:hideMark/>
          </w:tcPr>
          <w:p w14:paraId="2D19E2CF"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10 456</w:t>
            </w:r>
          </w:p>
        </w:tc>
        <w:tc>
          <w:tcPr>
            <w:tcW w:w="1140" w:type="dxa"/>
            <w:tcBorders>
              <w:top w:val="nil"/>
              <w:left w:val="nil"/>
              <w:bottom w:val="nil"/>
              <w:right w:val="nil"/>
            </w:tcBorders>
            <w:shd w:val="clear" w:color="auto" w:fill="auto"/>
            <w:noWrap/>
            <w:vAlign w:val="center"/>
            <w:hideMark/>
          </w:tcPr>
          <w:p w14:paraId="551EEFD2"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14 599</w:t>
            </w:r>
          </w:p>
        </w:tc>
        <w:tc>
          <w:tcPr>
            <w:tcW w:w="1140" w:type="dxa"/>
            <w:tcBorders>
              <w:top w:val="nil"/>
              <w:left w:val="nil"/>
              <w:bottom w:val="nil"/>
              <w:right w:val="nil"/>
            </w:tcBorders>
            <w:shd w:val="clear" w:color="auto" w:fill="auto"/>
            <w:noWrap/>
            <w:vAlign w:val="center"/>
            <w:hideMark/>
          </w:tcPr>
          <w:p w14:paraId="1EE33637"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-4 143</w:t>
            </w:r>
          </w:p>
        </w:tc>
      </w:tr>
      <w:tr w:rsidR="00A46927" w:rsidRPr="00C73365" w14:paraId="1CC6B458" w14:textId="77777777" w:rsidTr="00A46927">
        <w:trPr>
          <w:trHeight w:val="288"/>
        </w:trPr>
        <w:tc>
          <w:tcPr>
            <w:tcW w:w="4580" w:type="dxa"/>
            <w:tcBorders>
              <w:top w:val="nil"/>
              <w:left w:val="nil"/>
              <w:bottom w:val="nil"/>
              <w:right w:val="nil"/>
            </w:tcBorders>
            <w:shd w:val="clear" w:color="auto" w:fill="auto"/>
            <w:noWrap/>
            <w:vAlign w:val="center"/>
            <w:hideMark/>
          </w:tcPr>
          <w:p w14:paraId="57EB5FDB" w14:textId="77777777"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Impôts et taxes</w:t>
            </w:r>
          </w:p>
        </w:tc>
        <w:tc>
          <w:tcPr>
            <w:tcW w:w="940" w:type="dxa"/>
            <w:tcBorders>
              <w:top w:val="nil"/>
              <w:left w:val="nil"/>
              <w:bottom w:val="nil"/>
              <w:right w:val="nil"/>
            </w:tcBorders>
            <w:shd w:val="clear" w:color="auto" w:fill="auto"/>
            <w:vAlign w:val="center"/>
            <w:hideMark/>
          </w:tcPr>
          <w:p w14:paraId="7BC92B79" w14:textId="77777777"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14:paraId="6F95B5C5"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104</w:t>
            </w:r>
          </w:p>
        </w:tc>
        <w:tc>
          <w:tcPr>
            <w:tcW w:w="1140" w:type="dxa"/>
            <w:tcBorders>
              <w:top w:val="nil"/>
              <w:left w:val="nil"/>
              <w:bottom w:val="nil"/>
              <w:right w:val="nil"/>
            </w:tcBorders>
            <w:shd w:val="clear" w:color="auto" w:fill="auto"/>
            <w:noWrap/>
            <w:vAlign w:val="center"/>
            <w:hideMark/>
          </w:tcPr>
          <w:p w14:paraId="5D6B274C"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71</w:t>
            </w:r>
          </w:p>
        </w:tc>
        <w:tc>
          <w:tcPr>
            <w:tcW w:w="1140" w:type="dxa"/>
            <w:tcBorders>
              <w:top w:val="nil"/>
              <w:left w:val="nil"/>
              <w:bottom w:val="nil"/>
              <w:right w:val="nil"/>
            </w:tcBorders>
            <w:shd w:val="clear" w:color="auto" w:fill="auto"/>
            <w:noWrap/>
            <w:vAlign w:val="center"/>
            <w:hideMark/>
          </w:tcPr>
          <w:p w14:paraId="72CF7BA1"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33</w:t>
            </w:r>
          </w:p>
        </w:tc>
      </w:tr>
      <w:tr w:rsidR="00A46927" w:rsidRPr="00C73365" w14:paraId="0B28ADF8" w14:textId="77777777" w:rsidTr="00A46927">
        <w:trPr>
          <w:trHeight w:val="288"/>
        </w:trPr>
        <w:tc>
          <w:tcPr>
            <w:tcW w:w="4580" w:type="dxa"/>
            <w:tcBorders>
              <w:top w:val="nil"/>
              <w:left w:val="nil"/>
              <w:bottom w:val="nil"/>
              <w:right w:val="nil"/>
            </w:tcBorders>
            <w:shd w:val="clear" w:color="auto" w:fill="auto"/>
            <w:noWrap/>
            <w:vAlign w:val="center"/>
            <w:hideMark/>
          </w:tcPr>
          <w:p w14:paraId="0E015A54" w14:textId="77777777"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Salaires et charges sociales</w:t>
            </w:r>
          </w:p>
        </w:tc>
        <w:tc>
          <w:tcPr>
            <w:tcW w:w="940" w:type="dxa"/>
            <w:tcBorders>
              <w:top w:val="nil"/>
              <w:left w:val="nil"/>
              <w:bottom w:val="nil"/>
              <w:right w:val="nil"/>
            </w:tcBorders>
            <w:shd w:val="clear" w:color="auto" w:fill="auto"/>
            <w:vAlign w:val="center"/>
            <w:hideMark/>
          </w:tcPr>
          <w:p w14:paraId="64F3117E" w14:textId="77777777"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14:paraId="5BF30BD4"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3 782</w:t>
            </w:r>
          </w:p>
        </w:tc>
        <w:tc>
          <w:tcPr>
            <w:tcW w:w="1140" w:type="dxa"/>
            <w:tcBorders>
              <w:top w:val="nil"/>
              <w:left w:val="nil"/>
              <w:bottom w:val="nil"/>
              <w:right w:val="nil"/>
            </w:tcBorders>
            <w:shd w:val="clear" w:color="auto" w:fill="auto"/>
            <w:noWrap/>
            <w:vAlign w:val="center"/>
            <w:hideMark/>
          </w:tcPr>
          <w:p w14:paraId="1619A3ED"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3 558</w:t>
            </w:r>
          </w:p>
        </w:tc>
        <w:tc>
          <w:tcPr>
            <w:tcW w:w="1140" w:type="dxa"/>
            <w:tcBorders>
              <w:top w:val="nil"/>
              <w:left w:val="nil"/>
              <w:bottom w:val="nil"/>
              <w:right w:val="nil"/>
            </w:tcBorders>
            <w:shd w:val="clear" w:color="auto" w:fill="auto"/>
            <w:noWrap/>
            <w:vAlign w:val="center"/>
            <w:hideMark/>
          </w:tcPr>
          <w:p w14:paraId="70B281C1"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225</w:t>
            </w:r>
          </w:p>
        </w:tc>
      </w:tr>
      <w:tr w:rsidR="00A46927" w:rsidRPr="00C73365" w14:paraId="1DAC0E98" w14:textId="77777777" w:rsidTr="00A46927">
        <w:trPr>
          <w:trHeight w:val="288"/>
        </w:trPr>
        <w:tc>
          <w:tcPr>
            <w:tcW w:w="4580" w:type="dxa"/>
            <w:tcBorders>
              <w:top w:val="nil"/>
              <w:left w:val="nil"/>
              <w:bottom w:val="nil"/>
              <w:right w:val="nil"/>
            </w:tcBorders>
            <w:shd w:val="clear" w:color="auto" w:fill="auto"/>
            <w:noWrap/>
            <w:vAlign w:val="center"/>
            <w:hideMark/>
          </w:tcPr>
          <w:p w14:paraId="32A6C974" w14:textId="77777777"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Amortissements et provisions</w:t>
            </w:r>
          </w:p>
        </w:tc>
        <w:tc>
          <w:tcPr>
            <w:tcW w:w="940" w:type="dxa"/>
            <w:tcBorders>
              <w:top w:val="nil"/>
              <w:left w:val="nil"/>
              <w:bottom w:val="nil"/>
              <w:right w:val="nil"/>
            </w:tcBorders>
            <w:shd w:val="clear" w:color="auto" w:fill="auto"/>
            <w:vAlign w:val="center"/>
            <w:hideMark/>
          </w:tcPr>
          <w:p w14:paraId="438B301F" w14:textId="77777777"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auto" w:fill="auto"/>
            <w:noWrap/>
            <w:vAlign w:val="center"/>
            <w:hideMark/>
          </w:tcPr>
          <w:p w14:paraId="4DC1EBF4"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93</w:t>
            </w:r>
          </w:p>
        </w:tc>
        <w:tc>
          <w:tcPr>
            <w:tcW w:w="1140" w:type="dxa"/>
            <w:tcBorders>
              <w:top w:val="nil"/>
              <w:left w:val="nil"/>
              <w:bottom w:val="nil"/>
              <w:right w:val="nil"/>
            </w:tcBorders>
            <w:shd w:val="clear" w:color="auto" w:fill="auto"/>
            <w:noWrap/>
            <w:vAlign w:val="center"/>
            <w:hideMark/>
          </w:tcPr>
          <w:p w14:paraId="2385CF8D"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75</w:t>
            </w:r>
          </w:p>
        </w:tc>
        <w:tc>
          <w:tcPr>
            <w:tcW w:w="1140" w:type="dxa"/>
            <w:tcBorders>
              <w:top w:val="nil"/>
              <w:left w:val="nil"/>
              <w:bottom w:val="nil"/>
              <w:right w:val="nil"/>
            </w:tcBorders>
            <w:shd w:val="clear" w:color="auto" w:fill="auto"/>
            <w:noWrap/>
            <w:vAlign w:val="center"/>
            <w:hideMark/>
          </w:tcPr>
          <w:p w14:paraId="5F781AE1"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19</w:t>
            </w:r>
          </w:p>
        </w:tc>
      </w:tr>
      <w:tr w:rsidR="00A46927" w:rsidRPr="00C73365" w14:paraId="50C870B3" w14:textId="77777777" w:rsidTr="00A46927">
        <w:trPr>
          <w:trHeight w:val="300"/>
        </w:trPr>
        <w:tc>
          <w:tcPr>
            <w:tcW w:w="4580" w:type="dxa"/>
            <w:tcBorders>
              <w:top w:val="nil"/>
              <w:left w:val="nil"/>
              <w:bottom w:val="single" w:sz="8" w:space="0" w:color="7030A0"/>
              <w:right w:val="nil"/>
            </w:tcBorders>
            <w:shd w:val="clear" w:color="auto" w:fill="auto"/>
            <w:noWrap/>
            <w:vAlign w:val="center"/>
            <w:hideMark/>
          </w:tcPr>
          <w:p w14:paraId="6CB8A36D" w14:textId="77777777"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charges</w:t>
            </w:r>
          </w:p>
        </w:tc>
        <w:tc>
          <w:tcPr>
            <w:tcW w:w="940" w:type="dxa"/>
            <w:tcBorders>
              <w:top w:val="nil"/>
              <w:left w:val="nil"/>
              <w:bottom w:val="nil"/>
              <w:right w:val="nil"/>
            </w:tcBorders>
            <w:shd w:val="clear" w:color="auto" w:fill="auto"/>
            <w:vAlign w:val="center"/>
            <w:hideMark/>
          </w:tcPr>
          <w:p w14:paraId="02626E02" w14:textId="77777777"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14:paraId="1522FB4D"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55</w:t>
            </w:r>
          </w:p>
        </w:tc>
        <w:tc>
          <w:tcPr>
            <w:tcW w:w="1140" w:type="dxa"/>
            <w:tcBorders>
              <w:top w:val="nil"/>
              <w:left w:val="nil"/>
              <w:bottom w:val="nil"/>
              <w:right w:val="nil"/>
            </w:tcBorders>
            <w:shd w:val="clear" w:color="auto" w:fill="auto"/>
            <w:noWrap/>
            <w:vAlign w:val="center"/>
            <w:hideMark/>
          </w:tcPr>
          <w:p w14:paraId="7A0F71C4"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w:t>
            </w:r>
          </w:p>
        </w:tc>
        <w:tc>
          <w:tcPr>
            <w:tcW w:w="1140" w:type="dxa"/>
            <w:tcBorders>
              <w:top w:val="nil"/>
              <w:left w:val="nil"/>
              <w:bottom w:val="nil"/>
              <w:right w:val="nil"/>
            </w:tcBorders>
            <w:shd w:val="clear" w:color="auto" w:fill="auto"/>
            <w:noWrap/>
            <w:vAlign w:val="center"/>
            <w:hideMark/>
          </w:tcPr>
          <w:p w14:paraId="3D8C7745"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w:t>
            </w:r>
          </w:p>
        </w:tc>
      </w:tr>
      <w:tr w:rsidR="00A46927" w:rsidRPr="00C73365" w14:paraId="1BCA1BCA" w14:textId="77777777" w:rsidTr="00A46927">
        <w:trPr>
          <w:trHeight w:val="300"/>
        </w:trPr>
        <w:tc>
          <w:tcPr>
            <w:tcW w:w="4580" w:type="dxa"/>
            <w:tcBorders>
              <w:top w:val="nil"/>
              <w:left w:val="nil"/>
              <w:bottom w:val="single" w:sz="8" w:space="0" w:color="7030A0"/>
              <w:right w:val="nil"/>
            </w:tcBorders>
            <w:shd w:val="clear" w:color="auto" w:fill="auto"/>
            <w:noWrap/>
            <w:vAlign w:val="center"/>
            <w:hideMark/>
          </w:tcPr>
          <w:p w14:paraId="34986CAD" w14:textId="77777777"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d</w:t>
            </w:r>
            <w:r w:rsidR="004572A0" w:rsidRPr="00C73365">
              <w:rPr>
                <w:rFonts w:asciiTheme="minorHAnsi" w:hAnsiTheme="minorHAnsi" w:cstheme="minorHAnsi"/>
                <w:color w:val="7030A0"/>
                <w:szCs w:val="20"/>
              </w:rPr>
              <w:t>’</w:t>
            </w:r>
            <w:r w:rsidRPr="00C73365">
              <w:rPr>
                <w:rFonts w:asciiTheme="minorHAnsi" w:hAnsiTheme="minorHAnsi" w:cstheme="minorHAnsi"/>
                <w:color w:val="7030A0"/>
                <w:szCs w:val="20"/>
              </w:rPr>
              <w:t>exploitation</w:t>
            </w:r>
          </w:p>
        </w:tc>
        <w:tc>
          <w:tcPr>
            <w:tcW w:w="940" w:type="dxa"/>
            <w:tcBorders>
              <w:top w:val="single" w:sz="8" w:space="0" w:color="7030A0"/>
              <w:left w:val="nil"/>
              <w:bottom w:val="single" w:sz="8" w:space="0" w:color="7030A0"/>
              <w:right w:val="nil"/>
            </w:tcBorders>
            <w:shd w:val="clear" w:color="auto" w:fill="auto"/>
            <w:vAlign w:val="center"/>
            <w:hideMark/>
          </w:tcPr>
          <w:p w14:paraId="568E0708"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14:paraId="21B0A41C"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-14 150</w:t>
            </w:r>
          </w:p>
        </w:tc>
        <w:tc>
          <w:tcPr>
            <w:tcW w:w="1140" w:type="dxa"/>
            <w:tcBorders>
              <w:top w:val="single" w:sz="8" w:space="0" w:color="7030A0"/>
              <w:left w:val="nil"/>
              <w:bottom w:val="single" w:sz="8" w:space="0" w:color="7030A0"/>
              <w:right w:val="nil"/>
            </w:tcBorders>
            <w:shd w:val="clear" w:color="auto" w:fill="auto"/>
            <w:vAlign w:val="center"/>
            <w:hideMark/>
          </w:tcPr>
          <w:p w14:paraId="109496B9"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-18 236</w:t>
            </w:r>
          </w:p>
        </w:tc>
        <w:tc>
          <w:tcPr>
            <w:tcW w:w="1140" w:type="dxa"/>
            <w:tcBorders>
              <w:top w:val="single" w:sz="8" w:space="0" w:color="7030A0"/>
              <w:left w:val="nil"/>
              <w:bottom w:val="single" w:sz="8" w:space="0" w:color="7030A0"/>
              <w:right w:val="nil"/>
            </w:tcBorders>
            <w:shd w:val="clear" w:color="auto" w:fill="auto"/>
            <w:vAlign w:val="center"/>
            <w:hideMark/>
          </w:tcPr>
          <w:p w14:paraId="2F66F4CD"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4 086</w:t>
            </w:r>
          </w:p>
        </w:tc>
      </w:tr>
      <w:tr w:rsidR="00A46927" w:rsidRPr="00C73365" w14:paraId="73919F61" w14:textId="77777777" w:rsidTr="00A46927">
        <w:trPr>
          <w:trHeight w:val="288"/>
        </w:trPr>
        <w:tc>
          <w:tcPr>
            <w:tcW w:w="4580" w:type="dxa"/>
            <w:tcBorders>
              <w:top w:val="nil"/>
              <w:left w:val="nil"/>
              <w:bottom w:val="nil"/>
              <w:right w:val="nil"/>
            </w:tcBorders>
            <w:shd w:val="clear" w:color="auto" w:fill="auto"/>
            <w:noWrap/>
            <w:vAlign w:val="center"/>
            <w:hideMark/>
          </w:tcPr>
          <w:p w14:paraId="3398DA84" w14:textId="77777777"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financiers</w:t>
            </w:r>
          </w:p>
        </w:tc>
        <w:tc>
          <w:tcPr>
            <w:tcW w:w="940" w:type="dxa"/>
            <w:tcBorders>
              <w:top w:val="nil"/>
              <w:left w:val="nil"/>
              <w:bottom w:val="nil"/>
              <w:right w:val="nil"/>
            </w:tcBorders>
            <w:shd w:val="clear" w:color="auto" w:fill="auto"/>
            <w:vAlign w:val="center"/>
            <w:hideMark/>
          </w:tcPr>
          <w:p w14:paraId="0A03D465" w14:textId="77777777"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14:paraId="4FF7E362"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116</w:t>
            </w:r>
          </w:p>
        </w:tc>
        <w:tc>
          <w:tcPr>
            <w:tcW w:w="1140" w:type="dxa"/>
            <w:tcBorders>
              <w:top w:val="nil"/>
              <w:left w:val="nil"/>
              <w:bottom w:val="nil"/>
              <w:right w:val="nil"/>
            </w:tcBorders>
            <w:shd w:val="clear" w:color="auto" w:fill="auto"/>
            <w:noWrap/>
            <w:vAlign w:val="center"/>
            <w:hideMark/>
          </w:tcPr>
          <w:p w14:paraId="73DB0562"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301</w:t>
            </w:r>
          </w:p>
        </w:tc>
        <w:tc>
          <w:tcPr>
            <w:tcW w:w="1140" w:type="dxa"/>
            <w:tcBorders>
              <w:top w:val="nil"/>
              <w:left w:val="nil"/>
              <w:bottom w:val="nil"/>
              <w:right w:val="nil"/>
            </w:tcBorders>
            <w:shd w:val="clear" w:color="auto" w:fill="auto"/>
            <w:noWrap/>
            <w:vAlign w:val="center"/>
            <w:hideMark/>
          </w:tcPr>
          <w:p w14:paraId="346A7830"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-185</w:t>
            </w:r>
          </w:p>
        </w:tc>
      </w:tr>
      <w:tr w:rsidR="00A46927" w:rsidRPr="00C73365" w14:paraId="3EA350E3" w14:textId="77777777" w:rsidTr="00A46927">
        <w:trPr>
          <w:trHeight w:val="300"/>
        </w:trPr>
        <w:tc>
          <w:tcPr>
            <w:tcW w:w="4580" w:type="dxa"/>
            <w:tcBorders>
              <w:top w:val="nil"/>
              <w:left w:val="nil"/>
              <w:bottom w:val="single" w:sz="8" w:space="0" w:color="7030A0"/>
              <w:right w:val="nil"/>
            </w:tcBorders>
            <w:shd w:val="clear" w:color="auto" w:fill="auto"/>
            <w:noWrap/>
            <w:vAlign w:val="center"/>
            <w:hideMark/>
          </w:tcPr>
          <w:p w14:paraId="349C3331" w14:textId="77777777"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financières</w:t>
            </w:r>
          </w:p>
        </w:tc>
        <w:tc>
          <w:tcPr>
            <w:tcW w:w="940" w:type="dxa"/>
            <w:tcBorders>
              <w:top w:val="nil"/>
              <w:left w:val="nil"/>
              <w:bottom w:val="nil"/>
              <w:right w:val="nil"/>
            </w:tcBorders>
            <w:shd w:val="clear" w:color="auto" w:fill="auto"/>
            <w:vAlign w:val="center"/>
            <w:hideMark/>
          </w:tcPr>
          <w:p w14:paraId="6764A874" w14:textId="77777777"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14:paraId="1B9F5930"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39</w:t>
            </w:r>
          </w:p>
        </w:tc>
        <w:tc>
          <w:tcPr>
            <w:tcW w:w="1140" w:type="dxa"/>
            <w:tcBorders>
              <w:top w:val="nil"/>
              <w:left w:val="nil"/>
              <w:bottom w:val="nil"/>
              <w:right w:val="nil"/>
            </w:tcBorders>
            <w:shd w:val="clear" w:color="auto" w:fill="auto"/>
            <w:noWrap/>
            <w:vAlign w:val="center"/>
            <w:hideMark/>
          </w:tcPr>
          <w:p w14:paraId="4B2D4141"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42</w:t>
            </w:r>
          </w:p>
        </w:tc>
        <w:tc>
          <w:tcPr>
            <w:tcW w:w="1140" w:type="dxa"/>
            <w:tcBorders>
              <w:top w:val="nil"/>
              <w:left w:val="nil"/>
              <w:bottom w:val="nil"/>
              <w:right w:val="nil"/>
            </w:tcBorders>
            <w:shd w:val="clear" w:color="auto" w:fill="auto"/>
            <w:noWrap/>
            <w:vAlign w:val="center"/>
            <w:hideMark/>
          </w:tcPr>
          <w:p w14:paraId="222D4B02"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w:t>
            </w:r>
          </w:p>
        </w:tc>
      </w:tr>
      <w:tr w:rsidR="00A46927" w:rsidRPr="00C73365" w14:paraId="2A4398ED" w14:textId="77777777" w:rsidTr="00A46927">
        <w:trPr>
          <w:trHeight w:val="300"/>
        </w:trPr>
        <w:tc>
          <w:tcPr>
            <w:tcW w:w="4580" w:type="dxa"/>
            <w:tcBorders>
              <w:top w:val="nil"/>
              <w:left w:val="nil"/>
              <w:bottom w:val="single" w:sz="8" w:space="0" w:color="7030A0"/>
              <w:right w:val="nil"/>
            </w:tcBorders>
            <w:shd w:val="clear" w:color="auto" w:fill="auto"/>
            <w:noWrap/>
            <w:vAlign w:val="center"/>
            <w:hideMark/>
          </w:tcPr>
          <w:p w14:paraId="1A62E10B" w14:textId="77777777"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Financier</w:t>
            </w:r>
          </w:p>
        </w:tc>
        <w:tc>
          <w:tcPr>
            <w:tcW w:w="940" w:type="dxa"/>
            <w:tcBorders>
              <w:top w:val="single" w:sz="8" w:space="0" w:color="7030A0"/>
              <w:left w:val="nil"/>
              <w:bottom w:val="single" w:sz="8" w:space="0" w:color="7030A0"/>
              <w:right w:val="nil"/>
            </w:tcBorders>
            <w:shd w:val="clear" w:color="auto" w:fill="auto"/>
            <w:vAlign w:val="center"/>
            <w:hideMark/>
          </w:tcPr>
          <w:p w14:paraId="5E602EE6"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14:paraId="2AF40778"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77</w:t>
            </w:r>
          </w:p>
        </w:tc>
        <w:tc>
          <w:tcPr>
            <w:tcW w:w="1140" w:type="dxa"/>
            <w:tcBorders>
              <w:top w:val="single" w:sz="8" w:space="0" w:color="7030A0"/>
              <w:left w:val="nil"/>
              <w:bottom w:val="single" w:sz="8" w:space="0" w:color="7030A0"/>
              <w:right w:val="nil"/>
            </w:tcBorders>
            <w:shd w:val="clear" w:color="auto" w:fill="auto"/>
            <w:vAlign w:val="center"/>
            <w:hideMark/>
          </w:tcPr>
          <w:p w14:paraId="6ECF5F3B"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258</w:t>
            </w:r>
          </w:p>
        </w:tc>
        <w:tc>
          <w:tcPr>
            <w:tcW w:w="1140" w:type="dxa"/>
            <w:tcBorders>
              <w:top w:val="single" w:sz="8" w:space="0" w:color="7030A0"/>
              <w:left w:val="nil"/>
              <w:bottom w:val="single" w:sz="8" w:space="0" w:color="7030A0"/>
              <w:right w:val="nil"/>
            </w:tcBorders>
            <w:shd w:val="clear" w:color="auto" w:fill="auto"/>
            <w:vAlign w:val="center"/>
            <w:hideMark/>
          </w:tcPr>
          <w:p w14:paraId="24855611"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-182</w:t>
            </w:r>
          </w:p>
        </w:tc>
      </w:tr>
      <w:tr w:rsidR="00A46927" w:rsidRPr="00C73365" w14:paraId="031285FC" w14:textId="77777777" w:rsidTr="00A46927">
        <w:trPr>
          <w:trHeight w:val="300"/>
        </w:trPr>
        <w:tc>
          <w:tcPr>
            <w:tcW w:w="4580" w:type="dxa"/>
            <w:tcBorders>
              <w:top w:val="nil"/>
              <w:left w:val="nil"/>
              <w:bottom w:val="single" w:sz="8" w:space="0" w:color="7030A0"/>
              <w:right w:val="nil"/>
            </w:tcBorders>
            <w:shd w:val="clear" w:color="auto" w:fill="auto"/>
            <w:noWrap/>
            <w:vAlign w:val="center"/>
            <w:hideMark/>
          </w:tcPr>
          <w:p w14:paraId="7E4E9243" w14:textId="77777777"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Courant</w:t>
            </w:r>
          </w:p>
        </w:tc>
        <w:tc>
          <w:tcPr>
            <w:tcW w:w="940" w:type="dxa"/>
            <w:tcBorders>
              <w:top w:val="nil"/>
              <w:left w:val="nil"/>
              <w:bottom w:val="single" w:sz="8" w:space="0" w:color="7030A0"/>
              <w:right w:val="nil"/>
            </w:tcBorders>
            <w:shd w:val="clear" w:color="auto" w:fill="auto"/>
            <w:vAlign w:val="center"/>
            <w:hideMark/>
          </w:tcPr>
          <w:p w14:paraId="274E1033"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78D031BE"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-14 073</w:t>
            </w:r>
          </w:p>
        </w:tc>
        <w:tc>
          <w:tcPr>
            <w:tcW w:w="1140" w:type="dxa"/>
            <w:tcBorders>
              <w:top w:val="nil"/>
              <w:left w:val="nil"/>
              <w:bottom w:val="single" w:sz="8" w:space="0" w:color="7030A0"/>
              <w:right w:val="nil"/>
            </w:tcBorders>
            <w:shd w:val="clear" w:color="auto" w:fill="auto"/>
            <w:vAlign w:val="center"/>
            <w:hideMark/>
          </w:tcPr>
          <w:p w14:paraId="66112F39"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-17 978</w:t>
            </w:r>
          </w:p>
        </w:tc>
        <w:tc>
          <w:tcPr>
            <w:tcW w:w="1140" w:type="dxa"/>
            <w:tcBorders>
              <w:top w:val="nil"/>
              <w:left w:val="nil"/>
              <w:bottom w:val="single" w:sz="8" w:space="0" w:color="7030A0"/>
              <w:right w:val="nil"/>
            </w:tcBorders>
            <w:shd w:val="clear" w:color="auto" w:fill="auto"/>
            <w:vAlign w:val="center"/>
            <w:hideMark/>
          </w:tcPr>
          <w:p w14:paraId="3C4D7872" w14:textId="77777777"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3 905</w:t>
            </w:r>
          </w:p>
        </w:tc>
      </w:tr>
      <w:tr w:rsidR="00A46927" w:rsidRPr="00C73365" w14:paraId="62BBC96B" w14:textId="77777777" w:rsidTr="00A46927">
        <w:trPr>
          <w:trHeight w:val="288"/>
        </w:trPr>
        <w:tc>
          <w:tcPr>
            <w:tcW w:w="4580" w:type="dxa"/>
            <w:tcBorders>
              <w:top w:val="nil"/>
              <w:left w:val="nil"/>
              <w:bottom w:val="nil"/>
              <w:right w:val="nil"/>
            </w:tcBorders>
            <w:shd w:val="clear" w:color="auto" w:fill="auto"/>
            <w:noWrap/>
            <w:vAlign w:val="center"/>
            <w:hideMark/>
          </w:tcPr>
          <w:p w14:paraId="78AABC7B" w14:textId="77777777"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exceptionnel</w:t>
            </w:r>
          </w:p>
        </w:tc>
        <w:tc>
          <w:tcPr>
            <w:tcW w:w="940" w:type="dxa"/>
            <w:tcBorders>
              <w:top w:val="nil"/>
              <w:left w:val="nil"/>
              <w:bottom w:val="nil"/>
              <w:right w:val="nil"/>
            </w:tcBorders>
            <w:shd w:val="clear" w:color="auto" w:fill="auto"/>
            <w:vAlign w:val="center"/>
            <w:hideMark/>
          </w:tcPr>
          <w:p w14:paraId="490DB3C5" w14:textId="77777777"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14:paraId="2DB66B81"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159</w:t>
            </w:r>
          </w:p>
        </w:tc>
        <w:tc>
          <w:tcPr>
            <w:tcW w:w="1140" w:type="dxa"/>
            <w:tcBorders>
              <w:top w:val="nil"/>
              <w:left w:val="nil"/>
              <w:bottom w:val="nil"/>
              <w:right w:val="nil"/>
            </w:tcBorders>
            <w:shd w:val="clear" w:color="auto" w:fill="auto"/>
            <w:noWrap/>
            <w:vAlign w:val="center"/>
            <w:hideMark/>
          </w:tcPr>
          <w:p w14:paraId="4A46ECA9"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152</w:t>
            </w:r>
          </w:p>
        </w:tc>
        <w:tc>
          <w:tcPr>
            <w:tcW w:w="1140" w:type="dxa"/>
            <w:tcBorders>
              <w:top w:val="nil"/>
              <w:left w:val="nil"/>
              <w:bottom w:val="nil"/>
              <w:right w:val="nil"/>
            </w:tcBorders>
            <w:shd w:val="clear" w:color="auto" w:fill="auto"/>
            <w:noWrap/>
            <w:vAlign w:val="center"/>
            <w:hideMark/>
          </w:tcPr>
          <w:p w14:paraId="1DF1DD19"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w:t>
            </w:r>
          </w:p>
        </w:tc>
      </w:tr>
      <w:tr w:rsidR="00A46927" w:rsidRPr="00C73365" w14:paraId="2FD665C9" w14:textId="77777777" w:rsidTr="00A46927">
        <w:trPr>
          <w:trHeight w:val="300"/>
        </w:trPr>
        <w:tc>
          <w:tcPr>
            <w:tcW w:w="4580" w:type="dxa"/>
            <w:tcBorders>
              <w:top w:val="nil"/>
              <w:left w:val="nil"/>
              <w:bottom w:val="single" w:sz="8" w:space="0" w:color="7030A0"/>
              <w:right w:val="nil"/>
            </w:tcBorders>
            <w:shd w:val="clear" w:color="auto" w:fill="auto"/>
            <w:noWrap/>
            <w:vAlign w:val="center"/>
            <w:hideMark/>
          </w:tcPr>
          <w:p w14:paraId="592AF6B2" w14:textId="77777777"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Impôts sur les bénéfices (CIR)</w:t>
            </w:r>
          </w:p>
        </w:tc>
        <w:tc>
          <w:tcPr>
            <w:tcW w:w="940" w:type="dxa"/>
            <w:tcBorders>
              <w:top w:val="nil"/>
              <w:left w:val="nil"/>
              <w:bottom w:val="nil"/>
              <w:right w:val="nil"/>
            </w:tcBorders>
            <w:shd w:val="clear" w:color="auto" w:fill="auto"/>
            <w:vAlign w:val="center"/>
            <w:hideMark/>
          </w:tcPr>
          <w:p w14:paraId="6046E8EC" w14:textId="77777777"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240" w:type="dxa"/>
            <w:tcBorders>
              <w:top w:val="nil"/>
              <w:left w:val="nil"/>
              <w:bottom w:val="nil"/>
              <w:right w:val="nil"/>
            </w:tcBorders>
            <w:shd w:val="clear" w:color="auto" w:fill="auto"/>
            <w:noWrap/>
            <w:vAlign w:val="center"/>
            <w:hideMark/>
          </w:tcPr>
          <w:p w14:paraId="1B6292E8"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-2 692</w:t>
            </w:r>
          </w:p>
        </w:tc>
        <w:tc>
          <w:tcPr>
            <w:tcW w:w="1140" w:type="dxa"/>
            <w:tcBorders>
              <w:top w:val="nil"/>
              <w:left w:val="nil"/>
              <w:bottom w:val="nil"/>
              <w:right w:val="nil"/>
            </w:tcBorders>
            <w:shd w:val="clear" w:color="auto" w:fill="auto"/>
            <w:noWrap/>
            <w:vAlign w:val="center"/>
            <w:hideMark/>
          </w:tcPr>
          <w:p w14:paraId="2FAA9AB6"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-3 519</w:t>
            </w:r>
          </w:p>
        </w:tc>
        <w:tc>
          <w:tcPr>
            <w:tcW w:w="1140" w:type="dxa"/>
            <w:tcBorders>
              <w:top w:val="nil"/>
              <w:left w:val="nil"/>
              <w:bottom w:val="nil"/>
              <w:right w:val="nil"/>
            </w:tcBorders>
            <w:shd w:val="clear" w:color="auto" w:fill="auto"/>
            <w:noWrap/>
            <w:vAlign w:val="center"/>
            <w:hideMark/>
          </w:tcPr>
          <w:p w14:paraId="3EFDF615" w14:textId="77777777"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827</w:t>
            </w:r>
          </w:p>
        </w:tc>
      </w:tr>
      <w:tr w:rsidR="00A46927" w:rsidRPr="00C73365" w14:paraId="110AFA30" w14:textId="77777777" w:rsidTr="00A46927">
        <w:trPr>
          <w:trHeight w:val="300"/>
        </w:trPr>
        <w:tc>
          <w:tcPr>
            <w:tcW w:w="4580" w:type="dxa"/>
            <w:tcBorders>
              <w:top w:val="nil"/>
              <w:left w:val="nil"/>
              <w:bottom w:val="single" w:sz="8" w:space="0" w:color="7030A0"/>
              <w:right w:val="nil"/>
            </w:tcBorders>
            <w:shd w:val="clear" w:color="auto" w:fill="auto"/>
            <w:noWrap/>
            <w:vAlign w:val="center"/>
            <w:hideMark/>
          </w:tcPr>
          <w:p w14:paraId="4F0BA7E9" w14:textId="77777777" w:rsidR="00A46927" w:rsidRPr="00C73365" w:rsidRDefault="00A46927"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Résultat de l</w:t>
            </w:r>
            <w:r w:rsidR="004572A0" w:rsidRPr="00C73365">
              <w:rPr>
                <w:rFonts w:asciiTheme="minorHAnsi" w:hAnsiTheme="minorHAnsi" w:cstheme="minorHAnsi"/>
                <w:b/>
                <w:bCs/>
                <w:color w:val="7030A0"/>
                <w:szCs w:val="20"/>
              </w:rPr>
              <w:t>’</w:t>
            </w:r>
            <w:r w:rsidRPr="00C73365">
              <w:rPr>
                <w:rFonts w:asciiTheme="minorHAnsi" w:hAnsiTheme="minorHAnsi" w:cstheme="minorHAnsi"/>
                <w:b/>
                <w:bCs/>
                <w:color w:val="7030A0"/>
                <w:szCs w:val="20"/>
              </w:rPr>
              <w:t>exercice</w:t>
            </w:r>
          </w:p>
        </w:tc>
        <w:tc>
          <w:tcPr>
            <w:tcW w:w="940" w:type="dxa"/>
            <w:tcBorders>
              <w:top w:val="single" w:sz="8" w:space="0" w:color="7030A0"/>
              <w:left w:val="nil"/>
              <w:bottom w:val="single" w:sz="8" w:space="0" w:color="7030A0"/>
              <w:right w:val="nil"/>
            </w:tcBorders>
            <w:shd w:val="clear" w:color="auto" w:fill="auto"/>
            <w:vAlign w:val="center"/>
            <w:hideMark/>
          </w:tcPr>
          <w:p w14:paraId="0D3571F6" w14:textId="77777777"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14:paraId="56619573" w14:textId="77777777"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-11 223</w:t>
            </w:r>
          </w:p>
        </w:tc>
        <w:tc>
          <w:tcPr>
            <w:tcW w:w="1140" w:type="dxa"/>
            <w:tcBorders>
              <w:top w:val="single" w:sz="8" w:space="0" w:color="7030A0"/>
              <w:left w:val="nil"/>
              <w:bottom w:val="single" w:sz="8" w:space="0" w:color="7030A0"/>
              <w:right w:val="nil"/>
            </w:tcBorders>
            <w:shd w:val="clear" w:color="auto" w:fill="auto"/>
            <w:vAlign w:val="center"/>
            <w:hideMark/>
          </w:tcPr>
          <w:p w14:paraId="78AF479F" w14:textId="77777777"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-14 308</w:t>
            </w:r>
          </w:p>
        </w:tc>
        <w:tc>
          <w:tcPr>
            <w:tcW w:w="1140" w:type="dxa"/>
            <w:tcBorders>
              <w:top w:val="single" w:sz="8" w:space="0" w:color="7030A0"/>
              <w:left w:val="nil"/>
              <w:bottom w:val="single" w:sz="8" w:space="0" w:color="7030A0"/>
              <w:right w:val="nil"/>
            </w:tcBorders>
            <w:shd w:val="clear" w:color="auto" w:fill="auto"/>
            <w:vAlign w:val="center"/>
            <w:hideMark/>
          </w:tcPr>
          <w:p w14:paraId="775B9FB6" w14:textId="77777777"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3 085</w:t>
            </w:r>
          </w:p>
        </w:tc>
      </w:tr>
    </w:tbl>
    <w:p w14:paraId="6D2CBAA8" w14:textId="77777777" w:rsidR="00EB6C9B" w:rsidRPr="00C73365" w:rsidRDefault="00EB6C9B" w:rsidP="00A96CCA">
      <w:pPr>
        <w:spacing w:after="0"/>
        <w:rPr>
          <w:rFonts w:asciiTheme="minorHAnsi" w:hAnsiTheme="minorHAnsi" w:cstheme="minorHAnsi"/>
          <w:b/>
          <w:color w:val="7030A0"/>
          <w:lang w:val="fr-FR"/>
        </w:rPr>
      </w:pPr>
    </w:p>
    <w:p w14:paraId="6801BA36" w14:textId="77777777" w:rsidR="00EB6C9B" w:rsidRPr="00C73365" w:rsidRDefault="00EB6C9B" w:rsidP="00A96CCA">
      <w:pPr>
        <w:spacing w:after="0"/>
        <w:rPr>
          <w:rFonts w:asciiTheme="minorHAnsi" w:hAnsiTheme="minorHAnsi" w:cstheme="minorHAnsi"/>
          <w:b/>
          <w:color w:val="7030A0"/>
          <w:lang w:val="fr-FR"/>
        </w:rPr>
      </w:pPr>
    </w:p>
    <w:p w14:paraId="25519B23" w14:textId="77777777" w:rsidR="00F46C7B" w:rsidRPr="00C73365" w:rsidRDefault="00F46C7B" w:rsidP="00A96CCA">
      <w:pPr>
        <w:spacing w:after="0"/>
        <w:rPr>
          <w:rFonts w:asciiTheme="minorHAnsi" w:hAnsiTheme="minorHAnsi" w:cstheme="minorHAnsi"/>
        </w:rPr>
      </w:pPr>
    </w:p>
    <w:p w14:paraId="46B9484F" w14:textId="77777777" w:rsidR="00F46C7B" w:rsidRPr="00C73365" w:rsidRDefault="00F46C7B" w:rsidP="00A96CCA">
      <w:p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br w:type="page"/>
      </w:r>
    </w:p>
    <w:p w14:paraId="4D17DA30"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lastRenderedPageBreak/>
        <w:t>Tableau des flux de trésorerie</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3768FD" w:rsidRPr="00C73365" w14:paraId="300A84B5" w14:textId="77777777" w:rsidTr="008F3083">
        <w:trPr>
          <w:trHeight w:val="852"/>
        </w:trPr>
        <w:tc>
          <w:tcPr>
            <w:tcW w:w="4960" w:type="dxa"/>
            <w:tcBorders>
              <w:top w:val="single" w:sz="12" w:space="0" w:color="7030A0"/>
              <w:left w:val="nil"/>
              <w:bottom w:val="single" w:sz="8" w:space="0" w:color="7030A0"/>
              <w:right w:val="nil"/>
            </w:tcBorders>
            <w:shd w:val="clear" w:color="auto" w:fill="auto"/>
            <w:vAlign w:val="center"/>
            <w:hideMark/>
          </w:tcPr>
          <w:p w14:paraId="271A34F6"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14:paraId="336E8CD2" w14:textId="77777777"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08" w:type="dxa"/>
            <w:tcBorders>
              <w:top w:val="single" w:sz="12" w:space="0" w:color="7030A0"/>
              <w:left w:val="nil"/>
              <w:bottom w:val="single" w:sz="8" w:space="0" w:color="7030A0"/>
              <w:right w:val="nil"/>
            </w:tcBorders>
            <w:shd w:val="clear" w:color="auto" w:fill="auto"/>
            <w:vAlign w:val="center"/>
            <w:hideMark/>
          </w:tcPr>
          <w:p w14:paraId="331D2AC2" w14:textId="77777777"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31" w:type="dxa"/>
            <w:tcBorders>
              <w:top w:val="single" w:sz="12" w:space="0" w:color="7030A0"/>
              <w:left w:val="nil"/>
              <w:bottom w:val="single" w:sz="8" w:space="0" w:color="7030A0"/>
              <w:right w:val="nil"/>
            </w:tcBorders>
            <w:shd w:val="clear" w:color="auto" w:fill="auto"/>
            <w:vAlign w:val="center"/>
            <w:hideMark/>
          </w:tcPr>
          <w:p w14:paraId="00FE1F7C" w14:textId="77777777"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3768FD" w:rsidRPr="00036317" w14:paraId="6E9346A1" w14:textId="77777777" w:rsidTr="008F3083">
        <w:trPr>
          <w:trHeight w:val="276"/>
        </w:trPr>
        <w:tc>
          <w:tcPr>
            <w:tcW w:w="4960" w:type="dxa"/>
            <w:tcBorders>
              <w:top w:val="nil"/>
              <w:left w:val="nil"/>
              <w:bottom w:val="nil"/>
              <w:right w:val="nil"/>
            </w:tcBorders>
            <w:shd w:val="clear" w:color="auto" w:fill="auto"/>
            <w:noWrap/>
            <w:vAlign w:val="center"/>
            <w:hideMark/>
          </w:tcPr>
          <w:p w14:paraId="1E91D120" w14:textId="77777777"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5B106E89" w14:textId="77777777" w:rsidR="003768FD" w:rsidRPr="00C73365" w:rsidRDefault="003768FD"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14:paraId="206D5EEB" w14:textId="77777777" w:rsidR="003768FD" w:rsidRPr="00C73365" w:rsidRDefault="003768FD"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14:paraId="1EDF10C6" w14:textId="77777777" w:rsidR="003768FD" w:rsidRPr="00C73365" w:rsidRDefault="003768FD" w:rsidP="00A96CCA">
            <w:pPr>
              <w:spacing w:after="0"/>
              <w:jc w:val="right"/>
              <w:rPr>
                <w:rFonts w:asciiTheme="minorHAnsi" w:hAnsiTheme="minorHAnsi" w:cstheme="minorHAnsi"/>
                <w:szCs w:val="20"/>
                <w:lang w:val="fr-FR" w:eastAsia="fr-FR"/>
              </w:rPr>
            </w:pPr>
          </w:p>
        </w:tc>
      </w:tr>
      <w:tr w:rsidR="003768FD" w:rsidRPr="00C73365" w14:paraId="1EF43D5C" w14:textId="77777777" w:rsidTr="008F3083">
        <w:trPr>
          <w:trHeight w:val="276"/>
        </w:trPr>
        <w:tc>
          <w:tcPr>
            <w:tcW w:w="4960" w:type="dxa"/>
            <w:tcBorders>
              <w:top w:val="nil"/>
              <w:left w:val="nil"/>
              <w:bottom w:val="nil"/>
              <w:right w:val="nil"/>
            </w:tcBorders>
            <w:shd w:val="clear" w:color="auto" w:fill="auto"/>
            <w:noWrap/>
            <w:vAlign w:val="center"/>
            <w:hideMark/>
          </w:tcPr>
          <w:p w14:paraId="2309925D"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4140C7A3"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14:paraId="6D37877D"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14:paraId="0655A6FF"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3768FD" w:rsidRPr="00C73365" w14:paraId="2B557F4E" w14:textId="77777777" w:rsidTr="008F3083">
        <w:trPr>
          <w:trHeight w:val="276"/>
        </w:trPr>
        <w:tc>
          <w:tcPr>
            <w:tcW w:w="4960" w:type="dxa"/>
            <w:tcBorders>
              <w:top w:val="nil"/>
              <w:left w:val="nil"/>
              <w:bottom w:val="nil"/>
              <w:right w:val="nil"/>
            </w:tcBorders>
            <w:shd w:val="clear" w:color="auto" w:fill="auto"/>
            <w:noWrap/>
            <w:vAlign w:val="center"/>
            <w:hideMark/>
          </w:tcPr>
          <w:p w14:paraId="1AE2B928"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14:paraId="06E5F8FE"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14:paraId="3F8DEA5C"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14:paraId="4264AD34"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3768FD" w:rsidRPr="00C73365" w14:paraId="24570C09" w14:textId="77777777" w:rsidTr="008F3083">
        <w:trPr>
          <w:trHeight w:val="276"/>
        </w:trPr>
        <w:tc>
          <w:tcPr>
            <w:tcW w:w="4960" w:type="dxa"/>
            <w:tcBorders>
              <w:top w:val="nil"/>
              <w:left w:val="nil"/>
              <w:bottom w:val="nil"/>
              <w:right w:val="nil"/>
            </w:tcBorders>
            <w:shd w:val="clear" w:color="auto" w:fill="auto"/>
            <w:noWrap/>
            <w:vAlign w:val="center"/>
            <w:hideMark/>
          </w:tcPr>
          <w:p w14:paraId="0A019DE5"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7B130366"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14:paraId="23765C83"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14:paraId="0EC7DC31"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3768FD" w:rsidRPr="00C73365" w14:paraId="4F5F6AD2" w14:textId="77777777" w:rsidTr="008F3083">
        <w:trPr>
          <w:trHeight w:val="276"/>
        </w:trPr>
        <w:tc>
          <w:tcPr>
            <w:tcW w:w="4960" w:type="dxa"/>
            <w:tcBorders>
              <w:top w:val="nil"/>
              <w:left w:val="nil"/>
              <w:bottom w:val="nil"/>
              <w:right w:val="nil"/>
            </w:tcBorders>
            <w:shd w:val="clear" w:color="auto" w:fill="auto"/>
            <w:noWrap/>
            <w:vAlign w:val="center"/>
            <w:hideMark/>
          </w:tcPr>
          <w:p w14:paraId="3A756CA4"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45D5B255"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14:paraId="32275028"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14:paraId="293AC9E0"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3768FD" w:rsidRPr="00C73365" w14:paraId="4EBE6AA9" w14:textId="77777777" w:rsidTr="008F3083">
        <w:trPr>
          <w:trHeight w:val="276"/>
        </w:trPr>
        <w:tc>
          <w:tcPr>
            <w:tcW w:w="4960" w:type="dxa"/>
            <w:tcBorders>
              <w:top w:val="nil"/>
              <w:left w:val="nil"/>
              <w:bottom w:val="nil"/>
              <w:right w:val="nil"/>
            </w:tcBorders>
            <w:shd w:val="clear" w:color="auto" w:fill="auto"/>
            <w:noWrap/>
            <w:vAlign w:val="center"/>
            <w:hideMark/>
          </w:tcPr>
          <w:p w14:paraId="1A91C8F7"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14:paraId="65D77AED"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14:paraId="1693D614"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14:paraId="40887A08"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3768FD" w:rsidRPr="00C73365" w14:paraId="6D837DF3" w14:textId="77777777" w:rsidTr="008F3083">
        <w:trPr>
          <w:trHeight w:val="276"/>
        </w:trPr>
        <w:tc>
          <w:tcPr>
            <w:tcW w:w="4960" w:type="dxa"/>
            <w:tcBorders>
              <w:top w:val="nil"/>
              <w:left w:val="nil"/>
              <w:bottom w:val="nil"/>
              <w:right w:val="nil"/>
            </w:tcBorders>
            <w:shd w:val="clear" w:color="auto" w:fill="auto"/>
            <w:noWrap/>
            <w:vAlign w:val="center"/>
            <w:hideMark/>
          </w:tcPr>
          <w:p w14:paraId="7A0EA27E"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14:paraId="1E7CB875"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14:paraId="31BD1D92"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14:paraId="3F24454D"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3768FD" w:rsidRPr="00C73365" w14:paraId="7FF3BC26" w14:textId="77777777" w:rsidTr="008F3083">
        <w:trPr>
          <w:trHeight w:val="276"/>
        </w:trPr>
        <w:tc>
          <w:tcPr>
            <w:tcW w:w="4960" w:type="dxa"/>
            <w:tcBorders>
              <w:top w:val="nil"/>
              <w:left w:val="nil"/>
              <w:bottom w:val="nil"/>
              <w:right w:val="nil"/>
            </w:tcBorders>
            <w:shd w:val="clear" w:color="auto" w:fill="auto"/>
            <w:noWrap/>
            <w:vAlign w:val="center"/>
            <w:hideMark/>
          </w:tcPr>
          <w:p w14:paraId="6883D174"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14:paraId="24074AD9"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14:paraId="46CF3C66"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14:paraId="174CFF88"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3768FD" w:rsidRPr="00036317" w14:paraId="4CB45F1A" w14:textId="77777777" w:rsidTr="008F3083">
        <w:trPr>
          <w:trHeight w:val="276"/>
        </w:trPr>
        <w:tc>
          <w:tcPr>
            <w:tcW w:w="4960" w:type="dxa"/>
            <w:tcBorders>
              <w:top w:val="nil"/>
              <w:left w:val="nil"/>
              <w:bottom w:val="nil"/>
              <w:right w:val="nil"/>
            </w:tcBorders>
            <w:shd w:val="clear" w:color="auto" w:fill="auto"/>
            <w:noWrap/>
            <w:vAlign w:val="center"/>
            <w:hideMark/>
          </w:tcPr>
          <w:p w14:paraId="44860367"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643D5B29" w14:textId="77777777"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14:paraId="20DF1E72" w14:textId="77777777"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14:paraId="2A9FBA21" w14:textId="77777777" w:rsidR="003768FD" w:rsidRPr="00C73365" w:rsidRDefault="003768FD" w:rsidP="00A96CCA">
            <w:pPr>
              <w:spacing w:after="0"/>
              <w:jc w:val="right"/>
              <w:rPr>
                <w:rFonts w:asciiTheme="minorHAnsi" w:hAnsiTheme="minorHAnsi" w:cstheme="minorHAnsi"/>
                <w:color w:val="000000"/>
                <w:szCs w:val="20"/>
                <w:lang w:val="fr-FR" w:eastAsia="fr-FR"/>
              </w:rPr>
            </w:pPr>
          </w:p>
        </w:tc>
      </w:tr>
      <w:tr w:rsidR="003768FD" w:rsidRPr="00C73365" w14:paraId="3E20F3AE" w14:textId="77777777" w:rsidTr="008F3083">
        <w:trPr>
          <w:trHeight w:val="276"/>
        </w:trPr>
        <w:tc>
          <w:tcPr>
            <w:tcW w:w="4960" w:type="dxa"/>
            <w:tcBorders>
              <w:top w:val="nil"/>
              <w:left w:val="nil"/>
              <w:bottom w:val="nil"/>
              <w:right w:val="nil"/>
            </w:tcBorders>
            <w:shd w:val="clear" w:color="auto" w:fill="auto"/>
            <w:noWrap/>
            <w:vAlign w:val="center"/>
            <w:hideMark/>
          </w:tcPr>
          <w:p w14:paraId="3EB13D7D"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3090C478"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14:paraId="3CCE0430"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14:paraId="4683820C"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3768FD" w:rsidRPr="00C73365" w14:paraId="63F6EBE4" w14:textId="77777777" w:rsidTr="008F3083">
        <w:trPr>
          <w:trHeight w:val="276"/>
        </w:trPr>
        <w:tc>
          <w:tcPr>
            <w:tcW w:w="4960" w:type="dxa"/>
            <w:tcBorders>
              <w:top w:val="nil"/>
              <w:left w:val="nil"/>
              <w:bottom w:val="nil"/>
              <w:right w:val="nil"/>
            </w:tcBorders>
            <w:shd w:val="clear" w:color="auto" w:fill="auto"/>
            <w:noWrap/>
            <w:vAlign w:val="center"/>
            <w:hideMark/>
          </w:tcPr>
          <w:p w14:paraId="11313494"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27BAC77E"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14:paraId="4383E951"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14:paraId="369A9946"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3768FD" w:rsidRPr="00C73365" w14:paraId="705E0E59" w14:textId="77777777" w:rsidTr="008F3083">
        <w:trPr>
          <w:trHeight w:val="288"/>
        </w:trPr>
        <w:tc>
          <w:tcPr>
            <w:tcW w:w="4960" w:type="dxa"/>
            <w:tcBorders>
              <w:top w:val="nil"/>
              <w:left w:val="nil"/>
              <w:bottom w:val="single" w:sz="8" w:space="0" w:color="7030A0"/>
              <w:right w:val="nil"/>
            </w:tcBorders>
            <w:shd w:val="clear" w:color="auto" w:fill="auto"/>
            <w:noWrap/>
            <w:vAlign w:val="center"/>
            <w:hideMark/>
          </w:tcPr>
          <w:p w14:paraId="12C48563"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14:paraId="183DEE99"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14:paraId="1AF72FF0"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14:paraId="17F6C130"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3768FD" w:rsidRPr="00C73365" w14:paraId="172CB4DA" w14:textId="77777777" w:rsidTr="008F3083">
        <w:trPr>
          <w:trHeight w:val="288"/>
        </w:trPr>
        <w:tc>
          <w:tcPr>
            <w:tcW w:w="4960" w:type="dxa"/>
            <w:tcBorders>
              <w:top w:val="nil"/>
              <w:left w:val="nil"/>
              <w:bottom w:val="single" w:sz="8" w:space="0" w:color="7030A0"/>
              <w:right w:val="nil"/>
            </w:tcBorders>
            <w:shd w:val="clear" w:color="auto" w:fill="auto"/>
            <w:noWrap/>
            <w:vAlign w:val="center"/>
            <w:hideMark/>
          </w:tcPr>
          <w:p w14:paraId="63596A36" w14:textId="77777777"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14:paraId="784C7973" w14:textId="77777777"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14:paraId="28DC16D5" w14:textId="77777777"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14:paraId="1E64AC24" w14:textId="77777777"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3768FD" w:rsidRPr="00C73365" w14:paraId="79686923" w14:textId="77777777" w:rsidTr="008F3083">
        <w:trPr>
          <w:trHeight w:val="276"/>
        </w:trPr>
        <w:tc>
          <w:tcPr>
            <w:tcW w:w="4960" w:type="dxa"/>
            <w:tcBorders>
              <w:top w:val="nil"/>
              <w:left w:val="nil"/>
              <w:bottom w:val="nil"/>
              <w:right w:val="nil"/>
            </w:tcBorders>
            <w:shd w:val="clear" w:color="auto" w:fill="auto"/>
            <w:noWrap/>
            <w:vAlign w:val="center"/>
            <w:hideMark/>
          </w:tcPr>
          <w:p w14:paraId="2922C585" w14:textId="77777777"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14:paraId="36004D3E" w14:textId="77777777"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14:paraId="44A019C4" w14:textId="77777777"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14:paraId="4D0950AA" w14:textId="77777777" w:rsidR="003768FD" w:rsidRPr="00C73365" w:rsidRDefault="003768FD"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3768FD" w:rsidRPr="00C73365" w14:paraId="64B1DCCC" w14:textId="77777777" w:rsidTr="008F3083">
        <w:trPr>
          <w:trHeight w:val="276"/>
        </w:trPr>
        <w:tc>
          <w:tcPr>
            <w:tcW w:w="4960" w:type="dxa"/>
            <w:tcBorders>
              <w:top w:val="nil"/>
              <w:left w:val="nil"/>
              <w:bottom w:val="nil"/>
              <w:right w:val="nil"/>
            </w:tcBorders>
            <w:shd w:val="clear" w:color="auto" w:fill="auto"/>
            <w:noWrap/>
            <w:vAlign w:val="center"/>
            <w:hideMark/>
          </w:tcPr>
          <w:p w14:paraId="35966CAF"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14:paraId="66D450E9"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14:paraId="7A30E497"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14:paraId="40BE6EEA"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3768FD" w:rsidRPr="00C73365" w14:paraId="5E1A1CB1" w14:textId="77777777" w:rsidTr="008F3083">
        <w:trPr>
          <w:trHeight w:val="276"/>
        </w:trPr>
        <w:tc>
          <w:tcPr>
            <w:tcW w:w="4960" w:type="dxa"/>
            <w:tcBorders>
              <w:top w:val="nil"/>
              <w:left w:val="nil"/>
              <w:bottom w:val="nil"/>
              <w:right w:val="nil"/>
            </w:tcBorders>
            <w:shd w:val="clear" w:color="auto" w:fill="auto"/>
            <w:noWrap/>
            <w:vAlign w:val="center"/>
            <w:hideMark/>
          </w:tcPr>
          <w:p w14:paraId="16707D7E"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14:paraId="748AF627"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14:paraId="12123CE4"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14:paraId="60B6C115"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3768FD" w:rsidRPr="00C73365" w14:paraId="533338D1" w14:textId="77777777" w:rsidTr="008F3083">
        <w:trPr>
          <w:trHeight w:val="276"/>
        </w:trPr>
        <w:tc>
          <w:tcPr>
            <w:tcW w:w="4960" w:type="dxa"/>
            <w:tcBorders>
              <w:top w:val="nil"/>
              <w:left w:val="nil"/>
              <w:bottom w:val="nil"/>
              <w:right w:val="nil"/>
            </w:tcBorders>
            <w:shd w:val="clear" w:color="auto" w:fill="auto"/>
            <w:noWrap/>
            <w:vAlign w:val="center"/>
            <w:hideMark/>
          </w:tcPr>
          <w:p w14:paraId="2ACB98E1"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14:paraId="5FB4BCC3"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14:paraId="33BA7A8E"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14:paraId="13FC5AC7"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3768FD" w:rsidRPr="00C73365" w14:paraId="518234D6" w14:textId="77777777" w:rsidTr="008F3083">
        <w:trPr>
          <w:trHeight w:val="288"/>
        </w:trPr>
        <w:tc>
          <w:tcPr>
            <w:tcW w:w="4960" w:type="dxa"/>
            <w:tcBorders>
              <w:top w:val="nil"/>
              <w:left w:val="nil"/>
              <w:bottom w:val="single" w:sz="8" w:space="0" w:color="7030A0"/>
              <w:right w:val="nil"/>
            </w:tcBorders>
            <w:shd w:val="clear" w:color="auto" w:fill="auto"/>
            <w:noWrap/>
            <w:vAlign w:val="center"/>
            <w:hideMark/>
          </w:tcPr>
          <w:p w14:paraId="6F17906D"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14:paraId="760C9204"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14:paraId="5B4A9D5C"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14:paraId="5883C0A4"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3768FD" w:rsidRPr="00C73365" w14:paraId="758074CC" w14:textId="77777777" w:rsidTr="008F3083">
        <w:trPr>
          <w:trHeight w:val="288"/>
        </w:trPr>
        <w:tc>
          <w:tcPr>
            <w:tcW w:w="4960" w:type="dxa"/>
            <w:tcBorders>
              <w:top w:val="nil"/>
              <w:left w:val="nil"/>
              <w:bottom w:val="nil"/>
              <w:right w:val="nil"/>
            </w:tcBorders>
            <w:shd w:val="clear" w:color="auto" w:fill="auto"/>
            <w:noWrap/>
            <w:vAlign w:val="center"/>
            <w:hideMark/>
          </w:tcPr>
          <w:p w14:paraId="0B31C6BE" w14:textId="77777777"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14:paraId="0FA22811" w14:textId="77777777"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14:paraId="5AE7BAC3" w14:textId="77777777"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14:paraId="06F4B996" w14:textId="77777777"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3768FD" w:rsidRPr="00036317" w14:paraId="7987E854" w14:textId="77777777" w:rsidTr="008F3083">
        <w:trPr>
          <w:trHeight w:val="288"/>
        </w:trPr>
        <w:tc>
          <w:tcPr>
            <w:tcW w:w="4960" w:type="dxa"/>
            <w:tcBorders>
              <w:top w:val="single" w:sz="8" w:space="0" w:color="7030A0"/>
              <w:left w:val="nil"/>
              <w:bottom w:val="nil"/>
              <w:right w:val="nil"/>
            </w:tcBorders>
            <w:shd w:val="clear" w:color="auto" w:fill="auto"/>
            <w:noWrap/>
            <w:vAlign w:val="center"/>
            <w:hideMark/>
          </w:tcPr>
          <w:p w14:paraId="5C0DB6FC" w14:textId="77777777"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14:paraId="1531CB93" w14:textId="77777777"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14:paraId="325B7AB4" w14:textId="77777777"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14:paraId="7A7F1CFC" w14:textId="77777777" w:rsidR="003768FD" w:rsidRPr="00C73365" w:rsidRDefault="003768FD" w:rsidP="00A96CCA">
            <w:pPr>
              <w:spacing w:after="0"/>
              <w:jc w:val="right"/>
              <w:rPr>
                <w:rFonts w:asciiTheme="minorHAnsi" w:hAnsiTheme="minorHAnsi" w:cstheme="minorHAnsi"/>
                <w:szCs w:val="20"/>
                <w:lang w:val="fr-FR" w:eastAsia="fr-FR"/>
              </w:rPr>
            </w:pPr>
          </w:p>
        </w:tc>
      </w:tr>
      <w:tr w:rsidR="003768FD" w:rsidRPr="00C73365" w14:paraId="5ACCC41C" w14:textId="77777777" w:rsidTr="008F3083">
        <w:trPr>
          <w:trHeight w:val="276"/>
        </w:trPr>
        <w:tc>
          <w:tcPr>
            <w:tcW w:w="4960" w:type="dxa"/>
            <w:tcBorders>
              <w:top w:val="nil"/>
              <w:left w:val="nil"/>
              <w:bottom w:val="nil"/>
              <w:right w:val="nil"/>
            </w:tcBorders>
            <w:shd w:val="clear" w:color="auto" w:fill="auto"/>
            <w:noWrap/>
            <w:vAlign w:val="center"/>
            <w:hideMark/>
          </w:tcPr>
          <w:p w14:paraId="6DE8D739"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14:paraId="18959787"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14:paraId="3DE2C639"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14:paraId="3FDB4AAE"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3768FD" w:rsidRPr="00C73365" w14:paraId="00CF7199" w14:textId="77777777" w:rsidTr="008F3083">
        <w:trPr>
          <w:trHeight w:val="276"/>
        </w:trPr>
        <w:tc>
          <w:tcPr>
            <w:tcW w:w="4960" w:type="dxa"/>
            <w:tcBorders>
              <w:top w:val="nil"/>
              <w:left w:val="nil"/>
              <w:bottom w:val="nil"/>
              <w:right w:val="nil"/>
            </w:tcBorders>
            <w:shd w:val="clear" w:color="auto" w:fill="auto"/>
            <w:noWrap/>
            <w:vAlign w:val="center"/>
            <w:hideMark/>
          </w:tcPr>
          <w:p w14:paraId="7C8C4A46"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14:paraId="2D0A530C"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14:paraId="0020B154"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14:paraId="013F9F50"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3768FD" w:rsidRPr="00C73365" w14:paraId="258E2535" w14:textId="77777777" w:rsidTr="008F3083">
        <w:trPr>
          <w:trHeight w:val="276"/>
        </w:trPr>
        <w:tc>
          <w:tcPr>
            <w:tcW w:w="4960" w:type="dxa"/>
            <w:tcBorders>
              <w:top w:val="nil"/>
              <w:left w:val="nil"/>
              <w:bottom w:val="nil"/>
              <w:right w:val="nil"/>
            </w:tcBorders>
            <w:shd w:val="clear" w:color="auto" w:fill="auto"/>
            <w:noWrap/>
            <w:vAlign w:val="center"/>
            <w:hideMark/>
          </w:tcPr>
          <w:p w14:paraId="3145988B"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14:paraId="55F9CDC3"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14:paraId="6B578455"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14:paraId="177CB08F"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3768FD" w:rsidRPr="00C73365" w14:paraId="2539224B" w14:textId="77777777" w:rsidTr="008F3083">
        <w:trPr>
          <w:trHeight w:val="288"/>
        </w:trPr>
        <w:tc>
          <w:tcPr>
            <w:tcW w:w="4960" w:type="dxa"/>
            <w:tcBorders>
              <w:top w:val="nil"/>
              <w:left w:val="nil"/>
              <w:bottom w:val="single" w:sz="8" w:space="0" w:color="7030A0"/>
              <w:right w:val="nil"/>
            </w:tcBorders>
            <w:shd w:val="clear" w:color="auto" w:fill="auto"/>
            <w:noWrap/>
            <w:vAlign w:val="center"/>
            <w:hideMark/>
          </w:tcPr>
          <w:p w14:paraId="59363220"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14:paraId="0F2DE798"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14:paraId="6F1A7042"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14:paraId="64517D19"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3768FD" w:rsidRPr="00C73365" w14:paraId="1784F413" w14:textId="77777777" w:rsidTr="008F3083">
        <w:trPr>
          <w:trHeight w:val="288"/>
        </w:trPr>
        <w:tc>
          <w:tcPr>
            <w:tcW w:w="4960" w:type="dxa"/>
            <w:tcBorders>
              <w:top w:val="nil"/>
              <w:left w:val="nil"/>
              <w:bottom w:val="nil"/>
              <w:right w:val="nil"/>
            </w:tcBorders>
            <w:shd w:val="clear" w:color="auto" w:fill="auto"/>
            <w:noWrap/>
            <w:vAlign w:val="center"/>
            <w:hideMark/>
          </w:tcPr>
          <w:p w14:paraId="1BE5548A" w14:textId="77777777"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14:paraId="47E8FBF0" w14:textId="77777777"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14:paraId="5015FCCE" w14:textId="77777777"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14:paraId="769043C6" w14:textId="77777777"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3768FD" w:rsidRPr="00C73365" w14:paraId="49E2D9E5" w14:textId="77777777" w:rsidTr="008F3083">
        <w:trPr>
          <w:trHeight w:val="276"/>
        </w:trPr>
        <w:tc>
          <w:tcPr>
            <w:tcW w:w="4960" w:type="dxa"/>
            <w:tcBorders>
              <w:top w:val="single" w:sz="8" w:space="0" w:color="7030A0"/>
              <w:left w:val="nil"/>
              <w:bottom w:val="nil"/>
              <w:right w:val="nil"/>
            </w:tcBorders>
            <w:shd w:val="clear" w:color="auto" w:fill="auto"/>
            <w:noWrap/>
            <w:vAlign w:val="center"/>
            <w:hideMark/>
          </w:tcPr>
          <w:p w14:paraId="62943B2A" w14:textId="77777777"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14:paraId="6BAEB849" w14:textId="77777777"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14:paraId="28E0B64B" w14:textId="77777777"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14:paraId="4FBE12C4" w14:textId="77777777"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3768FD" w:rsidRPr="00C73365" w14:paraId="69D650A7" w14:textId="77777777" w:rsidTr="008F3083">
        <w:trPr>
          <w:trHeight w:val="288"/>
        </w:trPr>
        <w:tc>
          <w:tcPr>
            <w:tcW w:w="4960" w:type="dxa"/>
            <w:tcBorders>
              <w:top w:val="nil"/>
              <w:left w:val="nil"/>
              <w:bottom w:val="single" w:sz="8" w:space="0" w:color="7030A0"/>
              <w:right w:val="nil"/>
            </w:tcBorders>
            <w:shd w:val="clear" w:color="auto" w:fill="auto"/>
            <w:noWrap/>
            <w:vAlign w:val="center"/>
            <w:hideMark/>
          </w:tcPr>
          <w:p w14:paraId="1ECE073A" w14:textId="77777777"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14:paraId="60F7F829"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14:paraId="23F830A9"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14:paraId="036F8F3A" w14:textId="77777777"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3768FD" w:rsidRPr="00C73365" w14:paraId="497DC639" w14:textId="77777777" w:rsidTr="008F3083">
        <w:trPr>
          <w:trHeight w:val="288"/>
        </w:trPr>
        <w:tc>
          <w:tcPr>
            <w:tcW w:w="4960" w:type="dxa"/>
            <w:tcBorders>
              <w:top w:val="nil"/>
              <w:left w:val="nil"/>
              <w:bottom w:val="single" w:sz="8" w:space="0" w:color="7030A0"/>
              <w:right w:val="nil"/>
            </w:tcBorders>
            <w:shd w:val="clear" w:color="auto" w:fill="auto"/>
            <w:noWrap/>
            <w:vAlign w:val="center"/>
            <w:hideMark/>
          </w:tcPr>
          <w:p w14:paraId="5DE0F36D" w14:textId="77777777" w:rsidR="003768FD" w:rsidRPr="00C73365" w:rsidRDefault="003768FD"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14:paraId="19E797DB" w14:textId="77777777"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14:paraId="64B97EAE" w14:textId="77777777"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14:paraId="3B3DB60C" w14:textId="77777777"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14:paraId="792A46B4" w14:textId="77777777" w:rsidR="008F3083" w:rsidRPr="00C73365" w:rsidRDefault="008F3083">
      <w:pPr>
        <w:pStyle w:val="ConmainL2"/>
        <w:numPr>
          <w:ilvl w:val="0"/>
          <w:numId w:val="0"/>
        </w:numPr>
        <w:spacing w:after="0"/>
        <w:outlineLvl w:val="9"/>
        <w:rPr>
          <w:rFonts w:asciiTheme="minorHAnsi" w:hAnsiTheme="minorHAnsi" w:cstheme="minorHAnsi"/>
          <w:sz w:val="22"/>
          <w:szCs w:val="22"/>
          <w:lang w:val="fr-FR"/>
        </w:rPr>
      </w:pPr>
    </w:p>
    <w:p w14:paraId="65E76AF6" w14:textId="77777777" w:rsidR="008F3083" w:rsidRPr="00C73365" w:rsidRDefault="008F3083" w:rsidP="004572A0">
      <w:pPr>
        <w:pStyle w:val="Corpsdetexte"/>
        <w:rPr>
          <w:rFonts w:asciiTheme="minorHAnsi" w:hAnsiTheme="minorHAnsi" w:cstheme="minorHAnsi"/>
          <w:i/>
          <w:lang w:val="fr-FR"/>
        </w:rPr>
      </w:pPr>
      <w:r w:rsidRPr="00C73365">
        <w:rPr>
          <w:rFonts w:asciiTheme="minorHAnsi" w:hAnsiTheme="minorHAnsi" w:cstheme="minorHAnsi"/>
          <w:i/>
          <w:lang w:val="fr-FR"/>
        </w:rPr>
        <w:t>Les montants indiqués en Trésorerie correspondent aux Valeurs Mobilières de Placement et Disponibilités indiquées au Bilan</w:t>
      </w:r>
    </w:p>
    <w:p w14:paraId="79FF5E11" w14:textId="77777777" w:rsidR="008F3083" w:rsidRPr="00C93577" w:rsidRDefault="008F3083" w:rsidP="004572A0">
      <w:pPr>
        <w:pStyle w:val="Listepuces"/>
        <w:rPr>
          <w:rFonts w:asciiTheme="minorHAnsi" w:hAnsiTheme="minorHAnsi" w:cstheme="minorHAnsi"/>
          <w:lang w:val="fr-FR"/>
        </w:rPr>
      </w:pPr>
      <w:r w:rsidRPr="00C93577">
        <w:rPr>
          <w:rFonts w:asciiTheme="minorHAnsi" w:hAnsiTheme="minorHAnsi" w:cstheme="minorHAnsi"/>
          <w:lang w:val="fr-FR"/>
        </w:rPr>
        <w:t xml:space="preserve">La trésorerie financière nette déduction faite des dettes financières de 170 </w:t>
      </w:r>
      <w:r w:rsidR="00EF089C" w:rsidRPr="00C93577">
        <w:rPr>
          <w:rFonts w:asciiTheme="minorHAnsi" w:hAnsiTheme="minorHAnsi" w:cstheme="minorHAnsi"/>
          <w:lang w:val="fr-FR"/>
        </w:rPr>
        <w:t>K€</w:t>
      </w:r>
      <w:r w:rsidRPr="00C93577">
        <w:rPr>
          <w:rFonts w:asciiTheme="minorHAnsi" w:hAnsiTheme="minorHAnsi" w:cstheme="minorHAnsi"/>
          <w:lang w:val="fr-FR"/>
        </w:rPr>
        <w:t xml:space="preserve"> est de 16 862 </w:t>
      </w:r>
      <w:r w:rsidR="00EF089C" w:rsidRPr="00C93577">
        <w:rPr>
          <w:rFonts w:asciiTheme="minorHAnsi" w:hAnsiTheme="minorHAnsi" w:cstheme="minorHAnsi"/>
          <w:lang w:val="fr-FR"/>
        </w:rPr>
        <w:t>K€</w:t>
      </w:r>
    </w:p>
    <w:p w14:paraId="54C8B84C" w14:textId="77777777" w:rsidR="00F46C7B" w:rsidRPr="00C73365" w:rsidRDefault="00F46C7B" w:rsidP="00A96CCA">
      <w:pPr>
        <w:spacing w:after="0"/>
        <w:rPr>
          <w:rFonts w:asciiTheme="minorHAnsi" w:eastAsia="MS Mincho" w:hAnsiTheme="minorHAnsi" w:cstheme="minorHAnsi"/>
          <w:color w:val="7030A0"/>
          <w:sz w:val="18"/>
          <w:szCs w:val="22"/>
          <w:lang w:val="fr-FR" w:eastAsia="fr-FR"/>
        </w:rPr>
      </w:pPr>
    </w:p>
    <w:p w14:paraId="33531AD8" w14:textId="77777777" w:rsidR="00C0081E" w:rsidRPr="00C73365" w:rsidRDefault="00C0081E" w:rsidP="00A96CCA">
      <w:pPr>
        <w:spacing w:after="0"/>
        <w:rPr>
          <w:rFonts w:asciiTheme="minorHAnsi" w:eastAsia="MS Mincho" w:hAnsiTheme="minorHAnsi" w:cstheme="minorHAnsi"/>
          <w:color w:val="7030A0"/>
          <w:sz w:val="18"/>
          <w:szCs w:val="22"/>
          <w:lang w:val="fr-FR" w:eastAsia="fr-FR"/>
        </w:rPr>
      </w:pPr>
    </w:p>
    <w:p w14:paraId="1639A524" w14:textId="77777777" w:rsidR="00F46C7B" w:rsidRPr="00C73365" w:rsidRDefault="00F46C7B" w:rsidP="00A96CCA">
      <w:pPr>
        <w:spacing w:after="0"/>
        <w:rPr>
          <w:rFonts w:asciiTheme="minorHAnsi" w:eastAsia="MS Mincho" w:hAnsiTheme="minorHAnsi" w:cstheme="minorHAnsi"/>
          <w:b/>
          <w:color w:val="7030A0"/>
          <w:szCs w:val="20"/>
          <w:lang w:val="fr-FR" w:eastAsia="fr-FR"/>
        </w:rPr>
      </w:pPr>
    </w:p>
    <w:p w14:paraId="3C81134C" w14:textId="77777777" w:rsidR="00F46C7B" w:rsidRPr="00C73365" w:rsidRDefault="00F46C7B" w:rsidP="00A96CCA">
      <w:pPr>
        <w:spacing w:after="0"/>
        <w:rPr>
          <w:rFonts w:asciiTheme="minorHAnsi" w:eastAsia="MS Mincho" w:hAnsiTheme="minorHAnsi" w:cstheme="minorHAnsi"/>
          <w:b/>
          <w:color w:val="7030A0"/>
          <w:szCs w:val="20"/>
          <w:lang w:val="fr-FR" w:eastAsia="fr-FR"/>
        </w:rPr>
      </w:pPr>
    </w:p>
    <w:p w14:paraId="3ECE0D72" w14:textId="77777777" w:rsidR="002D249A" w:rsidRPr="00C73365" w:rsidRDefault="002D249A" w:rsidP="00A96CCA">
      <w:pPr>
        <w:spacing w:after="0"/>
        <w:rPr>
          <w:rFonts w:asciiTheme="minorHAnsi" w:eastAsia="MS Mincho" w:hAnsiTheme="minorHAnsi" w:cstheme="minorHAnsi"/>
          <w:b/>
          <w:color w:val="7030A0"/>
          <w:szCs w:val="20"/>
          <w:lang w:val="fr-FR" w:eastAsia="fr-FR"/>
        </w:rPr>
      </w:pPr>
    </w:p>
    <w:p w14:paraId="01E6A928" w14:textId="77777777" w:rsidR="002D249A" w:rsidRPr="00C73365" w:rsidRDefault="002D249A" w:rsidP="00A96CCA">
      <w:pPr>
        <w:spacing w:after="0"/>
        <w:rPr>
          <w:rFonts w:asciiTheme="minorHAnsi" w:eastAsia="MS Mincho" w:hAnsiTheme="minorHAnsi" w:cstheme="minorHAnsi"/>
          <w:b/>
          <w:color w:val="7030A0"/>
          <w:szCs w:val="20"/>
          <w:lang w:val="fr-FR" w:eastAsia="fr-FR"/>
        </w:rPr>
      </w:pPr>
    </w:p>
    <w:p w14:paraId="08F415BD" w14:textId="77777777" w:rsidR="002D249A" w:rsidRPr="00C73365" w:rsidRDefault="002D249A" w:rsidP="00A96CCA">
      <w:pPr>
        <w:spacing w:after="0"/>
        <w:rPr>
          <w:rFonts w:asciiTheme="minorHAnsi" w:eastAsia="MS Mincho" w:hAnsiTheme="minorHAnsi" w:cstheme="minorHAnsi"/>
          <w:b/>
          <w:color w:val="7030A0"/>
          <w:szCs w:val="20"/>
          <w:lang w:val="fr-FR" w:eastAsia="fr-FR"/>
        </w:rPr>
      </w:pPr>
    </w:p>
    <w:p w14:paraId="16F29B9A" w14:textId="77777777" w:rsidR="002D249A" w:rsidRPr="00C73365" w:rsidRDefault="002D249A" w:rsidP="00A96CCA">
      <w:pPr>
        <w:spacing w:after="0"/>
        <w:rPr>
          <w:rFonts w:asciiTheme="minorHAnsi" w:eastAsia="MS Mincho" w:hAnsiTheme="minorHAnsi" w:cstheme="minorHAnsi"/>
          <w:b/>
          <w:color w:val="7030A0"/>
          <w:szCs w:val="20"/>
          <w:lang w:val="fr-FR" w:eastAsia="fr-FR"/>
        </w:rPr>
      </w:pPr>
    </w:p>
    <w:p w14:paraId="7448264B" w14:textId="77777777" w:rsidR="002D249A" w:rsidRPr="00C73365" w:rsidRDefault="002D249A" w:rsidP="00A96CCA">
      <w:pPr>
        <w:spacing w:after="0"/>
        <w:rPr>
          <w:rFonts w:asciiTheme="minorHAnsi" w:eastAsia="MS Mincho" w:hAnsiTheme="minorHAnsi" w:cstheme="minorHAnsi"/>
          <w:b/>
          <w:color w:val="7030A0"/>
          <w:szCs w:val="20"/>
          <w:lang w:val="fr-FR" w:eastAsia="fr-FR"/>
        </w:rPr>
      </w:pPr>
    </w:p>
    <w:p w14:paraId="0EF20785" w14:textId="77777777" w:rsidR="00F46C7B" w:rsidRPr="00C73365" w:rsidRDefault="00F46C7B" w:rsidP="00A96CCA">
      <w:pPr>
        <w:spacing w:after="0"/>
        <w:rPr>
          <w:rFonts w:asciiTheme="minorHAnsi" w:eastAsia="MS Mincho" w:hAnsiTheme="minorHAnsi" w:cstheme="minorHAnsi"/>
          <w:b/>
          <w:color w:val="7030A0"/>
          <w:szCs w:val="20"/>
          <w:lang w:val="fr-FR" w:eastAsia="fr-FR"/>
        </w:rPr>
      </w:pPr>
    </w:p>
    <w:p w14:paraId="76172359" w14:textId="77777777" w:rsidR="00F46C7B" w:rsidRPr="00C73365" w:rsidRDefault="00F46C7B" w:rsidP="00A96CCA">
      <w:pPr>
        <w:spacing w:after="0"/>
        <w:rPr>
          <w:rFonts w:asciiTheme="minorHAnsi" w:eastAsia="MS Mincho" w:hAnsiTheme="minorHAnsi" w:cstheme="minorHAnsi"/>
          <w:b/>
          <w:color w:val="7030A0"/>
          <w:szCs w:val="20"/>
          <w:lang w:val="fr-FR" w:eastAsia="fr-FR"/>
        </w:rPr>
      </w:pPr>
    </w:p>
    <w:p w14:paraId="70B409B6" w14:textId="77777777" w:rsidR="00F46C7B" w:rsidRPr="00C73365" w:rsidRDefault="00F46C7B" w:rsidP="00A96CCA">
      <w:pPr>
        <w:spacing w:after="0"/>
        <w:rPr>
          <w:rFonts w:asciiTheme="minorHAnsi" w:eastAsia="MS Mincho" w:hAnsiTheme="minorHAnsi" w:cstheme="minorHAnsi"/>
          <w:b/>
          <w:color w:val="7030A0"/>
          <w:szCs w:val="20"/>
          <w:lang w:val="fr-FR" w:eastAsia="fr-FR"/>
        </w:rPr>
      </w:pPr>
    </w:p>
    <w:p w14:paraId="45E57909" w14:textId="77777777" w:rsidR="00F46C7B" w:rsidRPr="00C73365" w:rsidRDefault="00F46C7B" w:rsidP="00A96CCA">
      <w:pPr>
        <w:spacing w:after="0"/>
        <w:rPr>
          <w:rFonts w:asciiTheme="minorHAnsi" w:eastAsia="MS Mincho" w:hAnsiTheme="minorHAnsi" w:cstheme="minorHAnsi"/>
          <w:b/>
          <w:color w:val="7030A0"/>
          <w:szCs w:val="20"/>
          <w:lang w:val="fr-FR" w:eastAsia="fr-FR"/>
        </w:rPr>
      </w:pPr>
    </w:p>
    <w:p w14:paraId="0F613A18" w14:textId="77777777" w:rsidR="006C036C" w:rsidRPr="00C73365" w:rsidRDefault="00516F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NOT</w:t>
      </w:r>
      <w:r w:rsidR="00F46C7B" w:rsidRPr="00C73365">
        <w:rPr>
          <w:rFonts w:asciiTheme="minorHAnsi" w:eastAsia="MS Mincho" w:hAnsiTheme="minorHAnsi" w:cstheme="minorHAnsi"/>
          <w:b/>
          <w:lang w:val="fr-FR" w:eastAsia="fr-FR"/>
        </w:rPr>
        <w:t>E 1 : LA SOCIETE</w:t>
      </w:r>
    </w:p>
    <w:p w14:paraId="1FFE6CCF" w14:textId="77777777" w:rsidR="00C73365" w:rsidRPr="00C73365" w:rsidRDefault="00C73365" w:rsidP="00C73365">
      <w:pPr>
        <w:pStyle w:val="Listecontinue2"/>
        <w:ind w:left="0"/>
        <w:rPr>
          <w:rFonts w:asciiTheme="minorHAnsi" w:hAnsiTheme="minorHAnsi" w:cstheme="minorHAnsi"/>
          <w:lang w:val="fr-FR"/>
        </w:rPr>
      </w:pPr>
      <w:r w:rsidRPr="00C73365">
        <w:rPr>
          <w:rFonts w:asciiTheme="minorHAnsi" w:hAnsiTheme="minorHAnsi" w:cstheme="minorHAnsi"/>
          <w:lang w:val="fr-FR"/>
        </w:rPr>
        <w:t>ABIVAX est une société innovante de biotechnologie qui cible le système immunitaire pour éliminer les maladies virales, les maladies inflammatoires et le cancer.</w:t>
      </w:r>
    </w:p>
    <w:p w14:paraId="7EA0FC9D" w14:textId="77777777" w:rsidR="00C73365" w:rsidRPr="00C73365" w:rsidRDefault="00C73365" w:rsidP="00C73365">
      <w:pPr>
        <w:pStyle w:val="Listecontinue2"/>
        <w:ind w:left="0"/>
        <w:rPr>
          <w:rFonts w:asciiTheme="minorHAnsi" w:hAnsiTheme="minorHAnsi" w:cstheme="minorHAnsi"/>
          <w:lang w:val="fr-FR"/>
        </w:rPr>
      </w:pPr>
      <w:r w:rsidRPr="00C73365">
        <w:rPr>
          <w:rFonts w:asciiTheme="minorHAnsi" w:hAnsiTheme="minorHAnsi" w:cstheme="minorHAnsi"/>
          <w:lang w:val="fr-FR"/>
        </w:rPr>
        <w:t>Les produits antiviraux et les immunothérapies que développe ABIVAX sont issus de trois plateformes technologiques propriétaires :</w:t>
      </w:r>
    </w:p>
    <w:p w14:paraId="010814D1" w14:textId="77777777" w:rsidR="00C73365" w:rsidRPr="00C73365" w:rsidRDefault="00C73365" w:rsidP="00434C49">
      <w:pPr>
        <w:pStyle w:val="Liste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Appelnotedebasdep"/>
          <w:rFonts w:asciiTheme="minorHAnsi" w:hAnsiTheme="minorHAnsi" w:cstheme="minorHAnsi"/>
          <w:b/>
          <w:color w:val="7030A0"/>
        </w:rPr>
        <w:footnoteReference w:id="20"/>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des technologies mises au point conjointement avec le CNRS (Montpellier-France) et l’Institut Curie (Orsay-France). Cette plateforme a généré une chimiothèque de plus de 1 200 petites molécules conçues pour bloquer les mécanismes de reproduction des virus grâce à des modes d’action nouveaux, ciblant la biogénèse des ARN. En plus d’ABX464, cette plateforme a généré différentes molécules ciblant d’autres virus comme le Chikungunya, le Virus Respiratoire Syncitial ou la Dengue avec des premières molécules actives identifiées.</w:t>
      </w:r>
    </w:p>
    <w:p w14:paraId="2E133A1E" w14:textId="77777777" w:rsidR="00C73365" w:rsidRPr="00C73365" w:rsidRDefault="00C73365" w:rsidP="00434C49">
      <w:pPr>
        <w:pStyle w:val="Liste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21"/>
      </w:r>
      <w:r w:rsidRPr="00C73365">
        <w:rPr>
          <w:rFonts w:asciiTheme="minorHAnsi" w:hAnsiTheme="minorHAnsi" w:cstheme="minorHAnsi"/>
          <w:b/>
          <w:color w:val="7030A0"/>
          <w:lang w:val="fr-FR"/>
        </w:rPr>
        <w:t xml:space="preserve"> </w:t>
      </w:r>
      <w:r w:rsidRPr="00C73365">
        <w:rPr>
          <w:rFonts w:asciiTheme="minorHAnsi" w:hAnsiTheme="minorHAnsi" w:cstheme="minorHAnsi"/>
          <w:lang w:val="fr-FR"/>
        </w:rPr>
        <w:t>fondée sur une propriété intellectuelle licenciée auprès du Scripps Research Institute (La Jolla, Etats-Unis). Celle-ci s’intéresse à des composés agonistes des « iNKT » qui peuvent stimuler la réponse immunitaire au niveau humoral et cellulaire, et qui ont potentiellement des applications cliniques en oncologie et dans le domaine des maladies infectieuses. Le produit cible ABX196 a déjà démontré son innocuité dans une étude de Phase 1 sur des volontaires sains. Dans un développement préclinique récent, ABX196 a démontré sa capacité à faire évoluer les tumeurs non répondantes au traitement par ‘checkpoint inhibitors’ en tumeurs répondantes. ABIVAX n’ayant pas vocation stratégique à devenir une société présente en immuno-oncologie, vise à développer cette molécule avec le support d’un partenaire externe, dès lors que les premiers résultats cliniques d’efficacité auront été obtenus dans l’hépatocarcinome avancé.</w:t>
      </w:r>
    </w:p>
    <w:p w14:paraId="32A96079" w14:textId="77777777" w:rsidR="00C73365" w:rsidRPr="00C73365" w:rsidRDefault="00C73365" w:rsidP="00434C49">
      <w:pPr>
        <w:pStyle w:val="Liste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Appelnotedebasdep"/>
          <w:rFonts w:asciiTheme="minorHAnsi" w:hAnsiTheme="minorHAnsi" w:cstheme="minorHAnsi"/>
          <w:b/>
          <w:color w:val="7030A0"/>
        </w:rPr>
        <w:footnoteReference w:id="22"/>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 xml:space="preserve">basée sur la génération d’anticorps neutralisants afin de traiter et prévenir les infections dues au virus Ebola. La molécule ABX544, produit cible, est un cours de développement préclinique. </w:t>
      </w:r>
    </w:p>
    <w:p w14:paraId="26E6E38E" w14:textId="77777777" w:rsidR="00C73365" w:rsidRPr="00C73365" w:rsidRDefault="00C73365" w:rsidP="00C73365">
      <w:pPr>
        <w:pStyle w:val="Corpsdetexte"/>
        <w:rPr>
          <w:rFonts w:asciiTheme="minorHAnsi" w:hAnsiTheme="minorHAnsi" w:cstheme="minorHAnsi"/>
          <w:lang w:val="fr-FR"/>
        </w:rPr>
      </w:pPr>
      <w:r w:rsidRPr="00C73365">
        <w:rPr>
          <w:rFonts w:asciiTheme="minorHAnsi" w:hAnsiTheme="minorHAnsi" w:cstheme="minorHAnsi"/>
          <w:lang w:val="fr-FR"/>
        </w:rPr>
        <w:t xml:space="preserve">ABIVAX mène ses activités de R&amp;D principalement à Montpellier et possède son siège à Paris. Elle compte environ 25 collaborateurs sur les deux sites. L’équipe dirigeante d’ABIVAX bénéficie d’une grande expérience dans le développement et la commercialisation de produits biopharmaceutiques sur les maladies infectieuses et les antiviraux. La Société dispose en outre d’un comité scientifique de renommée internationale, composé d’experts ainsi que d’un conseil d’administration constitué de membres avec une solide expérience acquise au sein de grands laboratoires pharmaceutiques et de fabricants internationaux de vaccins. </w:t>
      </w:r>
    </w:p>
    <w:p w14:paraId="02B47566" w14:textId="77777777" w:rsidR="00C73365" w:rsidRPr="00C73365" w:rsidRDefault="00C73365" w:rsidP="004572A0">
      <w:pPr>
        <w:pStyle w:val="Corpsdetexte"/>
        <w:rPr>
          <w:rFonts w:asciiTheme="minorHAnsi" w:eastAsia="MS Mincho" w:hAnsiTheme="minorHAnsi" w:cstheme="minorHAnsi"/>
          <w:highlight w:val="cyan"/>
          <w:lang w:val="fr-FR" w:eastAsia="fr-FR"/>
        </w:rPr>
        <w:sectPr w:rsidR="00C73365" w:rsidRPr="00C73365" w:rsidSect="007C607C">
          <w:headerReference w:type="even" r:id="rId84"/>
          <w:footerReference w:type="even" r:id="rId85"/>
          <w:pgSz w:w="11906" w:h="16838"/>
          <w:pgMar w:top="1134" w:right="1134" w:bottom="1134" w:left="1134" w:header="709" w:footer="709" w:gutter="0"/>
          <w:cols w:space="708"/>
          <w:docGrid w:linePitch="360"/>
        </w:sectPr>
      </w:pPr>
    </w:p>
    <w:p w14:paraId="60088BBA" w14:textId="77777777" w:rsidR="00F46C7B" w:rsidRPr="00C73365" w:rsidRDefault="00F46C7B" w:rsidP="00A96CCA">
      <w:pPr>
        <w:pStyle w:val="Default"/>
        <w:jc w:val="both"/>
        <w:rPr>
          <w:rFonts w:asciiTheme="minorHAnsi" w:hAnsiTheme="minorHAnsi" w:cstheme="minorHAnsi"/>
          <w:color w:val="000000" w:themeColor="text1"/>
          <w:sz w:val="20"/>
          <w:szCs w:val="20"/>
          <w:lang w:val="fr-FR"/>
        </w:rPr>
        <w:sectPr w:rsidR="00F46C7B" w:rsidRPr="00C73365" w:rsidSect="007C607C">
          <w:type w:val="continuous"/>
          <w:pgSz w:w="11906" w:h="16838"/>
          <w:pgMar w:top="1134" w:right="1134" w:bottom="1134" w:left="1134" w:header="709" w:footer="709" w:gutter="0"/>
          <w:cols w:num="2" w:space="397"/>
          <w:docGrid w:linePitch="360"/>
        </w:sectPr>
      </w:pPr>
    </w:p>
    <w:p w14:paraId="42E55393" w14:textId="77777777" w:rsidR="00F46C7B" w:rsidRPr="00C73365" w:rsidRDefault="00F46C7B" w:rsidP="00A96CCA">
      <w:pPr>
        <w:pStyle w:val="Default"/>
        <w:jc w:val="both"/>
        <w:rPr>
          <w:rFonts w:asciiTheme="minorHAnsi" w:hAnsiTheme="minorHAnsi" w:cstheme="minorHAnsi"/>
          <w:color w:val="000000" w:themeColor="text1"/>
          <w:sz w:val="20"/>
          <w:szCs w:val="20"/>
          <w:lang w:val="fr-FR"/>
        </w:rPr>
        <w:sectPr w:rsidR="00F46C7B" w:rsidRPr="00C73365" w:rsidSect="007C607C">
          <w:type w:val="continuous"/>
          <w:pgSz w:w="11906" w:h="16838"/>
          <w:pgMar w:top="1134" w:right="1134" w:bottom="1134" w:left="1134" w:header="709" w:footer="709" w:gutter="0"/>
          <w:cols w:num="2" w:space="708"/>
          <w:docGrid w:linePitch="360"/>
        </w:sectPr>
      </w:pPr>
    </w:p>
    <w:p w14:paraId="72C3FDE6"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14:paraId="63F0560A"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708"/>
          <w:docGrid w:linePitch="360"/>
        </w:sectPr>
      </w:pPr>
    </w:p>
    <w:p w14:paraId="1621B6A5" w14:textId="77777777" w:rsidR="00F46C7B" w:rsidRPr="00C73365" w:rsidRDefault="00F46C7B" w:rsidP="00A96CCA">
      <w:pPr>
        <w:spacing w:after="0"/>
        <w:rPr>
          <w:rFonts w:asciiTheme="minorHAnsi" w:eastAsia="MS Mincho" w:hAnsiTheme="minorHAnsi" w:cstheme="minorHAnsi"/>
          <w:b/>
          <w:color w:val="7030A0"/>
          <w:sz w:val="28"/>
          <w:szCs w:val="20"/>
          <w:lang w:val="fr-FR" w:eastAsia="fr-FR"/>
        </w:rPr>
      </w:pPr>
      <w:r w:rsidRPr="00C73365">
        <w:rPr>
          <w:rFonts w:asciiTheme="minorHAnsi" w:eastAsia="MS Mincho" w:hAnsiTheme="minorHAnsi" w:cstheme="minorHAnsi"/>
          <w:b/>
          <w:color w:val="7030A0"/>
          <w:sz w:val="28"/>
          <w:szCs w:val="20"/>
          <w:lang w:val="fr-FR" w:eastAsia="fr-FR"/>
        </w:rPr>
        <w:br w:type="page"/>
      </w:r>
    </w:p>
    <w:p w14:paraId="266898D5"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2 : PRINCIPES, REGLES ET METHODES COMPTABLES</w:t>
      </w:r>
    </w:p>
    <w:p w14:paraId="15BBE266"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63E90D50"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7EB0A0FB"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comptes annuels de la société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pour l’exercice de douze mois se terminant le 31 Décembre </w:t>
      </w:r>
      <w:r w:rsidR="00A46927"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ont été arrêtés le </w:t>
      </w:r>
      <w:r w:rsidR="00A46927" w:rsidRPr="00C73365">
        <w:rPr>
          <w:rFonts w:asciiTheme="minorHAnsi" w:eastAsia="MS Mincho" w:hAnsiTheme="minorHAnsi" w:cstheme="minorHAnsi"/>
          <w:lang w:val="fr-FR" w:eastAsia="fr-FR"/>
        </w:rPr>
        <w:t xml:space="preserve">15 </w:t>
      </w:r>
      <w:r w:rsidRPr="00C73365">
        <w:rPr>
          <w:rFonts w:asciiTheme="minorHAnsi" w:eastAsia="MS Mincho" w:hAnsiTheme="minorHAnsi" w:cstheme="minorHAnsi"/>
          <w:lang w:val="fr-FR" w:eastAsia="fr-FR"/>
        </w:rPr>
        <w:t xml:space="preserve">mars </w:t>
      </w:r>
      <w:r w:rsidR="00A46927" w:rsidRPr="00C73365">
        <w:rPr>
          <w:rFonts w:asciiTheme="minorHAnsi" w:eastAsia="MS Mincho" w:hAnsiTheme="minorHAnsi" w:cstheme="minorHAnsi"/>
          <w:lang w:val="fr-FR" w:eastAsia="fr-FR"/>
        </w:rPr>
        <w:t xml:space="preserve">2018 </w:t>
      </w:r>
      <w:r w:rsidRPr="00C73365">
        <w:rPr>
          <w:rFonts w:asciiTheme="minorHAnsi" w:eastAsia="MS Mincho" w:hAnsiTheme="minorHAnsi" w:cstheme="minorHAnsi"/>
          <w:lang w:val="fr-FR" w:eastAsia="fr-FR"/>
        </w:rPr>
        <w:t>par le Conseil d’Administration</w:t>
      </w:r>
      <w:r w:rsidR="00A46927" w:rsidRPr="00C73365">
        <w:rPr>
          <w:rFonts w:asciiTheme="minorHAnsi" w:eastAsia="MS Mincho" w:hAnsiTheme="minorHAnsi" w:cstheme="minorHAnsi"/>
          <w:lang w:val="fr-FR" w:eastAsia="fr-FR"/>
        </w:rPr>
        <w:t xml:space="preserve"> et seront soumis à l’approbation de l’Assemblée Générale des actionnaires convoquée le 15 juin 2018.</w:t>
      </w:r>
      <w:r w:rsidRPr="00C73365">
        <w:rPr>
          <w:rFonts w:asciiTheme="minorHAnsi" w:eastAsia="MS Mincho" w:hAnsiTheme="minorHAnsi" w:cstheme="minorHAnsi"/>
          <w:lang w:val="fr-FR" w:eastAsia="fr-FR"/>
        </w:rPr>
        <w:t xml:space="preserve"> </w:t>
      </w:r>
    </w:p>
    <w:p w14:paraId="591CC51A"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Ces comptes sont composés d’un bilan dont le total est de </w:t>
      </w:r>
      <w:r w:rsidR="00A46927" w:rsidRPr="00C73365">
        <w:rPr>
          <w:rFonts w:asciiTheme="minorHAnsi" w:eastAsia="MS Mincho" w:hAnsiTheme="minorHAnsi" w:cstheme="minorHAnsi"/>
          <w:lang w:val="fr-FR" w:eastAsia="fr-FR"/>
        </w:rPr>
        <w:t>53</w:t>
      </w:r>
      <w:r w:rsidR="00463F98" w:rsidRPr="00C73365">
        <w:rPr>
          <w:rFonts w:asciiTheme="minorHAnsi" w:eastAsia="MS Mincho" w:hAnsiTheme="minorHAnsi" w:cstheme="minorHAnsi"/>
          <w:lang w:val="fr-FR" w:eastAsia="fr-FR"/>
        </w:rPr>
        <w:t xml:space="preserve"> </w:t>
      </w:r>
      <w:r w:rsidR="00A46927" w:rsidRPr="00C73365">
        <w:rPr>
          <w:rFonts w:asciiTheme="minorHAnsi" w:eastAsia="MS Mincho" w:hAnsiTheme="minorHAnsi" w:cstheme="minorHAnsi"/>
          <w:lang w:val="fr-FR" w:eastAsia="fr-FR"/>
        </w:rPr>
        <w:t xml:space="preserve">815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d’un compte de résultat faisant apparaître une perte de </w:t>
      </w:r>
      <w:r w:rsidR="00A46927" w:rsidRPr="00C73365">
        <w:rPr>
          <w:rFonts w:asciiTheme="minorHAnsi" w:eastAsia="MS Mincho" w:hAnsiTheme="minorHAnsi" w:cstheme="minorHAnsi"/>
          <w:lang w:val="fr-FR" w:eastAsia="fr-FR"/>
        </w:rPr>
        <w:t xml:space="preserve">11 223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d’un tableau des flux de trésorerie, d’un tableau de variation des capitaux propres et de l’annexe regroupant les présentes notes d’information complémentaires.</w:t>
      </w:r>
    </w:p>
    <w:p w14:paraId="3FC26377"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comptes annuels sont présentés en milliers d’euros. Sauf mention contraire, les informations chiffrées fournies en annexe sont exprimées en milliers d’euros.</w:t>
      </w:r>
    </w:p>
    <w:p w14:paraId="1F6EB116"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Règles générales</w:t>
      </w:r>
    </w:p>
    <w:p w14:paraId="748C5F32"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comptes annuels </w:t>
      </w:r>
      <w:r w:rsidR="00A46927"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ont été établis selon les normes définies par le Règlement ANC n°2014-03, et en application des articles L. 123-12 à L. 123-28 et R. 123-172 à R. 123-208 du code de commerce.</w:t>
      </w:r>
    </w:p>
    <w:p w14:paraId="482D08EF"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méthode de base retenue pour l’évaluation des éléments inscrits en comptabilité est la méthode des coûts historiques.</w:t>
      </w:r>
    </w:p>
    <w:p w14:paraId="02BC97C3"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conventions comptables ont été appliquées avec sincérité dans le respect du principe de prudence, conformément aux hypothèses de base : </w:t>
      </w:r>
    </w:p>
    <w:p w14:paraId="1816CCA3" w14:textId="77777777" w:rsidR="00F46C7B" w:rsidRPr="00C73365" w:rsidRDefault="00F46C7B" w:rsidP="004572A0">
      <w:pPr>
        <w:pStyle w:val="Listepuces"/>
        <w:rPr>
          <w:rFonts w:asciiTheme="minorHAnsi" w:hAnsiTheme="minorHAnsi" w:cstheme="minorHAnsi"/>
        </w:rPr>
      </w:pPr>
      <w:r w:rsidRPr="00C73365">
        <w:rPr>
          <w:rFonts w:asciiTheme="minorHAnsi" w:hAnsiTheme="minorHAnsi" w:cstheme="minorHAnsi"/>
        </w:rPr>
        <w:t>Continuité de l’exploitation,</w:t>
      </w:r>
    </w:p>
    <w:p w14:paraId="3DB556EB" w14:textId="77777777" w:rsidR="00F46C7B" w:rsidRPr="00C73365" w:rsidRDefault="00F46C7B" w:rsidP="00A96CCA">
      <w:pPr>
        <w:spacing w:after="0"/>
        <w:ind w:right="-2"/>
        <w:rPr>
          <w:rFonts w:asciiTheme="minorHAnsi" w:eastAsia="MS Mincho" w:hAnsiTheme="minorHAnsi" w:cstheme="minorHAnsi"/>
          <w:szCs w:val="20"/>
          <w:lang w:val="fr-FR" w:eastAsia="fr-FR"/>
        </w:rPr>
      </w:pPr>
    </w:p>
    <w:p w14:paraId="70D44DB5"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L’hypothèse de la continuité d’exploitation a été retenue par le Conseil d’Administration malgré les pertes accumulées depuis la création de la société. </w:t>
      </w:r>
    </w:p>
    <w:p w14:paraId="1BB61EE1"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trésorerie </w:t>
      </w:r>
      <w:r w:rsidR="00B12C1C" w:rsidRPr="00C73365">
        <w:rPr>
          <w:rFonts w:asciiTheme="minorHAnsi" w:eastAsia="MS Mincho" w:hAnsiTheme="minorHAnsi" w:cstheme="minorHAnsi"/>
          <w:lang w:val="fr-FR" w:eastAsia="fr-FR"/>
        </w:rPr>
        <w:t>disponible</w:t>
      </w:r>
      <w:r w:rsidR="00242E3B"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au 31 Décembre 201</w:t>
      </w:r>
      <w:r w:rsidR="00A46927" w:rsidRPr="00C73365">
        <w:rPr>
          <w:rFonts w:asciiTheme="minorHAnsi" w:eastAsia="MS Mincho" w:hAnsiTheme="minorHAnsi" w:cstheme="minorHAnsi"/>
          <w:lang w:val="fr-FR" w:eastAsia="fr-FR"/>
        </w:rPr>
        <w:t>7</w:t>
      </w:r>
      <w:r w:rsidRPr="00C73365">
        <w:rPr>
          <w:rFonts w:asciiTheme="minorHAnsi" w:eastAsia="MS Mincho" w:hAnsiTheme="minorHAnsi" w:cstheme="minorHAnsi"/>
          <w:lang w:val="fr-FR" w:eastAsia="fr-FR"/>
        </w:rPr>
        <w:t xml:space="preserve"> </w:t>
      </w:r>
      <w:r w:rsidR="00C73365">
        <w:rPr>
          <w:rFonts w:asciiTheme="minorHAnsi" w:eastAsia="MS Mincho" w:hAnsiTheme="minorHAnsi" w:cstheme="minorHAnsi"/>
          <w:lang w:val="fr-FR" w:eastAsia="fr-FR"/>
        </w:rPr>
        <w:t xml:space="preserve">combinée avec la ligne de financement en fonds propres de Kepler Cheuvreux </w:t>
      </w:r>
      <w:r w:rsidRPr="00C73365">
        <w:rPr>
          <w:rFonts w:asciiTheme="minorHAnsi" w:eastAsia="MS Mincho" w:hAnsiTheme="minorHAnsi" w:cstheme="minorHAnsi"/>
          <w:lang w:val="fr-FR" w:eastAsia="fr-FR"/>
        </w:rPr>
        <w:t xml:space="preserve">permettra de couvrir les dépenses relatives aux projets de recherche de la société jusqu’à </w:t>
      </w:r>
      <w:r w:rsidR="00693B3E" w:rsidRPr="00C73365">
        <w:rPr>
          <w:rFonts w:asciiTheme="minorHAnsi" w:eastAsia="MS Mincho" w:hAnsiTheme="minorHAnsi" w:cstheme="minorHAnsi"/>
          <w:lang w:val="fr-FR" w:eastAsia="fr-FR"/>
        </w:rPr>
        <w:t>mi</w:t>
      </w:r>
      <w:r w:rsidR="00EE4F61" w:rsidRPr="00C73365">
        <w:rPr>
          <w:rFonts w:asciiTheme="minorHAnsi" w:eastAsia="MS Mincho" w:hAnsiTheme="minorHAnsi" w:cstheme="minorHAnsi"/>
          <w:lang w:val="fr-FR" w:eastAsia="fr-FR"/>
        </w:rPr>
        <w:t>-</w:t>
      </w:r>
      <w:r w:rsidR="00A46927" w:rsidRPr="00C73365">
        <w:rPr>
          <w:rFonts w:asciiTheme="minorHAnsi" w:eastAsia="MS Mincho" w:hAnsiTheme="minorHAnsi" w:cstheme="minorHAnsi"/>
          <w:lang w:val="fr-FR" w:eastAsia="fr-FR"/>
        </w:rPr>
        <w:t>2019</w:t>
      </w:r>
      <w:r w:rsidRPr="00C73365">
        <w:rPr>
          <w:rFonts w:asciiTheme="minorHAnsi" w:eastAsia="MS Mincho" w:hAnsiTheme="minorHAnsi" w:cstheme="minorHAnsi"/>
          <w:lang w:val="fr-FR" w:eastAsia="fr-FR"/>
        </w:rPr>
        <w:t>.</w:t>
      </w:r>
    </w:p>
    <w:p w14:paraId="34CB569C" w14:textId="77777777" w:rsidR="00F46C7B" w:rsidRPr="00C93577" w:rsidRDefault="00F46C7B" w:rsidP="004572A0">
      <w:pPr>
        <w:pStyle w:val="Listepuces"/>
        <w:rPr>
          <w:rFonts w:asciiTheme="minorHAnsi" w:hAnsiTheme="minorHAnsi" w:cstheme="minorHAnsi"/>
          <w:lang w:val="fr-FR"/>
        </w:rPr>
      </w:pPr>
      <w:r w:rsidRPr="00C93577">
        <w:rPr>
          <w:rFonts w:asciiTheme="minorHAnsi" w:hAnsiTheme="minorHAnsi" w:cstheme="minorHAnsi"/>
          <w:lang w:val="fr-FR"/>
        </w:rPr>
        <w:t>Permanence des méthodes comptables d’un exercice à l’autre,</w:t>
      </w:r>
    </w:p>
    <w:p w14:paraId="77C67356" w14:textId="77777777" w:rsidR="00F46C7B" w:rsidRPr="00C73365" w:rsidRDefault="00F46C7B" w:rsidP="004572A0">
      <w:pPr>
        <w:pStyle w:val="Listepuces"/>
        <w:rPr>
          <w:rFonts w:asciiTheme="minorHAnsi" w:hAnsiTheme="minorHAnsi" w:cstheme="minorHAnsi"/>
        </w:rPr>
      </w:pPr>
      <w:r w:rsidRPr="00C73365">
        <w:rPr>
          <w:rFonts w:asciiTheme="minorHAnsi" w:hAnsiTheme="minorHAnsi" w:cstheme="minorHAnsi"/>
        </w:rPr>
        <w:t>Indépendance des exercices.</w:t>
      </w:r>
    </w:p>
    <w:p w14:paraId="1343B430" w14:textId="77777777" w:rsidR="00F46C7B" w:rsidRPr="00C73365" w:rsidRDefault="00F46C7B" w:rsidP="00A96CCA">
      <w:pPr>
        <w:widowControl w:val="0"/>
        <w:spacing w:after="0"/>
        <w:ind w:right="-2"/>
        <w:rPr>
          <w:rFonts w:asciiTheme="minorHAnsi" w:eastAsia="MS Mincho" w:hAnsiTheme="minorHAnsi" w:cstheme="minorHAnsi"/>
          <w:szCs w:val="20"/>
          <w:lang w:val="fr-FR" w:eastAsia="fr-FR"/>
        </w:rPr>
      </w:pPr>
    </w:p>
    <w:p w14:paraId="2764585A"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et conformément aux règles générales d’établissement et de présentation des comptes annuels.</w:t>
      </w:r>
    </w:p>
    <w:p w14:paraId="4F9E300A"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corporelles et incorporelles</w:t>
      </w:r>
    </w:p>
    <w:p w14:paraId="02A5C415"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corporelles et incorporelles sont évaluées à leur coût d’acquisition pour les actifs acquis à titre onéreux, à leur coût de production pour les actifs produits par l’entreprise, à leur valeur vénale pour les actifs acquis à titre gratuit et par voie d’échange.</w:t>
      </w:r>
    </w:p>
    <w:p w14:paraId="2C6001F1"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coût d’une immobilisation est constitué de son prix d’achat, y compris les droits de douane et taxes non récupérables, après déduction des remises, rabais commerciaux et escomptes de règlement de tous les coûts directement attribuables engagés pour mettre l’actif en place et en état de fonctionner selon l’utilisation prévue. Les droits de mutation, honoraires ou commissions et frais d’actes liés à l’acquisition, sont rattachés à ce coût d’acquisition. </w:t>
      </w:r>
    </w:p>
    <w:p w14:paraId="7A3749C0"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Tous les coûts qui ne font pas partie du prix d’acquisition de l’immobilisation et qui ne peuvent pas être rattachés directement aux coûts rendus nécessaires pour mettre l’actif en place et en état de fonctionner conformément à l’utilisation prévue, sont comptabilisés en charges.</w:t>
      </w:r>
    </w:p>
    <w:p w14:paraId="36153B5E"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Amortissements</w:t>
      </w:r>
    </w:p>
    <w:p w14:paraId="67935F49"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amortissements pour dépréciation sont calculés suivant le mode linéaire en fonction de la durée de vie prévue.</w:t>
      </w:r>
    </w:p>
    <w:p w14:paraId="1BBB6111" w14:textId="77777777" w:rsidR="00F46C7B" w:rsidRPr="00C73365" w:rsidRDefault="00F46C7B" w:rsidP="00434C49">
      <w:pPr>
        <w:pStyle w:val="Listepuces2"/>
        <w:numPr>
          <w:ilvl w:val="0"/>
          <w:numId w:val="80"/>
        </w:numPr>
        <w:rPr>
          <w:rFonts w:asciiTheme="minorHAnsi" w:hAnsiTheme="minorHAnsi" w:cstheme="minorHAnsi"/>
        </w:rPr>
      </w:pPr>
      <w:r w:rsidRPr="00C73365">
        <w:rPr>
          <w:rFonts w:asciiTheme="minorHAnsi" w:hAnsiTheme="minorHAnsi" w:cstheme="minorHAnsi"/>
        </w:rPr>
        <w:t>Concessions, logiciels et brevets : 1 an</w:t>
      </w:r>
    </w:p>
    <w:p w14:paraId="7E879214" w14:textId="77777777" w:rsidR="00F46C7B" w:rsidRPr="00C73365" w:rsidRDefault="00F46C7B" w:rsidP="00434C49">
      <w:pPr>
        <w:pStyle w:val="Listepuces2"/>
        <w:numPr>
          <w:ilvl w:val="0"/>
          <w:numId w:val="80"/>
        </w:numPr>
        <w:rPr>
          <w:rFonts w:asciiTheme="minorHAnsi" w:hAnsiTheme="minorHAnsi" w:cstheme="minorHAnsi"/>
        </w:rPr>
      </w:pPr>
      <w:r w:rsidRPr="00C73365">
        <w:rPr>
          <w:rFonts w:asciiTheme="minorHAnsi" w:hAnsiTheme="minorHAnsi" w:cstheme="minorHAnsi"/>
        </w:rPr>
        <w:t>Installations techniques : 5 à 10 ans</w:t>
      </w:r>
    </w:p>
    <w:p w14:paraId="31FBFF5B" w14:textId="77777777" w:rsidR="00F46C7B" w:rsidRPr="00C93577" w:rsidRDefault="00F46C7B" w:rsidP="00434C49">
      <w:pPr>
        <w:pStyle w:val="Listepuces2"/>
        <w:numPr>
          <w:ilvl w:val="0"/>
          <w:numId w:val="80"/>
        </w:numPr>
        <w:rPr>
          <w:rFonts w:asciiTheme="minorHAnsi" w:hAnsiTheme="minorHAnsi" w:cstheme="minorHAnsi"/>
          <w:lang w:val="fr-FR"/>
        </w:rPr>
      </w:pPr>
      <w:r w:rsidRPr="00C93577">
        <w:rPr>
          <w:rFonts w:asciiTheme="minorHAnsi" w:hAnsiTheme="minorHAnsi" w:cstheme="minorHAnsi"/>
          <w:lang w:val="fr-FR"/>
        </w:rPr>
        <w:t>Matériel et outillage industriels : 5 à 10 ans</w:t>
      </w:r>
    </w:p>
    <w:p w14:paraId="2B8003BA" w14:textId="77777777" w:rsidR="00F46C7B" w:rsidRPr="00C73365" w:rsidRDefault="00F46C7B" w:rsidP="00434C49">
      <w:pPr>
        <w:pStyle w:val="Listepuces2"/>
        <w:numPr>
          <w:ilvl w:val="0"/>
          <w:numId w:val="80"/>
        </w:numPr>
        <w:rPr>
          <w:rFonts w:asciiTheme="minorHAnsi" w:hAnsiTheme="minorHAnsi" w:cstheme="minorHAnsi"/>
        </w:rPr>
      </w:pPr>
      <w:r w:rsidRPr="00C73365">
        <w:rPr>
          <w:rFonts w:asciiTheme="minorHAnsi" w:hAnsiTheme="minorHAnsi" w:cstheme="minorHAnsi"/>
        </w:rPr>
        <w:t>Matériel de bureau : 5 à 10 ans</w:t>
      </w:r>
    </w:p>
    <w:p w14:paraId="691BBCDA" w14:textId="77777777" w:rsidR="00F46C7B" w:rsidRPr="00C73365" w:rsidRDefault="00F46C7B" w:rsidP="00434C49">
      <w:pPr>
        <w:pStyle w:val="Listepuces2"/>
        <w:numPr>
          <w:ilvl w:val="0"/>
          <w:numId w:val="80"/>
        </w:numPr>
        <w:rPr>
          <w:rFonts w:asciiTheme="minorHAnsi" w:hAnsiTheme="minorHAnsi" w:cstheme="minorHAnsi"/>
        </w:rPr>
      </w:pPr>
      <w:r w:rsidRPr="00C73365">
        <w:rPr>
          <w:rFonts w:asciiTheme="minorHAnsi" w:hAnsiTheme="minorHAnsi" w:cstheme="minorHAnsi"/>
        </w:rPr>
        <w:t>Matériel informatique : 3 ans</w:t>
      </w:r>
    </w:p>
    <w:p w14:paraId="6828DF91" w14:textId="77777777" w:rsidR="00F46C7B" w:rsidRPr="00C73365" w:rsidRDefault="00F46C7B" w:rsidP="00434C49">
      <w:pPr>
        <w:pStyle w:val="Listepuces2"/>
        <w:numPr>
          <w:ilvl w:val="0"/>
          <w:numId w:val="80"/>
        </w:numPr>
        <w:rPr>
          <w:rFonts w:asciiTheme="minorHAnsi" w:hAnsiTheme="minorHAnsi" w:cstheme="minorHAnsi"/>
        </w:rPr>
      </w:pPr>
      <w:r w:rsidRPr="00C73365">
        <w:rPr>
          <w:rFonts w:asciiTheme="minorHAnsi" w:hAnsiTheme="minorHAnsi" w:cstheme="minorHAnsi"/>
        </w:rPr>
        <w:t>Mobilier : 10 ans</w:t>
      </w:r>
    </w:p>
    <w:p w14:paraId="0315BEDB" w14:textId="77777777" w:rsidR="00F46C7B" w:rsidRPr="00C73365" w:rsidRDefault="00F46C7B" w:rsidP="00A96CCA">
      <w:pPr>
        <w:spacing w:after="0"/>
        <w:ind w:left="567" w:right="-2"/>
        <w:rPr>
          <w:rFonts w:asciiTheme="minorHAnsi" w:eastAsia="MS Mincho" w:hAnsiTheme="minorHAnsi" w:cstheme="minorHAnsi"/>
          <w:szCs w:val="20"/>
          <w:lang w:val="fr-FR" w:eastAsia="fr-FR"/>
        </w:rPr>
      </w:pPr>
    </w:p>
    <w:p w14:paraId="744790BA"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durée d’amortissement retenue par simplification est la durée d’usage pour les biens non décomposables à l’origine.</w:t>
      </w:r>
    </w:p>
    <w:p w14:paraId="7888201D" w14:textId="77777777" w:rsidR="008B375E" w:rsidRPr="00C73365" w:rsidRDefault="008B375E"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mali techniques constatés à l’occasion de l’absorption de filiales par Transmission Universelle de Patrimoine sont assimilés à des fonds commerciaux et ne font pas l’objet d’amortissement.</w:t>
      </w:r>
    </w:p>
    <w:p w14:paraId="1944E2B6" w14:textId="77777777" w:rsidR="008B375E" w:rsidRPr="00C73365" w:rsidRDefault="008B375E"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 chaque clôture, les mali techniques qui découlent des fusions absorptions de Splicos et de Wittycell sont </w:t>
      </w:r>
      <w:r w:rsidRPr="00C73365">
        <w:rPr>
          <w:rFonts w:asciiTheme="minorHAnsi" w:eastAsia="MS Mincho" w:hAnsiTheme="minorHAnsi" w:cstheme="minorHAnsi"/>
          <w:lang w:val="fr-FR" w:eastAsia="fr-FR"/>
        </w:rPr>
        <w:lastRenderedPageBreak/>
        <w:t xml:space="preserve">comparés aux valeurs de marché des molécules issus des plateformes technologiques qui leur sont rattachées, respectivement la plateforme technologique antivirale </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épissage</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 xml:space="preserve"> pour Splicos et la plateforme technologique </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agonistes iNKT</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 xml:space="preserve"> pour Wittycell. Le mali technique de Zophis a été complétement dépréciée au moment de la TUP car le partenariat (Contrat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option de licence sur brevets avec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INRA) apporté par Zophis a été abandonné.</w:t>
      </w:r>
    </w:p>
    <w:p w14:paraId="02BA226F" w14:textId="77777777" w:rsidR="008B375E" w:rsidRPr="00C73365" w:rsidRDefault="008B375E" w:rsidP="004572A0">
      <w:pPr>
        <w:pStyle w:val="Corpsdetexte"/>
        <w:rPr>
          <w:rFonts w:asciiTheme="minorHAnsi" w:hAnsiTheme="minorHAnsi" w:cstheme="minorHAnsi"/>
          <w:sz w:val="24"/>
          <w:lang w:val="fr-FR" w:eastAsia="fr-FR"/>
        </w:rPr>
      </w:pPr>
      <w:r w:rsidRPr="00C73365">
        <w:rPr>
          <w:rFonts w:asciiTheme="minorHAnsi" w:eastAsia="MS Mincho" w:hAnsiTheme="minorHAnsi" w:cstheme="minorHAnsi"/>
          <w:lang w:val="fr-FR" w:eastAsia="fr-FR"/>
        </w:rPr>
        <w:t>Si la valeur de marché estimée des molécules est inférieure au mali technique lui correspondant, une dépréciation est pratiquée afin de ramener le montant du mali technique figurant dans les comptes à la valeur de marché des projets.</w:t>
      </w:r>
    </w:p>
    <w:p w14:paraId="39C7A649" w14:textId="77777777" w:rsidR="008B375E" w:rsidRPr="00C73365" w:rsidRDefault="008B375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Afin d’estimer la valeur de marché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 projet, deux références sont prises en compte:</w:t>
      </w:r>
    </w:p>
    <w:p w14:paraId="3B430D92" w14:textId="77777777" w:rsidR="008B375E" w:rsidRPr="00C73365" w:rsidRDefault="008B375E" w:rsidP="00434C49">
      <w:pPr>
        <w:pStyle w:val="Paragraphedeliste"/>
        <w:widowControl w:val="0"/>
        <w:numPr>
          <w:ilvl w:val="0"/>
          <w:numId w:val="83"/>
        </w:numPr>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La valeur actuelle nette ajustée des flux de trésorerie attendus de l</w:t>
      </w:r>
      <w:r w:rsidR="004572A0" w:rsidRPr="00C73365">
        <w:rPr>
          <w:rFonts w:asciiTheme="minorHAnsi" w:hAnsiTheme="minorHAnsi" w:cstheme="minorHAnsi"/>
          <w:szCs w:val="20"/>
          <w:lang w:val="fr-FR" w:eastAsia="fr-FR"/>
        </w:rPr>
        <w:t>’</w:t>
      </w:r>
      <w:r w:rsidRPr="00C73365">
        <w:rPr>
          <w:rFonts w:asciiTheme="minorHAnsi" w:hAnsiTheme="minorHAnsi" w:cstheme="minorHAnsi"/>
          <w:szCs w:val="20"/>
          <w:lang w:val="fr-FR" w:eastAsia="fr-FR"/>
        </w:rPr>
        <w:t>exploitation des molécules;</w:t>
      </w:r>
    </w:p>
    <w:p w14:paraId="166C7CB9" w14:textId="77777777" w:rsidR="008B375E" w:rsidRPr="00C73365" w:rsidRDefault="008B375E" w:rsidP="00434C49">
      <w:pPr>
        <w:pStyle w:val="Paragraphedeliste"/>
        <w:widowControl w:val="0"/>
        <w:numPr>
          <w:ilvl w:val="0"/>
          <w:numId w:val="83"/>
        </w:numPr>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les prix de transactions récentes portant sur l</w:t>
      </w:r>
      <w:r w:rsidR="004572A0" w:rsidRPr="00C73365">
        <w:rPr>
          <w:rFonts w:asciiTheme="minorHAnsi" w:hAnsiTheme="minorHAnsi" w:cstheme="minorHAnsi"/>
          <w:szCs w:val="20"/>
          <w:lang w:val="fr-FR" w:eastAsia="fr-FR"/>
        </w:rPr>
        <w:t>’</w:t>
      </w:r>
      <w:r w:rsidRPr="00C73365">
        <w:rPr>
          <w:rFonts w:asciiTheme="minorHAnsi" w:hAnsiTheme="minorHAnsi" w:cstheme="minorHAnsi"/>
          <w:szCs w:val="20"/>
          <w:lang w:val="fr-FR" w:eastAsia="fr-FR"/>
        </w:rPr>
        <w:t>acquisition ou des accords de licence pour des projets comparables (indication thérapeutique, stade de développement, taille du marché…).</w:t>
      </w:r>
    </w:p>
    <w:p w14:paraId="5AF98126" w14:textId="77777777" w:rsidR="008B375E" w:rsidRPr="00C73365" w:rsidRDefault="008B375E" w:rsidP="00A96CCA">
      <w:pPr>
        <w:widowControl w:val="0"/>
        <w:spacing w:after="0"/>
        <w:rPr>
          <w:rFonts w:asciiTheme="minorHAnsi" w:hAnsiTheme="minorHAnsi" w:cstheme="minorHAnsi"/>
          <w:szCs w:val="20"/>
          <w:lang w:val="fr-FR" w:eastAsia="fr-FR"/>
        </w:rPr>
      </w:pPr>
    </w:p>
    <w:p w14:paraId="30DC74A2" w14:textId="77777777" w:rsidR="008B375E" w:rsidRPr="00C73365" w:rsidRDefault="008B375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Si les évaluations obtenues par ces deux méthodes sont discordantes, la valeur actuelle nette est retenue.</w:t>
      </w:r>
    </w:p>
    <w:p w14:paraId="14733EED" w14:textId="77777777" w:rsidR="008B375E" w:rsidRPr="00C73365" w:rsidRDefault="008B375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accident dans le développement de la plateforme technologique qui remettrait en cause leur exploitation, une dépréciation totale du mali technique concerné serait pratiquée.</w:t>
      </w:r>
    </w:p>
    <w:p w14:paraId="2441B5EF" w14:textId="77777777" w:rsidR="008B375E" w:rsidRPr="00C73365" w:rsidRDefault="008B375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Dans le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une provision pour dépréciation, cette dernière peut être reprise en partie ou en totalité 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amélioration ultérieure de la valeur de marché des projets.</w:t>
      </w:r>
    </w:p>
    <w:p w14:paraId="07ED4F45" w14:textId="77777777" w:rsidR="008B375E" w:rsidRPr="00C73365" w:rsidRDefault="008B375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Conformément au Règlement ANC 2015-6 applicable à compter du 1</w:t>
      </w:r>
      <w:r w:rsidRPr="00C73365">
        <w:rPr>
          <w:rFonts w:asciiTheme="minorHAnsi" w:hAnsiTheme="minorHAnsi" w:cstheme="minorHAnsi"/>
          <w:vertAlign w:val="superscript"/>
          <w:lang w:val="fr-FR" w:eastAsia="fr-FR"/>
        </w:rPr>
        <w:t>er</w:t>
      </w:r>
      <w:r w:rsidRPr="00C73365">
        <w:rPr>
          <w:rFonts w:asciiTheme="minorHAnsi" w:hAnsiTheme="minorHAnsi" w:cstheme="minorHAnsi"/>
          <w:lang w:val="fr-FR" w:eastAsia="fr-FR"/>
        </w:rPr>
        <w:t xml:space="preserve"> janvier 2016, ces mali ont été maintenus en fonds commercial et non affectés à des actifs corporels apportés car ils correspondent à des dépenses non activées encourues par les sociétés absorbées au cours des exercices précédant les opérations de Transmission Universelle de patrimoine.</w:t>
      </w:r>
    </w:p>
    <w:p w14:paraId="3606BB72" w14:textId="77777777" w:rsidR="008B375E" w:rsidRPr="00C73365" w:rsidRDefault="008B375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Ce fonds commercial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amorti car la durée pendant laquelle la société pourra bénéficier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avantages économiques est indéterminée. En effet, ce fonds commercial concerne plusieurs projets différents dont les degrés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avancement sont différents et dont la durée des retombées économiques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prévisible à ce jour. De ce fait, en l</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état actuel des recherches en cours, sa durée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utilisation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limitée dans le temps.</w:t>
      </w:r>
    </w:p>
    <w:p w14:paraId="3B51D2CA" w14:textId="77777777" w:rsidR="008B375E" w:rsidRPr="00C73365" w:rsidRDefault="008B375E"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Dans le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une provision pour dépréciation, cette dernière peut être reprise en partie ou en totalité 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amélioration ultérieure de la valeur de marché des produits.</w:t>
      </w:r>
    </w:p>
    <w:p w14:paraId="4D106912"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Créances</w:t>
      </w:r>
    </w:p>
    <w:p w14:paraId="099BC1A4"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créances sont valorisées à leur valeur nominale. Une provision pour dépréciation est pratiquée lorsque la valeur d’inventaire est inférieure à la valeur comptable.</w:t>
      </w:r>
    </w:p>
    <w:p w14:paraId="37606BD9" w14:textId="77777777" w:rsidR="00A46927" w:rsidRPr="00C73365" w:rsidRDefault="00A46927"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Opération en devises</w:t>
      </w:r>
    </w:p>
    <w:p w14:paraId="09163150" w14:textId="77777777" w:rsidR="00A46927" w:rsidRPr="00C73365" w:rsidRDefault="00A46927"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opérations en devises sont enregistrées pour leur contrevaleur à la date de l’opération. Les dettes, créances, disponibilités en devises figurent au bilan pour leur contrevaleur au cours de fin d’exercice. La différence résultant de l’actualisation des dettes et créances en devises à ce dernier cours est portée au bilan au poste « Ecarts de conversion ».</w:t>
      </w:r>
    </w:p>
    <w:p w14:paraId="336E767F" w14:textId="77777777" w:rsidR="00A46927" w:rsidRPr="00C73365" w:rsidRDefault="00A46927"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pertes latentes de change non compensées font l’objet d’une provision pour risques, en totalité ou partiellement.</w:t>
      </w:r>
    </w:p>
    <w:p w14:paraId="2FC4B4F6" w14:textId="77777777" w:rsidR="00A46927" w:rsidRPr="00C73365" w:rsidRDefault="00A46927"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Du fait de ses relations commerciales avec des prestataires étrangers, la société est exposée au risque de change sur le dollar américain et </w:t>
      </w:r>
      <w:r w:rsidR="00ED4E74" w:rsidRPr="00C73365">
        <w:rPr>
          <w:rFonts w:asciiTheme="minorHAnsi" w:eastAsia="MS Mincho" w:hAnsiTheme="minorHAnsi" w:cstheme="minorHAnsi"/>
          <w:lang w:val="fr-FR" w:eastAsia="fr-FR"/>
        </w:rPr>
        <w:t>la livre anglaise.</w:t>
      </w:r>
    </w:p>
    <w:p w14:paraId="285F1E81"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Avances remboursables accordées par des organismes publics</w:t>
      </w:r>
    </w:p>
    <w:p w14:paraId="64220C3C"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avances reçues d’organismes publics pour le financement des activités de recherche de la Société dont le remboursement est conditionnel sont présentées au passif sous la rubrique « Autres fonds propres – Avances conditionnées ». Les autres avances reçues dont le remboursement n’est pas conditionnel, sont présentées en « Emprunts et dettes financières diverses ».</w:t>
      </w:r>
    </w:p>
    <w:p w14:paraId="093C3DAE"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intérêts courus sur ces avances sont présentés au passif selon les mêmes règles.</w:t>
      </w:r>
    </w:p>
    <w:p w14:paraId="6716F48E" w14:textId="77777777" w:rsidR="00F46C7B" w:rsidRPr="00C73365" w:rsidRDefault="00F46C7B" w:rsidP="004572A0">
      <w:pPr>
        <w:pStyle w:val="Corpsdetexte"/>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Subventions d’exploitation</w:t>
      </w:r>
    </w:p>
    <w:p w14:paraId="76B0DC33"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subventions reçues sont enregistrées dès que la créance correspondante devient certaine, compte tenu des conditions posées à l’octroi de la subvention. Les subventions d’exploitation sont enregistrées en produits courants en tenant compte, le cas échéant, du rythme des dépenses correspondantes de manière à respecter le principe de rattachement des charges aux produits.</w:t>
      </w:r>
    </w:p>
    <w:p w14:paraId="79FC90F4"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de sous-traitance et d’études extérieures</w:t>
      </w:r>
    </w:p>
    <w:p w14:paraId="6951C75D"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stade d’avancement des contrats de sous-traitance à des tiers de certaines prestations de recherche est évalué </w:t>
      </w:r>
      <w:r w:rsidRPr="00C73365">
        <w:rPr>
          <w:rFonts w:asciiTheme="minorHAnsi" w:eastAsia="MS Mincho" w:hAnsiTheme="minorHAnsi" w:cstheme="minorHAnsi"/>
          <w:lang w:val="fr-FR" w:eastAsia="fr-FR"/>
        </w:rPr>
        <w:lastRenderedPageBreak/>
        <w:t>à chaque clôture afin de permettre la constatation en charges à payer du coût des services déjà rendus.</w:t>
      </w:r>
    </w:p>
    <w:p w14:paraId="015A3C31" w14:textId="77777777" w:rsidR="00F46C7B" w:rsidRPr="00C73365" w:rsidRDefault="00F46C7B" w:rsidP="004572A0">
      <w:pPr>
        <w:pStyle w:val="Corpsdetexte"/>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Frais de recherche et développement</w:t>
      </w:r>
    </w:p>
    <w:p w14:paraId="7DC3CB82"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dépenses de recherche et développement de la Société sont comptabilisées en charges sur l’exercice au cours duquel elles sont engagées.</w:t>
      </w:r>
    </w:p>
    <w:p w14:paraId="5B6344C5"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filiales de la Société ont appliqué le même principe. Cependant, du fait de leur absorption par la Société via une Transmission Universelle de Patrimoine ayant pris effet au cours de l’exercice 2014, les dépenses enregistrées avant la date d’effet (31 juillet 2014 pour Wittycell et Zophis ; 31 octobre 2014 pour Splicos) se trouvent intégrées aux mali techniques (Fonds commerciaux) inscrits à l’actif au 31 décembre 2014. Ces mali techniques ne sont pas amortis mais font l’objet d’une vérification de valeur à chaque clôture et une provision pour dépréciation est enregistrée si nécessaire, comme cela a été le cas en 2014 pour le mali technique dégagé lors de l’absorption de Zophis.</w:t>
      </w:r>
    </w:p>
    <w:p w14:paraId="0A521967"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Frais d’émission de capital</w:t>
      </w:r>
    </w:p>
    <w:p w14:paraId="0AA5441C"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frais sont imputés sur le montant de la prime d’émission afférente à l’augmentation de capital, si la prime est suffisante. Le cas échéant, l’excédent des frais est comptabilisé en charges. L’imputation de ces frais d’émission s’effectue avant effet d’impôts, du fait de la situation structurellement déficitaire de la Société dans sa phase de développement.</w:t>
      </w:r>
    </w:p>
    <w:p w14:paraId="0132A8CA"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de retraite</w:t>
      </w:r>
    </w:p>
    <w:p w14:paraId="0F81ECDB"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convention collective de l’entreprise prévoit des indemnités de fin de carrière. Il n’a pas été signé d’accord particulier.</w:t>
      </w:r>
    </w:p>
    <w:p w14:paraId="06684C21"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engagements correspondants ne sont pas provisionnés mais font l’objet d’une mention dans la présente annexe.</w:t>
      </w:r>
    </w:p>
    <w:p w14:paraId="6A3D404D"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L’indemnité de départ à la retraite est déterminée en appliquant une méthode tenant compte des salaires projetés de fin de carrière, du taux de rotation du personnel, de l’espérance de vie et d’hypothèses d’actualisation des versements prévisibles.</w:t>
      </w:r>
    </w:p>
    <w:p w14:paraId="4AD8B5E8" w14:textId="77777777" w:rsidR="00985CE1" w:rsidRPr="00C73365" w:rsidRDefault="00985CE1" w:rsidP="00A96CCA">
      <w:pPr>
        <w:spacing w:after="0"/>
        <w:ind w:right="-2"/>
        <w:rPr>
          <w:rFonts w:asciiTheme="minorHAnsi" w:eastAsia="MS Mincho" w:hAnsiTheme="minorHAnsi" w:cstheme="minorHAnsi"/>
          <w:szCs w:val="20"/>
          <w:lang w:val="fr-FR" w:eastAsia="fr-FR"/>
        </w:rPr>
      </w:pPr>
    </w:p>
    <w:p w14:paraId="76C76509"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hypothèses actuarielles retenues sont les suivantes : </w:t>
      </w:r>
    </w:p>
    <w:p w14:paraId="5A7C0FB7" w14:textId="77777777" w:rsidR="00D22228" w:rsidRPr="00C73365" w:rsidRDefault="00D22228" w:rsidP="00434C49">
      <w:pPr>
        <w:pStyle w:val="Listepuces2"/>
        <w:numPr>
          <w:ilvl w:val="0"/>
          <w:numId w:val="80"/>
        </w:numPr>
        <w:rPr>
          <w:rFonts w:asciiTheme="minorHAnsi" w:hAnsiTheme="minorHAnsi" w:cstheme="minorHAnsi"/>
        </w:rPr>
      </w:pPr>
      <w:r w:rsidRPr="00C73365">
        <w:rPr>
          <w:rFonts w:asciiTheme="minorHAnsi" w:hAnsiTheme="minorHAnsi" w:cstheme="minorHAnsi"/>
        </w:rPr>
        <w:t>Taux d’actualisation : 1.</w:t>
      </w:r>
      <w:r w:rsidR="00ED4E74" w:rsidRPr="00C73365">
        <w:rPr>
          <w:rFonts w:asciiTheme="minorHAnsi" w:hAnsiTheme="minorHAnsi" w:cstheme="minorHAnsi"/>
        </w:rPr>
        <w:t xml:space="preserve">45 </w:t>
      </w:r>
      <w:r w:rsidRPr="00C73365">
        <w:rPr>
          <w:rFonts w:asciiTheme="minorHAnsi" w:hAnsiTheme="minorHAnsi" w:cstheme="minorHAnsi"/>
        </w:rPr>
        <w:t>%</w:t>
      </w:r>
    </w:p>
    <w:p w14:paraId="6473CCA6" w14:textId="77777777" w:rsidR="00D22228" w:rsidRPr="00C93577" w:rsidRDefault="00D22228" w:rsidP="00434C49">
      <w:pPr>
        <w:pStyle w:val="Listepuces2"/>
        <w:numPr>
          <w:ilvl w:val="0"/>
          <w:numId w:val="80"/>
        </w:numPr>
        <w:rPr>
          <w:rFonts w:asciiTheme="minorHAnsi" w:hAnsiTheme="minorHAnsi" w:cstheme="minorHAnsi"/>
          <w:lang w:val="fr-FR"/>
        </w:rPr>
      </w:pPr>
      <w:r w:rsidRPr="00C93577">
        <w:rPr>
          <w:rFonts w:asciiTheme="minorHAnsi" w:hAnsiTheme="minorHAnsi" w:cstheme="minorHAnsi"/>
          <w:lang w:val="fr-FR"/>
        </w:rPr>
        <w:t>Taux de croissance des salaires : 2 %</w:t>
      </w:r>
    </w:p>
    <w:p w14:paraId="497EEF18" w14:textId="77777777" w:rsidR="00D22228" w:rsidRPr="00C93577" w:rsidRDefault="00D22228" w:rsidP="00434C49">
      <w:pPr>
        <w:pStyle w:val="Listepuces2"/>
        <w:numPr>
          <w:ilvl w:val="0"/>
          <w:numId w:val="80"/>
        </w:numPr>
        <w:rPr>
          <w:rFonts w:asciiTheme="minorHAnsi" w:hAnsiTheme="minorHAnsi" w:cstheme="minorHAnsi"/>
          <w:lang w:val="fr-FR"/>
        </w:rPr>
      </w:pPr>
      <w:r w:rsidRPr="00C93577">
        <w:rPr>
          <w:rFonts w:asciiTheme="minorHAnsi" w:hAnsiTheme="minorHAnsi" w:cstheme="minorHAnsi"/>
          <w:lang w:val="fr-FR"/>
        </w:rPr>
        <w:t>Age de départ à la retraite : 62 ans</w:t>
      </w:r>
    </w:p>
    <w:p w14:paraId="25A7500D" w14:textId="77777777" w:rsidR="00D22228" w:rsidRPr="00C93577" w:rsidRDefault="00D22228" w:rsidP="00434C49">
      <w:pPr>
        <w:pStyle w:val="Listepuces2"/>
        <w:numPr>
          <w:ilvl w:val="0"/>
          <w:numId w:val="80"/>
        </w:numPr>
        <w:rPr>
          <w:rFonts w:asciiTheme="minorHAnsi" w:hAnsiTheme="minorHAnsi" w:cstheme="minorHAnsi"/>
          <w:lang w:val="fr-FR"/>
        </w:rPr>
      </w:pPr>
      <w:r w:rsidRPr="00C93577">
        <w:rPr>
          <w:rFonts w:asciiTheme="minorHAnsi" w:hAnsiTheme="minorHAnsi" w:cstheme="minorHAnsi"/>
          <w:lang w:val="fr-FR"/>
        </w:rPr>
        <w:t>Taux de rotation du personnel : faible</w:t>
      </w:r>
    </w:p>
    <w:p w14:paraId="1EB6BE85" w14:textId="77777777" w:rsidR="00D22228" w:rsidRPr="00C93577" w:rsidRDefault="00D22228" w:rsidP="00434C49">
      <w:pPr>
        <w:pStyle w:val="Listepuces2"/>
        <w:numPr>
          <w:ilvl w:val="0"/>
          <w:numId w:val="80"/>
        </w:numPr>
        <w:rPr>
          <w:rFonts w:asciiTheme="minorHAnsi" w:hAnsiTheme="minorHAnsi" w:cstheme="minorHAnsi"/>
          <w:lang w:val="fr-FR"/>
        </w:rPr>
      </w:pPr>
      <w:r w:rsidRPr="00C93577">
        <w:rPr>
          <w:rFonts w:asciiTheme="minorHAnsi" w:hAnsiTheme="minorHAnsi" w:cstheme="minorHAnsi"/>
          <w:lang w:val="fr-FR"/>
        </w:rPr>
        <w:t>Table de taux de mortalité : (table INSEE TD 88-90)</w:t>
      </w:r>
    </w:p>
    <w:p w14:paraId="63B7A5D8" w14:textId="77777777" w:rsidR="00F46C7B" w:rsidRPr="00C73365" w:rsidRDefault="00F46C7B" w:rsidP="00A96CCA">
      <w:pPr>
        <w:spacing w:after="0"/>
        <w:ind w:right="-2"/>
        <w:rPr>
          <w:rFonts w:asciiTheme="minorHAnsi" w:eastAsia="MS Mincho" w:hAnsiTheme="minorHAnsi" w:cstheme="minorHAnsi"/>
          <w:szCs w:val="20"/>
          <w:lang w:val="fr-FR" w:eastAsia="fr-FR"/>
        </w:rPr>
      </w:pPr>
    </w:p>
    <w:p w14:paraId="17622BC9"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Crédits d’impôts</w:t>
      </w:r>
    </w:p>
    <w:p w14:paraId="2C36691B"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crédits d’impôts constatés à l’actif en Autres créances comprennent le Crédit d’Impôt Recherche (CIR) et le Crédit d’Impôt Compétitivité Emploi (CICE). Parmi les autres créances figurent aussi les crédits de TVA dont les remboursements ont été demandés.</w:t>
      </w:r>
    </w:p>
    <w:p w14:paraId="3E6AF54B"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estimé sur la base des rémunérations éligibles de l’année civile </w:t>
      </w:r>
      <w:r w:rsidR="00ED4E74"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a été constaté en autres créances. Conformément à la recommandation de l’Autorité des Normes Comptables, le produit correspondant a été porté au crédit des charges sociales dans le compte de résultat.</w:t>
      </w:r>
    </w:p>
    <w:p w14:paraId="285118D6"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Recherche estimé sur la base des dépenses de recherche de l’année civile </w:t>
      </w:r>
      <w:r w:rsidR="00ED4E74"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a été constaté en autres créances. Ce produit figure en résultat (Impôt sur les bénéfices positif).</w:t>
      </w:r>
    </w:p>
    <w:p w14:paraId="4A32945F"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crédits d’impôt sont imputables sur l’impôt sur les sociétés dû au titre de l’exercice au cours duquel ils sont constatés. En l’absence de bénéfice imposable, la Société, considérée comme une PME au sens intracommunautaire, peut demander leur remboursement immédiat lors du dépôt de la liasse fiscale de l’exercice concerné.</w:t>
      </w:r>
    </w:p>
    <w:p w14:paraId="1172D70F" w14:textId="77777777" w:rsidR="00ED4E74" w:rsidRPr="00C73365" w:rsidRDefault="00ED4E74"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Autre élément significatif postérieurs à la clôture</w:t>
      </w:r>
    </w:p>
    <w:p w14:paraId="7DB1060E" w14:textId="77777777" w:rsidR="00ED4E74" w:rsidRPr="00C73365" w:rsidRDefault="00ED4E74"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 xml:space="preserve">Réception en </w:t>
      </w:r>
      <w:r w:rsidR="006B119E" w:rsidRPr="00C73365">
        <w:rPr>
          <w:rFonts w:asciiTheme="minorHAnsi" w:eastAsia="MS Mincho" w:hAnsiTheme="minorHAnsi" w:cstheme="minorHAnsi"/>
          <w:b/>
          <w:lang w:val="fr-FR" w:eastAsia="fr-FR"/>
        </w:rPr>
        <w:t>septembre</w:t>
      </w:r>
      <w:r w:rsidRPr="00C73365">
        <w:rPr>
          <w:rFonts w:asciiTheme="minorHAnsi" w:eastAsia="MS Mincho" w:hAnsiTheme="minorHAnsi" w:cstheme="minorHAnsi"/>
          <w:b/>
          <w:lang w:val="fr-FR" w:eastAsia="fr-FR"/>
        </w:rPr>
        <w:t xml:space="preserve"> du paiement d’étapes de </w:t>
      </w:r>
      <w:r w:rsidR="001479F8">
        <w:rPr>
          <w:rFonts w:asciiTheme="minorHAnsi" w:eastAsia="MS Mincho" w:hAnsiTheme="minorHAnsi" w:cstheme="minorHAnsi"/>
          <w:b/>
          <w:lang w:val="fr-FR" w:eastAsia="fr-FR"/>
        </w:rPr>
        <w:t>Bpifrance</w:t>
      </w:r>
      <w:r w:rsidRPr="00C73365">
        <w:rPr>
          <w:rFonts w:asciiTheme="minorHAnsi" w:eastAsia="MS Mincho" w:hAnsiTheme="minorHAnsi" w:cstheme="minorHAnsi"/>
          <w:b/>
          <w:lang w:val="fr-FR" w:eastAsia="fr-FR"/>
        </w:rPr>
        <w:t xml:space="preserve"> à hauteur de 2,1</w:t>
      </w:r>
      <w:r w:rsidR="00EF089C" w:rsidRPr="00C73365">
        <w:rPr>
          <w:rFonts w:asciiTheme="minorHAnsi" w:eastAsia="MS Mincho" w:hAnsiTheme="minorHAnsi" w:cstheme="minorHAnsi"/>
          <w:b/>
          <w:lang w:val="fr-FR" w:eastAsia="fr-FR"/>
        </w:rPr>
        <w:t>M€</w:t>
      </w:r>
      <w:r w:rsidRPr="00C73365">
        <w:rPr>
          <w:rFonts w:asciiTheme="minorHAnsi" w:eastAsia="MS Mincho" w:hAnsiTheme="minorHAnsi" w:cstheme="minorHAnsi"/>
          <w:b/>
          <w:lang w:val="fr-FR" w:eastAsia="fr-FR"/>
        </w:rPr>
        <w:t xml:space="preserve"> pour le programme RNP-Vir</w:t>
      </w:r>
    </w:p>
    <w:p w14:paraId="0B423C5A" w14:textId="77777777" w:rsidR="00ED4E74" w:rsidRPr="00C73365" w:rsidRDefault="00ED4E74"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 financement, basé sur l’atteinte d’objectifs, va permettre à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d’accélérer la montée en puissance et l’optimisation de sa plateforme antivirale. Le premier paiement d’étape de 2,1</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a été perçu au début du mois de </w:t>
      </w:r>
      <w:r w:rsidR="006B119E" w:rsidRPr="00C73365">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w:t>
      </w:r>
    </w:p>
    <w:p w14:paraId="07120684" w14:textId="77777777" w:rsidR="00ED4E74" w:rsidRPr="00C73365" w:rsidRDefault="00ED4E74"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Dans le cadre de l’appel à projets « Projets de R&amp;D Structurants Pour la Compétitivité » (PSPC) du Programme d’investissement d’avenir (PIA),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exerce le rôle de chef de file d’un consortium, qui comprend le CNRS et des sous-traitants scientifiques qualifiés, dans le but d’identifier des molécules contre d’autres virus au besoin médical non satisfait. Le montant de l’aide s’élève à 10,3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répartis entre 8,4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pour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sous forme de subvention et d’aide remboursable, et 1,9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pour le CNRS. Le programme est piloté par le Commissariat Général à l’Investissement (CGI) et opéré par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w:t>
      </w:r>
    </w:p>
    <w:p w14:paraId="5990A3CF" w14:textId="77777777" w:rsidR="00ED4E74" w:rsidRPr="00C73365" w:rsidRDefault="00ED4E74"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ABX464, le candidat d</w:t>
      </w:r>
      <w:r w:rsidR="004572A0" w:rsidRPr="00C73365">
        <w:rPr>
          <w:rFonts w:asciiTheme="minorHAnsi" w:eastAsia="MS Mincho" w:hAnsiTheme="minorHAnsi" w:cstheme="minorHAnsi"/>
          <w:lang w:val="fr-FR" w:eastAsia="fr-FR"/>
        </w:rPr>
        <w:t>’</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a réduit les réservoirs du VIH dans le sang dans le cadre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une seconde étude clinique de Phase 2a</w:t>
      </w:r>
    </w:p>
    <w:p w14:paraId="1CE91C56" w14:textId="77777777" w:rsidR="00ED4E74" w:rsidRPr="00C73365" w:rsidRDefault="00ED4E74"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résultats préliminaires de la première cohorte de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étude de Phase 2a ABX464-005 ont démontré une réduction significative des réservoirs du VIH dans le sang de patients infectés par le VIH. Les données confirment et prolongent la réduction des réservoirs du VIH observée dans une précédente étude clinique de Phase 2a, ABX464-004.</w:t>
      </w:r>
    </w:p>
    <w:p w14:paraId="35F0C471" w14:textId="77777777" w:rsidR="00ED4E74" w:rsidRPr="00C73365" w:rsidRDefault="00ED4E74"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Mise en place d</w:t>
      </w:r>
      <w:r w:rsidR="004572A0" w:rsidRPr="00C73365">
        <w:rPr>
          <w:rFonts w:asciiTheme="minorHAnsi" w:eastAsia="MS Mincho" w:hAnsiTheme="minorHAnsi" w:cstheme="minorHAnsi"/>
          <w:b/>
          <w:lang w:val="fr-FR" w:eastAsia="fr-FR"/>
        </w:rPr>
        <w:t>’</w:t>
      </w:r>
      <w:r w:rsidRPr="00C73365">
        <w:rPr>
          <w:rFonts w:asciiTheme="minorHAnsi" w:eastAsia="MS Mincho" w:hAnsiTheme="minorHAnsi" w:cstheme="minorHAnsi"/>
          <w:b/>
          <w:lang w:val="fr-FR" w:eastAsia="fr-FR"/>
        </w:rPr>
        <w:t>une ligne de financement en fonds</w:t>
      </w:r>
      <w:r w:rsidRPr="00C73365">
        <w:rPr>
          <w:rFonts w:asciiTheme="minorHAnsi" w:eastAsia="MS Mincho" w:hAnsiTheme="minorHAnsi" w:cstheme="minorHAnsi"/>
          <w:b/>
          <w:color w:val="000000" w:themeColor="text1"/>
          <w:lang w:val="fr-FR" w:eastAsia="fr-FR"/>
        </w:rPr>
        <w:t xml:space="preserve"> </w:t>
      </w:r>
      <w:r w:rsidRPr="00C73365">
        <w:rPr>
          <w:rFonts w:asciiTheme="minorHAnsi" w:eastAsia="MS Mincho" w:hAnsiTheme="minorHAnsi" w:cstheme="minorHAnsi"/>
          <w:b/>
          <w:lang w:val="fr-FR" w:eastAsia="fr-FR"/>
        </w:rPr>
        <w:t>propres (Equity line financing) avec Kepler Cheuvreux.</w:t>
      </w:r>
    </w:p>
    <w:p w14:paraId="70ACFB8A" w14:textId="77777777" w:rsidR="00ED4E74" w:rsidRPr="00C73365" w:rsidRDefault="00ED4E74"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Cette ligne de financement procure une visibilité accrue sur le plan de financement à moyen terme de la Société. Sur la base de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évaluation des besoins planifiés en R&amp;D,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est désormais financé jusqu</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à la fin du deuxième trimestre 2019.</w:t>
      </w:r>
    </w:p>
    <w:p w14:paraId="373ACAD4" w14:textId="77777777" w:rsidR="00ED4E74" w:rsidRPr="00C73365" w:rsidRDefault="00ED4E74"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Conformément aux termes de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accord, Kepler Cheuvreux intervenant à titre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intermédiaire financier et garant de la transaction, s</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est engagé à souscrire 970 000 actions, à sa propre initiative suivant un calendrier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une durée maximale de 24 mois. </w:t>
      </w:r>
    </w:p>
    <w:p w14:paraId="6583FDDB" w14:textId="77777777" w:rsidR="00ED4E74" w:rsidRPr="00C73365" w:rsidRDefault="00ED4E74"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actions seront émises sur la base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une moyenne des cours de bourse pondérée par les volumes sur les deux jours de bourse précédant chaque émission, diminuée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une décote maximale de 7,0%.</w:t>
      </w:r>
    </w:p>
    <w:p w14:paraId="13AEA868" w14:textId="77777777" w:rsidR="00ED4E74" w:rsidRPr="00C73365" w:rsidRDefault="00ED4E74"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Dans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hypothèse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une utilisation en totalité de cette ligne de financement [2], elle permettrait à la Société de lever 12 millions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euros au prix actuel de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action [3]. </w:t>
      </w:r>
      <w:r w:rsidRPr="00C73365">
        <w:rPr>
          <w:rFonts w:asciiTheme="minorHAnsi" w:eastAsia="MS Mincho" w:hAnsiTheme="minorHAnsi" w:cstheme="minorHAnsi"/>
          <w:lang w:val="fr-FR" w:eastAsia="fr-FR"/>
        </w:rPr>
        <w:t>Sous réserve que les conditions contractuelles soient remplies, un actionnaire détenant 1,00% du capital d</w:t>
      </w:r>
      <w:r w:rsidR="004572A0" w:rsidRPr="00C73365">
        <w:rPr>
          <w:rFonts w:asciiTheme="minorHAnsi" w:eastAsia="MS Mincho" w:hAnsiTheme="minorHAnsi" w:cstheme="minorHAnsi"/>
          <w:lang w:val="fr-FR" w:eastAsia="fr-FR"/>
        </w:rPr>
        <w:t>’</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avant sa mise en place, verrait sa participation passer à 0.91% [4] du capital.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conserve la possibilité de suspendre ou mettre fin à cet accord à tout moment.</w:t>
      </w:r>
    </w:p>
    <w:p w14:paraId="2E7F5C33" w14:textId="77777777" w:rsidR="00ED4E74" w:rsidRPr="00C73365" w:rsidRDefault="00ED4E74"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nombre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actions émises dans le cadre de cet accord et admises aux négociations fera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objet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avis Euronext ainsi que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une communication sur le site Internet d</w:t>
      </w:r>
      <w:r w:rsidR="004572A0" w:rsidRPr="00C73365">
        <w:rPr>
          <w:rFonts w:asciiTheme="minorHAnsi" w:eastAsia="MS Mincho" w:hAnsiTheme="minorHAnsi" w:cstheme="minorHAnsi"/>
          <w:lang w:val="fr-FR" w:eastAsia="fr-FR"/>
        </w:rPr>
        <w:t>’</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w:t>
      </w:r>
    </w:p>
    <w:p w14:paraId="6700CFC4" w14:textId="77777777" w:rsidR="00622B22" w:rsidRPr="00C73365" w:rsidRDefault="00622B22" w:rsidP="004572A0">
      <w:pPr>
        <w:pStyle w:val="Corpsdetexte"/>
        <w:rPr>
          <w:rFonts w:asciiTheme="minorHAnsi" w:eastAsia="MS Mincho" w:hAnsiTheme="minorHAnsi" w:cstheme="minorHAnsi"/>
          <w:color w:val="000000" w:themeColor="text1"/>
          <w:lang w:val="fr-FR" w:eastAsia="fr-FR"/>
        </w:rPr>
      </w:pPr>
      <w:bookmarkStart w:id="1453" w:name="_Hlk510179974"/>
      <w:r w:rsidRPr="001479F8">
        <w:rPr>
          <w:rFonts w:asciiTheme="minorHAnsi" w:hAnsiTheme="minorHAnsi" w:cstheme="minorHAnsi"/>
          <w:lang w:val="fr-FR"/>
        </w:rPr>
        <w:t xml:space="preserve">L’exercice de 60 000 bons par </w:t>
      </w:r>
      <w:r w:rsidR="00EF089C" w:rsidRPr="001479F8">
        <w:rPr>
          <w:rFonts w:asciiTheme="minorHAnsi" w:hAnsiTheme="minorHAnsi" w:cstheme="minorHAnsi"/>
          <w:lang w:val="fr-FR"/>
        </w:rPr>
        <w:t>K</w:t>
      </w:r>
      <w:r w:rsidR="001479F8">
        <w:rPr>
          <w:rFonts w:asciiTheme="minorHAnsi" w:hAnsiTheme="minorHAnsi" w:cstheme="minorHAnsi"/>
          <w:lang w:val="fr-FR"/>
        </w:rPr>
        <w:t>epler</w:t>
      </w:r>
      <w:r w:rsidR="00EF089C" w:rsidRPr="001479F8">
        <w:rPr>
          <w:rFonts w:asciiTheme="minorHAnsi" w:hAnsiTheme="minorHAnsi" w:cstheme="minorHAnsi"/>
          <w:lang w:val="fr-FR"/>
        </w:rPr>
        <w:t xml:space="preserve"> C</w:t>
      </w:r>
      <w:r w:rsidR="001479F8">
        <w:rPr>
          <w:rFonts w:asciiTheme="minorHAnsi" w:hAnsiTheme="minorHAnsi" w:cstheme="minorHAnsi"/>
          <w:lang w:val="fr-FR"/>
        </w:rPr>
        <w:t>heuvreux</w:t>
      </w:r>
      <w:r w:rsidRPr="001479F8">
        <w:rPr>
          <w:rFonts w:asciiTheme="minorHAnsi" w:hAnsiTheme="minorHAnsi" w:cstheme="minorHAnsi"/>
          <w:lang w:val="fr-FR"/>
        </w:rPr>
        <w:t xml:space="preserve"> a été réalisé en </w:t>
      </w:r>
      <w:r w:rsidR="006B119E" w:rsidRPr="001479F8">
        <w:rPr>
          <w:rFonts w:asciiTheme="minorHAnsi" w:hAnsiTheme="minorHAnsi" w:cstheme="minorHAnsi"/>
          <w:lang w:val="fr-FR"/>
        </w:rPr>
        <w:t>septembre</w:t>
      </w:r>
      <w:r w:rsidRPr="001479F8">
        <w:rPr>
          <w:rFonts w:asciiTheme="minorHAnsi" w:hAnsiTheme="minorHAnsi" w:cstheme="minorHAnsi"/>
          <w:lang w:val="fr-FR"/>
        </w:rPr>
        <w:t xml:space="preserve"> 2017 (40 000 titres émis) et en octobre 2017 (20 000 titres émis) et a permis de libérer un </w:t>
      </w:r>
      <w:r w:rsidR="00D35D6B" w:rsidRPr="001479F8">
        <w:rPr>
          <w:rFonts w:asciiTheme="minorHAnsi" w:hAnsiTheme="minorHAnsi" w:cstheme="minorHAnsi"/>
          <w:lang w:val="fr-FR"/>
        </w:rPr>
        <w:t xml:space="preserve">premier </w:t>
      </w:r>
      <w:r w:rsidRPr="001479F8">
        <w:rPr>
          <w:rFonts w:asciiTheme="minorHAnsi" w:hAnsiTheme="minorHAnsi" w:cstheme="minorHAnsi"/>
          <w:lang w:val="fr-FR"/>
        </w:rPr>
        <w:t>montant de 0.6</w:t>
      </w:r>
      <w:r w:rsidR="001479F8" w:rsidRPr="001479F8">
        <w:rPr>
          <w:rFonts w:asciiTheme="minorHAnsi" w:hAnsiTheme="minorHAnsi" w:cstheme="minorHAnsi"/>
          <w:lang w:val="fr-FR"/>
        </w:rPr>
        <w:t xml:space="preserve"> M</w:t>
      </w:r>
      <w:r w:rsidRPr="001479F8">
        <w:rPr>
          <w:rFonts w:asciiTheme="minorHAnsi" w:hAnsiTheme="minorHAnsi" w:cstheme="minorHAnsi"/>
          <w:lang w:val="fr-FR"/>
        </w:rPr>
        <w:t>€. Le montant</w:t>
      </w:r>
      <w:r w:rsidR="001479F8">
        <w:rPr>
          <w:rFonts w:asciiTheme="minorHAnsi" w:hAnsiTheme="minorHAnsi" w:cstheme="minorHAnsi"/>
          <w:lang w:val="fr-FR"/>
        </w:rPr>
        <w:t xml:space="preserve"> résiduel</w:t>
      </w:r>
      <w:r w:rsidRPr="001479F8">
        <w:rPr>
          <w:rFonts w:asciiTheme="minorHAnsi" w:hAnsiTheme="minorHAnsi" w:cstheme="minorHAnsi"/>
          <w:lang w:val="fr-FR"/>
        </w:rPr>
        <w:t xml:space="preserve"> de la ligne equity de Kepler Cheuvreux au 31 mars 2017 est ainsi de 9</w:t>
      </w:r>
      <w:r w:rsidR="005E7389" w:rsidRPr="001479F8">
        <w:rPr>
          <w:rFonts w:asciiTheme="minorHAnsi" w:hAnsiTheme="minorHAnsi" w:cstheme="minorHAnsi"/>
          <w:lang w:val="fr-FR"/>
        </w:rPr>
        <w:t>1</w:t>
      </w:r>
      <w:r w:rsidRPr="001479F8">
        <w:rPr>
          <w:rFonts w:asciiTheme="minorHAnsi" w:hAnsiTheme="minorHAnsi" w:cstheme="minorHAnsi"/>
          <w:lang w:val="fr-FR"/>
        </w:rPr>
        <w:t>0 000 titres</w:t>
      </w:r>
    </w:p>
    <w:bookmarkEnd w:id="1453"/>
    <w:p w14:paraId="252F77BC" w14:textId="77777777" w:rsidR="00ED4E74" w:rsidRPr="00C73365" w:rsidRDefault="00ED4E74" w:rsidP="004572A0">
      <w:pPr>
        <w:pStyle w:val="Lis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[2] Dans ce cas, 970 000 nouveaux titres seraient émis. </w:t>
      </w:r>
    </w:p>
    <w:p w14:paraId="29111F7F" w14:textId="77777777" w:rsidR="00ED4E74" w:rsidRPr="00C73365" w:rsidRDefault="00ED4E74" w:rsidP="004572A0">
      <w:pPr>
        <w:pStyle w:val="Lis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[3] Sur la base indicative de la moyenne des cours des vingt dernières séances de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action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w:t>
      </w:r>
    </w:p>
    <w:p w14:paraId="10F20775" w14:textId="77777777" w:rsidR="00F46C7B" w:rsidRPr="00C73365" w:rsidRDefault="00ED4E74" w:rsidP="004572A0">
      <w:pPr>
        <w:pStyle w:val="Liste"/>
        <w:rPr>
          <w:rFonts w:asciiTheme="minorHAnsi" w:eastAsia="MS Mincho" w:hAnsiTheme="minorHAnsi" w:cstheme="minorHAnsi"/>
          <w:highlight w:val="yellow"/>
          <w:lang w:val="fr-FR" w:eastAsia="fr-FR"/>
        </w:rPr>
      </w:pPr>
      <w:r w:rsidRPr="00C73365">
        <w:rPr>
          <w:rFonts w:asciiTheme="minorHAnsi" w:eastAsia="MS Mincho" w:hAnsiTheme="minorHAnsi" w:cstheme="minorHAnsi"/>
          <w:lang w:val="fr-FR" w:eastAsia="fr-FR"/>
        </w:rPr>
        <w:t>[4] Sur la base des 9 741 489 actions composant le capital social d</w:t>
      </w:r>
      <w:r w:rsidR="004572A0" w:rsidRPr="00C73365">
        <w:rPr>
          <w:rFonts w:asciiTheme="minorHAnsi" w:eastAsia="MS Mincho" w:hAnsiTheme="minorHAnsi" w:cstheme="minorHAnsi"/>
          <w:lang w:val="fr-FR" w:eastAsia="fr-FR"/>
        </w:rPr>
        <w:t>’</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au 31 juillet 2017.</w:t>
      </w:r>
    </w:p>
    <w:p w14:paraId="3014CF73" w14:textId="77777777"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14:paraId="29672E3E" w14:textId="77777777"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14:paraId="7665D497" w14:textId="77777777"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14:paraId="3B999D6A" w14:textId="77777777"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14:paraId="0F38CF64" w14:textId="77777777"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14:paraId="1178E7AD" w14:textId="77777777"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14:paraId="665CA219" w14:textId="77777777"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14:paraId="0AC39983" w14:textId="77777777"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14:paraId="0CE4F6CF" w14:textId="77777777" w:rsidR="00C767A8" w:rsidRPr="00C73365" w:rsidRDefault="00C767A8" w:rsidP="00A96CCA">
      <w:pPr>
        <w:spacing w:after="0"/>
        <w:ind w:left="284" w:right="-2"/>
        <w:rPr>
          <w:rFonts w:asciiTheme="minorHAnsi" w:eastAsia="MS Mincho" w:hAnsiTheme="minorHAnsi" w:cstheme="minorHAnsi"/>
          <w:szCs w:val="20"/>
          <w:lang w:val="fr-FR" w:eastAsia="fr-FR"/>
        </w:rPr>
      </w:pPr>
    </w:p>
    <w:p w14:paraId="46DD09DD" w14:textId="77777777" w:rsidR="005D7087" w:rsidRPr="00C73365" w:rsidRDefault="005D7087" w:rsidP="004572A0">
      <w:pPr>
        <w:pStyle w:val="Retraitcorpset1relig"/>
        <w:rPr>
          <w:rFonts w:asciiTheme="minorHAnsi" w:eastAsia="MS Mincho" w:hAnsiTheme="minorHAnsi" w:cstheme="minorHAnsi"/>
          <w:lang w:val="fr-FR" w:eastAsia="fr-FR"/>
        </w:rPr>
        <w:sectPr w:rsidR="005D7087" w:rsidRPr="00C73365" w:rsidSect="007C607C">
          <w:type w:val="continuous"/>
          <w:pgSz w:w="11906" w:h="16838"/>
          <w:pgMar w:top="1134" w:right="1134" w:bottom="1134" w:left="1134" w:header="709" w:footer="709" w:gutter="0"/>
          <w:cols w:num="2" w:space="454"/>
          <w:docGrid w:linePitch="360"/>
        </w:sectPr>
      </w:pPr>
    </w:p>
    <w:p w14:paraId="28D032A3" w14:textId="77777777" w:rsidR="005D7087" w:rsidRPr="00C73365" w:rsidRDefault="005D7087" w:rsidP="00A96CCA">
      <w:pPr>
        <w:spacing w:after="0"/>
        <w:rPr>
          <w:rFonts w:asciiTheme="minorHAnsi" w:eastAsia="MS Mincho" w:hAnsiTheme="minorHAnsi" w:cstheme="minorHAnsi"/>
          <w:b/>
          <w:color w:val="7030A0"/>
          <w:szCs w:val="20"/>
          <w:lang w:val="fr-FR" w:eastAsia="fr-FR"/>
        </w:rPr>
      </w:pPr>
      <w:r w:rsidRPr="00C73365">
        <w:rPr>
          <w:rFonts w:asciiTheme="minorHAnsi" w:eastAsia="MS Mincho" w:hAnsiTheme="minorHAnsi" w:cstheme="minorHAnsi"/>
          <w:b/>
          <w:color w:val="7030A0"/>
          <w:szCs w:val="20"/>
          <w:lang w:val="fr-FR" w:eastAsia="fr-FR"/>
        </w:rPr>
        <w:br w:type="page"/>
      </w:r>
    </w:p>
    <w:p w14:paraId="56335867" w14:textId="77777777" w:rsidR="00F46C7B" w:rsidRPr="00C73365" w:rsidRDefault="00F46C7B" w:rsidP="004572A0">
      <w:pPr>
        <w:pStyle w:val="Corpsdetexte"/>
        <w:rPr>
          <w:rFonts w:asciiTheme="minorHAnsi" w:eastAsia="MS Mincho" w:hAnsiTheme="minorHAnsi" w:cstheme="minorHAnsi"/>
          <w:b/>
          <w:lang w:val="fr-FR" w:eastAsia="fr-FR"/>
        </w:rPr>
        <w:sectPr w:rsidR="00F46C7B" w:rsidRPr="00C73365" w:rsidSect="007C607C">
          <w:type w:val="continuous"/>
          <w:pgSz w:w="11906" w:h="16838"/>
          <w:pgMar w:top="1134" w:right="1134" w:bottom="1134" w:left="1134" w:header="709" w:footer="709" w:gutter="0"/>
          <w:cols w:space="708"/>
          <w:docGrid w:linePitch="360"/>
        </w:sectPr>
      </w:pPr>
      <w:r w:rsidRPr="00C73365">
        <w:rPr>
          <w:rFonts w:asciiTheme="minorHAnsi" w:eastAsia="MS Mincho" w:hAnsiTheme="minorHAnsi" w:cstheme="minorHAnsi"/>
          <w:b/>
          <w:lang w:val="fr-FR" w:eastAsia="fr-FR"/>
        </w:rPr>
        <w:lastRenderedPageBreak/>
        <w:t>NOTE 3 – IMMOBILISATIONS INCORPORELLES, CORPORELLES ET FINANCIERES</w:t>
      </w:r>
    </w:p>
    <w:p w14:paraId="0AD3424F"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Tableau des immobilisations</w:t>
      </w:r>
    </w:p>
    <w:tbl>
      <w:tblPr>
        <w:tblW w:w="8960" w:type="dxa"/>
        <w:tblLook w:val="04A0" w:firstRow="1" w:lastRow="0" w:firstColumn="1" w:lastColumn="0" w:noHBand="0" w:noVBand="1"/>
      </w:tblPr>
      <w:tblGrid>
        <w:gridCol w:w="3880"/>
        <w:gridCol w:w="1360"/>
        <w:gridCol w:w="1240"/>
        <w:gridCol w:w="1240"/>
        <w:gridCol w:w="1240"/>
      </w:tblGrid>
      <w:tr w:rsidR="0054790E" w:rsidRPr="00036317" w14:paraId="19E689DB" w14:textId="77777777" w:rsidTr="0054790E">
        <w:trPr>
          <w:trHeight w:val="576"/>
        </w:trPr>
        <w:tc>
          <w:tcPr>
            <w:tcW w:w="3880" w:type="dxa"/>
            <w:tcBorders>
              <w:top w:val="single" w:sz="12" w:space="0" w:color="7030A0"/>
              <w:left w:val="nil"/>
              <w:bottom w:val="single" w:sz="8" w:space="0" w:color="7030A0"/>
              <w:right w:val="nil"/>
            </w:tcBorders>
            <w:shd w:val="clear" w:color="auto" w:fill="auto"/>
            <w:vAlign w:val="center"/>
            <w:hideMark/>
          </w:tcPr>
          <w:p w14:paraId="65A390D6" w14:textId="77777777"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14:paraId="4EF84E2A" w14:textId="77777777" w:rsidR="0054790E" w:rsidRPr="00C73365" w:rsidRDefault="0054790E"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Au début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14:paraId="26DB74BB"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Augmen-tation</w:t>
            </w:r>
          </w:p>
        </w:tc>
        <w:tc>
          <w:tcPr>
            <w:tcW w:w="1240" w:type="dxa"/>
            <w:tcBorders>
              <w:top w:val="single" w:sz="12" w:space="0" w:color="7030A0"/>
              <w:left w:val="nil"/>
              <w:bottom w:val="single" w:sz="8" w:space="0" w:color="7030A0"/>
              <w:right w:val="nil"/>
            </w:tcBorders>
            <w:shd w:val="clear" w:color="auto" w:fill="auto"/>
            <w:vAlign w:val="center"/>
            <w:hideMark/>
          </w:tcPr>
          <w:p w14:paraId="4C19EABF"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Diminution</w:t>
            </w:r>
          </w:p>
        </w:tc>
        <w:tc>
          <w:tcPr>
            <w:tcW w:w="1240" w:type="dxa"/>
            <w:tcBorders>
              <w:top w:val="single" w:sz="12" w:space="0" w:color="7030A0"/>
              <w:left w:val="nil"/>
              <w:bottom w:val="single" w:sz="8" w:space="0" w:color="7030A0"/>
              <w:right w:val="nil"/>
            </w:tcBorders>
            <w:shd w:val="clear" w:color="auto" w:fill="auto"/>
            <w:vAlign w:val="center"/>
            <w:hideMark/>
          </w:tcPr>
          <w:p w14:paraId="194F7FCD" w14:textId="77777777" w:rsidR="0054790E" w:rsidRPr="00C73365" w:rsidRDefault="0054790E"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 la date de la situation</w:t>
            </w:r>
          </w:p>
        </w:tc>
      </w:tr>
      <w:tr w:rsidR="0054790E" w:rsidRPr="00C73365" w14:paraId="3E386379" w14:textId="77777777" w:rsidTr="0054790E">
        <w:trPr>
          <w:trHeight w:val="288"/>
        </w:trPr>
        <w:tc>
          <w:tcPr>
            <w:tcW w:w="3880" w:type="dxa"/>
            <w:tcBorders>
              <w:top w:val="nil"/>
              <w:left w:val="nil"/>
              <w:bottom w:val="nil"/>
              <w:right w:val="nil"/>
            </w:tcBorders>
            <w:shd w:val="clear" w:color="auto" w:fill="auto"/>
            <w:vAlign w:val="center"/>
            <w:hideMark/>
          </w:tcPr>
          <w:p w14:paraId="3C435ABE" w14:textId="77777777"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Fonds commercial</w:t>
            </w:r>
          </w:p>
        </w:tc>
        <w:tc>
          <w:tcPr>
            <w:tcW w:w="1360" w:type="dxa"/>
            <w:tcBorders>
              <w:top w:val="nil"/>
              <w:left w:val="nil"/>
              <w:bottom w:val="nil"/>
              <w:right w:val="nil"/>
            </w:tcBorders>
            <w:shd w:val="clear" w:color="auto" w:fill="auto"/>
            <w:vAlign w:val="center"/>
            <w:hideMark/>
          </w:tcPr>
          <w:p w14:paraId="7EFD1019"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32 745</w:t>
            </w:r>
          </w:p>
        </w:tc>
        <w:tc>
          <w:tcPr>
            <w:tcW w:w="1240" w:type="dxa"/>
            <w:tcBorders>
              <w:top w:val="nil"/>
              <w:left w:val="nil"/>
              <w:bottom w:val="nil"/>
              <w:right w:val="nil"/>
            </w:tcBorders>
            <w:shd w:val="clear" w:color="auto" w:fill="auto"/>
            <w:vAlign w:val="center"/>
            <w:hideMark/>
          </w:tcPr>
          <w:p w14:paraId="4D5F908F" w14:textId="77777777" w:rsidR="0054790E" w:rsidRPr="00C73365" w:rsidRDefault="0054790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14:paraId="663992FE" w14:textId="77777777" w:rsidR="0054790E" w:rsidRPr="00C73365" w:rsidRDefault="0054790E"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14:paraId="49C8FA55"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32 745</w:t>
            </w:r>
          </w:p>
        </w:tc>
      </w:tr>
      <w:tr w:rsidR="0054790E" w:rsidRPr="00C73365" w14:paraId="74563767" w14:textId="77777777" w:rsidTr="0054790E">
        <w:trPr>
          <w:trHeight w:val="552"/>
        </w:trPr>
        <w:tc>
          <w:tcPr>
            <w:tcW w:w="3880" w:type="dxa"/>
            <w:tcBorders>
              <w:top w:val="nil"/>
              <w:left w:val="nil"/>
              <w:bottom w:val="nil"/>
              <w:right w:val="nil"/>
            </w:tcBorders>
            <w:shd w:val="clear" w:color="auto" w:fill="auto"/>
            <w:vAlign w:val="center"/>
            <w:hideMark/>
          </w:tcPr>
          <w:p w14:paraId="144CF592" w14:textId="77777777"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postes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14:paraId="6775A8FE"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240" w:type="dxa"/>
            <w:tcBorders>
              <w:top w:val="nil"/>
              <w:left w:val="nil"/>
              <w:bottom w:val="nil"/>
              <w:right w:val="nil"/>
            </w:tcBorders>
            <w:shd w:val="clear" w:color="auto" w:fill="auto"/>
            <w:vAlign w:val="center"/>
            <w:hideMark/>
          </w:tcPr>
          <w:p w14:paraId="27E11901" w14:textId="77777777" w:rsidR="0054790E" w:rsidRPr="00C73365" w:rsidRDefault="0054790E"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c>
          <w:tcPr>
            <w:tcW w:w="1240" w:type="dxa"/>
            <w:tcBorders>
              <w:top w:val="nil"/>
              <w:left w:val="nil"/>
              <w:bottom w:val="nil"/>
              <w:right w:val="nil"/>
            </w:tcBorders>
            <w:shd w:val="clear" w:color="auto" w:fill="auto"/>
            <w:vAlign w:val="center"/>
            <w:hideMark/>
          </w:tcPr>
          <w:p w14:paraId="0188F117" w14:textId="77777777" w:rsidR="0054790E" w:rsidRPr="00C73365" w:rsidRDefault="0054790E" w:rsidP="00A96CCA">
            <w:pPr>
              <w:spacing w:after="0"/>
              <w:jc w:val="right"/>
              <w:rPr>
                <w:rFonts w:asciiTheme="minorHAnsi" w:hAnsiTheme="minorHAnsi" w:cstheme="minorHAnsi"/>
                <w:color w:val="000000"/>
                <w:sz w:val="22"/>
                <w:szCs w:val="22"/>
              </w:rPr>
            </w:pPr>
          </w:p>
        </w:tc>
        <w:tc>
          <w:tcPr>
            <w:tcW w:w="1240" w:type="dxa"/>
            <w:tcBorders>
              <w:top w:val="nil"/>
              <w:left w:val="nil"/>
              <w:bottom w:val="nil"/>
              <w:right w:val="nil"/>
            </w:tcBorders>
            <w:shd w:val="clear" w:color="auto" w:fill="auto"/>
            <w:vAlign w:val="center"/>
            <w:hideMark/>
          </w:tcPr>
          <w:p w14:paraId="7D95BBE5"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54790E" w:rsidRPr="00C73365" w14:paraId="37DBA971" w14:textId="77777777" w:rsidTr="0054790E">
        <w:trPr>
          <w:trHeight w:val="288"/>
        </w:trPr>
        <w:tc>
          <w:tcPr>
            <w:tcW w:w="3880" w:type="dxa"/>
            <w:tcBorders>
              <w:top w:val="nil"/>
              <w:left w:val="nil"/>
              <w:bottom w:val="nil"/>
              <w:right w:val="nil"/>
            </w:tcBorders>
            <w:shd w:val="clear" w:color="auto" w:fill="auto"/>
            <w:vAlign w:val="center"/>
            <w:hideMark/>
          </w:tcPr>
          <w:p w14:paraId="2A984F7F" w14:textId="77777777"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incorporelles</w:t>
            </w:r>
          </w:p>
        </w:tc>
        <w:tc>
          <w:tcPr>
            <w:tcW w:w="1360" w:type="dxa"/>
            <w:tcBorders>
              <w:top w:val="nil"/>
              <w:left w:val="nil"/>
              <w:bottom w:val="nil"/>
              <w:right w:val="nil"/>
            </w:tcBorders>
            <w:shd w:val="clear" w:color="auto" w:fill="auto"/>
            <w:vAlign w:val="center"/>
            <w:hideMark/>
          </w:tcPr>
          <w:p w14:paraId="302E9653"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32 756</w:t>
            </w:r>
          </w:p>
        </w:tc>
        <w:tc>
          <w:tcPr>
            <w:tcW w:w="1240" w:type="dxa"/>
            <w:tcBorders>
              <w:top w:val="nil"/>
              <w:left w:val="nil"/>
              <w:bottom w:val="nil"/>
              <w:right w:val="nil"/>
            </w:tcBorders>
            <w:shd w:val="clear" w:color="auto" w:fill="auto"/>
            <w:vAlign w:val="center"/>
            <w:hideMark/>
          </w:tcPr>
          <w:p w14:paraId="0649CA2B"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14:paraId="57DD8932"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14:paraId="68E51821"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32 756</w:t>
            </w:r>
          </w:p>
        </w:tc>
      </w:tr>
      <w:tr w:rsidR="0054790E" w:rsidRPr="00C73365" w14:paraId="19928886" w14:textId="77777777" w:rsidTr="0054790E">
        <w:trPr>
          <w:trHeight w:val="552"/>
        </w:trPr>
        <w:tc>
          <w:tcPr>
            <w:tcW w:w="3880" w:type="dxa"/>
            <w:tcBorders>
              <w:top w:val="nil"/>
              <w:left w:val="nil"/>
              <w:bottom w:val="nil"/>
              <w:right w:val="nil"/>
            </w:tcBorders>
            <w:shd w:val="clear" w:color="auto" w:fill="auto"/>
            <w:vAlign w:val="center"/>
            <w:hideMark/>
          </w:tcPr>
          <w:p w14:paraId="01002CC5" w14:textId="77777777"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Installations techniques, matériel et outillage industriels</w:t>
            </w:r>
          </w:p>
        </w:tc>
        <w:tc>
          <w:tcPr>
            <w:tcW w:w="1360" w:type="dxa"/>
            <w:tcBorders>
              <w:top w:val="nil"/>
              <w:left w:val="nil"/>
              <w:bottom w:val="nil"/>
              <w:right w:val="nil"/>
            </w:tcBorders>
            <w:shd w:val="clear" w:color="auto" w:fill="auto"/>
            <w:vAlign w:val="center"/>
            <w:hideMark/>
          </w:tcPr>
          <w:p w14:paraId="7EC23770"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302</w:t>
            </w:r>
          </w:p>
        </w:tc>
        <w:tc>
          <w:tcPr>
            <w:tcW w:w="1240" w:type="dxa"/>
            <w:tcBorders>
              <w:top w:val="nil"/>
              <w:left w:val="nil"/>
              <w:bottom w:val="nil"/>
              <w:right w:val="nil"/>
            </w:tcBorders>
            <w:shd w:val="clear" w:color="auto" w:fill="auto"/>
            <w:vAlign w:val="center"/>
            <w:hideMark/>
          </w:tcPr>
          <w:p w14:paraId="7BD5B487"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w:t>
            </w:r>
          </w:p>
        </w:tc>
        <w:tc>
          <w:tcPr>
            <w:tcW w:w="1240" w:type="dxa"/>
            <w:tcBorders>
              <w:top w:val="nil"/>
              <w:left w:val="nil"/>
              <w:bottom w:val="nil"/>
              <w:right w:val="nil"/>
            </w:tcBorders>
            <w:shd w:val="clear" w:color="auto" w:fill="auto"/>
            <w:vAlign w:val="center"/>
            <w:hideMark/>
          </w:tcPr>
          <w:p w14:paraId="507B998D"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14:paraId="30BE8F77"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357</w:t>
            </w:r>
          </w:p>
        </w:tc>
      </w:tr>
      <w:tr w:rsidR="0054790E" w:rsidRPr="00C73365" w14:paraId="678F4713" w14:textId="77777777" w:rsidTr="0054790E">
        <w:trPr>
          <w:trHeight w:val="552"/>
        </w:trPr>
        <w:tc>
          <w:tcPr>
            <w:tcW w:w="3880" w:type="dxa"/>
            <w:tcBorders>
              <w:top w:val="nil"/>
              <w:left w:val="nil"/>
              <w:bottom w:val="nil"/>
              <w:right w:val="nil"/>
            </w:tcBorders>
            <w:shd w:val="clear" w:color="auto" w:fill="auto"/>
            <w:vAlign w:val="center"/>
            <w:hideMark/>
          </w:tcPr>
          <w:p w14:paraId="258C2A50" w14:textId="77777777"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Matériel de bureau et informatique, mobilier</w:t>
            </w:r>
          </w:p>
        </w:tc>
        <w:tc>
          <w:tcPr>
            <w:tcW w:w="1360" w:type="dxa"/>
            <w:tcBorders>
              <w:top w:val="nil"/>
              <w:left w:val="nil"/>
              <w:bottom w:val="nil"/>
              <w:right w:val="nil"/>
            </w:tcBorders>
            <w:shd w:val="clear" w:color="auto" w:fill="auto"/>
            <w:vAlign w:val="center"/>
            <w:hideMark/>
          </w:tcPr>
          <w:p w14:paraId="0D400A4B"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w:t>
            </w:r>
          </w:p>
        </w:tc>
        <w:tc>
          <w:tcPr>
            <w:tcW w:w="1240" w:type="dxa"/>
            <w:tcBorders>
              <w:top w:val="nil"/>
              <w:left w:val="nil"/>
              <w:bottom w:val="nil"/>
              <w:right w:val="nil"/>
            </w:tcBorders>
            <w:shd w:val="clear" w:color="auto" w:fill="auto"/>
            <w:vAlign w:val="center"/>
            <w:hideMark/>
          </w:tcPr>
          <w:p w14:paraId="6CD7A0CE"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39</w:t>
            </w:r>
          </w:p>
        </w:tc>
        <w:tc>
          <w:tcPr>
            <w:tcW w:w="1240" w:type="dxa"/>
            <w:tcBorders>
              <w:top w:val="nil"/>
              <w:left w:val="nil"/>
              <w:bottom w:val="nil"/>
              <w:right w:val="nil"/>
            </w:tcBorders>
            <w:shd w:val="clear" w:color="auto" w:fill="auto"/>
            <w:vAlign w:val="center"/>
            <w:hideMark/>
          </w:tcPr>
          <w:p w14:paraId="2740FC91"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40" w:type="dxa"/>
            <w:tcBorders>
              <w:top w:val="nil"/>
              <w:left w:val="nil"/>
              <w:bottom w:val="nil"/>
              <w:right w:val="nil"/>
            </w:tcBorders>
            <w:shd w:val="clear" w:color="auto" w:fill="auto"/>
            <w:vAlign w:val="center"/>
            <w:hideMark/>
          </w:tcPr>
          <w:p w14:paraId="032618BA"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111</w:t>
            </w:r>
          </w:p>
        </w:tc>
      </w:tr>
      <w:tr w:rsidR="0054790E" w:rsidRPr="00C73365" w14:paraId="3DE9EAB7" w14:textId="77777777" w:rsidTr="0054790E">
        <w:trPr>
          <w:trHeight w:val="288"/>
        </w:trPr>
        <w:tc>
          <w:tcPr>
            <w:tcW w:w="3880" w:type="dxa"/>
            <w:tcBorders>
              <w:top w:val="nil"/>
              <w:left w:val="nil"/>
              <w:bottom w:val="nil"/>
              <w:right w:val="nil"/>
            </w:tcBorders>
            <w:shd w:val="clear" w:color="auto" w:fill="auto"/>
            <w:vAlign w:val="center"/>
            <w:hideMark/>
          </w:tcPr>
          <w:p w14:paraId="7EA683E2" w14:textId="77777777"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1360" w:type="dxa"/>
            <w:tcBorders>
              <w:top w:val="nil"/>
              <w:left w:val="nil"/>
              <w:bottom w:val="nil"/>
              <w:right w:val="nil"/>
            </w:tcBorders>
            <w:shd w:val="clear" w:color="auto" w:fill="auto"/>
            <w:vAlign w:val="center"/>
            <w:hideMark/>
          </w:tcPr>
          <w:p w14:paraId="551E8018"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384</w:t>
            </w:r>
          </w:p>
        </w:tc>
        <w:tc>
          <w:tcPr>
            <w:tcW w:w="1240" w:type="dxa"/>
            <w:tcBorders>
              <w:top w:val="nil"/>
              <w:left w:val="nil"/>
              <w:bottom w:val="nil"/>
              <w:right w:val="nil"/>
            </w:tcBorders>
            <w:shd w:val="clear" w:color="auto" w:fill="auto"/>
            <w:vAlign w:val="center"/>
            <w:hideMark/>
          </w:tcPr>
          <w:p w14:paraId="0E24F077"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95</w:t>
            </w:r>
          </w:p>
        </w:tc>
        <w:tc>
          <w:tcPr>
            <w:tcW w:w="1240" w:type="dxa"/>
            <w:tcBorders>
              <w:top w:val="nil"/>
              <w:left w:val="nil"/>
              <w:bottom w:val="nil"/>
              <w:right w:val="nil"/>
            </w:tcBorders>
            <w:shd w:val="clear" w:color="auto" w:fill="auto"/>
            <w:vAlign w:val="center"/>
            <w:hideMark/>
          </w:tcPr>
          <w:p w14:paraId="3A29AD3E"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10</w:t>
            </w:r>
          </w:p>
        </w:tc>
        <w:tc>
          <w:tcPr>
            <w:tcW w:w="1240" w:type="dxa"/>
            <w:tcBorders>
              <w:top w:val="nil"/>
              <w:left w:val="nil"/>
              <w:bottom w:val="nil"/>
              <w:right w:val="nil"/>
            </w:tcBorders>
            <w:shd w:val="clear" w:color="auto" w:fill="auto"/>
            <w:vAlign w:val="center"/>
            <w:hideMark/>
          </w:tcPr>
          <w:p w14:paraId="6BE7FD36"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468</w:t>
            </w:r>
          </w:p>
        </w:tc>
      </w:tr>
      <w:tr w:rsidR="0054790E" w:rsidRPr="00C73365" w14:paraId="48884F30" w14:textId="77777777" w:rsidTr="0054790E">
        <w:trPr>
          <w:trHeight w:val="288"/>
        </w:trPr>
        <w:tc>
          <w:tcPr>
            <w:tcW w:w="3880" w:type="dxa"/>
            <w:tcBorders>
              <w:top w:val="nil"/>
              <w:left w:val="nil"/>
              <w:bottom w:val="nil"/>
              <w:right w:val="nil"/>
            </w:tcBorders>
            <w:shd w:val="clear" w:color="auto" w:fill="auto"/>
            <w:vAlign w:val="center"/>
            <w:hideMark/>
          </w:tcPr>
          <w:p w14:paraId="51DE501C" w14:textId="77777777"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titres immobilisés (actions propres)</w:t>
            </w:r>
          </w:p>
        </w:tc>
        <w:tc>
          <w:tcPr>
            <w:tcW w:w="1360" w:type="dxa"/>
            <w:tcBorders>
              <w:top w:val="nil"/>
              <w:left w:val="nil"/>
              <w:bottom w:val="nil"/>
              <w:right w:val="nil"/>
            </w:tcBorders>
            <w:shd w:val="clear" w:color="auto" w:fill="auto"/>
            <w:vAlign w:val="center"/>
            <w:hideMark/>
          </w:tcPr>
          <w:p w14:paraId="58B43603"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313</w:t>
            </w:r>
          </w:p>
        </w:tc>
        <w:tc>
          <w:tcPr>
            <w:tcW w:w="1240" w:type="dxa"/>
            <w:tcBorders>
              <w:top w:val="nil"/>
              <w:left w:val="nil"/>
              <w:bottom w:val="nil"/>
              <w:right w:val="nil"/>
            </w:tcBorders>
            <w:shd w:val="clear" w:color="auto" w:fill="auto"/>
            <w:vAlign w:val="center"/>
            <w:hideMark/>
          </w:tcPr>
          <w:p w14:paraId="1488E3E3"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c>
          <w:tcPr>
            <w:tcW w:w="1240" w:type="dxa"/>
            <w:tcBorders>
              <w:top w:val="nil"/>
              <w:left w:val="nil"/>
              <w:bottom w:val="nil"/>
              <w:right w:val="nil"/>
            </w:tcBorders>
            <w:shd w:val="clear" w:color="auto" w:fill="auto"/>
            <w:vAlign w:val="center"/>
            <w:hideMark/>
          </w:tcPr>
          <w:p w14:paraId="629B4A4A"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762</w:t>
            </w:r>
          </w:p>
        </w:tc>
        <w:tc>
          <w:tcPr>
            <w:tcW w:w="1240" w:type="dxa"/>
            <w:tcBorders>
              <w:top w:val="nil"/>
              <w:left w:val="nil"/>
              <w:bottom w:val="nil"/>
              <w:right w:val="nil"/>
            </w:tcBorders>
            <w:shd w:val="clear" w:color="auto" w:fill="auto"/>
            <w:vAlign w:val="center"/>
            <w:hideMark/>
          </w:tcPr>
          <w:p w14:paraId="7A7DD604"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385</w:t>
            </w:r>
          </w:p>
        </w:tc>
      </w:tr>
      <w:tr w:rsidR="0054790E" w:rsidRPr="00C73365" w14:paraId="1D8E35E7" w14:textId="77777777" w:rsidTr="0054790E">
        <w:trPr>
          <w:trHeight w:val="288"/>
        </w:trPr>
        <w:tc>
          <w:tcPr>
            <w:tcW w:w="3880" w:type="dxa"/>
            <w:tcBorders>
              <w:top w:val="nil"/>
              <w:left w:val="nil"/>
              <w:bottom w:val="nil"/>
              <w:right w:val="nil"/>
            </w:tcBorders>
            <w:shd w:val="clear" w:color="auto" w:fill="auto"/>
            <w:vAlign w:val="center"/>
            <w:hideMark/>
          </w:tcPr>
          <w:p w14:paraId="3052C878" w14:textId="77777777"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Prêts et autres immobilisations financières</w:t>
            </w:r>
          </w:p>
        </w:tc>
        <w:tc>
          <w:tcPr>
            <w:tcW w:w="1360" w:type="dxa"/>
            <w:tcBorders>
              <w:top w:val="nil"/>
              <w:left w:val="nil"/>
              <w:bottom w:val="nil"/>
              <w:right w:val="nil"/>
            </w:tcBorders>
            <w:shd w:val="clear" w:color="auto" w:fill="auto"/>
            <w:vAlign w:val="center"/>
            <w:hideMark/>
          </w:tcPr>
          <w:p w14:paraId="72E169E0"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247</w:t>
            </w:r>
          </w:p>
        </w:tc>
        <w:tc>
          <w:tcPr>
            <w:tcW w:w="1240" w:type="dxa"/>
            <w:tcBorders>
              <w:top w:val="nil"/>
              <w:left w:val="nil"/>
              <w:bottom w:val="nil"/>
              <w:right w:val="nil"/>
            </w:tcBorders>
            <w:shd w:val="clear" w:color="auto" w:fill="auto"/>
            <w:vAlign w:val="center"/>
            <w:hideMark/>
          </w:tcPr>
          <w:p w14:paraId="4CA79EC0"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1066</w:t>
            </w:r>
          </w:p>
        </w:tc>
        <w:tc>
          <w:tcPr>
            <w:tcW w:w="1240" w:type="dxa"/>
            <w:tcBorders>
              <w:top w:val="nil"/>
              <w:left w:val="nil"/>
              <w:bottom w:val="nil"/>
              <w:right w:val="nil"/>
            </w:tcBorders>
            <w:shd w:val="clear" w:color="auto" w:fill="auto"/>
            <w:vAlign w:val="center"/>
            <w:hideMark/>
          </w:tcPr>
          <w:p w14:paraId="558206A3"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876</w:t>
            </w:r>
          </w:p>
        </w:tc>
        <w:tc>
          <w:tcPr>
            <w:tcW w:w="1240" w:type="dxa"/>
            <w:tcBorders>
              <w:top w:val="nil"/>
              <w:left w:val="nil"/>
              <w:bottom w:val="nil"/>
              <w:right w:val="nil"/>
            </w:tcBorders>
            <w:shd w:val="clear" w:color="auto" w:fill="auto"/>
            <w:vAlign w:val="center"/>
            <w:hideMark/>
          </w:tcPr>
          <w:p w14:paraId="784581B7"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r>
      <w:tr w:rsidR="0054790E" w:rsidRPr="00C73365" w14:paraId="481A24DF" w14:textId="77777777" w:rsidTr="0054790E">
        <w:trPr>
          <w:trHeight w:val="300"/>
        </w:trPr>
        <w:tc>
          <w:tcPr>
            <w:tcW w:w="3880" w:type="dxa"/>
            <w:tcBorders>
              <w:top w:val="nil"/>
              <w:left w:val="nil"/>
              <w:bottom w:val="single" w:sz="8" w:space="0" w:color="7030A0"/>
              <w:right w:val="nil"/>
            </w:tcBorders>
            <w:shd w:val="clear" w:color="auto" w:fill="auto"/>
            <w:vAlign w:val="center"/>
            <w:hideMark/>
          </w:tcPr>
          <w:p w14:paraId="73B6B276" w14:textId="77777777"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14:paraId="42E94703"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560</w:t>
            </w:r>
          </w:p>
        </w:tc>
        <w:tc>
          <w:tcPr>
            <w:tcW w:w="1240" w:type="dxa"/>
            <w:tcBorders>
              <w:top w:val="nil"/>
              <w:left w:val="nil"/>
              <w:bottom w:val="single" w:sz="8" w:space="0" w:color="7030A0"/>
              <w:right w:val="nil"/>
            </w:tcBorders>
            <w:shd w:val="clear" w:color="auto" w:fill="auto"/>
            <w:vAlign w:val="center"/>
            <w:hideMark/>
          </w:tcPr>
          <w:p w14:paraId="0A561888"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1 900</w:t>
            </w:r>
          </w:p>
        </w:tc>
        <w:tc>
          <w:tcPr>
            <w:tcW w:w="1240" w:type="dxa"/>
            <w:tcBorders>
              <w:top w:val="nil"/>
              <w:left w:val="nil"/>
              <w:bottom w:val="single" w:sz="8" w:space="0" w:color="7030A0"/>
              <w:right w:val="nil"/>
            </w:tcBorders>
            <w:shd w:val="clear" w:color="auto" w:fill="auto"/>
            <w:vAlign w:val="center"/>
            <w:hideMark/>
          </w:tcPr>
          <w:p w14:paraId="23F7D61A"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1 638</w:t>
            </w:r>
          </w:p>
        </w:tc>
        <w:tc>
          <w:tcPr>
            <w:tcW w:w="1240" w:type="dxa"/>
            <w:tcBorders>
              <w:top w:val="nil"/>
              <w:left w:val="nil"/>
              <w:bottom w:val="single" w:sz="8" w:space="0" w:color="7030A0"/>
              <w:right w:val="nil"/>
            </w:tcBorders>
            <w:shd w:val="clear" w:color="auto" w:fill="auto"/>
            <w:vAlign w:val="center"/>
            <w:hideMark/>
          </w:tcPr>
          <w:p w14:paraId="75DD5BDD"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823</w:t>
            </w:r>
          </w:p>
        </w:tc>
      </w:tr>
      <w:tr w:rsidR="0054790E" w:rsidRPr="00C73365" w14:paraId="6EF5B7B0" w14:textId="77777777" w:rsidTr="0054790E">
        <w:trPr>
          <w:trHeight w:val="300"/>
        </w:trPr>
        <w:tc>
          <w:tcPr>
            <w:tcW w:w="3880" w:type="dxa"/>
            <w:tcBorders>
              <w:top w:val="nil"/>
              <w:left w:val="nil"/>
              <w:bottom w:val="single" w:sz="8" w:space="0" w:color="7030A0"/>
              <w:right w:val="nil"/>
            </w:tcBorders>
            <w:shd w:val="clear" w:color="auto" w:fill="auto"/>
            <w:noWrap/>
            <w:vAlign w:val="center"/>
            <w:hideMark/>
          </w:tcPr>
          <w:p w14:paraId="2E0554F5" w14:textId="77777777"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Actif immobilisé</w:t>
            </w:r>
          </w:p>
        </w:tc>
        <w:tc>
          <w:tcPr>
            <w:tcW w:w="1360" w:type="dxa"/>
            <w:tcBorders>
              <w:top w:val="nil"/>
              <w:left w:val="nil"/>
              <w:bottom w:val="single" w:sz="8" w:space="0" w:color="7030A0"/>
              <w:right w:val="nil"/>
            </w:tcBorders>
            <w:shd w:val="clear" w:color="auto" w:fill="auto"/>
            <w:vAlign w:val="center"/>
            <w:hideMark/>
          </w:tcPr>
          <w:p w14:paraId="1D98FB98"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33 701</w:t>
            </w:r>
          </w:p>
        </w:tc>
        <w:tc>
          <w:tcPr>
            <w:tcW w:w="1240" w:type="dxa"/>
            <w:tcBorders>
              <w:top w:val="nil"/>
              <w:left w:val="nil"/>
              <w:bottom w:val="single" w:sz="8" w:space="0" w:color="7030A0"/>
              <w:right w:val="nil"/>
            </w:tcBorders>
            <w:shd w:val="clear" w:color="auto" w:fill="auto"/>
            <w:vAlign w:val="center"/>
            <w:hideMark/>
          </w:tcPr>
          <w:p w14:paraId="10F8BFBA"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1 994</w:t>
            </w:r>
          </w:p>
        </w:tc>
        <w:tc>
          <w:tcPr>
            <w:tcW w:w="1240" w:type="dxa"/>
            <w:tcBorders>
              <w:top w:val="nil"/>
              <w:left w:val="nil"/>
              <w:bottom w:val="single" w:sz="8" w:space="0" w:color="7030A0"/>
              <w:right w:val="nil"/>
            </w:tcBorders>
            <w:shd w:val="clear" w:color="auto" w:fill="auto"/>
            <w:vAlign w:val="center"/>
            <w:hideMark/>
          </w:tcPr>
          <w:p w14:paraId="31DFFD51"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1 648</w:t>
            </w:r>
          </w:p>
        </w:tc>
        <w:tc>
          <w:tcPr>
            <w:tcW w:w="1240" w:type="dxa"/>
            <w:tcBorders>
              <w:top w:val="nil"/>
              <w:left w:val="nil"/>
              <w:bottom w:val="single" w:sz="8" w:space="0" w:color="7030A0"/>
              <w:right w:val="nil"/>
            </w:tcBorders>
            <w:shd w:val="clear" w:color="auto" w:fill="auto"/>
            <w:vAlign w:val="center"/>
            <w:hideMark/>
          </w:tcPr>
          <w:p w14:paraId="7905CF7C"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34 047</w:t>
            </w:r>
          </w:p>
        </w:tc>
      </w:tr>
    </w:tbl>
    <w:p w14:paraId="6394CDA7" w14:textId="77777777" w:rsidR="00F46C7B" w:rsidRPr="00C73365" w:rsidRDefault="00F46C7B" w:rsidP="00A96CCA">
      <w:pPr>
        <w:spacing w:after="0"/>
        <w:ind w:right="-2"/>
        <w:rPr>
          <w:rFonts w:asciiTheme="minorHAnsi" w:eastAsia="MS Mincho" w:hAnsiTheme="minorHAnsi" w:cstheme="minorHAnsi"/>
          <w:szCs w:val="20"/>
          <w:lang w:val="fr-FR" w:eastAsia="fr-FR"/>
        </w:rPr>
      </w:pPr>
    </w:p>
    <w:p w14:paraId="5EA25D1A"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incorporelles</w:t>
      </w:r>
    </w:p>
    <w:p w14:paraId="15DA9BB2" w14:textId="77777777" w:rsidR="00F46C7B" w:rsidRPr="00C73365" w:rsidRDefault="00F46C7B" w:rsidP="004572A0">
      <w:pPr>
        <w:pStyle w:val="Retraitcorpset1relig"/>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7E93A8B1"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immobilisations incorporelles se composent principalement </w:t>
      </w:r>
      <w:r w:rsidR="00072C6F" w:rsidRPr="00C73365">
        <w:rPr>
          <w:rFonts w:asciiTheme="minorHAnsi" w:eastAsia="MS Mincho" w:hAnsiTheme="minorHAnsi" w:cstheme="minorHAnsi"/>
          <w:lang w:val="fr-FR" w:eastAsia="fr-FR"/>
        </w:rPr>
        <w:t>des mali techniques</w:t>
      </w:r>
      <w:r w:rsidRPr="00C73365">
        <w:rPr>
          <w:rFonts w:asciiTheme="minorHAnsi" w:eastAsia="MS Mincho" w:hAnsiTheme="minorHAnsi" w:cstheme="minorHAnsi"/>
          <w:lang w:val="fr-FR" w:eastAsia="fr-FR"/>
        </w:rPr>
        <w:t xml:space="preserve"> relatifs aux Transmissions Universelles de Patrimoine réalisées au second semestre 2014.</w:t>
      </w:r>
    </w:p>
    <w:tbl>
      <w:tblPr>
        <w:tblW w:w="3465" w:type="dxa"/>
        <w:tblCellMar>
          <w:left w:w="70" w:type="dxa"/>
          <w:right w:w="70" w:type="dxa"/>
        </w:tblCellMar>
        <w:tblLook w:val="04A0" w:firstRow="1" w:lastRow="0" w:firstColumn="1" w:lastColumn="0" w:noHBand="0" w:noVBand="1"/>
      </w:tblPr>
      <w:tblGrid>
        <w:gridCol w:w="2553"/>
        <w:gridCol w:w="1123"/>
      </w:tblGrid>
      <w:tr w:rsidR="00F46C7B" w:rsidRPr="00C73365" w14:paraId="1EECD5DF" w14:textId="77777777" w:rsidTr="007C607C">
        <w:trPr>
          <w:trHeight w:val="490"/>
        </w:trPr>
        <w:tc>
          <w:tcPr>
            <w:tcW w:w="2553" w:type="dxa"/>
            <w:tcBorders>
              <w:top w:val="single" w:sz="12" w:space="0" w:color="7030A0"/>
              <w:left w:val="nil"/>
              <w:bottom w:val="single" w:sz="8" w:space="0" w:color="7030A0"/>
              <w:right w:val="nil"/>
            </w:tcBorders>
            <w:shd w:val="clear" w:color="auto" w:fill="auto"/>
            <w:vAlign w:val="center"/>
            <w:hideMark/>
          </w:tcPr>
          <w:p w14:paraId="01BB94E0"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912" w:type="dxa"/>
            <w:tcBorders>
              <w:top w:val="single" w:sz="12" w:space="0" w:color="7030A0"/>
              <w:left w:val="nil"/>
              <w:bottom w:val="single" w:sz="8" w:space="0" w:color="7030A0"/>
              <w:right w:val="nil"/>
            </w:tcBorders>
            <w:shd w:val="clear" w:color="auto" w:fill="auto"/>
            <w:vAlign w:val="center"/>
            <w:hideMark/>
          </w:tcPr>
          <w:p w14:paraId="144B118C" w14:textId="5097464E"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w:t>
            </w:r>
            <w:r w:rsidR="00714533">
              <w:rPr>
                <w:rFonts w:asciiTheme="minorHAnsi" w:hAnsiTheme="minorHAnsi" w:cstheme="minorHAnsi"/>
                <w:b/>
                <w:bCs/>
                <w:color w:val="7030A0"/>
                <w:szCs w:val="20"/>
                <w:lang w:val="fr-FR" w:eastAsia="fr-FR"/>
              </w:rPr>
              <w:t>7</w:t>
            </w:r>
          </w:p>
        </w:tc>
      </w:tr>
      <w:tr w:rsidR="00F46C7B" w:rsidRPr="00C73365" w14:paraId="19B8D1FD" w14:textId="77777777" w:rsidTr="007C607C">
        <w:trPr>
          <w:trHeight w:val="206"/>
        </w:trPr>
        <w:tc>
          <w:tcPr>
            <w:tcW w:w="2553" w:type="dxa"/>
            <w:tcBorders>
              <w:top w:val="nil"/>
              <w:left w:val="nil"/>
              <w:bottom w:val="nil"/>
              <w:right w:val="nil"/>
            </w:tcBorders>
            <w:shd w:val="clear" w:color="auto" w:fill="auto"/>
            <w:noWrap/>
            <w:vAlign w:val="center"/>
            <w:hideMark/>
          </w:tcPr>
          <w:p w14:paraId="7ED5845B"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achetés</w:t>
            </w:r>
          </w:p>
        </w:tc>
        <w:tc>
          <w:tcPr>
            <w:tcW w:w="912" w:type="dxa"/>
            <w:tcBorders>
              <w:top w:val="nil"/>
              <w:left w:val="nil"/>
              <w:bottom w:val="nil"/>
              <w:right w:val="nil"/>
            </w:tcBorders>
            <w:shd w:val="clear" w:color="auto" w:fill="auto"/>
            <w:vAlign w:val="center"/>
            <w:hideMark/>
          </w:tcPr>
          <w:p w14:paraId="604387AD" w14:textId="77777777" w:rsidR="00F46C7B" w:rsidRPr="00C73365" w:rsidRDefault="00F46C7B" w:rsidP="00A96CCA">
            <w:pPr>
              <w:spacing w:after="0"/>
              <w:rPr>
                <w:rFonts w:asciiTheme="minorHAnsi" w:hAnsiTheme="minorHAnsi" w:cstheme="minorHAnsi"/>
                <w:szCs w:val="20"/>
                <w:lang w:val="fr-FR" w:eastAsia="fr-FR"/>
              </w:rPr>
            </w:pPr>
          </w:p>
        </w:tc>
      </w:tr>
      <w:tr w:rsidR="00F46C7B" w:rsidRPr="00C73365" w14:paraId="5BDC14D9" w14:textId="77777777" w:rsidTr="007C607C">
        <w:trPr>
          <w:trHeight w:val="206"/>
        </w:trPr>
        <w:tc>
          <w:tcPr>
            <w:tcW w:w="2553" w:type="dxa"/>
            <w:tcBorders>
              <w:top w:val="nil"/>
              <w:left w:val="nil"/>
              <w:bottom w:val="nil"/>
              <w:right w:val="nil"/>
            </w:tcBorders>
            <w:shd w:val="clear" w:color="auto" w:fill="auto"/>
            <w:noWrap/>
            <w:vAlign w:val="center"/>
            <w:hideMark/>
          </w:tcPr>
          <w:p w14:paraId="625C9E17"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réévalués</w:t>
            </w:r>
          </w:p>
        </w:tc>
        <w:tc>
          <w:tcPr>
            <w:tcW w:w="912" w:type="dxa"/>
            <w:tcBorders>
              <w:top w:val="nil"/>
              <w:left w:val="nil"/>
              <w:bottom w:val="nil"/>
              <w:right w:val="nil"/>
            </w:tcBorders>
            <w:shd w:val="clear" w:color="auto" w:fill="auto"/>
            <w:vAlign w:val="center"/>
            <w:hideMark/>
          </w:tcPr>
          <w:p w14:paraId="1629C7A0" w14:textId="77777777" w:rsidR="00F46C7B" w:rsidRPr="00C73365" w:rsidRDefault="00F46C7B" w:rsidP="00A96CCA">
            <w:pPr>
              <w:spacing w:after="0"/>
              <w:jc w:val="right"/>
              <w:rPr>
                <w:rFonts w:asciiTheme="minorHAnsi" w:hAnsiTheme="minorHAnsi" w:cstheme="minorHAnsi"/>
                <w:szCs w:val="20"/>
                <w:lang w:val="fr-FR" w:eastAsia="fr-FR"/>
              </w:rPr>
            </w:pPr>
          </w:p>
        </w:tc>
      </w:tr>
      <w:tr w:rsidR="00F46C7B" w:rsidRPr="00C73365" w14:paraId="7601830C" w14:textId="77777777" w:rsidTr="007C607C">
        <w:trPr>
          <w:trHeight w:val="214"/>
        </w:trPr>
        <w:tc>
          <w:tcPr>
            <w:tcW w:w="2553" w:type="dxa"/>
            <w:tcBorders>
              <w:top w:val="nil"/>
              <w:left w:val="nil"/>
              <w:bottom w:val="single" w:sz="8" w:space="0" w:color="7030A0"/>
              <w:right w:val="nil"/>
            </w:tcBorders>
            <w:shd w:val="clear" w:color="auto" w:fill="auto"/>
            <w:noWrap/>
            <w:vAlign w:val="center"/>
            <w:hideMark/>
          </w:tcPr>
          <w:p w14:paraId="2518ACDD"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reçus en apport</w:t>
            </w:r>
          </w:p>
        </w:tc>
        <w:tc>
          <w:tcPr>
            <w:tcW w:w="912" w:type="dxa"/>
            <w:tcBorders>
              <w:top w:val="nil"/>
              <w:left w:val="nil"/>
              <w:bottom w:val="single" w:sz="8" w:space="0" w:color="7030A0"/>
              <w:right w:val="nil"/>
            </w:tcBorders>
            <w:shd w:val="clear" w:color="auto" w:fill="auto"/>
            <w:vAlign w:val="center"/>
            <w:hideMark/>
          </w:tcPr>
          <w:p w14:paraId="3EAC6091"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32 745  </w:t>
            </w:r>
          </w:p>
        </w:tc>
      </w:tr>
      <w:tr w:rsidR="00F46C7B" w:rsidRPr="00C73365" w14:paraId="7FDC6983" w14:textId="77777777" w:rsidTr="007C607C">
        <w:trPr>
          <w:trHeight w:val="286"/>
        </w:trPr>
        <w:tc>
          <w:tcPr>
            <w:tcW w:w="2553" w:type="dxa"/>
            <w:tcBorders>
              <w:top w:val="nil"/>
              <w:left w:val="nil"/>
              <w:bottom w:val="single" w:sz="8" w:space="0" w:color="7030A0"/>
              <w:right w:val="nil"/>
            </w:tcBorders>
            <w:shd w:val="clear" w:color="auto" w:fill="auto"/>
            <w:noWrap/>
            <w:vAlign w:val="center"/>
            <w:hideMark/>
          </w:tcPr>
          <w:p w14:paraId="330D6489" w14:textId="77777777"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912" w:type="dxa"/>
            <w:tcBorders>
              <w:top w:val="nil"/>
              <w:left w:val="nil"/>
              <w:bottom w:val="single" w:sz="8" w:space="0" w:color="7030A0"/>
              <w:right w:val="nil"/>
            </w:tcBorders>
            <w:shd w:val="clear" w:color="auto" w:fill="auto"/>
            <w:vAlign w:val="center"/>
            <w:hideMark/>
          </w:tcPr>
          <w:p w14:paraId="23D6BB4E" w14:textId="77777777"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32 745  </w:t>
            </w:r>
          </w:p>
        </w:tc>
      </w:tr>
    </w:tbl>
    <w:p w14:paraId="45C8C00C" w14:textId="77777777" w:rsidR="00D22228" w:rsidRPr="00C73365" w:rsidRDefault="00D22228" w:rsidP="00A96CCA">
      <w:pPr>
        <w:spacing w:after="0"/>
        <w:ind w:right="-2"/>
        <w:rPr>
          <w:rFonts w:asciiTheme="minorHAnsi" w:eastAsia="MS Mincho" w:hAnsiTheme="minorHAnsi" w:cstheme="minorHAnsi"/>
          <w:szCs w:val="20"/>
          <w:lang w:val="fr-FR" w:eastAsia="fr-FR"/>
        </w:rPr>
      </w:pPr>
    </w:p>
    <w:p w14:paraId="417C7722"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cours du second semestre de l’exercice 2014, trois Transmissions Universelles de Patrimoine ont été réalisées : les sociétés Wittycell et Zophis ont été absorbées au 31 juillet 2014 et la société Splicos a été absorbée au 31 octobre 2014. Ces trois opérations ont donné lieu à la constatation de mali techniques se substituant à l’actif aux titres de participation reçus en apport pour un montant global de 32 745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14:paraId="5EF326F8"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Ces mali techniques représentent les écarts entre l’actif net reçu mesuré à la date d’effet comptable et la valeur comptable de la participation chez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pour chacune des sociétés absorbées. Ce sont des mali techniques et non des mali financiers car ils représentent la valeur des frais de recherche et développement de ces trois sociétés reconnue par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lors de ses prises de participation et augmentée par les programmes de recherche et développement poursuivis début 2014. En effet ces frais de recherche n’avaient pas été capitalisés dans les trois sociétés dissoutes mais comptabilisés en charges au fur et à mesure de leur réalisation.</w:t>
      </w:r>
    </w:p>
    <w:p w14:paraId="312AED35"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corporelles</w:t>
      </w:r>
    </w:p>
    <w:p w14:paraId="56DAE06C"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corporelles se composent principalement du matériel de laboratoire et de recherche et de matériel informatique.</w:t>
      </w:r>
    </w:p>
    <w:p w14:paraId="25E064BB" w14:textId="77777777" w:rsidR="00F46C7B" w:rsidRPr="00C73365" w:rsidRDefault="00F46C7B" w:rsidP="004572A0">
      <w:pPr>
        <w:pStyle w:val="Corpsdetexte"/>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Immobilisations financières</w:t>
      </w:r>
    </w:p>
    <w:p w14:paraId="2C851714" w14:textId="77777777" w:rsidR="0054790E" w:rsidRPr="00C73365" w:rsidRDefault="0054790E"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financières correspondent principalement aux éléments relatifs au contrat de liquidité souscrit par la société fin juin 2015 et aux dépôts de garantie versés pour les locaux occupés par la société.</w:t>
      </w:r>
    </w:p>
    <w:p w14:paraId="08D31623" w14:textId="77777777" w:rsidR="0054790E" w:rsidRPr="00C73365" w:rsidRDefault="0054790E"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dépôt de garantie correspondant aux locaux utilisés à Evry jusque début 2016 a été restitué totalement.</w:t>
      </w:r>
    </w:p>
    <w:p w14:paraId="2504F536" w14:textId="77777777" w:rsidR="0054790E" w:rsidRPr="00C73365" w:rsidRDefault="0054790E"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opérations liées au contrat de liquidité sont comptabilisées en conformité avec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Avis CU CNC n° 98-D et avec le Bulletin CNCC n° 137 - mars 2005: </w:t>
      </w:r>
    </w:p>
    <w:p w14:paraId="4A3FF0CF" w14:textId="77777777" w:rsidR="0054790E" w:rsidRPr="00C93577" w:rsidRDefault="0054790E" w:rsidP="004572A0">
      <w:pPr>
        <w:pStyle w:val="Listepuces"/>
        <w:rPr>
          <w:rFonts w:asciiTheme="minorHAnsi" w:hAnsiTheme="minorHAnsi" w:cstheme="minorHAnsi"/>
          <w:lang w:val="fr-FR"/>
        </w:rPr>
      </w:pPr>
      <w:r w:rsidRPr="00C93577">
        <w:rPr>
          <w:rFonts w:asciiTheme="minorHAnsi" w:hAnsiTheme="minorHAnsi" w:cstheme="minorHAnsi"/>
          <w:lang w:val="fr-FR"/>
        </w:rPr>
        <w:t>les actions propres détenues sont comptabilisées en Autres Immobilisations Financières - Actions propres. Une provision pour dépréciation est enregistrée par référence au cours moyen de bourse du dernier mois de l’exercice si celui-ci est inférieur au coût d</w:t>
      </w:r>
      <w:r w:rsidR="004572A0" w:rsidRPr="00C93577">
        <w:rPr>
          <w:rFonts w:asciiTheme="minorHAnsi" w:hAnsiTheme="minorHAnsi" w:cstheme="minorHAnsi"/>
          <w:lang w:val="fr-FR"/>
        </w:rPr>
        <w:t>’</w:t>
      </w:r>
      <w:r w:rsidRPr="00C93577">
        <w:rPr>
          <w:rFonts w:asciiTheme="minorHAnsi" w:hAnsiTheme="minorHAnsi" w:cstheme="minorHAnsi"/>
          <w:lang w:val="fr-FR"/>
        </w:rPr>
        <w:t xml:space="preserve">achat. Pour la détermination du résultat de cession, la méthode Premier entré – Premier sorti est appliquée. </w:t>
      </w:r>
    </w:p>
    <w:p w14:paraId="12060706" w14:textId="77777777" w:rsidR="0054790E" w:rsidRPr="00C93577" w:rsidRDefault="0054790E" w:rsidP="004572A0">
      <w:pPr>
        <w:pStyle w:val="Listepuces"/>
        <w:rPr>
          <w:rFonts w:asciiTheme="minorHAnsi" w:hAnsiTheme="minorHAnsi" w:cstheme="minorHAnsi"/>
          <w:lang w:val="fr-FR"/>
        </w:rPr>
      </w:pPr>
      <w:r w:rsidRPr="00C93577">
        <w:rPr>
          <w:rFonts w:asciiTheme="minorHAnsi" w:hAnsiTheme="minorHAnsi" w:cstheme="minorHAnsi"/>
          <w:lang w:val="fr-FR"/>
        </w:rPr>
        <w:t>les espèces versées à l’intermédiaire et non encore utilisées sont comptabilisées au compte Autres Immobilisations Financières - Autres créances immobilisées</w:t>
      </w:r>
    </w:p>
    <w:p w14:paraId="0C483225" w14:textId="77777777" w:rsidR="0054790E" w:rsidRPr="00C73365" w:rsidRDefault="0054790E" w:rsidP="00A96CCA">
      <w:pPr>
        <w:spacing w:after="0"/>
        <w:ind w:right="-2"/>
        <w:rPr>
          <w:rFonts w:asciiTheme="minorHAnsi" w:eastAsia="MS Mincho" w:hAnsiTheme="minorHAnsi" w:cstheme="minorHAnsi"/>
          <w:color w:val="000000"/>
          <w:szCs w:val="20"/>
          <w:lang w:val="fr-FR" w:eastAsia="fr-FR"/>
        </w:rPr>
      </w:pPr>
    </w:p>
    <w:p w14:paraId="48B87B6D" w14:textId="77777777" w:rsidR="0054790E" w:rsidRPr="00C73365" w:rsidRDefault="0054790E"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de liquidité a été signé le 26 juin 2015 pour une durée de 12 mois et renouvelable par tacite reconduction. Le montant versé au prestataire à l’ouverture du contrat a été de 1 000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les premières opérations permettant de constituer un volant de titres ont été réalisées entre le 26 et le 29 juin 2015.</w:t>
      </w:r>
    </w:p>
    <w:p w14:paraId="6863D119" w14:textId="77777777" w:rsidR="0054790E" w:rsidRPr="00C73365" w:rsidRDefault="0054790E"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société détient, au 31 décembre 2017 et via ce contrat de liquidité, 34 050 actions propres soit moins de 10% de son capital, pour un coût d’acquisition de 385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58599761" w14:textId="77777777" w:rsidR="00F46C7B" w:rsidRPr="00C73365" w:rsidRDefault="0054790E"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solde du compte espèces chez le prestataire est de 337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00114247" w14:textId="77777777" w:rsidR="00F46C7B" w:rsidRPr="00C73365" w:rsidRDefault="00F46C7B" w:rsidP="004572A0">
      <w:pPr>
        <w:pStyle w:val="Corpsdetexte"/>
        <w:rPr>
          <w:rFonts w:asciiTheme="minorHAnsi"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tbl>
      <w:tblPr>
        <w:tblW w:w="8931" w:type="dxa"/>
        <w:tblLayout w:type="fixed"/>
        <w:tblLook w:val="04A0" w:firstRow="1" w:lastRow="0" w:firstColumn="1" w:lastColumn="0" w:noHBand="0" w:noVBand="1"/>
      </w:tblPr>
      <w:tblGrid>
        <w:gridCol w:w="4200"/>
        <w:gridCol w:w="1112"/>
        <w:gridCol w:w="1155"/>
        <w:gridCol w:w="1188"/>
        <w:gridCol w:w="1276"/>
      </w:tblGrid>
      <w:tr w:rsidR="0054790E" w:rsidRPr="00C73365" w14:paraId="01AE398A" w14:textId="77777777" w:rsidTr="00BB083E">
        <w:trPr>
          <w:trHeight w:val="1128"/>
        </w:trPr>
        <w:tc>
          <w:tcPr>
            <w:tcW w:w="4200" w:type="dxa"/>
            <w:tcBorders>
              <w:top w:val="single" w:sz="12" w:space="0" w:color="7030A0"/>
              <w:left w:val="nil"/>
              <w:bottom w:val="single" w:sz="8" w:space="0" w:color="7030A0"/>
              <w:right w:val="nil"/>
            </w:tcBorders>
            <w:shd w:val="clear" w:color="auto" w:fill="auto"/>
            <w:vAlign w:val="center"/>
            <w:hideMark/>
          </w:tcPr>
          <w:p w14:paraId="31284FB2" w14:textId="77777777"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12" w:type="dxa"/>
            <w:tcBorders>
              <w:top w:val="single" w:sz="12" w:space="0" w:color="7030A0"/>
              <w:left w:val="nil"/>
              <w:bottom w:val="single" w:sz="8" w:space="0" w:color="7030A0"/>
              <w:right w:val="nil"/>
            </w:tcBorders>
            <w:shd w:val="clear" w:color="auto" w:fill="auto"/>
            <w:vAlign w:val="center"/>
            <w:hideMark/>
          </w:tcPr>
          <w:p w14:paraId="72863874"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Quantité</w:t>
            </w:r>
          </w:p>
        </w:tc>
        <w:tc>
          <w:tcPr>
            <w:tcW w:w="1155" w:type="dxa"/>
            <w:tcBorders>
              <w:top w:val="single" w:sz="12" w:space="0" w:color="7030A0"/>
              <w:left w:val="nil"/>
              <w:bottom w:val="single" w:sz="8" w:space="0" w:color="7030A0"/>
              <w:right w:val="nil"/>
            </w:tcBorders>
            <w:shd w:val="clear" w:color="auto" w:fill="auto"/>
            <w:vAlign w:val="center"/>
            <w:hideMark/>
          </w:tcPr>
          <w:p w14:paraId="2230AAFC"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Cours moyen en euros</w:t>
            </w:r>
            <w:r w:rsidR="005E11E0" w:rsidRPr="00C73365">
              <w:rPr>
                <w:rFonts w:asciiTheme="minorHAnsi" w:hAnsiTheme="minorHAnsi" w:cstheme="minorHAnsi"/>
                <w:b/>
                <w:bCs/>
                <w:color w:val="000000"/>
                <w:szCs w:val="20"/>
              </w:rPr>
              <w:t>*</w:t>
            </w:r>
          </w:p>
        </w:tc>
        <w:tc>
          <w:tcPr>
            <w:tcW w:w="1188" w:type="dxa"/>
            <w:tcBorders>
              <w:top w:val="single" w:sz="12" w:space="0" w:color="7030A0"/>
              <w:left w:val="nil"/>
              <w:bottom w:val="single" w:sz="8" w:space="0" w:color="7030A0"/>
              <w:right w:val="nil"/>
            </w:tcBorders>
            <w:shd w:val="clear" w:color="auto" w:fill="auto"/>
            <w:vAlign w:val="center"/>
            <w:hideMark/>
          </w:tcPr>
          <w:p w14:paraId="401C4E4D" w14:textId="77777777" w:rsidR="0054790E" w:rsidRPr="00C73365" w:rsidRDefault="0054790E"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Valeur comptable des titres détenus</w:t>
            </w:r>
          </w:p>
        </w:tc>
        <w:tc>
          <w:tcPr>
            <w:tcW w:w="1276" w:type="dxa"/>
            <w:tcBorders>
              <w:top w:val="single" w:sz="12" w:space="0" w:color="7030A0"/>
              <w:left w:val="nil"/>
              <w:bottom w:val="single" w:sz="8" w:space="0" w:color="7030A0"/>
              <w:right w:val="nil"/>
            </w:tcBorders>
            <w:shd w:val="clear" w:color="auto" w:fill="auto"/>
            <w:vAlign w:val="center"/>
            <w:hideMark/>
          </w:tcPr>
          <w:p w14:paraId="18F4C820"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Autres immobilisa-tions financières</w:t>
            </w:r>
          </w:p>
        </w:tc>
      </w:tr>
      <w:tr w:rsidR="0054790E" w:rsidRPr="00C73365" w14:paraId="1890CE08" w14:textId="77777777" w:rsidTr="00BB083E">
        <w:trPr>
          <w:trHeight w:val="288"/>
        </w:trPr>
        <w:tc>
          <w:tcPr>
            <w:tcW w:w="4200" w:type="dxa"/>
            <w:tcBorders>
              <w:top w:val="nil"/>
              <w:left w:val="nil"/>
              <w:bottom w:val="nil"/>
              <w:right w:val="nil"/>
            </w:tcBorders>
            <w:shd w:val="clear" w:color="auto" w:fill="auto"/>
            <w:noWrap/>
            <w:vAlign w:val="center"/>
            <w:hideMark/>
          </w:tcPr>
          <w:p w14:paraId="13E2024E" w14:textId="77777777"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Ouverture du contrat</w:t>
            </w:r>
          </w:p>
        </w:tc>
        <w:tc>
          <w:tcPr>
            <w:tcW w:w="1112" w:type="dxa"/>
            <w:tcBorders>
              <w:top w:val="nil"/>
              <w:left w:val="nil"/>
              <w:bottom w:val="nil"/>
              <w:right w:val="nil"/>
            </w:tcBorders>
            <w:shd w:val="clear" w:color="auto" w:fill="auto"/>
            <w:vAlign w:val="center"/>
            <w:hideMark/>
          </w:tcPr>
          <w:p w14:paraId="607F3364" w14:textId="77777777" w:rsidR="0054790E" w:rsidRPr="00C73365" w:rsidRDefault="0054790E" w:rsidP="00A96CCA">
            <w:pPr>
              <w:spacing w:after="0"/>
              <w:rPr>
                <w:rFonts w:asciiTheme="minorHAnsi" w:hAnsiTheme="minorHAnsi" w:cstheme="minorHAnsi"/>
                <w:b/>
                <w:bCs/>
                <w:color w:val="000000"/>
                <w:szCs w:val="20"/>
              </w:rPr>
            </w:pPr>
          </w:p>
        </w:tc>
        <w:tc>
          <w:tcPr>
            <w:tcW w:w="1155" w:type="dxa"/>
            <w:tcBorders>
              <w:top w:val="nil"/>
              <w:left w:val="nil"/>
              <w:bottom w:val="nil"/>
              <w:right w:val="nil"/>
            </w:tcBorders>
            <w:shd w:val="clear" w:color="auto" w:fill="auto"/>
            <w:vAlign w:val="center"/>
            <w:hideMark/>
          </w:tcPr>
          <w:p w14:paraId="0AE377FF" w14:textId="77777777" w:rsidR="0054790E" w:rsidRPr="00C73365" w:rsidRDefault="0054790E" w:rsidP="00A96CCA">
            <w:pPr>
              <w:spacing w:after="0"/>
              <w:rPr>
                <w:rFonts w:asciiTheme="minorHAnsi" w:hAnsiTheme="minorHAnsi" w:cstheme="minorHAnsi"/>
                <w:szCs w:val="20"/>
              </w:rPr>
            </w:pPr>
          </w:p>
        </w:tc>
        <w:tc>
          <w:tcPr>
            <w:tcW w:w="1188" w:type="dxa"/>
            <w:tcBorders>
              <w:top w:val="nil"/>
              <w:left w:val="nil"/>
              <w:bottom w:val="nil"/>
              <w:right w:val="nil"/>
            </w:tcBorders>
            <w:shd w:val="clear" w:color="auto" w:fill="auto"/>
            <w:vAlign w:val="center"/>
            <w:hideMark/>
          </w:tcPr>
          <w:p w14:paraId="537F1DFE" w14:textId="77777777" w:rsidR="0054790E" w:rsidRPr="00C73365" w:rsidRDefault="0054790E" w:rsidP="00A96CCA">
            <w:pPr>
              <w:spacing w:after="0"/>
              <w:rPr>
                <w:rFonts w:asciiTheme="minorHAnsi" w:hAnsiTheme="minorHAnsi" w:cstheme="minorHAnsi"/>
                <w:szCs w:val="20"/>
              </w:rPr>
            </w:pPr>
          </w:p>
        </w:tc>
        <w:tc>
          <w:tcPr>
            <w:tcW w:w="1276" w:type="dxa"/>
            <w:tcBorders>
              <w:top w:val="nil"/>
              <w:left w:val="nil"/>
              <w:bottom w:val="nil"/>
              <w:right w:val="nil"/>
            </w:tcBorders>
            <w:shd w:val="clear" w:color="auto" w:fill="auto"/>
            <w:vAlign w:val="center"/>
            <w:hideMark/>
          </w:tcPr>
          <w:p w14:paraId="4EAE877E"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1 000</w:t>
            </w:r>
          </w:p>
        </w:tc>
      </w:tr>
      <w:tr w:rsidR="0054790E" w:rsidRPr="00C73365" w14:paraId="17ED4CDF" w14:textId="77777777" w:rsidTr="00BB083E">
        <w:trPr>
          <w:trHeight w:val="288"/>
        </w:trPr>
        <w:tc>
          <w:tcPr>
            <w:tcW w:w="4200" w:type="dxa"/>
            <w:tcBorders>
              <w:top w:val="nil"/>
              <w:left w:val="nil"/>
              <w:bottom w:val="nil"/>
              <w:right w:val="nil"/>
            </w:tcBorders>
            <w:shd w:val="clear" w:color="auto" w:fill="auto"/>
            <w:noWrap/>
            <w:vAlign w:val="center"/>
            <w:hideMark/>
          </w:tcPr>
          <w:p w14:paraId="063CD9E8" w14:textId="77777777"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14:paraId="67805A51"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54 537</w:t>
            </w:r>
          </w:p>
        </w:tc>
        <w:tc>
          <w:tcPr>
            <w:tcW w:w="1155" w:type="dxa"/>
            <w:tcBorders>
              <w:top w:val="nil"/>
              <w:left w:val="nil"/>
              <w:bottom w:val="nil"/>
              <w:right w:val="nil"/>
            </w:tcBorders>
            <w:shd w:val="clear" w:color="auto" w:fill="auto"/>
            <w:vAlign w:val="center"/>
            <w:hideMark/>
          </w:tcPr>
          <w:p w14:paraId="4215C8BE"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18,45</w:t>
            </w:r>
          </w:p>
        </w:tc>
        <w:tc>
          <w:tcPr>
            <w:tcW w:w="1188" w:type="dxa"/>
            <w:tcBorders>
              <w:top w:val="nil"/>
              <w:left w:val="nil"/>
              <w:bottom w:val="nil"/>
              <w:right w:val="nil"/>
            </w:tcBorders>
            <w:shd w:val="clear" w:color="auto" w:fill="auto"/>
            <w:vAlign w:val="center"/>
            <w:hideMark/>
          </w:tcPr>
          <w:p w14:paraId="58C2E967"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1 006</w:t>
            </w:r>
          </w:p>
        </w:tc>
        <w:tc>
          <w:tcPr>
            <w:tcW w:w="1276" w:type="dxa"/>
            <w:tcBorders>
              <w:top w:val="nil"/>
              <w:left w:val="nil"/>
              <w:bottom w:val="nil"/>
              <w:right w:val="nil"/>
            </w:tcBorders>
            <w:shd w:val="clear" w:color="auto" w:fill="auto"/>
            <w:vAlign w:val="center"/>
            <w:hideMark/>
          </w:tcPr>
          <w:p w14:paraId="48810017"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-1 006</w:t>
            </w:r>
          </w:p>
        </w:tc>
      </w:tr>
      <w:tr w:rsidR="0054790E" w:rsidRPr="00C73365" w14:paraId="119CDA86" w14:textId="77777777" w:rsidTr="00BB083E">
        <w:trPr>
          <w:trHeight w:val="288"/>
        </w:trPr>
        <w:tc>
          <w:tcPr>
            <w:tcW w:w="4200" w:type="dxa"/>
            <w:tcBorders>
              <w:top w:val="nil"/>
              <w:left w:val="nil"/>
              <w:bottom w:val="nil"/>
              <w:right w:val="nil"/>
            </w:tcBorders>
            <w:shd w:val="clear" w:color="auto" w:fill="auto"/>
            <w:noWrap/>
            <w:vAlign w:val="center"/>
            <w:hideMark/>
          </w:tcPr>
          <w:p w14:paraId="05AACAAD" w14:textId="77777777"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14:paraId="042E0327"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11 091</w:t>
            </w:r>
          </w:p>
        </w:tc>
        <w:tc>
          <w:tcPr>
            <w:tcW w:w="1155" w:type="dxa"/>
            <w:tcBorders>
              <w:top w:val="nil"/>
              <w:left w:val="nil"/>
              <w:bottom w:val="nil"/>
              <w:right w:val="nil"/>
            </w:tcBorders>
            <w:shd w:val="clear" w:color="auto" w:fill="auto"/>
            <w:vAlign w:val="center"/>
            <w:hideMark/>
          </w:tcPr>
          <w:p w14:paraId="743B9A66"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18,18</w:t>
            </w:r>
          </w:p>
        </w:tc>
        <w:tc>
          <w:tcPr>
            <w:tcW w:w="1188" w:type="dxa"/>
            <w:tcBorders>
              <w:top w:val="nil"/>
              <w:left w:val="nil"/>
              <w:bottom w:val="nil"/>
              <w:right w:val="nil"/>
            </w:tcBorders>
            <w:shd w:val="clear" w:color="auto" w:fill="auto"/>
            <w:vAlign w:val="center"/>
            <w:hideMark/>
          </w:tcPr>
          <w:p w14:paraId="2D9F33D7"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w:t>
            </w:r>
          </w:p>
        </w:tc>
        <w:tc>
          <w:tcPr>
            <w:tcW w:w="1276" w:type="dxa"/>
            <w:tcBorders>
              <w:top w:val="nil"/>
              <w:left w:val="nil"/>
              <w:bottom w:val="nil"/>
              <w:right w:val="nil"/>
            </w:tcBorders>
            <w:shd w:val="clear" w:color="auto" w:fill="auto"/>
            <w:vAlign w:val="center"/>
            <w:hideMark/>
          </w:tcPr>
          <w:p w14:paraId="4F949173"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w:t>
            </w:r>
          </w:p>
        </w:tc>
      </w:tr>
      <w:tr w:rsidR="0054790E" w:rsidRPr="00C73365" w14:paraId="2533DAF3" w14:textId="77777777" w:rsidTr="00BB083E">
        <w:trPr>
          <w:trHeight w:val="300"/>
        </w:trPr>
        <w:tc>
          <w:tcPr>
            <w:tcW w:w="4200" w:type="dxa"/>
            <w:tcBorders>
              <w:top w:val="nil"/>
              <w:left w:val="nil"/>
              <w:bottom w:val="single" w:sz="8" w:space="0" w:color="7030A0"/>
              <w:right w:val="nil"/>
            </w:tcBorders>
            <w:shd w:val="clear" w:color="auto" w:fill="auto"/>
            <w:noWrap/>
            <w:vAlign w:val="center"/>
            <w:hideMark/>
          </w:tcPr>
          <w:p w14:paraId="4977EFD1" w14:textId="77777777"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14:paraId="1937F40E" w14:textId="77777777"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14:paraId="129A695F" w14:textId="77777777"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14:paraId="48C92266"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276" w:type="dxa"/>
            <w:tcBorders>
              <w:top w:val="nil"/>
              <w:left w:val="nil"/>
              <w:bottom w:val="single" w:sz="8" w:space="0" w:color="7030A0"/>
              <w:right w:val="nil"/>
            </w:tcBorders>
            <w:shd w:val="clear" w:color="auto" w:fill="auto"/>
            <w:vAlign w:val="center"/>
            <w:hideMark/>
          </w:tcPr>
          <w:p w14:paraId="6739886E"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14:paraId="4466873D" w14:textId="77777777" w:rsidTr="00BB083E">
        <w:trPr>
          <w:trHeight w:val="300"/>
        </w:trPr>
        <w:tc>
          <w:tcPr>
            <w:tcW w:w="4200" w:type="dxa"/>
            <w:tcBorders>
              <w:top w:val="nil"/>
              <w:left w:val="nil"/>
              <w:bottom w:val="single" w:sz="8" w:space="0" w:color="7030A0"/>
              <w:right w:val="nil"/>
            </w:tcBorders>
            <w:shd w:val="clear" w:color="auto" w:fill="auto"/>
            <w:noWrap/>
            <w:vAlign w:val="center"/>
            <w:hideMark/>
          </w:tcPr>
          <w:p w14:paraId="516360D6" w14:textId="77777777"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2015</w:t>
            </w:r>
          </w:p>
        </w:tc>
        <w:tc>
          <w:tcPr>
            <w:tcW w:w="1112" w:type="dxa"/>
            <w:tcBorders>
              <w:top w:val="nil"/>
              <w:left w:val="nil"/>
              <w:bottom w:val="single" w:sz="8" w:space="0" w:color="7030A0"/>
              <w:right w:val="nil"/>
            </w:tcBorders>
            <w:shd w:val="clear" w:color="auto" w:fill="auto"/>
            <w:vAlign w:val="center"/>
            <w:hideMark/>
          </w:tcPr>
          <w:p w14:paraId="6C86D34C"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43 446</w:t>
            </w:r>
          </w:p>
        </w:tc>
        <w:tc>
          <w:tcPr>
            <w:tcW w:w="1155" w:type="dxa"/>
            <w:tcBorders>
              <w:top w:val="nil"/>
              <w:left w:val="nil"/>
              <w:bottom w:val="single" w:sz="8" w:space="0" w:color="7030A0"/>
              <w:right w:val="nil"/>
            </w:tcBorders>
            <w:shd w:val="clear" w:color="auto" w:fill="auto"/>
            <w:vAlign w:val="center"/>
            <w:hideMark/>
          </w:tcPr>
          <w:p w14:paraId="0B64F77C"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w:t>
            </w:r>
          </w:p>
        </w:tc>
        <w:tc>
          <w:tcPr>
            <w:tcW w:w="1188" w:type="dxa"/>
            <w:tcBorders>
              <w:top w:val="nil"/>
              <w:left w:val="nil"/>
              <w:bottom w:val="single" w:sz="8" w:space="0" w:color="7030A0"/>
              <w:right w:val="nil"/>
            </w:tcBorders>
            <w:shd w:val="clear" w:color="auto" w:fill="auto"/>
            <w:vAlign w:val="center"/>
            <w:hideMark/>
          </w:tcPr>
          <w:p w14:paraId="3B7700AD"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788</w:t>
            </w:r>
          </w:p>
        </w:tc>
        <w:tc>
          <w:tcPr>
            <w:tcW w:w="1276" w:type="dxa"/>
            <w:tcBorders>
              <w:top w:val="nil"/>
              <w:left w:val="nil"/>
              <w:bottom w:val="single" w:sz="8" w:space="0" w:color="7030A0"/>
              <w:right w:val="nil"/>
            </w:tcBorders>
            <w:shd w:val="clear" w:color="auto" w:fill="auto"/>
            <w:vAlign w:val="center"/>
            <w:hideMark/>
          </w:tcPr>
          <w:p w14:paraId="5F61C244"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196</w:t>
            </w:r>
          </w:p>
        </w:tc>
      </w:tr>
      <w:tr w:rsidR="0054790E" w:rsidRPr="00C73365" w14:paraId="14ABCF41" w14:textId="77777777" w:rsidTr="00BB083E">
        <w:trPr>
          <w:trHeight w:val="288"/>
        </w:trPr>
        <w:tc>
          <w:tcPr>
            <w:tcW w:w="4200" w:type="dxa"/>
            <w:tcBorders>
              <w:top w:val="nil"/>
              <w:left w:val="nil"/>
              <w:bottom w:val="nil"/>
              <w:right w:val="nil"/>
            </w:tcBorders>
            <w:shd w:val="clear" w:color="auto" w:fill="auto"/>
            <w:noWrap/>
            <w:vAlign w:val="center"/>
            <w:hideMark/>
          </w:tcPr>
          <w:p w14:paraId="2C5F1584" w14:textId="77777777"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14:paraId="56C92113"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74 993</w:t>
            </w:r>
          </w:p>
        </w:tc>
        <w:tc>
          <w:tcPr>
            <w:tcW w:w="1155" w:type="dxa"/>
            <w:tcBorders>
              <w:top w:val="nil"/>
              <w:left w:val="nil"/>
              <w:bottom w:val="nil"/>
              <w:right w:val="nil"/>
            </w:tcBorders>
            <w:shd w:val="clear" w:color="auto" w:fill="auto"/>
            <w:vAlign w:val="center"/>
            <w:hideMark/>
          </w:tcPr>
          <w:p w14:paraId="7D06B19C"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8,31</w:t>
            </w:r>
          </w:p>
        </w:tc>
        <w:tc>
          <w:tcPr>
            <w:tcW w:w="1188" w:type="dxa"/>
            <w:tcBorders>
              <w:top w:val="nil"/>
              <w:left w:val="nil"/>
              <w:bottom w:val="nil"/>
              <w:right w:val="nil"/>
            </w:tcBorders>
            <w:shd w:val="clear" w:color="auto" w:fill="auto"/>
            <w:vAlign w:val="center"/>
            <w:hideMark/>
          </w:tcPr>
          <w:p w14:paraId="04D8BA77"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623</w:t>
            </w:r>
          </w:p>
        </w:tc>
        <w:tc>
          <w:tcPr>
            <w:tcW w:w="1276" w:type="dxa"/>
            <w:tcBorders>
              <w:top w:val="nil"/>
              <w:left w:val="nil"/>
              <w:bottom w:val="nil"/>
              <w:right w:val="nil"/>
            </w:tcBorders>
            <w:shd w:val="clear" w:color="auto" w:fill="auto"/>
            <w:vAlign w:val="center"/>
            <w:hideMark/>
          </w:tcPr>
          <w:p w14:paraId="09762666"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-623</w:t>
            </w:r>
          </w:p>
        </w:tc>
      </w:tr>
      <w:tr w:rsidR="0054790E" w:rsidRPr="00C73365" w14:paraId="27EB9942" w14:textId="77777777" w:rsidTr="00BB083E">
        <w:trPr>
          <w:trHeight w:val="288"/>
        </w:trPr>
        <w:tc>
          <w:tcPr>
            <w:tcW w:w="4200" w:type="dxa"/>
            <w:tcBorders>
              <w:top w:val="nil"/>
              <w:left w:val="nil"/>
              <w:bottom w:val="nil"/>
              <w:right w:val="nil"/>
            </w:tcBorders>
            <w:shd w:val="clear" w:color="auto" w:fill="auto"/>
            <w:noWrap/>
            <w:vAlign w:val="center"/>
            <w:hideMark/>
          </w:tcPr>
          <w:p w14:paraId="1E3AACEF" w14:textId="77777777"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14:paraId="4C0908C4"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68 539</w:t>
            </w:r>
          </w:p>
        </w:tc>
        <w:tc>
          <w:tcPr>
            <w:tcW w:w="1155" w:type="dxa"/>
            <w:tcBorders>
              <w:top w:val="nil"/>
              <w:left w:val="nil"/>
              <w:bottom w:val="nil"/>
              <w:right w:val="nil"/>
            </w:tcBorders>
            <w:shd w:val="clear" w:color="auto" w:fill="auto"/>
            <w:vAlign w:val="center"/>
            <w:hideMark/>
          </w:tcPr>
          <w:p w14:paraId="11A22D09"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8,52</w:t>
            </w:r>
          </w:p>
        </w:tc>
        <w:tc>
          <w:tcPr>
            <w:tcW w:w="1188" w:type="dxa"/>
            <w:tcBorders>
              <w:top w:val="nil"/>
              <w:left w:val="nil"/>
              <w:bottom w:val="nil"/>
              <w:right w:val="nil"/>
            </w:tcBorders>
            <w:shd w:val="clear" w:color="auto" w:fill="auto"/>
            <w:vAlign w:val="center"/>
            <w:hideMark/>
          </w:tcPr>
          <w:p w14:paraId="15A65FFB"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584</w:t>
            </w:r>
          </w:p>
        </w:tc>
        <w:tc>
          <w:tcPr>
            <w:tcW w:w="1276" w:type="dxa"/>
            <w:tcBorders>
              <w:top w:val="nil"/>
              <w:left w:val="nil"/>
              <w:bottom w:val="nil"/>
              <w:right w:val="nil"/>
            </w:tcBorders>
            <w:shd w:val="clear" w:color="auto" w:fill="auto"/>
            <w:vAlign w:val="center"/>
            <w:hideMark/>
          </w:tcPr>
          <w:p w14:paraId="2ABCCC05"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584</w:t>
            </w:r>
          </w:p>
        </w:tc>
      </w:tr>
      <w:tr w:rsidR="0054790E" w:rsidRPr="00C73365" w14:paraId="1DFFCB1D" w14:textId="77777777" w:rsidTr="00BB083E">
        <w:trPr>
          <w:trHeight w:val="300"/>
        </w:trPr>
        <w:tc>
          <w:tcPr>
            <w:tcW w:w="4200" w:type="dxa"/>
            <w:tcBorders>
              <w:top w:val="nil"/>
              <w:left w:val="nil"/>
              <w:bottom w:val="single" w:sz="8" w:space="0" w:color="7030A0"/>
              <w:right w:val="nil"/>
            </w:tcBorders>
            <w:shd w:val="clear" w:color="auto" w:fill="auto"/>
            <w:noWrap/>
            <w:vAlign w:val="center"/>
            <w:hideMark/>
          </w:tcPr>
          <w:p w14:paraId="146350B8" w14:textId="77777777"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14:paraId="411C7138" w14:textId="77777777"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14:paraId="7B304B08" w14:textId="77777777"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14:paraId="06BB5C02"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-514</w:t>
            </w:r>
          </w:p>
        </w:tc>
        <w:tc>
          <w:tcPr>
            <w:tcW w:w="1276" w:type="dxa"/>
            <w:tcBorders>
              <w:top w:val="nil"/>
              <w:left w:val="nil"/>
              <w:bottom w:val="single" w:sz="8" w:space="0" w:color="7030A0"/>
              <w:right w:val="nil"/>
            </w:tcBorders>
            <w:shd w:val="clear" w:color="auto" w:fill="auto"/>
            <w:vAlign w:val="center"/>
            <w:hideMark/>
          </w:tcPr>
          <w:p w14:paraId="5CC573FE"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14:paraId="4EEA196A" w14:textId="77777777" w:rsidTr="00BB083E">
        <w:trPr>
          <w:trHeight w:val="300"/>
        </w:trPr>
        <w:tc>
          <w:tcPr>
            <w:tcW w:w="4200" w:type="dxa"/>
            <w:tcBorders>
              <w:top w:val="nil"/>
              <w:left w:val="nil"/>
              <w:bottom w:val="single" w:sz="8" w:space="0" w:color="7030A0"/>
              <w:right w:val="nil"/>
            </w:tcBorders>
            <w:shd w:val="clear" w:color="auto" w:fill="auto"/>
            <w:noWrap/>
            <w:vAlign w:val="center"/>
            <w:hideMark/>
          </w:tcPr>
          <w:p w14:paraId="791FEA54" w14:textId="77777777"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2016</w:t>
            </w:r>
          </w:p>
        </w:tc>
        <w:tc>
          <w:tcPr>
            <w:tcW w:w="1112" w:type="dxa"/>
            <w:tcBorders>
              <w:top w:val="nil"/>
              <w:left w:val="nil"/>
              <w:bottom w:val="single" w:sz="8" w:space="0" w:color="7030A0"/>
              <w:right w:val="nil"/>
            </w:tcBorders>
            <w:shd w:val="clear" w:color="auto" w:fill="auto"/>
            <w:vAlign w:val="center"/>
            <w:hideMark/>
          </w:tcPr>
          <w:p w14:paraId="586D8DB4"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49 900</w:t>
            </w:r>
          </w:p>
        </w:tc>
        <w:tc>
          <w:tcPr>
            <w:tcW w:w="1155" w:type="dxa"/>
            <w:tcBorders>
              <w:top w:val="nil"/>
              <w:left w:val="nil"/>
              <w:bottom w:val="single" w:sz="8" w:space="0" w:color="7030A0"/>
              <w:right w:val="nil"/>
            </w:tcBorders>
            <w:shd w:val="clear" w:color="auto" w:fill="auto"/>
            <w:vAlign w:val="center"/>
            <w:hideMark/>
          </w:tcPr>
          <w:p w14:paraId="7DE20F86"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w:t>
            </w:r>
          </w:p>
        </w:tc>
        <w:tc>
          <w:tcPr>
            <w:tcW w:w="1188" w:type="dxa"/>
            <w:tcBorders>
              <w:top w:val="nil"/>
              <w:left w:val="nil"/>
              <w:bottom w:val="single" w:sz="8" w:space="0" w:color="7030A0"/>
              <w:right w:val="nil"/>
            </w:tcBorders>
            <w:shd w:val="clear" w:color="auto" w:fill="auto"/>
            <w:vAlign w:val="center"/>
            <w:hideMark/>
          </w:tcPr>
          <w:p w14:paraId="647A7F6A"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313</w:t>
            </w:r>
          </w:p>
        </w:tc>
        <w:tc>
          <w:tcPr>
            <w:tcW w:w="1276" w:type="dxa"/>
            <w:tcBorders>
              <w:top w:val="nil"/>
              <w:left w:val="nil"/>
              <w:bottom w:val="single" w:sz="8" w:space="0" w:color="7030A0"/>
              <w:right w:val="nil"/>
            </w:tcBorders>
            <w:shd w:val="clear" w:color="auto" w:fill="auto"/>
            <w:vAlign w:val="center"/>
            <w:hideMark/>
          </w:tcPr>
          <w:p w14:paraId="4A76E989"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157</w:t>
            </w:r>
          </w:p>
        </w:tc>
      </w:tr>
      <w:tr w:rsidR="0054790E" w:rsidRPr="00C73365" w14:paraId="7270D452" w14:textId="77777777" w:rsidTr="00BB083E">
        <w:trPr>
          <w:trHeight w:val="288"/>
        </w:trPr>
        <w:tc>
          <w:tcPr>
            <w:tcW w:w="4200" w:type="dxa"/>
            <w:tcBorders>
              <w:top w:val="nil"/>
              <w:left w:val="nil"/>
              <w:bottom w:val="nil"/>
              <w:right w:val="nil"/>
            </w:tcBorders>
            <w:shd w:val="clear" w:color="auto" w:fill="auto"/>
            <w:noWrap/>
            <w:vAlign w:val="center"/>
            <w:hideMark/>
          </w:tcPr>
          <w:p w14:paraId="05DDDFE3" w14:textId="77777777"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14:paraId="2BE2BBEB"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90 109</w:t>
            </w:r>
          </w:p>
        </w:tc>
        <w:tc>
          <w:tcPr>
            <w:tcW w:w="1155" w:type="dxa"/>
            <w:tcBorders>
              <w:top w:val="nil"/>
              <w:left w:val="nil"/>
              <w:bottom w:val="nil"/>
              <w:right w:val="nil"/>
            </w:tcBorders>
            <w:shd w:val="clear" w:color="auto" w:fill="auto"/>
            <w:vAlign w:val="center"/>
            <w:hideMark/>
          </w:tcPr>
          <w:p w14:paraId="344FDF8B"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9,26</w:t>
            </w:r>
          </w:p>
        </w:tc>
        <w:tc>
          <w:tcPr>
            <w:tcW w:w="1188" w:type="dxa"/>
            <w:tcBorders>
              <w:top w:val="nil"/>
              <w:left w:val="nil"/>
              <w:bottom w:val="nil"/>
              <w:right w:val="nil"/>
            </w:tcBorders>
            <w:shd w:val="clear" w:color="auto" w:fill="auto"/>
            <w:vAlign w:val="center"/>
            <w:hideMark/>
          </w:tcPr>
          <w:p w14:paraId="773FA1AC"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c>
          <w:tcPr>
            <w:tcW w:w="1276" w:type="dxa"/>
            <w:tcBorders>
              <w:top w:val="nil"/>
              <w:left w:val="nil"/>
              <w:bottom w:val="nil"/>
              <w:right w:val="nil"/>
            </w:tcBorders>
            <w:shd w:val="clear" w:color="auto" w:fill="auto"/>
            <w:vAlign w:val="center"/>
            <w:hideMark/>
          </w:tcPr>
          <w:p w14:paraId="5F2A3CF1"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r>
      <w:tr w:rsidR="0054790E" w:rsidRPr="00C73365" w14:paraId="5629501F" w14:textId="77777777" w:rsidTr="00BB083E">
        <w:trPr>
          <w:trHeight w:val="288"/>
        </w:trPr>
        <w:tc>
          <w:tcPr>
            <w:tcW w:w="4200" w:type="dxa"/>
            <w:tcBorders>
              <w:top w:val="nil"/>
              <w:left w:val="nil"/>
              <w:bottom w:val="nil"/>
              <w:right w:val="nil"/>
            </w:tcBorders>
            <w:shd w:val="clear" w:color="auto" w:fill="auto"/>
            <w:noWrap/>
            <w:vAlign w:val="center"/>
            <w:hideMark/>
          </w:tcPr>
          <w:p w14:paraId="6D8E47C5" w14:textId="77777777"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14:paraId="066445AF"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105 959</w:t>
            </w:r>
          </w:p>
        </w:tc>
        <w:tc>
          <w:tcPr>
            <w:tcW w:w="1155" w:type="dxa"/>
            <w:tcBorders>
              <w:top w:val="nil"/>
              <w:left w:val="nil"/>
              <w:bottom w:val="nil"/>
              <w:right w:val="nil"/>
            </w:tcBorders>
            <w:shd w:val="clear" w:color="auto" w:fill="auto"/>
            <w:vAlign w:val="center"/>
            <w:hideMark/>
          </w:tcPr>
          <w:p w14:paraId="4FD1FA74"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9,57</w:t>
            </w:r>
          </w:p>
        </w:tc>
        <w:tc>
          <w:tcPr>
            <w:tcW w:w="1188" w:type="dxa"/>
            <w:tcBorders>
              <w:top w:val="nil"/>
              <w:left w:val="nil"/>
              <w:bottom w:val="nil"/>
              <w:right w:val="nil"/>
            </w:tcBorders>
            <w:shd w:val="clear" w:color="auto" w:fill="auto"/>
            <w:vAlign w:val="center"/>
            <w:hideMark/>
          </w:tcPr>
          <w:p w14:paraId="4582109A"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1014</w:t>
            </w:r>
          </w:p>
        </w:tc>
        <w:tc>
          <w:tcPr>
            <w:tcW w:w="1276" w:type="dxa"/>
            <w:tcBorders>
              <w:top w:val="nil"/>
              <w:left w:val="nil"/>
              <w:bottom w:val="nil"/>
              <w:right w:val="nil"/>
            </w:tcBorders>
            <w:shd w:val="clear" w:color="auto" w:fill="auto"/>
            <w:vAlign w:val="center"/>
            <w:hideMark/>
          </w:tcPr>
          <w:p w14:paraId="29C3C355"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1014</w:t>
            </w:r>
          </w:p>
        </w:tc>
      </w:tr>
      <w:tr w:rsidR="0054790E" w:rsidRPr="00C73365" w14:paraId="7697C233" w14:textId="77777777" w:rsidTr="00BB083E">
        <w:trPr>
          <w:trHeight w:val="300"/>
        </w:trPr>
        <w:tc>
          <w:tcPr>
            <w:tcW w:w="4200" w:type="dxa"/>
            <w:tcBorders>
              <w:top w:val="nil"/>
              <w:left w:val="nil"/>
              <w:bottom w:val="single" w:sz="8" w:space="0" w:color="7030A0"/>
              <w:right w:val="nil"/>
            </w:tcBorders>
            <w:shd w:val="clear" w:color="auto" w:fill="auto"/>
            <w:noWrap/>
            <w:vAlign w:val="center"/>
            <w:hideMark/>
          </w:tcPr>
          <w:p w14:paraId="09F3909A" w14:textId="77777777"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14:paraId="5FFF2787" w14:textId="77777777"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14:paraId="5A9C601A" w14:textId="77777777"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14:paraId="3C1F9B2A" w14:textId="77777777"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252</w:t>
            </w:r>
          </w:p>
        </w:tc>
        <w:tc>
          <w:tcPr>
            <w:tcW w:w="1276" w:type="dxa"/>
            <w:tcBorders>
              <w:top w:val="nil"/>
              <w:left w:val="nil"/>
              <w:bottom w:val="single" w:sz="8" w:space="0" w:color="7030A0"/>
              <w:right w:val="nil"/>
            </w:tcBorders>
            <w:shd w:val="clear" w:color="auto" w:fill="auto"/>
            <w:vAlign w:val="center"/>
            <w:hideMark/>
          </w:tcPr>
          <w:p w14:paraId="23906C4E" w14:textId="77777777"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14:paraId="6E62E1B1" w14:textId="77777777" w:rsidTr="00BB083E">
        <w:trPr>
          <w:trHeight w:val="300"/>
        </w:trPr>
        <w:tc>
          <w:tcPr>
            <w:tcW w:w="4200" w:type="dxa"/>
            <w:tcBorders>
              <w:top w:val="nil"/>
              <w:left w:val="nil"/>
              <w:bottom w:val="single" w:sz="8" w:space="0" w:color="7030A0"/>
              <w:right w:val="nil"/>
            </w:tcBorders>
            <w:shd w:val="clear" w:color="auto" w:fill="auto"/>
            <w:noWrap/>
            <w:vAlign w:val="center"/>
            <w:hideMark/>
          </w:tcPr>
          <w:p w14:paraId="370224E0" w14:textId="77777777"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2017</w:t>
            </w:r>
          </w:p>
        </w:tc>
        <w:tc>
          <w:tcPr>
            <w:tcW w:w="1112" w:type="dxa"/>
            <w:tcBorders>
              <w:top w:val="nil"/>
              <w:left w:val="nil"/>
              <w:bottom w:val="single" w:sz="8" w:space="0" w:color="7030A0"/>
              <w:right w:val="nil"/>
            </w:tcBorders>
            <w:shd w:val="clear" w:color="auto" w:fill="auto"/>
            <w:vAlign w:val="center"/>
            <w:hideMark/>
          </w:tcPr>
          <w:p w14:paraId="684D7313"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34 050</w:t>
            </w:r>
          </w:p>
        </w:tc>
        <w:tc>
          <w:tcPr>
            <w:tcW w:w="1155" w:type="dxa"/>
            <w:tcBorders>
              <w:top w:val="nil"/>
              <w:left w:val="nil"/>
              <w:bottom w:val="single" w:sz="8" w:space="0" w:color="7030A0"/>
              <w:right w:val="nil"/>
            </w:tcBorders>
            <w:shd w:val="clear" w:color="auto" w:fill="auto"/>
            <w:vAlign w:val="center"/>
            <w:hideMark/>
          </w:tcPr>
          <w:p w14:paraId="7E44879A"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11</w:t>
            </w:r>
          </w:p>
        </w:tc>
        <w:tc>
          <w:tcPr>
            <w:tcW w:w="1188" w:type="dxa"/>
            <w:tcBorders>
              <w:top w:val="nil"/>
              <w:left w:val="nil"/>
              <w:bottom w:val="single" w:sz="8" w:space="0" w:color="7030A0"/>
              <w:right w:val="nil"/>
            </w:tcBorders>
            <w:shd w:val="clear" w:color="auto" w:fill="auto"/>
            <w:vAlign w:val="center"/>
            <w:hideMark/>
          </w:tcPr>
          <w:p w14:paraId="261307C6"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385</w:t>
            </w:r>
          </w:p>
        </w:tc>
        <w:tc>
          <w:tcPr>
            <w:tcW w:w="1276" w:type="dxa"/>
            <w:tcBorders>
              <w:top w:val="nil"/>
              <w:left w:val="nil"/>
              <w:bottom w:val="single" w:sz="8" w:space="0" w:color="7030A0"/>
              <w:right w:val="nil"/>
            </w:tcBorders>
            <w:shd w:val="clear" w:color="auto" w:fill="auto"/>
            <w:vAlign w:val="center"/>
            <w:hideMark/>
          </w:tcPr>
          <w:p w14:paraId="431DEEE7" w14:textId="77777777"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337</w:t>
            </w:r>
          </w:p>
        </w:tc>
      </w:tr>
    </w:tbl>
    <w:p w14:paraId="627931F8" w14:textId="77777777" w:rsidR="00F46C7B" w:rsidRPr="001479F8" w:rsidRDefault="005E11E0" w:rsidP="004572A0">
      <w:pPr>
        <w:pStyle w:val="Lgende"/>
        <w:rPr>
          <w:rFonts w:asciiTheme="minorHAnsi" w:eastAsia="MS Mincho" w:hAnsiTheme="minorHAnsi" w:cstheme="minorHAnsi"/>
          <w:b w:val="0"/>
          <w:lang w:val="fr-FR" w:eastAsia="fr-FR"/>
        </w:rPr>
      </w:pPr>
      <w:r w:rsidRPr="001479F8">
        <w:rPr>
          <w:rFonts w:asciiTheme="minorHAnsi" w:eastAsia="MS Mincho" w:hAnsiTheme="minorHAnsi" w:cstheme="minorHAnsi"/>
          <w:b w:val="0"/>
          <w:lang w:val="fr-FR" w:eastAsia="fr-FR"/>
        </w:rPr>
        <w:t>*Valeurs moyennes, pour 2017 par exemple : 11 € = 385</w:t>
      </w:r>
      <w:r w:rsidR="00EF089C" w:rsidRPr="001479F8">
        <w:rPr>
          <w:rFonts w:asciiTheme="minorHAnsi" w:eastAsia="MS Mincho" w:hAnsiTheme="minorHAnsi" w:cstheme="minorHAnsi"/>
          <w:b w:val="0"/>
          <w:lang w:val="fr-FR" w:eastAsia="fr-FR"/>
        </w:rPr>
        <w:t>K€</w:t>
      </w:r>
      <w:r w:rsidRPr="001479F8">
        <w:rPr>
          <w:rFonts w:asciiTheme="minorHAnsi" w:eastAsia="MS Mincho" w:hAnsiTheme="minorHAnsi" w:cstheme="minorHAnsi"/>
          <w:b w:val="0"/>
          <w:lang w:val="fr-FR" w:eastAsia="fr-FR"/>
        </w:rPr>
        <w:t>/34050 titres</w:t>
      </w:r>
    </w:p>
    <w:p w14:paraId="5E7EDBDF" w14:textId="77777777" w:rsidR="005E11E0" w:rsidRPr="00C73365" w:rsidRDefault="005E11E0" w:rsidP="00A96CCA">
      <w:pPr>
        <w:autoSpaceDE w:val="0"/>
        <w:autoSpaceDN w:val="0"/>
        <w:adjustRightInd w:val="0"/>
        <w:spacing w:after="0"/>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 xml:space="preserve">  </w:t>
      </w:r>
    </w:p>
    <w:p w14:paraId="43C5DF9D" w14:textId="77777777" w:rsidR="005E11E0" w:rsidRPr="00C73365" w:rsidRDefault="005E11E0" w:rsidP="00A96CCA">
      <w:pPr>
        <w:autoSpaceDE w:val="0"/>
        <w:autoSpaceDN w:val="0"/>
        <w:adjustRightInd w:val="0"/>
        <w:spacing w:after="0"/>
        <w:rPr>
          <w:rFonts w:asciiTheme="minorHAnsi" w:eastAsia="MS Mincho" w:hAnsiTheme="minorHAnsi" w:cstheme="minorHAnsi"/>
          <w:szCs w:val="20"/>
          <w:lang w:val="fr-FR" w:eastAsia="fr-FR"/>
        </w:rPr>
      </w:pPr>
    </w:p>
    <w:p w14:paraId="19206F91" w14:textId="77777777" w:rsidR="005E11E0" w:rsidRPr="00C73365" w:rsidRDefault="005E11E0" w:rsidP="004572A0">
      <w:pPr>
        <w:pStyle w:val="Corpsdetexte"/>
        <w:rPr>
          <w:rFonts w:asciiTheme="minorHAnsi" w:eastAsia="MS Mincho" w:hAnsiTheme="minorHAnsi" w:cstheme="minorHAnsi"/>
          <w:lang w:val="fr-FR" w:eastAsia="fr-FR"/>
        </w:rPr>
        <w:sectPr w:rsidR="005E11E0" w:rsidRPr="00C73365" w:rsidSect="007C607C">
          <w:type w:val="continuous"/>
          <w:pgSz w:w="11906" w:h="16838"/>
          <w:pgMar w:top="1134" w:right="1134" w:bottom="1134" w:left="1134" w:header="709" w:footer="709" w:gutter="0"/>
          <w:cols w:space="708"/>
          <w:docGrid w:linePitch="360"/>
        </w:sectPr>
      </w:pPr>
    </w:p>
    <w:p w14:paraId="0C64C5E0" w14:textId="77777777" w:rsidR="0054790E" w:rsidRPr="00C73365" w:rsidRDefault="0054790E"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cours de l’action au 31 décembre 2017 est de 8,63 euros. La valeur boursière au 31 décembre 2017 des titres auto-détenus s’établit donc à 294 </w:t>
      </w:r>
      <w:r w:rsidR="00EF089C" w:rsidRPr="00C73365">
        <w:rPr>
          <w:rFonts w:asciiTheme="minorHAnsi" w:hAnsiTheme="minorHAnsi" w:cstheme="minorHAnsi"/>
          <w:lang w:val="fr-FR"/>
        </w:rPr>
        <w:t>K€</w:t>
      </w:r>
    </w:p>
    <w:p w14:paraId="1107DEB2" w14:textId="77777777" w:rsidR="00F46C7B" w:rsidRPr="00C73365" w:rsidRDefault="0054790E" w:rsidP="004572A0">
      <w:pPr>
        <w:pStyle w:val="Corpsdetexte"/>
        <w:rPr>
          <w:rFonts w:asciiTheme="minorHAnsi" w:hAnsiTheme="minorHAnsi" w:cstheme="minorHAnsi"/>
          <w:b/>
          <w:color w:val="385623" w:themeColor="accent6" w:themeShade="80"/>
          <w:lang w:val="fr-FR"/>
        </w:rPr>
      </w:pPr>
      <w:r w:rsidRPr="00C73365">
        <w:rPr>
          <w:rFonts w:asciiTheme="minorHAnsi" w:hAnsiTheme="minorHAnsi" w:cstheme="minorHAnsi"/>
          <w:lang w:val="fr-FR"/>
        </w:rPr>
        <w:t xml:space="preserve">Une provision pour dépréciation de 91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 donc été constatée au 31 décembre 2017 concernant les titres auto-détenus. Celle-ci a été comptabilisée en charges exceptionnelles.</w:t>
      </w:r>
    </w:p>
    <w:p w14:paraId="75F70E9B"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14:paraId="21F83623"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Amortissements des immobilisations</w:t>
      </w:r>
    </w:p>
    <w:tbl>
      <w:tblPr>
        <w:tblW w:w="8980" w:type="dxa"/>
        <w:tblLook w:val="04A0" w:firstRow="1" w:lastRow="0" w:firstColumn="1" w:lastColumn="0" w:noHBand="0" w:noVBand="1"/>
      </w:tblPr>
      <w:tblGrid>
        <w:gridCol w:w="3660"/>
        <w:gridCol w:w="1360"/>
        <w:gridCol w:w="1480"/>
        <w:gridCol w:w="1240"/>
        <w:gridCol w:w="1240"/>
      </w:tblGrid>
      <w:tr w:rsidR="00C439F2" w:rsidRPr="00036317" w14:paraId="026A6195" w14:textId="77777777" w:rsidTr="00C439F2">
        <w:trPr>
          <w:trHeight w:val="576"/>
        </w:trPr>
        <w:tc>
          <w:tcPr>
            <w:tcW w:w="3660" w:type="dxa"/>
            <w:tcBorders>
              <w:top w:val="single" w:sz="12" w:space="0" w:color="7030A0"/>
              <w:left w:val="nil"/>
              <w:bottom w:val="single" w:sz="8" w:space="0" w:color="7030A0"/>
              <w:right w:val="nil"/>
            </w:tcBorders>
            <w:shd w:val="clear" w:color="auto" w:fill="auto"/>
            <w:vAlign w:val="center"/>
            <w:hideMark/>
          </w:tcPr>
          <w:p w14:paraId="4A41B0DC" w14:textId="77777777"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14:paraId="552AC116"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début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480" w:type="dxa"/>
            <w:tcBorders>
              <w:top w:val="single" w:sz="12" w:space="0" w:color="7030A0"/>
              <w:left w:val="nil"/>
              <w:bottom w:val="single" w:sz="8" w:space="0" w:color="7030A0"/>
              <w:right w:val="nil"/>
            </w:tcBorders>
            <w:shd w:val="clear" w:color="auto" w:fill="auto"/>
            <w:vAlign w:val="center"/>
            <w:hideMark/>
          </w:tcPr>
          <w:p w14:paraId="643E48AC"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Augmentation</w:t>
            </w:r>
          </w:p>
        </w:tc>
        <w:tc>
          <w:tcPr>
            <w:tcW w:w="1240" w:type="dxa"/>
            <w:tcBorders>
              <w:top w:val="single" w:sz="12" w:space="0" w:color="7030A0"/>
              <w:left w:val="nil"/>
              <w:bottom w:val="single" w:sz="8" w:space="0" w:color="7030A0"/>
              <w:right w:val="nil"/>
            </w:tcBorders>
            <w:shd w:val="clear" w:color="auto" w:fill="auto"/>
            <w:vAlign w:val="center"/>
            <w:hideMark/>
          </w:tcPr>
          <w:p w14:paraId="4476ECF7"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Diminution</w:t>
            </w:r>
          </w:p>
        </w:tc>
        <w:tc>
          <w:tcPr>
            <w:tcW w:w="1240" w:type="dxa"/>
            <w:tcBorders>
              <w:top w:val="single" w:sz="12" w:space="0" w:color="7030A0"/>
              <w:left w:val="nil"/>
              <w:bottom w:val="single" w:sz="8" w:space="0" w:color="7030A0"/>
              <w:right w:val="nil"/>
            </w:tcBorders>
            <w:shd w:val="clear" w:color="auto" w:fill="auto"/>
            <w:vAlign w:val="center"/>
            <w:hideMark/>
          </w:tcPr>
          <w:p w14:paraId="216D8A96" w14:textId="77777777" w:rsidR="00C439F2" w:rsidRPr="00C73365" w:rsidRDefault="00C439F2"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 la date de la situation</w:t>
            </w:r>
          </w:p>
        </w:tc>
      </w:tr>
      <w:tr w:rsidR="00C439F2" w:rsidRPr="00C73365" w14:paraId="4223C94B" w14:textId="77777777" w:rsidTr="00C439F2">
        <w:trPr>
          <w:trHeight w:val="528"/>
        </w:trPr>
        <w:tc>
          <w:tcPr>
            <w:tcW w:w="3660" w:type="dxa"/>
            <w:tcBorders>
              <w:top w:val="nil"/>
              <w:left w:val="nil"/>
              <w:bottom w:val="nil"/>
              <w:right w:val="nil"/>
            </w:tcBorders>
            <w:shd w:val="clear" w:color="auto" w:fill="auto"/>
            <w:vAlign w:val="center"/>
            <w:hideMark/>
          </w:tcPr>
          <w:p w14:paraId="462E3060" w14:textId="77777777"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postes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14:paraId="7502A2E6"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480" w:type="dxa"/>
            <w:tcBorders>
              <w:top w:val="nil"/>
              <w:left w:val="nil"/>
              <w:bottom w:val="nil"/>
              <w:right w:val="nil"/>
            </w:tcBorders>
            <w:shd w:val="clear" w:color="auto" w:fill="auto"/>
            <w:vAlign w:val="center"/>
            <w:hideMark/>
          </w:tcPr>
          <w:p w14:paraId="0130421A" w14:textId="77777777"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14:paraId="33648C54"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14:paraId="336844CA"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C439F2" w:rsidRPr="00C73365" w14:paraId="2E05D868" w14:textId="77777777" w:rsidTr="00C439F2">
        <w:trPr>
          <w:trHeight w:val="288"/>
        </w:trPr>
        <w:tc>
          <w:tcPr>
            <w:tcW w:w="3660" w:type="dxa"/>
            <w:tcBorders>
              <w:top w:val="nil"/>
              <w:left w:val="nil"/>
              <w:bottom w:val="nil"/>
              <w:right w:val="nil"/>
            </w:tcBorders>
            <w:shd w:val="clear" w:color="auto" w:fill="auto"/>
            <w:vAlign w:val="center"/>
            <w:hideMark/>
          </w:tcPr>
          <w:p w14:paraId="71EE2483" w14:textId="77777777"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incorporelles</w:t>
            </w:r>
          </w:p>
        </w:tc>
        <w:tc>
          <w:tcPr>
            <w:tcW w:w="1360" w:type="dxa"/>
            <w:tcBorders>
              <w:top w:val="nil"/>
              <w:left w:val="nil"/>
              <w:bottom w:val="nil"/>
              <w:right w:val="nil"/>
            </w:tcBorders>
            <w:shd w:val="clear" w:color="auto" w:fill="auto"/>
            <w:vAlign w:val="center"/>
            <w:hideMark/>
          </w:tcPr>
          <w:p w14:paraId="57FBAB14"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11</w:t>
            </w:r>
          </w:p>
        </w:tc>
        <w:tc>
          <w:tcPr>
            <w:tcW w:w="1480" w:type="dxa"/>
            <w:tcBorders>
              <w:top w:val="nil"/>
              <w:left w:val="nil"/>
              <w:bottom w:val="nil"/>
              <w:right w:val="nil"/>
            </w:tcBorders>
            <w:shd w:val="clear" w:color="auto" w:fill="auto"/>
            <w:vAlign w:val="center"/>
            <w:hideMark/>
          </w:tcPr>
          <w:p w14:paraId="6CDEF0E9"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14:paraId="3FCD01E5"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14:paraId="36CE93B8"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11</w:t>
            </w:r>
          </w:p>
        </w:tc>
      </w:tr>
      <w:tr w:rsidR="00C439F2" w:rsidRPr="00C73365" w14:paraId="1E692E12" w14:textId="77777777" w:rsidTr="00C439F2">
        <w:trPr>
          <w:trHeight w:val="552"/>
        </w:trPr>
        <w:tc>
          <w:tcPr>
            <w:tcW w:w="3660" w:type="dxa"/>
            <w:tcBorders>
              <w:top w:val="nil"/>
              <w:left w:val="nil"/>
              <w:bottom w:val="nil"/>
              <w:right w:val="nil"/>
            </w:tcBorders>
            <w:shd w:val="clear" w:color="auto" w:fill="auto"/>
            <w:vAlign w:val="center"/>
            <w:hideMark/>
          </w:tcPr>
          <w:p w14:paraId="314BCA1A" w14:textId="77777777" w:rsidR="00C439F2" w:rsidRPr="00C73365" w:rsidRDefault="00C439F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Installations techniques, matériel et outillage industriels</w:t>
            </w:r>
          </w:p>
        </w:tc>
        <w:tc>
          <w:tcPr>
            <w:tcW w:w="1360" w:type="dxa"/>
            <w:tcBorders>
              <w:top w:val="nil"/>
              <w:left w:val="nil"/>
              <w:bottom w:val="nil"/>
              <w:right w:val="nil"/>
            </w:tcBorders>
            <w:shd w:val="clear" w:color="auto" w:fill="auto"/>
            <w:vAlign w:val="center"/>
            <w:hideMark/>
          </w:tcPr>
          <w:p w14:paraId="43950363"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148</w:t>
            </w:r>
          </w:p>
        </w:tc>
        <w:tc>
          <w:tcPr>
            <w:tcW w:w="1480" w:type="dxa"/>
            <w:tcBorders>
              <w:top w:val="nil"/>
              <w:left w:val="nil"/>
              <w:bottom w:val="nil"/>
              <w:right w:val="nil"/>
            </w:tcBorders>
            <w:shd w:val="clear" w:color="auto" w:fill="auto"/>
            <w:vAlign w:val="center"/>
            <w:hideMark/>
          </w:tcPr>
          <w:p w14:paraId="46AFD2CB"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w:t>
            </w:r>
          </w:p>
        </w:tc>
        <w:tc>
          <w:tcPr>
            <w:tcW w:w="1240" w:type="dxa"/>
            <w:tcBorders>
              <w:top w:val="nil"/>
              <w:left w:val="nil"/>
              <w:bottom w:val="nil"/>
              <w:right w:val="nil"/>
            </w:tcBorders>
            <w:shd w:val="clear" w:color="auto" w:fill="auto"/>
            <w:vAlign w:val="center"/>
            <w:hideMark/>
          </w:tcPr>
          <w:p w14:paraId="623689D0"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14:paraId="6151E91F"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211</w:t>
            </w:r>
          </w:p>
        </w:tc>
      </w:tr>
      <w:tr w:rsidR="00C439F2" w:rsidRPr="00C73365" w14:paraId="7CB68353" w14:textId="77777777" w:rsidTr="00C439F2">
        <w:trPr>
          <w:trHeight w:val="552"/>
        </w:trPr>
        <w:tc>
          <w:tcPr>
            <w:tcW w:w="3660" w:type="dxa"/>
            <w:tcBorders>
              <w:top w:val="nil"/>
              <w:left w:val="nil"/>
              <w:bottom w:val="nil"/>
              <w:right w:val="nil"/>
            </w:tcBorders>
            <w:shd w:val="clear" w:color="auto" w:fill="auto"/>
            <w:vAlign w:val="center"/>
            <w:hideMark/>
          </w:tcPr>
          <w:p w14:paraId="441919EB" w14:textId="77777777" w:rsidR="00C439F2" w:rsidRPr="00C73365" w:rsidRDefault="00C439F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Matériel de bureau et informatique, mobilier</w:t>
            </w:r>
          </w:p>
        </w:tc>
        <w:tc>
          <w:tcPr>
            <w:tcW w:w="1360" w:type="dxa"/>
            <w:tcBorders>
              <w:top w:val="nil"/>
              <w:left w:val="nil"/>
              <w:bottom w:val="nil"/>
              <w:right w:val="nil"/>
            </w:tcBorders>
            <w:shd w:val="clear" w:color="auto" w:fill="auto"/>
            <w:vAlign w:val="center"/>
            <w:hideMark/>
          </w:tcPr>
          <w:p w14:paraId="12041AC0"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45</w:t>
            </w:r>
          </w:p>
        </w:tc>
        <w:tc>
          <w:tcPr>
            <w:tcW w:w="1480" w:type="dxa"/>
            <w:tcBorders>
              <w:top w:val="nil"/>
              <w:left w:val="nil"/>
              <w:bottom w:val="nil"/>
              <w:right w:val="nil"/>
            </w:tcBorders>
            <w:shd w:val="clear" w:color="auto" w:fill="auto"/>
            <w:vAlign w:val="center"/>
            <w:hideMark/>
          </w:tcPr>
          <w:p w14:paraId="4282EB13"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1240" w:type="dxa"/>
            <w:tcBorders>
              <w:top w:val="nil"/>
              <w:left w:val="nil"/>
              <w:bottom w:val="nil"/>
              <w:right w:val="nil"/>
            </w:tcBorders>
            <w:shd w:val="clear" w:color="auto" w:fill="auto"/>
            <w:vAlign w:val="center"/>
            <w:hideMark/>
          </w:tcPr>
          <w:p w14:paraId="33812200"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40" w:type="dxa"/>
            <w:tcBorders>
              <w:top w:val="nil"/>
              <w:left w:val="nil"/>
              <w:bottom w:val="nil"/>
              <w:right w:val="nil"/>
            </w:tcBorders>
            <w:shd w:val="clear" w:color="auto" w:fill="auto"/>
            <w:vAlign w:val="center"/>
            <w:hideMark/>
          </w:tcPr>
          <w:p w14:paraId="7C023BA1"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w:t>
            </w:r>
          </w:p>
        </w:tc>
      </w:tr>
      <w:tr w:rsidR="00C439F2" w:rsidRPr="00C73365" w14:paraId="43A35261" w14:textId="77777777" w:rsidTr="00C439F2">
        <w:trPr>
          <w:trHeight w:val="288"/>
        </w:trPr>
        <w:tc>
          <w:tcPr>
            <w:tcW w:w="3660" w:type="dxa"/>
            <w:tcBorders>
              <w:top w:val="nil"/>
              <w:left w:val="nil"/>
              <w:bottom w:val="nil"/>
              <w:right w:val="nil"/>
            </w:tcBorders>
            <w:shd w:val="clear" w:color="auto" w:fill="auto"/>
            <w:vAlign w:val="center"/>
            <w:hideMark/>
          </w:tcPr>
          <w:p w14:paraId="00D90077" w14:textId="77777777"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1360" w:type="dxa"/>
            <w:tcBorders>
              <w:top w:val="nil"/>
              <w:left w:val="nil"/>
              <w:bottom w:val="nil"/>
              <w:right w:val="nil"/>
            </w:tcBorders>
            <w:shd w:val="clear" w:color="auto" w:fill="auto"/>
            <w:vAlign w:val="center"/>
            <w:hideMark/>
          </w:tcPr>
          <w:p w14:paraId="1FF38BB5"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193</w:t>
            </w:r>
          </w:p>
        </w:tc>
        <w:tc>
          <w:tcPr>
            <w:tcW w:w="1480" w:type="dxa"/>
            <w:tcBorders>
              <w:top w:val="nil"/>
              <w:left w:val="nil"/>
              <w:bottom w:val="nil"/>
              <w:right w:val="nil"/>
            </w:tcBorders>
            <w:shd w:val="clear" w:color="auto" w:fill="auto"/>
            <w:vAlign w:val="center"/>
            <w:hideMark/>
          </w:tcPr>
          <w:p w14:paraId="5D435441"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83</w:t>
            </w:r>
          </w:p>
        </w:tc>
        <w:tc>
          <w:tcPr>
            <w:tcW w:w="1240" w:type="dxa"/>
            <w:tcBorders>
              <w:top w:val="nil"/>
              <w:left w:val="nil"/>
              <w:bottom w:val="nil"/>
              <w:right w:val="nil"/>
            </w:tcBorders>
            <w:shd w:val="clear" w:color="auto" w:fill="auto"/>
            <w:vAlign w:val="center"/>
            <w:hideMark/>
          </w:tcPr>
          <w:p w14:paraId="7B041B1D"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10</w:t>
            </w:r>
          </w:p>
        </w:tc>
        <w:tc>
          <w:tcPr>
            <w:tcW w:w="1240" w:type="dxa"/>
            <w:tcBorders>
              <w:top w:val="nil"/>
              <w:left w:val="nil"/>
              <w:bottom w:val="nil"/>
              <w:right w:val="nil"/>
            </w:tcBorders>
            <w:shd w:val="clear" w:color="auto" w:fill="auto"/>
            <w:vAlign w:val="center"/>
            <w:hideMark/>
          </w:tcPr>
          <w:p w14:paraId="6791136E"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26</w:t>
            </w:r>
            <w:r w:rsidR="00C73492" w:rsidRPr="00C73365">
              <w:rPr>
                <w:rFonts w:asciiTheme="minorHAnsi" w:hAnsiTheme="minorHAnsi" w:cstheme="minorHAnsi"/>
                <w:b/>
                <w:bCs/>
                <w:color w:val="000000"/>
                <w:szCs w:val="20"/>
              </w:rPr>
              <w:t>6</w:t>
            </w:r>
          </w:p>
        </w:tc>
      </w:tr>
      <w:tr w:rsidR="00C439F2" w:rsidRPr="00C73365" w14:paraId="555004F3" w14:textId="77777777" w:rsidTr="00C439F2">
        <w:trPr>
          <w:trHeight w:val="300"/>
        </w:trPr>
        <w:tc>
          <w:tcPr>
            <w:tcW w:w="3660" w:type="dxa"/>
            <w:tcBorders>
              <w:top w:val="nil"/>
              <w:left w:val="nil"/>
              <w:bottom w:val="single" w:sz="8" w:space="0" w:color="7030A0"/>
              <w:right w:val="nil"/>
            </w:tcBorders>
            <w:shd w:val="clear" w:color="auto" w:fill="auto"/>
            <w:noWrap/>
            <w:vAlign w:val="center"/>
            <w:hideMark/>
          </w:tcPr>
          <w:p w14:paraId="6B9C30E5" w14:textId="77777777"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14:paraId="620CC357"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14:paraId="1EAECE14"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14:paraId="33249734"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14:paraId="1DC979BD"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C439F2" w:rsidRPr="00C73365" w14:paraId="557C52E5" w14:textId="77777777" w:rsidTr="00C439F2">
        <w:trPr>
          <w:trHeight w:val="300"/>
        </w:trPr>
        <w:tc>
          <w:tcPr>
            <w:tcW w:w="3660" w:type="dxa"/>
            <w:tcBorders>
              <w:top w:val="nil"/>
              <w:left w:val="nil"/>
              <w:bottom w:val="single" w:sz="8" w:space="0" w:color="7030A0"/>
              <w:right w:val="nil"/>
            </w:tcBorders>
            <w:shd w:val="clear" w:color="auto" w:fill="auto"/>
            <w:noWrap/>
            <w:vAlign w:val="center"/>
            <w:hideMark/>
          </w:tcPr>
          <w:p w14:paraId="79DACE71" w14:textId="77777777" w:rsidR="00C439F2" w:rsidRPr="00C73365" w:rsidRDefault="00C439F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Actif immobilisé</w:t>
            </w:r>
          </w:p>
        </w:tc>
        <w:tc>
          <w:tcPr>
            <w:tcW w:w="1360" w:type="dxa"/>
            <w:tcBorders>
              <w:top w:val="nil"/>
              <w:left w:val="nil"/>
              <w:bottom w:val="single" w:sz="8" w:space="0" w:color="7030A0"/>
              <w:right w:val="nil"/>
            </w:tcBorders>
            <w:shd w:val="clear" w:color="auto" w:fill="auto"/>
            <w:vAlign w:val="center"/>
            <w:hideMark/>
          </w:tcPr>
          <w:p w14:paraId="5A2EC208" w14:textId="77777777"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204</w:t>
            </w:r>
          </w:p>
        </w:tc>
        <w:tc>
          <w:tcPr>
            <w:tcW w:w="1480" w:type="dxa"/>
            <w:tcBorders>
              <w:top w:val="nil"/>
              <w:left w:val="nil"/>
              <w:bottom w:val="single" w:sz="8" w:space="0" w:color="7030A0"/>
              <w:right w:val="nil"/>
            </w:tcBorders>
            <w:shd w:val="clear" w:color="auto" w:fill="auto"/>
            <w:vAlign w:val="center"/>
            <w:hideMark/>
          </w:tcPr>
          <w:p w14:paraId="4ED685D8" w14:textId="77777777"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83</w:t>
            </w:r>
          </w:p>
        </w:tc>
        <w:tc>
          <w:tcPr>
            <w:tcW w:w="1240" w:type="dxa"/>
            <w:tcBorders>
              <w:top w:val="nil"/>
              <w:left w:val="nil"/>
              <w:bottom w:val="single" w:sz="8" w:space="0" w:color="7030A0"/>
              <w:right w:val="nil"/>
            </w:tcBorders>
            <w:shd w:val="clear" w:color="auto" w:fill="auto"/>
            <w:vAlign w:val="center"/>
            <w:hideMark/>
          </w:tcPr>
          <w:p w14:paraId="16D9A09D" w14:textId="77777777"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w:t>
            </w:r>
          </w:p>
        </w:tc>
        <w:tc>
          <w:tcPr>
            <w:tcW w:w="1240" w:type="dxa"/>
            <w:tcBorders>
              <w:top w:val="nil"/>
              <w:left w:val="nil"/>
              <w:bottom w:val="single" w:sz="8" w:space="0" w:color="7030A0"/>
              <w:right w:val="nil"/>
            </w:tcBorders>
            <w:shd w:val="clear" w:color="auto" w:fill="auto"/>
            <w:vAlign w:val="center"/>
            <w:hideMark/>
          </w:tcPr>
          <w:p w14:paraId="35F36527" w14:textId="77777777"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w:t>
            </w:r>
            <w:r w:rsidR="00715262" w:rsidRPr="00C73365">
              <w:rPr>
                <w:rFonts w:asciiTheme="minorHAnsi" w:hAnsiTheme="minorHAnsi" w:cstheme="minorHAnsi"/>
                <w:color w:val="7030A0"/>
                <w:szCs w:val="20"/>
              </w:rPr>
              <w:t>7</w:t>
            </w:r>
          </w:p>
        </w:tc>
      </w:tr>
    </w:tbl>
    <w:p w14:paraId="1D851135" w14:textId="77777777" w:rsidR="00C439F2" w:rsidRPr="00C73365" w:rsidRDefault="00C439F2" w:rsidP="00A96CCA">
      <w:pPr>
        <w:spacing w:after="0"/>
        <w:ind w:right="-2"/>
        <w:rPr>
          <w:rFonts w:asciiTheme="minorHAnsi" w:eastAsia="MS Mincho" w:hAnsiTheme="minorHAnsi" w:cstheme="minorHAnsi"/>
          <w:szCs w:val="20"/>
          <w:lang w:val="fr-FR" w:eastAsia="fr-FR"/>
        </w:rPr>
      </w:pPr>
    </w:p>
    <w:p w14:paraId="14F1D4F4"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Dépréciation des actifs</w:t>
      </w:r>
    </w:p>
    <w:tbl>
      <w:tblPr>
        <w:tblW w:w="8980" w:type="dxa"/>
        <w:tblLook w:val="04A0" w:firstRow="1" w:lastRow="0" w:firstColumn="1" w:lastColumn="0" w:noHBand="0" w:noVBand="1"/>
      </w:tblPr>
      <w:tblGrid>
        <w:gridCol w:w="3660"/>
        <w:gridCol w:w="1367"/>
        <w:gridCol w:w="1393"/>
        <w:gridCol w:w="1193"/>
        <w:gridCol w:w="1367"/>
      </w:tblGrid>
      <w:tr w:rsidR="00C439F2" w:rsidRPr="00036317" w14:paraId="46C2240A" w14:textId="77777777" w:rsidTr="00C439F2">
        <w:trPr>
          <w:trHeight w:val="852"/>
        </w:trPr>
        <w:tc>
          <w:tcPr>
            <w:tcW w:w="3660" w:type="dxa"/>
            <w:tcBorders>
              <w:top w:val="single" w:sz="12" w:space="0" w:color="7030A0"/>
              <w:left w:val="nil"/>
              <w:bottom w:val="single" w:sz="8" w:space="0" w:color="7030A0"/>
              <w:right w:val="nil"/>
            </w:tcBorders>
            <w:shd w:val="clear" w:color="auto" w:fill="auto"/>
            <w:vAlign w:val="center"/>
            <w:hideMark/>
          </w:tcPr>
          <w:p w14:paraId="1C835F0C" w14:textId="77777777"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lastRenderedPageBreak/>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14:paraId="76E210FE" w14:textId="77777777" w:rsidR="00C439F2" w:rsidRPr="00C73365" w:rsidRDefault="00C439F2"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au début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c>
          <w:tcPr>
            <w:tcW w:w="1480" w:type="dxa"/>
            <w:tcBorders>
              <w:top w:val="single" w:sz="12" w:space="0" w:color="7030A0"/>
              <w:left w:val="nil"/>
              <w:bottom w:val="single" w:sz="8" w:space="0" w:color="7030A0"/>
              <w:right w:val="nil"/>
            </w:tcBorders>
            <w:shd w:val="clear" w:color="auto" w:fill="auto"/>
            <w:vAlign w:val="center"/>
            <w:hideMark/>
          </w:tcPr>
          <w:p w14:paraId="59B2E4F8"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Dotations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14:paraId="3F06F24F" w14:textId="77777777"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Reprise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14:paraId="088A8FFA" w14:textId="77777777" w:rsidR="00C439F2" w:rsidRPr="00C73365" w:rsidRDefault="00C439F2"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à la fin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r>
      <w:tr w:rsidR="00C439F2" w:rsidRPr="00C73365" w14:paraId="5A5D3291" w14:textId="77777777" w:rsidTr="00C439F2">
        <w:trPr>
          <w:trHeight w:val="288"/>
        </w:trPr>
        <w:tc>
          <w:tcPr>
            <w:tcW w:w="3660" w:type="dxa"/>
            <w:tcBorders>
              <w:top w:val="nil"/>
              <w:left w:val="nil"/>
              <w:bottom w:val="nil"/>
              <w:right w:val="nil"/>
            </w:tcBorders>
            <w:shd w:val="clear" w:color="auto" w:fill="auto"/>
            <w:noWrap/>
            <w:vAlign w:val="center"/>
            <w:hideMark/>
          </w:tcPr>
          <w:p w14:paraId="20ED72A5" w14:textId="77777777"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14:paraId="5053E3B4"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740</w:t>
            </w:r>
          </w:p>
        </w:tc>
        <w:tc>
          <w:tcPr>
            <w:tcW w:w="1480" w:type="dxa"/>
            <w:tcBorders>
              <w:top w:val="nil"/>
              <w:left w:val="nil"/>
              <w:bottom w:val="nil"/>
              <w:right w:val="nil"/>
            </w:tcBorders>
            <w:shd w:val="clear" w:color="auto" w:fill="auto"/>
            <w:vAlign w:val="center"/>
            <w:hideMark/>
          </w:tcPr>
          <w:p w14:paraId="3D536055" w14:textId="77777777"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14:paraId="42A384F4" w14:textId="77777777" w:rsidR="00C439F2" w:rsidRPr="00C73365" w:rsidRDefault="00C439F2"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14:paraId="163069F2"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740</w:t>
            </w:r>
          </w:p>
        </w:tc>
      </w:tr>
      <w:tr w:rsidR="00C439F2" w:rsidRPr="00C73365" w14:paraId="65EE3BBA" w14:textId="77777777" w:rsidTr="00C439F2">
        <w:trPr>
          <w:trHeight w:val="300"/>
        </w:trPr>
        <w:tc>
          <w:tcPr>
            <w:tcW w:w="3660" w:type="dxa"/>
            <w:tcBorders>
              <w:top w:val="nil"/>
              <w:left w:val="nil"/>
              <w:bottom w:val="single" w:sz="8" w:space="0" w:color="7030A0"/>
              <w:right w:val="nil"/>
            </w:tcBorders>
            <w:shd w:val="clear" w:color="auto" w:fill="auto"/>
            <w:noWrap/>
            <w:vAlign w:val="center"/>
            <w:hideMark/>
          </w:tcPr>
          <w:p w14:paraId="4469D3B8" w14:textId="77777777"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14:paraId="2AEC1B07"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14:paraId="3ED5A593"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c>
          <w:tcPr>
            <w:tcW w:w="1240" w:type="dxa"/>
            <w:tcBorders>
              <w:top w:val="nil"/>
              <w:left w:val="nil"/>
              <w:bottom w:val="single" w:sz="8" w:space="0" w:color="7030A0"/>
              <w:right w:val="nil"/>
            </w:tcBorders>
            <w:shd w:val="clear" w:color="auto" w:fill="auto"/>
            <w:vAlign w:val="center"/>
            <w:hideMark/>
          </w:tcPr>
          <w:p w14:paraId="253DBD90"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14:paraId="4C9E09E4"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r>
      <w:tr w:rsidR="00C439F2" w:rsidRPr="00C73365" w14:paraId="4A494775" w14:textId="77777777" w:rsidTr="00C439F2">
        <w:trPr>
          <w:trHeight w:val="300"/>
        </w:trPr>
        <w:tc>
          <w:tcPr>
            <w:tcW w:w="3660" w:type="dxa"/>
            <w:tcBorders>
              <w:top w:val="nil"/>
              <w:left w:val="nil"/>
              <w:bottom w:val="single" w:sz="8" w:space="0" w:color="7030A0"/>
              <w:right w:val="nil"/>
            </w:tcBorders>
            <w:shd w:val="clear" w:color="auto" w:fill="auto"/>
            <w:noWrap/>
            <w:vAlign w:val="center"/>
            <w:hideMark/>
          </w:tcPr>
          <w:p w14:paraId="7F764ED8" w14:textId="77777777" w:rsidR="00C439F2" w:rsidRPr="00C73365" w:rsidRDefault="00C439F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360" w:type="dxa"/>
            <w:tcBorders>
              <w:top w:val="nil"/>
              <w:left w:val="nil"/>
              <w:bottom w:val="single" w:sz="8" w:space="0" w:color="7030A0"/>
              <w:right w:val="nil"/>
            </w:tcBorders>
            <w:shd w:val="clear" w:color="auto" w:fill="auto"/>
            <w:vAlign w:val="center"/>
            <w:hideMark/>
          </w:tcPr>
          <w:p w14:paraId="78BBB378" w14:textId="77777777"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740</w:t>
            </w:r>
          </w:p>
        </w:tc>
        <w:tc>
          <w:tcPr>
            <w:tcW w:w="1480" w:type="dxa"/>
            <w:tcBorders>
              <w:top w:val="nil"/>
              <w:left w:val="nil"/>
              <w:bottom w:val="single" w:sz="8" w:space="0" w:color="7030A0"/>
              <w:right w:val="nil"/>
            </w:tcBorders>
            <w:shd w:val="clear" w:color="auto" w:fill="auto"/>
            <w:vAlign w:val="center"/>
            <w:hideMark/>
          </w:tcPr>
          <w:p w14:paraId="53E0FE4D" w14:textId="77777777"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91</w:t>
            </w:r>
          </w:p>
        </w:tc>
        <w:tc>
          <w:tcPr>
            <w:tcW w:w="1240" w:type="dxa"/>
            <w:tcBorders>
              <w:top w:val="nil"/>
              <w:left w:val="nil"/>
              <w:bottom w:val="single" w:sz="8" w:space="0" w:color="7030A0"/>
              <w:right w:val="nil"/>
            </w:tcBorders>
            <w:shd w:val="clear" w:color="auto" w:fill="auto"/>
            <w:vAlign w:val="center"/>
            <w:hideMark/>
          </w:tcPr>
          <w:p w14:paraId="7988A59D" w14:textId="77777777"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0A46697B" w14:textId="77777777"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831</w:t>
            </w:r>
          </w:p>
        </w:tc>
      </w:tr>
      <w:tr w:rsidR="00C439F2" w:rsidRPr="00036317" w14:paraId="0AB89C13" w14:textId="77777777" w:rsidTr="00C439F2">
        <w:trPr>
          <w:trHeight w:val="288"/>
        </w:trPr>
        <w:tc>
          <w:tcPr>
            <w:tcW w:w="3660" w:type="dxa"/>
            <w:tcBorders>
              <w:top w:val="nil"/>
              <w:left w:val="nil"/>
              <w:bottom w:val="nil"/>
              <w:right w:val="nil"/>
            </w:tcBorders>
            <w:shd w:val="clear" w:color="auto" w:fill="auto"/>
            <w:noWrap/>
            <w:vAlign w:val="center"/>
            <w:hideMark/>
          </w:tcPr>
          <w:p w14:paraId="7847410C" w14:textId="77777777" w:rsidR="00C439F2" w:rsidRPr="00C73365" w:rsidRDefault="00C439F2"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Répartition des dotations et reprises:</w:t>
            </w:r>
          </w:p>
        </w:tc>
        <w:tc>
          <w:tcPr>
            <w:tcW w:w="1360" w:type="dxa"/>
            <w:tcBorders>
              <w:top w:val="nil"/>
              <w:left w:val="nil"/>
              <w:bottom w:val="nil"/>
              <w:right w:val="nil"/>
            </w:tcBorders>
            <w:shd w:val="clear" w:color="auto" w:fill="auto"/>
            <w:noWrap/>
            <w:vAlign w:val="center"/>
            <w:hideMark/>
          </w:tcPr>
          <w:p w14:paraId="609758A0" w14:textId="77777777" w:rsidR="00C439F2" w:rsidRPr="00C73365" w:rsidRDefault="00C439F2" w:rsidP="00A96CCA">
            <w:pPr>
              <w:spacing w:after="0"/>
              <w:rPr>
                <w:rFonts w:asciiTheme="minorHAnsi" w:hAnsiTheme="minorHAnsi" w:cstheme="minorHAnsi"/>
                <w:b/>
                <w:bCs/>
                <w:color w:val="000000"/>
                <w:szCs w:val="20"/>
                <w:lang w:val="fr-FR"/>
              </w:rPr>
            </w:pPr>
          </w:p>
        </w:tc>
        <w:tc>
          <w:tcPr>
            <w:tcW w:w="1480" w:type="dxa"/>
            <w:tcBorders>
              <w:top w:val="nil"/>
              <w:left w:val="nil"/>
              <w:bottom w:val="nil"/>
              <w:right w:val="nil"/>
            </w:tcBorders>
            <w:shd w:val="clear" w:color="auto" w:fill="auto"/>
            <w:vAlign w:val="center"/>
            <w:hideMark/>
          </w:tcPr>
          <w:p w14:paraId="292FE84A" w14:textId="77777777" w:rsidR="00C439F2" w:rsidRPr="00C73365" w:rsidRDefault="00C439F2"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14:paraId="2DEF2385" w14:textId="77777777" w:rsidR="00C439F2" w:rsidRPr="00C73365" w:rsidRDefault="00C439F2"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14:paraId="4A32677A" w14:textId="77777777" w:rsidR="00C439F2" w:rsidRPr="00C73365" w:rsidRDefault="00C439F2" w:rsidP="00A96CCA">
            <w:pPr>
              <w:spacing w:after="0"/>
              <w:rPr>
                <w:rFonts w:asciiTheme="minorHAnsi" w:hAnsiTheme="minorHAnsi" w:cstheme="minorHAnsi"/>
                <w:szCs w:val="20"/>
                <w:lang w:val="fr-FR"/>
              </w:rPr>
            </w:pPr>
          </w:p>
        </w:tc>
      </w:tr>
      <w:tr w:rsidR="00C439F2" w:rsidRPr="00C73365" w14:paraId="59F87FFC" w14:textId="77777777" w:rsidTr="00C439F2">
        <w:trPr>
          <w:trHeight w:val="300"/>
        </w:trPr>
        <w:tc>
          <w:tcPr>
            <w:tcW w:w="3660" w:type="dxa"/>
            <w:tcBorders>
              <w:top w:val="nil"/>
              <w:left w:val="nil"/>
              <w:bottom w:val="single" w:sz="8" w:space="0" w:color="7030A0"/>
              <w:right w:val="nil"/>
            </w:tcBorders>
            <w:shd w:val="clear" w:color="auto" w:fill="auto"/>
            <w:noWrap/>
            <w:vAlign w:val="center"/>
            <w:hideMark/>
          </w:tcPr>
          <w:p w14:paraId="674835D4" w14:textId="77777777"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Exceptionnelles</w:t>
            </w:r>
          </w:p>
        </w:tc>
        <w:tc>
          <w:tcPr>
            <w:tcW w:w="1360" w:type="dxa"/>
            <w:tcBorders>
              <w:top w:val="nil"/>
              <w:left w:val="nil"/>
              <w:bottom w:val="single" w:sz="8" w:space="0" w:color="7030A0"/>
              <w:right w:val="nil"/>
            </w:tcBorders>
            <w:shd w:val="clear" w:color="auto" w:fill="auto"/>
            <w:vAlign w:val="center"/>
            <w:hideMark/>
          </w:tcPr>
          <w:p w14:paraId="5845F74E"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14:paraId="0F2D5DC1"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c>
          <w:tcPr>
            <w:tcW w:w="1240" w:type="dxa"/>
            <w:tcBorders>
              <w:top w:val="nil"/>
              <w:left w:val="nil"/>
              <w:bottom w:val="single" w:sz="8" w:space="0" w:color="7030A0"/>
              <w:right w:val="nil"/>
            </w:tcBorders>
            <w:shd w:val="clear" w:color="auto" w:fill="auto"/>
            <w:vAlign w:val="center"/>
            <w:hideMark/>
          </w:tcPr>
          <w:p w14:paraId="5A727699" w14:textId="77777777"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single" w:sz="8" w:space="0" w:color="7030A0"/>
              <w:right w:val="nil"/>
            </w:tcBorders>
            <w:shd w:val="clear" w:color="auto" w:fill="auto"/>
            <w:vAlign w:val="center"/>
            <w:hideMark/>
          </w:tcPr>
          <w:p w14:paraId="743CC257" w14:textId="77777777"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bl>
    <w:p w14:paraId="2D52D478" w14:textId="77777777" w:rsidR="00C439F2" w:rsidRPr="00C73365" w:rsidRDefault="00C439F2" w:rsidP="00A96CCA">
      <w:pPr>
        <w:spacing w:after="0"/>
        <w:ind w:right="-2"/>
        <w:rPr>
          <w:rFonts w:asciiTheme="minorHAnsi" w:eastAsia="MS Mincho" w:hAnsiTheme="minorHAnsi" w:cstheme="minorHAnsi"/>
          <w:b/>
          <w:color w:val="9032B8"/>
          <w:szCs w:val="20"/>
          <w:lang w:val="fr-FR" w:eastAsia="fr-FR"/>
        </w:rPr>
      </w:pPr>
    </w:p>
    <w:p w14:paraId="5DADC4FA" w14:textId="77777777" w:rsidR="00715262" w:rsidRPr="00C73365" w:rsidRDefault="00715262" w:rsidP="00A96CCA">
      <w:pPr>
        <w:spacing w:after="0"/>
        <w:ind w:right="-2"/>
        <w:rPr>
          <w:rFonts w:asciiTheme="minorHAnsi" w:eastAsia="MS Mincho" w:hAnsiTheme="minorHAnsi" w:cstheme="minorHAnsi"/>
          <w:b/>
          <w:color w:val="9032B8"/>
          <w:szCs w:val="20"/>
          <w:lang w:val="fr-FR" w:eastAsia="fr-FR"/>
        </w:rPr>
      </w:pPr>
    </w:p>
    <w:p w14:paraId="6E6A8C4D"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08954BE1"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NOTE 4 – CREANCES</w:t>
      </w:r>
    </w:p>
    <w:p w14:paraId="628CAB69"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4998CF95" w14:textId="77777777" w:rsidR="00F46C7B" w:rsidRPr="00C73365" w:rsidRDefault="00F46C7B" w:rsidP="004572A0">
      <w:pPr>
        <w:pStyle w:val="Lis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créances à la clôture de l’exercice s’élève à </w:t>
      </w:r>
    </w:p>
    <w:p w14:paraId="06606B50" w14:textId="77777777" w:rsidR="00F46C7B" w:rsidRPr="00C73365" w:rsidRDefault="00C439F2" w:rsidP="004572A0">
      <w:pPr>
        <w:pStyle w:val="Lis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4 282</w:t>
      </w:r>
      <w:r w:rsidR="00F46C7B"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00F46C7B" w:rsidRPr="00C73365">
        <w:rPr>
          <w:rFonts w:asciiTheme="minorHAnsi" w:eastAsia="MS Mincho" w:hAnsiTheme="minorHAnsi" w:cstheme="minorHAnsi"/>
          <w:lang w:val="fr-FR" w:eastAsia="fr-FR"/>
        </w:rPr>
        <w:t xml:space="preserve"> et le classement détaillé </w:t>
      </w:r>
      <w:r w:rsidR="00F46C7B" w:rsidRPr="00C73365">
        <w:rPr>
          <w:rFonts w:asciiTheme="minorHAnsi" w:eastAsia="MS Mincho" w:hAnsiTheme="minorHAnsi" w:cstheme="minorHAnsi"/>
          <w:lang w:val="fr-FR" w:eastAsia="fr-FR"/>
        </w:rPr>
        <w:br w:type="column"/>
      </w:r>
      <w:r w:rsidR="00F46C7B" w:rsidRPr="00C73365">
        <w:rPr>
          <w:rFonts w:asciiTheme="minorHAnsi" w:eastAsia="MS Mincho" w:hAnsiTheme="minorHAnsi" w:cstheme="minorHAnsi"/>
          <w:lang w:val="fr-FR" w:eastAsia="fr-FR"/>
        </w:rPr>
        <w:t>par échéance s’établit comme suit :</w:t>
      </w:r>
    </w:p>
    <w:p w14:paraId="3C0189EB" w14:textId="77777777" w:rsidR="00F46C7B" w:rsidRPr="00C73365" w:rsidRDefault="00F46C7B" w:rsidP="004572A0">
      <w:pPr>
        <w:pStyle w:val="Lis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14:paraId="2214DC82" w14:textId="77777777" w:rsidR="00F46C7B" w:rsidRPr="00C73365" w:rsidRDefault="00F46C7B" w:rsidP="00A96CCA">
      <w:pPr>
        <w:spacing w:after="0"/>
        <w:ind w:right="-2"/>
        <w:rPr>
          <w:rFonts w:asciiTheme="minorHAnsi" w:eastAsia="MS Mincho" w:hAnsiTheme="minorHAnsi" w:cstheme="minorHAnsi"/>
          <w:szCs w:val="20"/>
          <w:lang w:val="fr-FR" w:eastAsia="fr-FR"/>
        </w:rPr>
      </w:pPr>
    </w:p>
    <w:tbl>
      <w:tblPr>
        <w:tblW w:w="6700" w:type="dxa"/>
        <w:tblLook w:val="04A0" w:firstRow="1" w:lastRow="0" w:firstColumn="1" w:lastColumn="0" w:noHBand="0" w:noVBand="1"/>
      </w:tblPr>
      <w:tblGrid>
        <w:gridCol w:w="3280"/>
        <w:gridCol w:w="1100"/>
        <w:gridCol w:w="1160"/>
        <w:gridCol w:w="1160"/>
      </w:tblGrid>
      <w:tr w:rsidR="00774F13" w:rsidRPr="00036317" w14:paraId="4837E136" w14:textId="77777777" w:rsidTr="00774F13">
        <w:trPr>
          <w:trHeight w:val="852"/>
        </w:trPr>
        <w:tc>
          <w:tcPr>
            <w:tcW w:w="3280" w:type="dxa"/>
            <w:tcBorders>
              <w:top w:val="single" w:sz="12" w:space="0" w:color="7030A0"/>
              <w:left w:val="nil"/>
              <w:bottom w:val="single" w:sz="8" w:space="0" w:color="7030A0"/>
              <w:right w:val="nil"/>
            </w:tcBorders>
            <w:shd w:val="clear" w:color="auto" w:fill="auto"/>
            <w:vAlign w:val="center"/>
            <w:hideMark/>
          </w:tcPr>
          <w:p w14:paraId="155C1C6E" w14:textId="77777777"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00" w:type="dxa"/>
            <w:tcBorders>
              <w:top w:val="single" w:sz="12" w:space="0" w:color="7030A0"/>
              <w:left w:val="nil"/>
              <w:bottom w:val="single" w:sz="8" w:space="0" w:color="7030A0"/>
              <w:right w:val="nil"/>
            </w:tcBorders>
            <w:shd w:val="clear" w:color="auto" w:fill="auto"/>
            <w:vAlign w:val="center"/>
            <w:hideMark/>
          </w:tcPr>
          <w:p w14:paraId="09BB5A17" w14:textId="77777777" w:rsidR="00774F13" w:rsidRPr="00C73365" w:rsidRDefault="00774F13"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brut</w:t>
            </w:r>
          </w:p>
        </w:tc>
        <w:tc>
          <w:tcPr>
            <w:tcW w:w="1160" w:type="dxa"/>
            <w:tcBorders>
              <w:top w:val="single" w:sz="12" w:space="0" w:color="7030A0"/>
              <w:left w:val="nil"/>
              <w:bottom w:val="single" w:sz="8" w:space="0" w:color="7030A0"/>
              <w:right w:val="nil"/>
            </w:tcBorders>
            <w:shd w:val="clear" w:color="auto" w:fill="auto"/>
            <w:vAlign w:val="center"/>
            <w:hideMark/>
          </w:tcPr>
          <w:p w14:paraId="737BEBAF" w14:textId="77777777" w:rsidR="00774F13" w:rsidRPr="00C73365" w:rsidRDefault="00774F13"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moins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160" w:type="dxa"/>
            <w:tcBorders>
              <w:top w:val="single" w:sz="12" w:space="0" w:color="7030A0"/>
              <w:left w:val="nil"/>
              <w:bottom w:val="single" w:sz="8" w:space="0" w:color="7030A0"/>
              <w:right w:val="nil"/>
            </w:tcBorders>
            <w:shd w:val="clear" w:color="auto" w:fill="auto"/>
            <w:vAlign w:val="center"/>
            <w:hideMark/>
          </w:tcPr>
          <w:p w14:paraId="740D95C7" w14:textId="77777777" w:rsidR="00774F13" w:rsidRPr="00C73365" w:rsidRDefault="00774F13"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r>
      <w:tr w:rsidR="00774F13" w:rsidRPr="00C73365" w14:paraId="1474B7C7" w14:textId="77777777" w:rsidTr="00774F13">
        <w:trPr>
          <w:trHeight w:val="288"/>
        </w:trPr>
        <w:tc>
          <w:tcPr>
            <w:tcW w:w="3280" w:type="dxa"/>
            <w:tcBorders>
              <w:top w:val="nil"/>
              <w:left w:val="nil"/>
              <w:bottom w:val="nil"/>
              <w:right w:val="nil"/>
            </w:tcBorders>
            <w:shd w:val="clear" w:color="auto" w:fill="auto"/>
            <w:vAlign w:val="center"/>
            <w:hideMark/>
          </w:tcPr>
          <w:p w14:paraId="22C7C071" w14:textId="77777777"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financières</w:t>
            </w:r>
          </w:p>
        </w:tc>
        <w:tc>
          <w:tcPr>
            <w:tcW w:w="1100" w:type="dxa"/>
            <w:tcBorders>
              <w:top w:val="nil"/>
              <w:left w:val="nil"/>
              <w:bottom w:val="nil"/>
              <w:right w:val="nil"/>
            </w:tcBorders>
            <w:shd w:val="clear" w:color="auto" w:fill="auto"/>
            <w:vAlign w:val="center"/>
            <w:hideMark/>
          </w:tcPr>
          <w:p w14:paraId="642E7123"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c>
          <w:tcPr>
            <w:tcW w:w="1160" w:type="dxa"/>
            <w:tcBorders>
              <w:top w:val="nil"/>
              <w:left w:val="nil"/>
              <w:bottom w:val="nil"/>
              <w:right w:val="nil"/>
            </w:tcBorders>
            <w:shd w:val="clear" w:color="auto" w:fill="auto"/>
            <w:vAlign w:val="center"/>
            <w:hideMark/>
          </w:tcPr>
          <w:p w14:paraId="64B72D7F" w14:textId="77777777" w:rsidR="00774F13" w:rsidRPr="00C73365" w:rsidRDefault="00774F13" w:rsidP="00A96CCA">
            <w:pPr>
              <w:spacing w:after="0"/>
              <w:jc w:val="right"/>
              <w:rPr>
                <w:rFonts w:asciiTheme="minorHAnsi" w:hAnsiTheme="minorHAnsi" w:cstheme="minorHAnsi"/>
                <w:color w:val="000000"/>
                <w:szCs w:val="20"/>
              </w:rPr>
            </w:pPr>
          </w:p>
        </w:tc>
        <w:tc>
          <w:tcPr>
            <w:tcW w:w="1160" w:type="dxa"/>
            <w:tcBorders>
              <w:top w:val="nil"/>
              <w:left w:val="nil"/>
              <w:bottom w:val="nil"/>
              <w:right w:val="nil"/>
            </w:tcBorders>
            <w:shd w:val="clear" w:color="auto" w:fill="auto"/>
            <w:vAlign w:val="center"/>
            <w:hideMark/>
          </w:tcPr>
          <w:p w14:paraId="62593C8C"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r>
      <w:tr w:rsidR="00774F13" w:rsidRPr="00C73365" w14:paraId="3B0AADE7" w14:textId="77777777" w:rsidTr="00774F13">
        <w:trPr>
          <w:trHeight w:val="288"/>
        </w:trPr>
        <w:tc>
          <w:tcPr>
            <w:tcW w:w="3280" w:type="dxa"/>
            <w:tcBorders>
              <w:top w:val="nil"/>
              <w:left w:val="nil"/>
              <w:bottom w:val="nil"/>
              <w:right w:val="nil"/>
            </w:tcBorders>
            <w:shd w:val="clear" w:color="auto" w:fill="auto"/>
            <w:vAlign w:val="center"/>
            <w:hideMark/>
          </w:tcPr>
          <w:p w14:paraId="5CBB1CDE" w14:textId="77777777" w:rsidR="00774F13" w:rsidRPr="00C73365" w:rsidRDefault="00774F13"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Créances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actif circulant:</w:t>
            </w:r>
          </w:p>
        </w:tc>
        <w:tc>
          <w:tcPr>
            <w:tcW w:w="1100" w:type="dxa"/>
            <w:tcBorders>
              <w:top w:val="nil"/>
              <w:left w:val="nil"/>
              <w:bottom w:val="nil"/>
              <w:right w:val="nil"/>
            </w:tcBorders>
            <w:shd w:val="clear" w:color="auto" w:fill="auto"/>
            <w:vAlign w:val="center"/>
            <w:hideMark/>
          </w:tcPr>
          <w:p w14:paraId="114F46BF" w14:textId="77777777" w:rsidR="00774F13" w:rsidRPr="00C73365" w:rsidRDefault="00774F13" w:rsidP="00A96CCA">
            <w:pPr>
              <w:spacing w:after="0"/>
              <w:rPr>
                <w:rFonts w:asciiTheme="minorHAnsi" w:hAnsiTheme="minorHAnsi" w:cstheme="minorHAnsi"/>
                <w:b/>
                <w:bCs/>
                <w:color w:val="000000"/>
                <w:szCs w:val="20"/>
              </w:rPr>
            </w:pPr>
          </w:p>
        </w:tc>
        <w:tc>
          <w:tcPr>
            <w:tcW w:w="1160" w:type="dxa"/>
            <w:tcBorders>
              <w:top w:val="nil"/>
              <w:left w:val="nil"/>
              <w:bottom w:val="nil"/>
              <w:right w:val="nil"/>
            </w:tcBorders>
            <w:shd w:val="clear" w:color="auto" w:fill="auto"/>
            <w:vAlign w:val="center"/>
            <w:hideMark/>
          </w:tcPr>
          <w:p w14:paraId="2959B58D" w14:textId="77777777" w:rsidR="00774F13" w:rsidRPr="00C73365" w:rsidRDefault="00774F13" w:rsidP="00A96CCA">
            <w:pPr>
              <w:spacing w:after="0"/>
              <w:rPr>
                <w:rFonts w:asciiTheme="minorHAnsi" w:hAnsiTheme="minorHAnsi" w:cstheme="minorHAnsi"/>
                <w:szCs w:val="20"/>
              </w:rPr>
            </w:pPr>
          </w:p>
        </w:tc>
        <w:tc>
          <w:tcPr>
            <w:tcW w:w="1160" w:type="dxa"/>
            <w:tcBorders>
              <w:top w:val="nil"/>
              <w:left w:val="nil"/>
              <w:bottom w:val="nil"/>
              <w:right w:val="nil"/>
            </w:tcBorders>
            <w:shd w:val="clear" w:color="auto" w:fill="auto"/>
            <w:vAlign w:val="center"/>
            <w:hideMark/>
          </w:tcPr>
          <w:p w14:paraId="7196A37C" w14:textId="77777777" w:rsidR="00774F13" w:rsidRPr="00C73365" w:rsidRDefault="00774F13" w:rsidP="00A96CCA">
            <w:pPr>
              <w:spacing w:after="0"/>
              <w:rPr>
                <w:rFonts w:asciiTheme="minorHAnsi" w:hAnsiTheme="minorHAnsi" w:cstheme="minorHAnsi"/>
                <w:szCs w:val="20"/>
              </w:rPr>
            </w:pPr>
          </w:p>
        </w:tc>
      </w:tr>
      <w:tr w:rsidR="00774F13" w:rsidRPr="00C73365" w14:paraId="0B53E1E3" w14:textId="77777777" w:rsidTr="00774F13">
        <w:trPr>
          <w:trHeight w:val="552"/>
        </w:trPr>
        <w:tc>
          <w:tcPr>
            <w:tcW w:w="3280" w:type="dxa"/>
            <w:tcBorders>
              <w:top w:val="nil"/>
              <w:left w:val="nil"/>
              <w:bottom w:val="nil"/>
              <w:right w:val="nil"/>
            </w:tcBorders>
            <w:shd w:val="clear" w:color="auto" w:fill="auto"/>
            <w:vAlign w:val="center"/>
            <w:hideMark/>
          </w:tcPr>
          <w:p w14:paraId="23BE5973" w14:textId="77777777" w:rsidR="00774F13" w:rsidRPr="00C73365" w:rsidRDefault="00774F13"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Avances et acomptes versés sur commandes</w:t>
            </w:r>
          </w:p>
        </w:tc>
        <w:tc>
          <w:tcPr>
            <w:tcW w:w="1100" w:type="dxa"/>
            <w:tcBorders>
              <w:top w:val="nil"/>
              <w:left w:val="nil"/>
              <w:bottom w:val="nil"/>
              <w:right w:val="nil"/>
            </w:tcBorders>
            <w:shd w:val="clear" w:color="auto" w:fill="auto"/>
            <w:vAlign w:val="center"/>
            <w:hideMark/>
          </w:tcPr>
          <w:p w14:paraId="587A6525"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160" w:type="dxa"/>
            <w:tcBorders>
              <w:top w:val="nil"/>
              <w:left w:val="nil"/>
              <w:bottom w:val="nil"/>
              <w:right w:val="nil"/>
            </w:tcBorders>
            <w:shd w:val="clear" w:color="auto" w:fill="auto"/>
            <w:vAlign w:val="center"/>
            <w:hideMark/>
          </w:tcPr>
          <w:p w14:paraId="6A872A82"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160" w:type="dxa"/>
            <w:tcBorders>
              <w:top w:val="nil"/>
              <w:left w:val="nil"/>
              <w:bottom w:val="nil"/>
              <w:right w:val="nil"/>
            </w:tcBorders>
            <w:shd w:val="clear" w:color="auto" w:fill="auto"/>
            <w:vAlign w:val="center"/>
            <w:hideMark/>
          </w:tcPr>
          <w:p w14:paraId="5E76B6E9" w14:textId="77777777" w:rsidR="00774F13" w:rsidRPr="00C73365" w:rsidRDefault="00774F13" w:rsidP="00A96CCA">
            <w:pPr>
              <w:spacing w:after="0"/>
              <w:jc w:val="right"/>
              <w:rPr>
                <w:rFonts w:asciiTheme="minorHAnsi" w:hAnsiTheme="minorHAnsi" w:cstheme="minorHAnsi"/>
                <w:color w:val="000000"/>
                <w:szCs w:val="20"/>
              </w:rPr>
            </w:pPr>
          </w:p>
        </w:tc>
      </w:tr>
      <w:tr w:rsidR="00774F13" w:rsidRPr="00C73365" w14:paraId="1D6D9AA1" w14:textId="77777777" w:rsidTr="00774F13">
        <w:trPr>
          <w:trHeight w:val="288"/>
        </w:trPr>
        <w:tc>
          <w:tcPr>
            <w:tcW w:w="3280" w:type="dxa"/>
            <w:tcBorders>
              <w:top w:val="nil"/>
              <w:left w:val="nil"/>
              <w:bottom w:val="nil"/>
              <w:right w:val="nil"/>
            </w:tcBorders>
            <w:shd w:val="clear" w:color="auto" w:fill="auto"/>
            <w:vAlign w:val="center"/>
            <w:hideMark/>
          </w:tcPr>
          <w:p w14:paraId="2C0D81C1" w14:textId="77777777"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Personnel et comptes rattachés</w:t>
            </w:r>
          </w:p>
        </w:tc>
        <w:tc>
          <w:tcPr>
            <w:tcW w:w="1100" w:type="dxa"/>
            <w:tcBorders>
              <w:top w:val="nil"/>
              <w:left w:val="nil"/>
              <w:bottom w:val="nil"/>
              <w:right w:val="nil"/>
            </w:tcBorders>
            <w:shd w:val="clear" w:color="auto" w:fill="auto"/>
            <w:vAlign w:val="center"/>
            <w:hideMark/>
          </w:tcPr>
          <w:p w14:paraId="1D379D1C"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160" w:type="dxa"/>
            <w:tcBorders>
              <w:top w:val="nil"/>
              <w:left w:val="nil"/>
              <w:bottom w:val="nil"/>
              <w:right w:val="nil"/>
            </w:tcBorders>
            <w:shd w:val="clear" w:color="auto" w:fill="auto"/>
            <w:vAlign w:val="center"/>
            <w:hideMark/>
          </w:tcPr>
          <w:p w14:paraId="79930666"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160" w:type="dxa"/>
            <w:tcBorders>
              <w:top w:val="nil"/>
              <w:left w:val="nil"/>
              <w:bottom w:val="nil"/>
              <w:right w:val="nil"/>
            </w:tcBorders>
            <w:shd w:val="clear" w:color="auto" w:fill="auto"/>
            <w:vAlign w:val="center"/>
            <w:hideMark/>
          </w:tcPr>
          <w:p w14:paraId="18695EFC" w14:textId="77777777" w:rsidR="00774F13" w:rsidRPr="00C73365" w:rsidRDefault="00774F13" w:rsidP="00A96CCA">
            <w:pPr>
              <w:spacing w:after="0"/>
              <w:jc w:val="right"/>
              <w:rPr>
                <w:rFonts w:asciiTheme="minorHAnsi" w:hAnsiTheme="minorHAnsi" w:cstheme="minorHAnsi"/>
                <w:color w:val="000000"/>
                <w:szCs w:val="20"/>
              </w:rPr>
            </w:pPr>
          </w:p>
        </w:tc>
      </w:tr>
      <w:tr w:rsidR="00774F13" w:rsidRPr="00C73365" w14:paraId="4E725E8D" w14:textId="77777777" w:rsidTr="00774F13">
        <w:trPr>
          <w:trHeight w:val="288"/>
        </w:trPr>
        <w:tc>
          <w:tcPr>
            <w:tcW w:w="3280" w:type="dxa"/>
            <w:tcBorders>
              <w:top w:val="nil"/>
              <w:left w:val="nil"/>
              <w:bottom w:val="nil"/>
              <w:right w:val="nil"/>
            </w:tcBorders>
            <w:shd w:val="clear" w:color="auto" w:fill="auto"/>
            <w:vAlign w:val="center"/>
            <w:hideMark/>
          </w:tcPr>
          <w:p w14:paraId="10D1C4FE" w14:textId="77777777"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Impôts sur les bénéfices</w:t>
            </w:r>
          </w:p>
        </w:tc>
        <w:tc>
          <w:tcPr>
            <w:tcW w:w="1100" w:type="dxa"/>
            <w:tcBorders>
              <w:top w:val="nil"/>
              <w:left w:val="nil"/>
              <w:bottom w:val="nil"/>
              <w:right w:val="nil"/>
            </w:tcBorders>
            <w:shd w:val="clear" w:color="auto" w:fill="auto"/>
            <w:vAlign w:val="center"/>
            <w:hideMark/>
          </w:tcPr>
          <w:p w14:paraId="5A7F0815"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2 766</w:t>
            </w:r>
          </w:p>
        </w:tc>
        <w:tc>
          <w:tcPr>
            <w:tcW w:w="1160" w:type="dxa"/>
            <w:tcBorders>
              <w:top w:val="nil"/>
              <w:left w:val="nil"/>
              <w:bottom w:val="nil"/>
              <w:right w:val="nil"/>
            </w:tcBorders>
            <w:shd w:val="clear" w:color="auto" w:fill="auto"/>
            <w:vAlign w:val="center"/>
            <w:hideMark/>
          </w:tcPr>
          <w:p w14:paraId="5665F63A"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2 766</w:t>
            </w:r>
          </w:p>
        </w:tc>
        <w:tc>
          <w:tcPr>
            <w:tcW w:w="1160" w:type="dxa"/>
            <w:tcBorders>
              <w:top w:val="nil"/>
              <w:left w:val="nil"/>
              <w:bottom w:val="nil"/>
              <w:right w:val="nil"/>
            </w:tcBorders>
            <w:shd w:val="clear" w:color="auto" w:fill="auto"/>
            <w:vAlign w:val="center"/>
            <w:hideMark/>
          </w:tcPr>
          <w:p w14:paraId="20A3FECA" w14:textId="77777777" w:rsidR="00774F13" w:rsidRPr="00C73365" w:rsidRDefault="00774F13" w:rsidP="00A96CCA">
            <w:pPr>
              <w:spacing w:after="0"/>
              <w:jc w:val="right"/>
              <w:rPr>
                <w:rFonts w:asciiTheme="minorHAnsi" w:hAnsiTheme="minorHAnsi" w:cstheme="minorHAnsi"/>
                <w:color w:val="000000"/>
                <w:szCs w:val="20"/>
              </w:rPr>
            </w:pPr>
          </w:p>
        </w:tc>
      </w:tr>
      <w:tr w:rsidR="00774F13" w:rsidRPr="00C73365" w14:paraId="19CA441B" w14:textId="77777777" w:rsidTr="00774F13">
        <w:trPr>
          <w:trHeight w:val="288"/>
        </w:trPr>
        <w:tc>
          <w:tcPr>
            <w:tcW w:w="3280" w:type="dxa"/>
            <w:tcBorders>
              <w:top w:val="nil"/>
              <w:left w:val="nil"/>
              <w:bottom w:val="nil"/>
              <w:right w:val="nil"/>
            </w:tcBorders>
            <w:shd w:val="clear" w:color="auto" w:fill="auto"/>
            <w:vAlign w:val="center"/>
            <w:hideMark/>
          </w:tcPr>
          <w:p w14:paraId="14A238E4" w14:textId="77777777" w:rsidR="00774F13" w:rsidRPr="00C73365" w:rsidRDefault="00774F13"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Taxe sur la Valeur Ajoutée</w:t>
            </w:r>
          </w:p>
        </w:tc>
        <w:tc>
          <w:tcPr>
            <w:tcW w:w="1100" w:type="dxa"/>
            <w:tcBorders>
              <w:top w:val="nil"/>
              <w:left w:val="nil"/>
              <w:bottom w:val="nil"/>
              <w:right w:val="nil"/>
            </w:tcBorders>
            <w:shd w:val="clear" w:color="auto" w:fill="auto"/>
            <w:vAlign w:val="center"/>
            <w:hideMark/>
          </w:tcPr>
          <w:p w14:paraId="2E6D4B5C"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878</w:t>
            </w:r>
          </w:p>
        </w:tc>
        <w:tc>
          <w:tcPr>
            <w:tcW w:w="1160" w:type="dxa"/>
            <w:tcBorders>
              <w:top w:val="nil"/>
              <w:left w:val="nil"/>
              <w:bottom w:val="nil"/>
              <w:right w:val="nil"/>
            </w:tcBorders>
            <w:shd w:val="clear" w:color="auto" w:fill="auto"/>
            <w:vAlign w:val="center"/>
            <w:hideMark/>
          </w:tcPr>
          <w:p w14:paraId="31F0DBAB"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878</w:t>
            </w:r>
          </w:p>
        </w:tc>
        <w:tc>
          <w:tcPr>
            <w:tcW w:w="1160" w:type="dxa"/>
            <w:tcBorders>
              <w:top w:val="nil"/>
              <w:left w:val="nil"/>
              <w:bottom w:val="nil"/>
              <w:right w:val="nil"/>
            </w:tcBorders>
            <w:shd w:val="clear" w:color="auto" w:fill="auto"/>
            <w:vAlign w:val="center"/>
            <w:hideMark/>
          </w:tcPr>
          <w:p w14:paraId="00280166" w14:textId="77777777" w:rsidR="00774F13" w:rsidRPr="00C73365" w:rsidRDefault="00774F13" w:rsidP="00A96CCA">
            <w:pPr>
              <w:spacing w:after="0"/>
              <w:jc w:val="right"/>
              <w:rPr>
                <w:rFonts w:asciiTheme="minorHAnsi" w:hAnsiTheme="minorHAnsi" w:cstheme="minorHAnsi"/>
                <w:color w:val="000000"/>
                <w:szCs w:val="20"/>
              </w:rPr>
            </w:pPr>
          </w:p>
        </w:tc>
      </w:tr>
      <w:tr w:rsidR="00774F13" w:rsidRPr="00C73365" w14:paraId="4B9CA62C" w14:textId="77777777" w:rsidTr="00774F13">
        <w:trPr>
          <w:trHeight w:val="300"/>
        </w:trPr>
        <w:tc>
          <w:tcPr>
            <w:tcW w:w="3280" w:type="dxa"/>
            <w:tcBorders>
              <w:top w:val="nil"/>
              <w:left w:val="nil"/>
              <w:bottom w:val="single" w:sz="8" w:space="0" w:color="7030A0"/>
              <w:right w:val="nil"/>
            </w:tcBorders>
            <w:shd w:val="clear" w:color="auto" w:fill="auto"/>
            <w:vAlign w:val="center"/>
            <w:hideMark/>
          </w:tcPr>
          <w:p w14:paraId="7FA36D10" w14:textId="77777777"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constatées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avance</w:t>
            </w:r>
          </w:p>
        </w:tc>
        <w:tc>
          <w:tcPr>
            <w:tcW w:w="1100" w:type="dxa"/>
            <w:tcBorders>
              <w:top w:val="nil"/>
              <w:left w:val="nil"/>
              <w:bottom w:val="single" w:sz="8" w:space="0" w:color="7030A0"/>
              <w:right w:val="nil"/>
            </w:tcBorders>
            <w:shd w:val="clear" w:color="auto" w:fill="auto"/>
            <w:vAlign w:val="center"/>
            <w:hideMark/>
          </w:tcPr>
          <w:p w14:paraId="3B9C024B"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160" w:type="dxa"/>
            <w:tcBorders>
              <w:top w:val="nil"/>
              <w:left w:val="nil"/>
              <w:bottom w:val="single" w:sz="8" w:space="0" w:color="7030A0"/>
              <w:right w:val="nil"/>
            </w:tcBorders>
            <w:shd w:val="clear" w:color="auto" w:fill="auto"/>
            <w:vAlign w:val="center"/>
            <w:hideMark/>
          </w:tcPr>
          <w:p w14:paraId="6B10D07C"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160" w:type="dxa"/>
            <w:tcBorders>
              <w:top w:val="nil"/>
              <w:left w:val="nil"/>
              <w:bottom w:val="single" w:sz="8" w:space="0" w:color="7030A0"/>
              <w:right w:val="nil"/>
            </w:tcBorders>
            <w:shd w:val="clear" w:color="auto" w:fill="auto"/>
            <w:vAlign w:val="center"/>
            <w:hideMark/>
          </w:tcPr>
          <w:p w14:paraId="7F1B0BB2" w14:textId="77777777"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774F13" w:rsidRPr="00C73365" w14:paraId="22C71402" w14:textId="77777777" w:rsidTr="00774F13">
        <w:trPr>
          <w:trHeight w:val="300"/>
        </w:trPr>
        <w:tc>
          <w:tcPr>
            <w:tcW w:w="3280" w:type="dxa"/>
            <w:tcBorders>
              <w:top w:val="nil"/>
              <w:left w:val="nil"/>
              <w:bottom w:val="single" w:sz="8" w:space="0" w:color="7030A0"/>
              <w:right w:val="nil"/>
            </w:tcBorders>
            <w:shd w:val="clear" w:color="auto" w:fill="auto"/>
            <w:vAlign w:val="center"/>
            <w:hideMark/>
          </w:tcPr>
          <w:p w14:paraId="539FBF39" w14:textId="77777777" w:rsidR="00774F13" w:rsidRPr="00C73365" w:rsidRDefault="00774F13"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100" w:type="dxa"/>
            <w:tcBorders>
              <w:top w:val="nil"/>
              <w:left w:val="nil"/>
              <w:bottom w:val="single" w:sz="8" w:space="0" w:color="7030A0"/>
              <w:right w:val="nil"/>
            </w:tcBorders>
            <w:shd w:val="clear" w:color="auto" w:fill="auto"/>
            <w:vAlign w:val="center"/>
            <w:hideMark/>
          </w:tcPr>
          <w:p w14:paraId="3277D45C" w14:textId="77777777"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4 282</w:t>
            </w:r>
          </w:p>
        </w:tc>
        <w:tc>
          <w:tcPr>
            <w:tcW w:w="1160" w:type="dxa"/>
            <w:tcBorders>
              <w:top w:val="nil"/>
              <w:left w:val="nil"/>
              <w:bottom w:val="single" w:sz="8" w:space="0" w:color="7030A0"/>
              <w:right w:val="nil"/>
            </w:tcBorders>
            <w:shd w:val="clear" w:color="auto" w:fill="auto"/>
            <w:vAlign w:val="center"/>
            <w:hideMark/>
          </w:tcPr>
          <w:p w14:paraId="3A1AA16B" w14:textId="77777777"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3 844</w:t>
            </w:r>
          </w:p>
        </w:tc>
        <w:tc>
          <w:tcPr>
            <w:tcW w:w="1160" w:type="dxa"/>
            <w:tcBorders>
              <w:top w:val="nil"/>
              <w:left w:val="nil"/>
              <w:bottom w:val="single" w:sz="8" w:space="0" w:color="7030A0"/>
              <w:right w:val="nil"/>
            </w:tcBorders>
            <w:shd w:val="clear" w:color="auto" w:fill="auto"/>
            <w:vAlign w:val="center"/>
            <w:hideMark/>
          </w:tcPr>
          <w:p w14:paraId="2AAF511A" w14:textId="77777777"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438</w:t>
            </w:r>
          </w:p>
        </w:tc>
      </w:tr>
    </w:tbl>
    <w:p w14:paraId="4A576818" w14:textId="77777777" w:rsidR="00F46C7B" w:rsidRPr="00C73365" w:rsidRDefault="00F46C7B" w:rsidP="00A96CCA">
      <w:pPr>
        <w:spacing w:after="0"/>
        <w:ind w:right="-2"/>
        <w:rPr>
          <w:rFonts w:asciiTheme="minorHAnsi" w:eastAsia="MS Mincho" w:hAnsiTheme="minorHAnsi" w:cstheme="minorHAnsi"/>
          <w:szCs w:val="20"/>
          <w:lang w:val="fr-FR" w:eastAsia="fr-FR"/>
        </w:rPr>
      </w:pPr>
    </w:p>
    <w:p w14:paraId="1641329E" w14:textId="77777777" w:rsidR="00F46C7B" w:rsidRPr="00C73365" w:rsidRDefault="00F46C7B" w:rsidP="00A96CCA">
      <w:pPr>
        <w:spacing w:after="0"/>
        <w:ind w:right="-2"/>
        <w:rPr>
          <w:rFonts w:asciiTheme="minorHAnsi" w:eastAsia="MS Mincho" w:hAnsiTheme="minorHAnsi" w:cstheme="minorHAnsi"/>
          <w:szCs w:val="20"/>
          <w:lang w:val="fr-FR" w:eastAsia="fr-FR"/>
        </w:rPr>
      </w:pPr>
    </w:p>
    <w:p w14:paraId="5E3F9F54"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49D041BE"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Les créances de l’actif immobilisé correspondent au montant disponible </w:t>
      </w:r>
      <w:r w:rsidRPr="00C73365">
        <w:rPr>
          <w:rFonts w:asciiTheme="minorHAnsi" w:eastAsia="MS Mincho" w:hAnsiTheme="minorHAnsi" w:cstheme="minorHAnsi"/>
          <w:lang w:val="fr-FR" w:eastAsia="fr-FR"/>
        </w:rPr>
        <w:br w:type="column"/>
      </w:r>
      <w:r w:rsidRPr="00C73365">
        <w:rPr>
          <w:rFonts w:asciiTheme="minorHAnsi" w:eastAsia="MS Mincho" w:hAnsiTheme="minorHAnsi" w:cstheme="minorHAnsi"/>
          <w:lang w:val="fr-FR" w:eastAsia="fr-FR"/>
        </w:rPr>
        <w:t>sur le contrat de liquidité souscrit par la société et aux dépôts et cautionnements versés par la société</w:t>
      </w:r>
    </w:p>
    <w:tbl>
      <w:tblPr>
        <w:tblW w:w="6223" w:type="dxa"/>
        <w:tblCellMar>
          <w:left w:w="70" w:type="dxa"/>
          <w:right w:w="70" w:type="dxa"/>
        </w:tblCellMar>
        <w:tblLook w:val="04A0" w:firstRow="1" w:lastRow="0" w:firstColumn="1" w:lastColumn="0" w:noHBand="0" w:noVBand="1"/>
      </w:tblPr>
      <w:tblGrid>
        <w:gridCol w:w="5030"/>
        <w:gridCol w:w="1193"/>
      </w:tblGrid>
      <w:tr w:rsidR="00F46C7B" w:rsidRPr="00C73365" w14:paraId="009A7B50" w14:textId="77777777" w:rsidTr="00BB083E">
        <w:trPr>
          <w:trHeight w:val="322"/>
        </w:trPr>
        <w:tc>
          <w:tcPr>
            <w:tcW w:w="5030" w:type="dxa"/>
            <w:tcBorders>
              <w:top w:val="single" w:sz="12" w:space="0" w:color="7030A0"/>
              <w:left w:val="nil"/>
              <w:bottom w:val="single" w:sz="8" w:space="0" w:color="7030A0"/>
              <w:right w:val="nil"/>
            </w:tcBorders>
            <w:shd w:val="clear" w:color="auto" w:fill="auto"/>
            <w:vAlign w:val="center"/>
            <w:hideMark/>
          </w:tcPr>
          <w:p w14:paraId="5576E2E6"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193" w:type="dxa"/>
            <w:tcBorders>
              <w:top w:val="single" w:sz="12" w:space="0" w:color="7030A0"/>
              <w:left w:val="nil"/>
              <w:bottom w:val="single" w:sz="8" w:space="0" w:color="7030A0"/>
              <w:right w:val="nil"/>
            </w:tcBorders>
            <w:shd w:val="clear" w:color="auto" w:fill="auto"/>
            <w:vAlign w:val="center"/>
            <w:hideMark/>
          </w:tcPr>
          <w:p w14:paraId="4CEB7954"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F46C7B" w:rsidRPr="00C73365" w14:paraId="0CB92541" w14:textId="77777777" w:rsidTr="00BB083E">
        <w:trPr>
          <w:trHeight w:val="298"/>
        </w:trPr>
        <w:tc>
          <w:tcPr>
            <w:tcW w:w="5030" w:type="dxa"/>
            <w:tcBorders>
              <w:top w:val="nil"/>
              <w:left w:val="nil"/>
              <w:bottom w:val="nil"/>
              <w:right w:val="nil"/>
            </w:tcBorders>
            <w:shd w:val="clear" w:color="auto" w:fill="auto"/>
            <w:noWrap/>
            <w:vAlign w:val="center"/>
            <w:hideMark/>
          </w:tcPr>
          <w:p w14:paraId="41795FD7"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Solde sur CIR 2014 à recevoir (intérêts moratoires inclus)</w:t>
            </w:r>
          </w:p>
        </w:tc>
        <w:tc>
          <w:tcPr>
            <w:tcW w:w="1193" w:type="dxa"/>
            <w:tcBorders>
              <w:top w:val="nil"/>
              <w:left w:val="nil"/>
              <w:bottom w:val="nil"/>
              <w:right w:val="nil"/>
            </w:tcBorders>
            <w:shd w:val="clear" w:color="auto" w:fill="auto"/>
            <w:noWrap/>
            <w:vAlign w:val="center"/>
            <w:hideMark/>
          </w:tcPr>
          <w:p w14:paraId="685E8249"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122 </w:t>
            </w:r>
            <w:r w:rsidR="00EF089C" w:rsidRPr="00C73365">
              <w:rPr>
                <w:rFonts w:asciiTheme="minorHAnsi" w:hAnsiTheme="minorHAnsi" w:cstheme="minorHAnsi"/>
                <w:color w:val="000000"/>
                <w:szCs w:val="20"/>
                <w:lang w:val="fr-FR" w:eastAsia="fr-FR"/>
              </w:rPr>
              <w:t>K€</w:t>
            </w:r>
          </w:p>
        </w:tc>
      </w:tr>
      <w:tr w:rsidR="00F46C7B" w:rsidRPr="00C73365" w14:paraId="30E3BA6A" w14:textId="77777777" w:rsidTr="00BB083E">
        <w:trPr>
          <w:trHeight w:val="298"/>
        </w:trPr>
        <w:tc>
          <w:tcPr>
            <w:tcW w:w="5030" w:type="dxa"/>
            <w:tcBorders>
              <w:top w:val="nil"/>
              <w:left w:val="nil"/>
              <w:bottom w:val="nil"/>
              <w:right w:val="nil"/>
            </w:tcBorders>
            <w:shd w:val="clear" w:color="auto" w:fill="auto"/>
            <w:noWrap/>
            <w:vAlign w:val="center"/>
            <w:hideMark/>
          </w:tcPr>
          <w:p w14:paraId="35D6F652"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CIR au 31/12/</w:t>
            </w:r>
            <w:r w:rsidR="00774F13" w:rsidRPr="00C73365">
              <w:rPr>
                <w:rFonts w:asciiTheme="minorHAnsi" w:hAnsiTheme="minorHAnsi" w:cstheme="minorHAnsi"/>
                <w:color w:val="000000"/>
                <w:szCs w:val="20"/>
                <w:lang w:val="fr-FR" w:eastAsia="fr-FR"/>
              </w:rPr>
              <w:t>2017</w:t>
            </w:r>
          </w:p>
        </w:tc>
        <w:tc>
          <w:tcPr>
            <w:tcW w:w="1193" w:type="dxa"/>
            <w:tcBorders>
              <w:top w:val="nil"/>
              <w:left w:val="nil"/>
              <w:bottom w:val="nil"/>
              <w:right w:val="nil"/>
            </w:tcBorders>
            <w:shd w:val="clear" w:color="auto" w:fill="auto"/>
            <w:noWrap/>
            <w:vAlign w:val="center"/>
            <w:hideMark/>
          </w:tcPr>
          <w:p w14:paraId="12B47B1D" w14:textId="77777777"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2 632</w:t>
            </w:r>
            <w:r w:rsidR="00F46C7B" w:rsidRPr="00C73365">
              <w:rPr>
                <w:rFonts w:asciiTheme="minorHAnsi" w:hAnsiTheme="minorHAnsi" w:cstheme="minorHAnsi"/>
                <w:color w:val="000000"/>
                <w:szCs w:val="20"/>
                <w:lang w:val="fr-FR" w:eastAsia="fr-FR"/>
              </w:rPr>
              <w:t xml:space="preserve"> </w:t>
            </w:r>
            <w:r w:rsidR="00EF089C" w:rsidRPr="00C73365">
              <w:rPr>
                <w:rFonts w:asciiTheme="minorHAnsi" w:hAnsiTheme="minorHAnsi" w:cstheme="minorHAnsi"/>
                <w:color w:val="000000"/>
                <w:szCs w:val="20"/>
                <w:lang w:val="fr-FR" w:eastAsia="fr-FR"/>
              </w:rPr>
              <w:t>K€</w:t>
            </w:r>
          </w:p>
        </w:tc>
      </w:tr>
      <w:tr w:rsidR="00F46C7B" w:rsidRPr="00C73365" w14:paraId="61D0B909" w14:textId="77777777" w:rsidTr="00BB083E">
        <w:trPr>
          <w:trHeight w:val="298"/>
        </w:trPr>
        <w:tc>
          <w:tcPr>
            <w:tcW w:w="5030" w:type="dxa"/>
            <w:tcBorders>
              <w:top w:val="nil"/>
              <w:left w:val="nil"/>
              <w:right w:val="nil"/>
            </w:tcBorders>
            <w:shd w:val="clear" w:color="auto" w:fill="auto"/>
            <w:noWrap/>
            <w:vAlign w:val="center"/>
            <w:hideMark/>
          </w:tcPr>
          <w:p w14:paraId="2B7334CC"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CICE au 31 décembre </w:t>
            </w:r>
            <w:r w:rsidR="00774F13" w:rsidRPr="00C73365">
              <w:rPr>
                <w:rFonts w:asciiTheme="minorHAnsi" w:hAnsiTheme="minorHAnsi" w:cstheme="minorHAnsi"/>
                <w:color w:val="000000"/>
                <w:szCs w:val="20"/>
                <w:lang w:val="fr-FR" w:eastAsia="fr-FR"/>
              </w:rPr>
              <w:t>2017</w:t>
            </w:r>
          </w:p>
        </w:tc>
        <w:tc>
          <w:tcPr>
            <w:tcW w:w="1193" w:type="dxa"/>
            <w:tcBorders>
              <w:top w:val="nil"/>
              <w:left w:val="nil"/>
              <w:right w:val="nil"/>
            </w:tcBorders>
            <w:shd w:val="clear" w:color="auto" w:fill="auto"/>
            <w:noWrap/>
            <w:vAlign w:val="center"/>
            <w:hideMark/>
          </w:tcPr>
          <w:p w14:paraId="7DBD4A1A" w14:textId="77777777"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 </w:t>
            </w:r>
            <w:r w:rsidR="00EF089C" w:rsidRPr="00C73365">
              <w:rPr>
                <w:rFonts w:asciiTheme="minorHAnsi" w:hAnsiTheme="minorHAnsi" w:cstheme="minorHAnsi"/>
                <w:color w:val="000000"/>
                <w:szCs w:val="20"/>
                <w:lang w:val="fr-FR" w:eastAsia="fr-FR"/>
              </w:rPr>
              <w:t>K€</w:t>
            </w:r>
          </w:p>
        </w:tc>
      </w:tr>
      <w:tr w:rsidR="00F46C7B" w:rsidRPr="00C73365" w14:paraId="2DEBBA4E" w14:textId="77777777" w:rsidTr="00BB083E">
        <w:trPr>
          <w:trHeight w:val="298"/>
        </w:trPr>
        <w:tc>
          <w:tcPr>
            <w:tcW w:w="5030" w:type="dxa"/>
            <w:tcBorders>
              <w:top w:val="nil"/>
              <w:left w:val="nil"/>
              <w:bottom w:val="single" w:sz="4" w:space="0" w:color="7030A0"/>
              <w:right w:val="nil"/>
            </w:tcBorders>
            <w:shd w:val="clear" w:color="auto" w:fill="auto"/>
            <w:noWrap/>
            <w:vAlign w:val="center"/>
            <w:hideMark/>
          </w:tcPr>
          <w:p w14:paraId="1F577633"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TVA déductible et crédits de TVA</w:t>
            </w:r>
          </w:p>
        </w:tc>
        <w:tc>
          <w:tcPr>
            <w:tcW w:w="1193" w:type="dxa"/>
            <w:tcBorders>
              <w:top w:val="nil"/>
              <w:left w:val="nil"/>
              <w:bottom w:val="single" w:sz="4" w:space="0" w:color="7030A0"/>
              <w:right w:val="nil"/>
            </w:tcBorders>
            <w:shd w:val="clear" w:color="auto" w:fill="auto"/>
            <w:noWrap/>
            <w:vAlign w:val="center"/>
            <w:hideMark/>
          </w:tcPr>
          <w:p w14:paraId="795E3387" w14:textId="77777777"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878</w:t>
            </w:r>
            <w:r w:rsidR="00F46C7B" w:rsidRPr="00C73365">
              <w:rPr>
                <w:rFonts w:asciiTheme="minorHAnsi" w:hAnsiTheme="minorHAnsi" w:cstheme="minorHAnsi"/>
                <w:color w:val="000000"/>
                <w:szCs w:val="20"/>
                <w:lang w:val="fr-FR" w:eastAsia="fr-FR"/>
              </w:rPr>
              <w:t xml:space="preserve"> </w:t>
            </w:r>
            <w:r w:rsidR="00EF089C" w:rsidRPr="00C73365">
              <w:rPr>
                <w:rFonts w:asciiTheme="minorHAnsi" w:hAnsiTheme="minorHAnsi" w:cstheme="minorHAnsi"/>
                <w:color w:val="000000"/>
                <w:szCs w:val="20"/>
                <w:lang w:val="fr-FR" w:eastAsia="fr-FR"/>
              </w:rPr>
              <w:t>K€</w:t>
            </w:r>
          </w:p>
        </w:tc>
      </w:tr>
    </w:tbl>
    <w:p w14:paraId="47570A58" w14:textId="77777777" w:rsidR="00F46C7B" w:rsidRPr="00C73365" w:rsidRDefault="00F46C7B" w:rsidP="00A96CCA">
      <w:pPr>
        <w:spacing w:after="0"/>
        <w:ind w:right="-2"/>
        <w:rPr>
          <w:rFonts w:asciiTheme="minorHAnsi" w:eastAsia="MS Mincho" w:hAnsiTheme="minorHAnsi" w:cstheme="minorHAnsi"/>
          <w:szCs w:val="20"/>
          <w:lang w:val="fr-FR" w:eastAsia="fr-FR"/>
        </w:rPr>
      </w:pPr>
    </w:p>
    <w:p w14:paraId="71349ACC"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constatées d’avance</w:t>
      </w:r>
    </w:p>
    <w:tbl>
      <w:tblPr>
        <w:tblW w:w="5916" w:type="dxa"/>
        <w:tblCellMar>
          <w:left w:w="70" w:type="dxa"/>
          <w:right w:w="70" w:type="dxa"/>
        </w:tblCellMar>
        <w:tblLook w:val="04A0" w:firstRow="1" w:lastRow="0" w:firstColumn="1" w:lastColumn="0" w:noHBand="0" w:noVBand="1"/>
      </w:tblPr>
      <w:tblGrid>
        <w:gridCol w:w="2079"/>
        <w:gridCol w:w="1306"/>
        <w:gridCol w:w="1086"/>
        <w:gridCol w:w="1445"/>
      </w:tblGrid>
      <w:tr w:rsidR="00F46C7B" w:rsidRPr="00C73365" w14:paraId="7F9C0414" w14:textId="77777777" w:rsidTr="00D22228">
        <w:trPr>
          <w:trHeight w:val="742"/>
        </w:trPr>
        <w:tc>
          <w:tcPr>
            <w:tcW w:w="2533" w:type="dxa"/>
            <w:tcBorders>
              <w:top w:val="single" w:sz="12" w:space="0" w:color="7030A0"/>
              <w:left w:val="nil"/>
              <w:bottom w:val="single" w:sz="8" w:space="0" w:color="7030A0"/>
              <w:right w:val="nil"/>
            </w:tcBorders>
            <w:shd w:val="clear" w:color="auto" w:fill="auto"/>
            <w:vAlign w:val="center"/>
            <w:hideMark/>
          </w:tcPr>
          <w:p w14:paraId="0A23733B"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076" w:type="dxa"/>
            <w:tcBorders>
              <w:top w:val="single" w:sz="12" w:space="0" w:color="7030A0"/>
              <w:left w:val="nil"/>
              <w:bottom w:val="single" w:sz="8" w:space="0" w:color="7030A0"/>
              <w:right w:val="nil"/>
            </w:tcBorders>
            <w:shd w:val="clear" w:color="auto" w:fill="auto"/>
            <w:vAlign w:val="center"/>
            <w:hideMark/>
          </w:tcPr>
          <w:p w14:paraId="0D08604D"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d</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101" w:type="dxa"/>
            <w:tcBorders>
              <w:top w:val="single" w:sz="12" w:space="0" w:color="7030A0"/>
              <w:left w:val="nil"/>
              <w:bottom w:val="single" w:sz="8" w:space="0" w:color="7030A0"/>
              <w:right w:val="nil"/>
            </w:tcBorders>
            <w:shd w:val="clear" w:color="auto" w:fill="auto"/>
            <w:vAlign w:val="center"/>
            <w:hideMark/>
          </w:tcPr>
          <w:p w14:paraId="1563107D"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financières</w:t>
            </w:r>
          </w:p>
        </w:tc>
        <w:tc>
          <w:tcPr>
            <w:tcW w:w="1206" w:type="dxa"/>
            <w:tcBorders>
              <w:top w:val="single" w:sz="12" w:space="0" w:color="7030A0"/>
              <w:left w:val="nil"/>
              <w:bottom w:val="single" w:sz="8" w:space="0" w:color="7030A0"/>
              <w:right w:val="nil"/>
            </w:tcBorders>
            <w:shd w:val="clear" w:color="auto" w:fill="auto"/>
            <w:vAlign w:val="center"/>
            <w:hideMark/>
          </w:tcPr>
          <w:p w14:paraId="147C4CD3"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exceptionnelles</w:t>
            </w:r>
          </w:p>
        </w:tc>
      </w:tr>
      <w:tr w:rsidR="00F46C7B" w:rsidRPr="00C73365" w14:paraId="1F5C8959" w14:textId="77777777" w:rsidTr="00D22228">
        <w:trPr>
          <w:trHeight w:val="261"/>
        </w:trPr>
        <w:tc>
          <w:tcPr>
            <w:tcW w:w="2533" w:type="dxa"/>
            <w:tcBorders>
              <w:top w:val="nil"/>
              <w:left w:val="nil"/>
              <w:bottom w:val="single" w:sz="8" w:space="0" w:color="7030A0"/>
              <w:right w:val="nil"/>
            </w:tcBorders>
            <w:shd w:val="clear" w:color="auto" w:fill="auto"/>
            <w:vAlign w:val="center"/>
            <w:hideMark/>
          </w:tcPr>
          <w:p w14:paraId="1F5573C5"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avances</w:t>
            </w:r>
          </w:p>
        </w:tc>
        <w:tc>
          <w:tcPr>
            <w:tcW w:w="1076" w:type="dxa"/>
            <w:tcBorders>
              <w:top w:val="nil"/>
              <w:left w:val="nil"/>
              <w:bottom w:val="single" w:sz="8" w:space="0" w:color="7030A0"/>
              <w:right w:val="nil"/>
            </w:tcBorders>
            <w:shd w:val="clear" w:color="auto" w:fill="auto"/>
            <w:vAlign w:val="center"/>
            <w:hideMark/>
          </w:tcPr>
          <w:p w14:paraId="2C4713D3" w14:textId="77777777" w:rsidR="00F46C7B" w:rsidRPr="00C73365" w:rsidRDefault="00975B6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186</w:t>
            </w:r>
          </w:p>
        </w:tc>
        <w:tc>
          <w:tcPr>
            <w:tcW w:w="1101" w:type="dxa"/>
            <w:tcBorders>
              <w:top w:val="nil"/>
              <w:left w:val="nil"/>
              <w:bottom w:val="single" w:sz="8" w:space="0" w:color="7030A0"/>
              <w:right w:val="nil"/>
            </w:tcBorders>
            <w:shd w:val="clear" w:color="auto" w:fill="auto"/>
            <w:vAlign w:val="center"/>
            <w:hideMark/>
          </w:tcPr>
          <w:p w14:paraId="3DD05587"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206" w:type="dxa"/>
            <w:tcBorders>
              <w:top w:val="nil"/>
              <w:left w:val="nil"/>
              <w:bottom w:val="single" w:sz="8" w:space="0" w:color="7030A0"/>
              <w:right w:val="nil"/>
            </w:tcBorders>
            <w:shd w:val="clear" w:color="auto" w:fill="auto"/>
            <w:vAlign w:val="center"/>
            <w:hideMark/>
          </w:tcPr>
          <w:p w14:paraId="7C6DE7A4"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46C7B" w:rsidRPr="00C73365" w14:paraId="275DEDD7" w14:textId="77777777" w:rsidTr="00D22228">
        <w:trPr>
          <w:trHeight w:val="345"/>
        </w:trPr>
        <w:tc>
          <w:tcPr>
            <w:tcW w:w="2533" w:type="dxa"/>
            <w:tcBorders>
              <w:top w:val="nil"/>
              <w:left w:val="nil"/>
              <w:bottom w:val="single" w:sz="8" w:space="0" w:color="7030A0"/>
              <w:right w:val="nil"/>
            </w:tcBorders>
            <w:shd w:val="clear" w:color="auto" w:fill="auto"/>
            <w:vAlign w:val="center"/>
            <w:hideMark/>
          </w:tcPr>
          <w:p w14:paraId="3C0DDE18" w14:textId="77777777"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1076" w:type="dxa"/>
            <w:tcBorders>
              <w:top w:val="nil"/>
              <w:left w:val="nil"/>
              <w:bottom w:val="single" w:sz="8" w:space="0" w:color="7030A0"/>
              <w:right w:val="nil"/>
            </w:tcBorders>
            <w:shd w:val="clear" w:color="auto" w:fill="auto"/>
            <w:vAlign w:val="center"/>
            <w:hideMark/>
          </w:tcPr>
          <w:p w14:paraId="7B0E127C" w14:textId="77777777" w:rsidR="00F46C7B" w:rsidRPr="00C73365" w:rsidRDefault="00975B62"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186</w:t>
            </w:r>
          </w:p>
        </w:tc>
        <w:tc>
          <w:tcPr>
            <w:tcW w:w="1101" w:type="dxa"/>
            <w:tcBorders>
              <w:top w:val="nil"/>
              <w:left w:val="nil"/>
              <w:bottom w:val="single" w:sz="8" w:space="0" w:color="7030A0"/>
              <w:right w:val="nil"/>
            </w:tcBorders>
            <w:shd w:val="clear" w:color="auto" w:fill="auto"/>
            <w:vAlign w:val="center"/>
            <w:hideMark/>
          </w:tcPr>
          <w:p w14:paraId="65E82218" w14:textId="77777777"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1206" w:type="dxa"/>
            <w:tcBorders>
              <w:top w:val="nil"/>
              <w:left w:val="nil"/>
              <w:bottom w:val="single" w:sz="8" w:space="0" w:color="7030A0"/>
              <w:right w:val="nil"/>
            </w:tcBorders>
            <w:shd w:val="clear" w:color="auto" w:fill="auto"/>
            <w:vAlign w:val="center"/>
            <w:hideMark/>
          </w:tcPr>
          <w:p w14:paraId="1570E716" w14:textId="77777777"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bl>
    <w:p w14:paraId="597A2972" w14:textId="77777777" w:rsidR="00F46C7B" w:rsidRPr="00C73365" w:rsidRDefault="00F46C7B" w:rsidP="00A96CCA">
      <w:pPr>
        <w:spacing w:after="0"/>
        <w:ind w:right="-2"/>
        <w:rPr>
          <w:rFonts w:asciiTheme="minorHAnsi" w:eastAsia="MS Mincho" w:hAnsiTheme="minorHAnsi" w:cstheme="minorHAnsi"/>
          <w:b/>
          <w:color w:val="9032B8"/>
          <w:szCs w:val="20"/>
          <w:lang w:val="fr-FR" w:eastAsia="fr-FR"/>
        </w:rPr>
      </w:pPr>
    </w:p>
    <w:p w14:paraId="3E94DA2C"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Les charges constatées d’avance se détaillent de la façon suivante :</w:t>
      </w:r>
    </w:p>
    <w:tbl>
      <w:tblPr>
        <w:tblW w:w="6420" w:type="dxa"/>
        <w:tblLook w:val="04A0" w:firstRow="1" w:lastRow="0" w:firstColumn="1" w:lastColumn="0" w:noHBand="0" w:noVBand="1"/>
      </w:tblPr>
      <w:tblGrid>
        <w:gridCol w:w="5320"/>
        <w:gridCol w:w="1100"/>
      </w:tblGrid>
      <w:tr w:rsidR="00975B62" w:rsidRPr="00C73365" w14:paraId="5707E8E3" w14:textId="77777777" w:rsidTr="00975B62">
        <w:trPr>
          <w:trHeight w:val="312"/>
        </w:trPr>
        <w:tc>
          <w:tcPr>
            <w:tcW w:w="5320" w:type="dxa"/>
            <w:tcBorders>
              <w:top w:val="single" w:sz="12" w:space="0" w:color="7030A0"/>
              <w:left w:val="nil"/>
              <w:bottom w:val="single" w:sz="8" w:space="0" w:color="7030A0"/>
              <w:right w:val="nil"/>
            </w:tcBorders>
            <w:shd w:val="clear" w:color="auto" w:fill="auto"/>
            <w:vAlign w:val="center"/>
            <w:hideMark/>
          </w:tcPr>
          <w:p w14:paraId="6F82A911" w14:textId="77777777" w:rsidR="00975B62" w:rsidRPr="00C73365" w:rsidRDefault="00975B62" w:rsidP="00A96CCA">
            <w:pPr>
              <w:spacing w:after="0"/>
              <w:rPr>
                <w:rFonts w:asciiTheme="minorHAnsi" w:hAnsiTheme="minorHAnsi" w:cstheme="minorHAnsi"/>
                <w:color w:val="000000"/>
                <w:sz w:val="22"/>
                <w:szCs w:val="22"/>
                <w:lang w:val="fr-FR"/>
              </w:rPr>
            </w:pPr>
            <w:r w:rsidRPr="00C73365">
              <w:rPr>
                <w:rFonts w:asciiTheme="minorHAnsi" w:hAnsiTheme="minorHAnsi" w:cstheme="minorHAnsi"/>
                <w:color w:val="000000"/>
                <w:sz w:val="22"/>
                <w:szCs w:val="22"/>
                <w:lang w:val="fr-FR"/>
              </w:rPr>
              <w:t> </w:t>
            </w:r>
          </w:p>
        </w:tc>
        <w:tc>
          <w:tcPr>
            <w:tcW w:w="1100" w:type="dxa"/>
            <w:tcBorders>
              <w:top w:val="single" w:sz="12" w:space="0" w:color="7030A0"/>
              <w:left w:val="nil"/>
              <w:bottom w:val="single" w:sz="8" w:space="0" w:color="7030A0"/>
              <w:right w:val="nil"/>
            </w:tcBorders>
            <w:shd w:val="clear" w:color="auto" w:fill="auto"/>
            <w:vAlign w:val="center"/>
            <w:hideMark/>
          </w:tcPr>
          <w:p w14:paraId="029CDE47" w14:textId="77777777"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Montant</w:t>
            </w:r>
          </w:p>
        </w:tc>
      </w:tr>
      <w:tr w:rsidR="00975B62" w:rsidRPr="00C73365" w14:paraId="456F5718" w14:textId="77777777" w:rsidTr="00975B62">
        <w:trPr>
          <w:trHeight w:val="288"/>
        </w:trPr>
        <w:tc>
          <w:tcPr>
            <w:tcW w:w="5320" w:type="dxa"/>
            <w:tcBorders>
              <w:top w:val="nil"/>
              <w:left w:val="nil"/>
              <w:bottom w:val="nil"/>
              <w:right w:val="nil"/>
            </w:tcBorders>
            <w:shd w:val="clear" w:color="auto" w:fill="auto"/>
            <w:noWrap/>
            <w:vAlign w:val="center"/>
            <w:hideMark/>
          </w:tcPr>
          <w:p w14:paraId="657E34EA" w14:textId="77777777"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Locations de matériel et de bureaux</w:t>
            </w:r>
          </w:p>
        </w:tc>
        <w:tc>
          <w:tcPr>
            <w:tcW w:w="1100" w:type="dxa"/>
            <w:tcBorders>
              <w:top w:val="nil"/>
              <w:left w:val="nil"/>
              <w:bottom w:val="nil"/>
              <w:right w:val="nil"/>
            </w:tcBorders>
            <w:shd w:val="clear" w:color="auto" w:fill="auto"/>
            <w:noWrap/>
            <w:vAlign w:val="center"/>
            <w:hideMark/>
          </w:tcPr>
          <w:p w14:paraId="35C0EDCB"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68 </w:t>
            </w:r>
            <w:r w:rsidR="00EF089C" w:rsidRPr="00C73365">
              <w:rPr>
                <w:rFonts w:asciiTheme="minorHAnsi" w:hAnsiTheme="minorHAnsi" w:cstheme="minorHAnsi"/>
                <w:color w:val="000000"/>
                <w:szCs w:val="20"/>
              </w:rPr>
              <w:t>K€</w:t>
            </w:r>
          </w:p>
        </w:tc>
      </w:tr>
      <w:tr w:rsidR="00975B62" w:rsidRPr="00C73365" w14:paraId="6711F040" w14:textId="77777777" w:rsidTr="00975B62">
        <w:trPr>
          <w:trHeight w:val="288"/>
        </w:trPr>
        <w:tc>
          <w:tcPr>
            <w:tcW w:w="5320" w:type="dxa"/>
            <w:tcBorders>
              <w:top w:val="nil"/>
              <w:left w:val="nil"/>
              <w:bottom w:val="nil"/>
              <w:right w:val="nil"/>
            </w:tcBorders>
            <w:shd w:val="clear" w:color="auto" w:fill="auto"/>
            <w:noWrap/>
            <w:vAlign w:val="center"/>
            <w:hideMark/>
          </w:tcPr>
          <w:p w14:paraId="5B6CFF18" w14:textId="77777777"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Autres charges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exploitation (salons et frais de déplacement)</w:t>
            </w:r>
          </w:p>
        </w:tc>
        <w:tc>
          <w:tcPr>
            <w:tcW w:w="1100" w:type="dxa"/>
            <w:tcBorders>
              <w:top w:val="nil"/>
              <w:left w:val="nil"/>
              <w:bottom w:val="nil"/>
              <w:right w:val="nil"/>
            </w:tcBorders>
            <w:shd w:val="clear" w:color="auto" w:fill="auto"/>
            <w:noWrap/>
            <w:vAlign w:val="center"/>
            <w:hideMark/>
          </w:tcPr>
          <w:p w14:paraId="7F833194"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67 </w:t>
            </w:r>
            <w:r w:rsidR="00EF089C" w:rsidRPr="00C73365">
              <w:rPr>
                <w:rFonts w:asciiTheme="minorHAnsi" w:hAnsiTheme="minorHAnsi" w:cstheme="minorHAnsi"/>
                <w:color w:val="000000"/>
                <w:szCs w:val="20"/>
              </w:rPr>
              <w:t>K€</w:t>
            </w:r>
          </w:p>
        </w:tc>
      </w:tr>
      <w:tr w:rsidR="00975B62" w:rsidRPr="00C73365" w14:paraId="08601574" w14:textId="77777777" w:rsidTr="00975B62">
        <w:trPr>
          <w:trHeight w:val="324"/>
        </w:trPr>
        <w:tc>
          <w:tcPr>
            <w:tcW w:w="5320" w:type="dxa"/>
            <w:tcBorders>
              <w:top w:val="nil"/>
              <w:left w:val="nil"/>
              <w:bottom w:val="single" w:sz="8" w:space="0" w:color="7030A0"/>
              <w:right w:val="nil"/>
            </w:tcBorders>
            <w:shd w:val="clear" w:color="auto" w:fill="auto"/>
            <w:vAlign w:val="center"/>
            <w:hideMark/>
          </w:tcPr>
          <w:p w14:paraId="363AC043" w14:textId="77777777"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Assurances générales et sur essais cliniques</w:t>
            </w:r>
          </w:p>
        </w:tc>
        <w:tc>
          <w:tcPr>
            <w:tcW w:w="1100" w:type="dxa"/>
            <w:tcBorders>
              <w:top w:val="nil"/>
              <w:left w:val="nil"/>
              <w:bottom w:val="single" w:sz="8" w:space="0" w:color="7030A0"/>
              <w:right w:val="nil"/>
            </w:tcBorders>
            <w:shd w:val="clear" w:color="auto" w:fill="auto"/>
            <w:vAlign w:val="center"/>
            <w:hideMark/>
          </w:tcPr>
          <w:p w14:paraId="06EE8B3B"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39 </w:t>
            </w:r>
            <w:r w:rsidR="00EF089C" w:rsidRPr="00C73365">
              <w:rPr>
                <w:rFonts w:asciiTheme="minorHAnsi" w:hAnsiTheme="minorHAnsi" w:cstheme="minorHAnsi"/>
                <w:color w:val="000000"/>
                <w:szCs w:val="20"/>
              </w:rPr>
              <w:t>K€</w:t>
            </w:r>
          </w:p>
        </w:tc>
      </w:tr>
    </w:tbl>
    <w:p w14:paraId="6923AD66" w14:textId="77777777" w:rsidR="00F46C7B" w:rsidRPr="00C73365" w:rsidRDefault="00F46C7B" w:rsidP="00A96CCA">
      <w:pPr>
        <w:spacing w:after="0"/>
        <w:ind w:right="-2"/>
        <w:rPr>
          <w:rFonts w:asciiTheme="minorHAnsi" w:eastAsia="MS Mincho" w:hAnsiTheme="minorHAnsi" w:cstheme="minorHAnsi"/>
          <w:b/>
          <w:color w:val="7030A0"/>
          <w:szCs w:val="20"/>
          <w:lang w:val="fr-FR" w:eastAsia="fr-FR"/>
        </w:rPr>
      </w:pPr>
    </w:p>
    <w:p w14:paraId="18C00CFB"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Produits à recevoir</w:t>
      </w:r>
    </w:p>
    <w:tbl>
      <w:tblPr>
        <w:tblW w:w="6497" w:type="dxa"/>
        <w:tblCellMar>
          <w:left w:w="70" w:type="dxa"/>
          <w:right w:w="70" w:type="dxa"/>
        </w:tblCellMar>
        <w:tblLook w:val="04A0" w:firstRow="1" w:lastRow="0" w:firstColumn="1" w:lastColumn="0" w:noHBand="0" w:noVBand="1"/>
      </w:tblPr>
      <w:tblGrid>
        <w:gridCol w:w="4162"/>
        <w:gridCol w:w="2335"/>
      </w:tblGrid>
      <w:tr w:rsidR="00F46C7B" w:rsidRPr="00C73365" w14:paraId="186E7D4E" w14:textId="77777777" w:rsidTr="00D22228">
        <w:trPr>
          <w:trHeight w:val="472"/>
        </w:trPr>
        <w:tc>
          <w:tcPr>
            <w:tcW w:w="4162" w:type="dxa"/>
            <w:tcBorders>
              <w:top w:val="single" w:sz="12" w:space="0" w:color="7030A0"/>
              <w:left w:val="nil"/>
              <w:bottom w:val="single" w:sz="8" w:space="0" w:color="7030A0"/>
              <w:right w:val="nil"/>
            </w:tcBorders>
            <w:shd w:val="clear" w:color="auto" w:fill="auto"/>
            <w:vAlign w:val="center"/>
            <w:hideMark/>
          </w:tcPr>
          <w:p w14:paraId="1ABEB461"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2335" w:type="dxa"/>
            <w:tcBorders>
              <w:top w:val="single" w:sz="12" w:space="0" w:color="7030A0"/>
              <w:left w:val="nil"/>
              <w:bottom w:val="single" w:sz="8" w:space="0" w:color="7030A0"/>
              <w:right w:val="nil"/>
            </w:tcBorders>
            <w:shd w:val="clear" w:color="auto" w:fill="auto"/>
            <w:vAlign w:val="center"/>
            <w:hideMark/>
          </w:tcPr>
          <w:p w14:paraId="211AB3BF"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F46C7B" w:rsidRPr="00C73365" w14:paraId="0BB0D4D4" w14:textId="77777777" w:rsidTr="00D22228">
        <w:trPr>
          <w:trHeight w:val="230"/>
        </w:trPr>
        <w:tc>
          <w:tcPr>
            <w:tcW w:w="4162" w:type="dxa"/>
            <w:tcBorders>
              <w:top w:val="nil"/>
              <w:left w:val="nil"/>
              <w:bottom w:val="single" w:sz="8" w:space="0" w:color="7030A0"/>
              <w:right w:val="nil"/>
            </w:tcBorders>
            <w:shd w:val="clear" w:color="auto" w:fill="auto"/>
            <w:vAlign w:val="center"/>
            <w:hideMark/>
          </w:tcPr>
          <w:p w14:paraId="61C9E7C9"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Intérêts Courus sur Compte à terme</w:t>
            </w:r>
          </w:p>
        </w:tc>
        <w:tc>
          <w:tcPr>
            <w:tcW w:w="2335" w:type="dxa"/>
            <w:tcBorders>
              <w:top w:val="nil"/>
              <w:left w:val="nil"/>
              <w:bottom w:val="single" w:sz="8" w:space="0" w:color="7030A0"/>
              <w:right w:val="nil"/>
            </w:tcBorders>
            <w:shd w:val="clear" w:color="auto" w:fill="auto"/>
            <w:vAlign w:val="center"/>
            <w:hideMark/>
          </w:tcPr>
          <w:p w14:paraId="19CDEAAE" w14:textId="77777777" w:rsidR="00F46C7B" w:rsidRPr="00C73365" w:rsidRDefault="00975B6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145</w:t>
            </w:r>
          </w:p>
        </w:tc>
      </w:tr>
      <w:tr w:rsidR="00F46C7B" w:rsidRPr="00C73365" w14:paraId="6CC567E2" w14:textId="77777777" w:rsidTr="00D22228">
        <w:trPr>
          <w:trHeight w:val="303"/>
        </w:trPr>
        <w:tc>
          <w:tcPr>
            <w:tcW w:w="4162" w:type="dxa"/>
            <w:tcBorders>
              <w:top w:val="nil"/>
              <w:left w:val="nil"/>
              <w:bottom w:val="single" w:sz="8" w:space="0" w:color="7030A0"/>
              <w:right w:val="nil"/>
            </w:tcBorders>
            <w:shd w:val="clear" w:color="auto" w:fill="auto"/>
            <w:vAlign w:val="center"/>
            <w:hideMark/>
          </w:tcPr>
          <w:p w14:paraId="19E184A9" w14:textId="77777777"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2335" w:type="dxa"/>
            <w:tcBorders>
              <w:top w:val="nil"/>
              <w:left w:val="nil"/>
              <w:bottom w:val="single" w:sz="8" w:space="0" w:color="7030A0"/>
              <w:right w:val="nil"/>
            </w:tcBorders>
            <w:shd w:val="clear" w:color="auto" w:fill="auto"/>
            <w:vAlign w:val="center"/>
            <w:hideMark/>
          </w:tcPr>
          <w:p w14:paraId="7BAB1158" w14:textId="77777777" w:rsidR="00F46C7B" w:rsidRPr="00C73365" w:rsidRDefault="00975B62"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145</w:t>
            </w:r>
          </w:p>
        </w:tc>
      </w:tr>
    </w:tbl>
    <w:p w14:paraId="6C2F404F"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highlight w:val="lightGray"/>
          <w:lang w:val="fr-FR" w:eastAsia="fr-FR"/>
        </w:rPr>
        <w:br w:type="page"/>
      </w:r>
      <w:r w:rsidRPr="00C73365">
        <w:rPr>
          <w:rFonts w:asciiTheme="minorHAnsi" w:eastAsia="MS Mincho" w:hAnsiTheme="minorHAnsi" w:cstheme="minorHAnsi"/>
          <w:b/>
          <w:lang w:val="fr-FR" w:eastAsia="fr-FR"/>
        </w:rPr>
        <w:lastRenderedPageBreak/>
        <w:t>NOTE 5 – DISPONIBILITES</w:t>
      </w:r>
    </w:p>
    <w:p w14:paraId="6BC3169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Les valeurs mobilières de placement se décomposent :</w:t>
      </w:r>
    </w:p>
    <w:tbl>
      <w:tblPr>
        <w:tblW w:w="9303" w:type="dxa"/>
        <w:tblLook w:val="04A0" w:firstRow="1" w:lastRow="0" w:firstColumn="1" w:lastColumn="0" w:noHBand="0" w:noVBand="1"/>
      </w:tblPr>
      <w:tblGrid>
        <w:gridCol w:w="2078"/>
        <w:gridCol w:w="1781"/>
        <w:gridCol w:w="1881"/>
        <w:gridCol w:w="1782"/>
        <w:gridCol w:w="1781"/>
      </w:tblGrid>
      <w:tr w:rsidR="00975B62" w:rsidRPr="00C73365" w14:paraId="1135EE56" w14:textId="77777777" w:rsidTr="00C50FC3">
        <w:trPr>
          <w:trHeight w:val="20"/>
        </w:trPr>
        <w:tc>
          <w:tcPr>
            <w:tcW w:w="2078" w:type="dxa"/>
            <w:tcBorders>
              <w:top w:val="single" w:sz="12" w:space="0" w:color="7030A0"/>
              <w:left w:val="nil"/>
              <w:bottom w:val="single" w:sz="8" w:space="0" w:color="7030A0"/>
              <w:right w:val="nil"/>
            </w:tcBorders>
            <w:shd w:val="clear" w:color="auto" w:fill="auto"/>
            <w:vAlign w:val="center"/>
            <w:hideMark/>
          </w:tcPr>
          <w:p w14:paraId="3646EE2F"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781" w:type="dxa"/>
            <w:tcBorders>
              <w:top w:val="single" w:sz="12" w:space="0" w:color="7030A0"/>
              <w:left w:val="nil"/>
              <w:bottom w:val="single" w:sz="8" w:space="0" w:color="7030A0"/>
              <w:right w:val="nil"/>
            </w:tcBorders>
            <w:shd w:val="clear" w:color="auto" w:fill="auto"/>
            <w:vAlign w:val="center"/>
            <w:hideMark/>
          </w:tcPr>
          <w:p w14:paraId="5A2C4BA0" w14:textId="77777777" w:rsidR="00975B62" w:rsidRPr="00C73365" w:rsidRDefault="00975B62"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881" w:type="dxa"/>
            <w:tcBorders>
              <w:top w:val="single" w:sz="12" w:space="0" w:color="7030A0"/>
              <w:left w:val="nil"/>
              <w:bottom w:val="single" w:sz="8" w:space="0" w:color="7030A0"/>
              <w:right w:val="nil"/>
            </w:tcBorders>
            <w:shd w:val="clear" w:color="auto" w:fill="auto"/>
            <w:vAlign w:val="center"/>
            <w:hideMark/>
          </w:tcPr>
          <w:p w14:paraId="705E2F0F" w14:textId="77777777"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Disponibilité immédiate</w:t>
            </w:r>
          </w:p>
        </w:tc>
        <w:tc>
          <w:tcPr>
            <w:tcW w:w="1782" w:type="dxa"/>
            <w:tcBorders>
              <w:top w:val="single" w:sz="12" w:space="0" w:color="7030A0"/>
              <w:left w:val="nil"/>
              <w:bottom w:val="single" w:sz="8" w:space="0" w:color="7030A0"/>
              <w:right w:val="nil"/>
            </w:tcBorders>
            <w:shd w:val="clear" w:color="auto" w:fill="auto"/>
            <w:vAlign w:val="center"/>
            <w:hideMark/>
          </w:tcPr>
          <w:p w14:paraId="68404EE7" w14:textId="77777777"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06/01/2018</w:t>
            </w:r>
          </w:p>
        </w:tc>
        <w:tc>
          <w:tcPr>
            <w:tcW w:w="1781" w:type="dxa"/>
            <w:tcBorders>
              <w:top w:val="single" w:sz="12" w:space="0" w:color="7030A0"/>
              <w:left w:val="nil"/>
              <w:bottom w:val="single" w:sz="8" w:space="0" w:color="7030A0"/>
              <w:right w:val="nil"/>
            </w:tcBorders>
            <w:shd w:val="clear" w:color="auto" w:fill="auto"/>
            <w:vAlign w:val="center"/>
            <w:hideMark/>
          </w:tcPr>
          <w:p w14:paraId="061FE8E3" w14:textId="77777777"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25/06/2018</w:t>
            </w:r>
          </w:p>
        </w:tc>
      </w:tr>
      <w:tr w:rsidR="00975B62" w:rsidRPr="00C73365" w14:paraId="4235727C" w14:textId="77777777" w:rsidTr="00C50FC3">
        <w:trPr>
          <w:trHeight w:val="20"/>
        </w:trPr>
        <w:tc>
          <w:tcPr>
            <w:tcW w:w="2078" w:type="dxa"/>
            <w:tcBorders>
              <w:top w:val="nil"/>
              <w:left w:val="nil"/>
              <w:bottom w:val="nil"/>
              <w:right w:val="nil"/>
            </w:tcBorders>
            <w:shd w:val="clear" w:color="auto" w:fill="auto"/>
            <w:vAlign w:val="center"/>
            <w:hideMark/>
          </w:tcPr>
          <w:p w14:paraId="5D05109D"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Comptes à terme</w:t>
            </w:r>
          </w:p>
        </w:tc>
        <w:tc>
          <w:tcPr>
            <w:tcW w:w="1781" w:type="dxa"/>
            <w:tcBorders>
              <w:top w:val="nil"/>
              <w:left w:val="nil"/>
              <w:bottom w:val="nil"/>
              <w:right w:val="nil"/>
            </w:tcBorders>
            <w:shd w:val="clear" w:color="auto" w:fill="auto"/>
            <w:vAlign w:val="center"/>
            <w:hideMark/>
          </w:tcPr>
          <w:p w14:paraId="265B39CB"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15 145</w:t>
            </w:r>
          </w:p>
        </w:tc>
        <w:tc>
          <w:tcPr>
            <w:tcW w:w="1881" w:type="dxa"/>
            <w:tcBorders>
              <w:top w:val="nil"/>
              <w:left w:val="nil"/>
              <w:bottom w:val="nil"/>
              <w:right w:val="nil"/>
            </w:tcBorders>
            <w:shd w:val="clear" w:color="auto" w:fill="auto"/>
            <w:vAlign w:val="center"/>
            <w:hideMark/>
          </w:tcPr>
          <w:p w14:paraId="14C4E3A9"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145</w:t>
            </w:r>
          </w:p>
        </w:tc>
        <w:tc>
          <w:tcPr>
            <w:tcW w:w="1782" w:type="dxa"/>
            <w:tcBorders>
              <w:top w:val="nil"/>
              <w:left w:val="nil"/>
              <w:bottom w:val="nil"/>
              <w:right w:val="nil"/>
            </w:tcBorders>
            <w:shd w:val="clear" w:color="auto" w:fill="auto"/>
            <w:vAlign w:val="center"/>
            <w:hideMark/>
          </w:tcPr>
          <w:p w14:paraId="605E85BC"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5 000</w:t>
            </w:r>
          </w:p>
        </w:tc>
        <w:tc>
          <w:tcPr>
            <w:tcW w:w="1781" w:type="dxa"/>
            <w:tcBorders>
              <w:top w:val="nil"/>
              <w:left w:val="nil"/>
              <w:bottom w:val="nil"/>
              <w:right w:val="nil"/>
            </w:tcBorders>
            <w:shd w:val="clear" w:color="auto" w:fill="auto"/>
            <w:vAlign w:val="center"/>
            <w:hideMark/>
          </w:tcPr>
          <w:p w14:paraId="253D781B"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10 000</w:t>
            </w:r>
          </w:p>
        </w:tc>
      </w:tr>
      <w:tr w:rsidR="00975B62" w:rsidRPr="00C73365" w14:paraId="054D5685" w14:textId="77777777" w:rsidTr="00C50FC3">
        <w:trPr>
          <w:trHeight w:val="20"/>
        </w:trPr>
        <w:tc>
          <w:tcPr>
            <w:tcW w:w="2078" w:type="dxa"/>
            <w:tcBorders>
              <w:top w:val="nil"/>
              <w:left w:val="nil"/>
              <w:bottom w:val="nil"/>
              <w:right w:val="nil"/>
            </w:tcBorders>
            <w:shd w:val="clear" w:color="auto" w:fill="auto"/>
            <w:vAlign w:val="center"/>
            <w:hideMark/>
          </w:tcPr>
          <w:p w14:paraId="1775CE40"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SICAV/OPCVM</w:t>
            </w:r>
          </w:p>
        </w:tc>
        <w:tc>
          <w:tcPr>
            <w:tcW w:w="1781" w:type="dxa"/>
            <w:tcBorders>
              <w:top w:val="nil"/>
              <w:left w:val="nil"/>
              <w:bottom w:val="nil"/>
              <w:right w:val="nil"/>
            </w:tcBorders>
            <w:shd w:val="clear" w:color="auto" w:fill="auto"/>
            <w:vAlign w:val="center"/>
            <w:hideMark/>
          </w:tcPr>
          <w:p w14:paraId="1D762081"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881" w:type="dxa"/>
            <w:tcBorders>
              <w:top w:val="nil"/>
              <w:left w:val="nil"/>
              <w:bottom w:val="nil"/>
              <w:right w:val="nil"/>
            </w:tcBorders>
            <w:shd w:val="clear" w:color="auto" w:fill="auto"/>
            <w:vAlign w:val="center"/>
            <w:hideMark/>
          </w:tcPr>
          <w:p w14:paraId="57C9B1A1"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782" w:type="dxa"/>
            <w:tcBorders>
              <w:top w:val="nil"/>
              <w:left w:val="nil"/>
              <w:bottom w:val="nil"/>
              <w:right w:val="nil"/>
            </w:tcBorders>
            <w:shd w:val="clear" w:color="auto" w:fill="auto"/>
            <w:vAlign w:val="center"/>
            <w:hideMark/>
          </w:tcPr>
          <w:p w14:paraId="6FB0533D" w14:textId="77777777"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c>
          <w:tcPr>
            <w:tcW w:w="1781" w:type="dxa"/>
            <w:tcBorders>
              <w:top w:val="nil"/>
              <w:left w:val="nil"/>
              <w:bottom w:val="nil"/>
              <w:right w:val="nil"/>
            </w:tcBorders>
            <w:shd w:val="clear" w:color="auto" w:fill="auto"/>
            <w:vAlign w:val="center"/>
            <w:hideMark/>
          </w:tcPr>
          <w:p w14:paraId="5A763EA0" w14:textId="77777777"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r>
      <w:tr w:rsidR="00975B62" w:rsidRPr="00C73365" w14:paraId="3B830DB3" w14:textId="77777777" w:rsidTr="00C50FC3">
        <w:trPr>
          <w:trHeight w:val="20"/>
        </w:trPr>
        <w:tc>
          <w:tcPr>
            <w:tcW w:w="2078" w:type="dxa"/>
            <w:tcBorders>
              <w:top w:val="nil"/>
              <w:left w:val="nil"/>
              <w:bottom w:val="single" w:sz="8" w:space="0" w:color="7030A0"/>
              <w:right w:val="nil"/>
            </w:tcBorders>
            <w:shd w:val="clear" w:color="auto" w:fill="auto"/>
            <w:vAlign w:val="center"/>
            <w:hideMark/>
          </w:tcPr>
          <w:p w14:paraId="02FCF05B"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Disponibilités</w:t>
            </w:r>
          </w:p>
        </w:tc>
        <w:tc>
          <w:tcPr>
            <w:tcW w:w="1781" w:type="dxa"/>
            <w:tcBorders>
              <w:top w:val="nil"/>
              <w:left w:val="nil"/>
              <w:bottom w:val="single" w:sz="8" w:space="0" w:color="7030A0"/>
              <w:right w:val="nil"/>
            </w:tcBorders>
            <w:shd w:val="clear" w:color="auto" w:fill="auto"/>
            <w:vAlign w:val="center"/>
            <w:hideMark/>
          </w:tcPr>
          <w:p w14:paraId="3C9D83D6"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881" w:type="dxa"/>
            <w:tcBorders>
              <w:top w:val="nil"/>
              <w:left w:val="nil"/>
              <w:bottom w:val="single" w:sz="8" w:space="0" w:color="7030A0"/>
              <w:right w:val="nil"/>
            </w:tcBorders>
            <w:shd w:val="clear" w:color="auto" w:fill="auto"/>
            <w:vAlign w:val="center"/>
            <w:hideMark/>
          </w:tcPr>
          <w:p w14:paraId="01D78C1B"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782" w:type="dxa"/>
            <w:tcBorders>
              <w:top w:val="nil"/>
              <w:left w:val="nil"/>
              <w:bottom w:val="single" w:sz="8" w:space="0" w:color="7030A0"/>
              <w:right w:val="nil"/>
            </w:tcBorders>
            <w:shd w:val="clear" w:color="auto" w:fill="auto"/>
            <w:vAlign w:val="center"/>
            <w:hideMark/>
          </w:tcPr>
          <w:p w14:paraId="45268661"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781" w:type="dxa"/>
            <w:tcBorders>
              <w:top w:val="nil"/>
              <w:left w:val="nil"/>
              <w:bottom w:val="single" w:sz="8" w:space="0" w:color="7030A0"/>
              <w:right w:val="nil"/>
            </w:tcBorders>
            <w:shd w:val="clear" w:color="auto" w:fill="auto"/>
            <w:vAlign w:val="center"/>
            <w:hideMark/>
          </w:tcPr>
          <w:p w14:paraId="71FE1546"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975B62" w:rsidRPr="00C73365" w14:paraId="26C34624" w14:textId="77777777" w:rsidTr="00C50FC3">
        <w:trPr>
          <w:trHeight w:val="20"/>
        </w:trPr>
        <w:tc>
          <w:tcPr>
            <w:tcW w:w="2078" w:type="dxa"/>
            <w:tcBorders>
              <w:top w:val="nil"/>
              <w:left w:val="nil"/>
              <w:bottom w:val="single" w:sz="8" w:space="0" w:color="7030A0"/>
              <w:right w:val="nil"/>
            </w:tcBorders>
            <w:shd w:val="clear" w:color="auto" w:fill="auto"/>
            <w:vAlign w:val="center"/>
            <w:hideMark/>
          </w:tcPr>
          <w:p w14:paraId="2DB15BD4" w14:textId="77777777"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781" w:type="dxa"/>
            <w:tcBorders>
              <w:top w:val="nil"/>
              <w:left w:val="nil"/>
              <w:bottom w:val="single" w:sz="8" w:space="0" w:color="7030A0"/>
              <w:right w:val="nil"/>
            </w:tcBorders>
            <w:shd w:val="clear" w:color="auto" w:fill="auto"/>
            <w:vAlign w:val="center"/>
            <w:hideMark/>
          </w:tcPr>
          <w:p w14:paraId="081C98A7"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17 032</w:t>
            </w:r>
          </w:p>
        </w:tc>
        <w:tc>
          <w:tcPr>
            <w:tcW w:w="1881" w:type="dxa"/>
            <w:tcBorders>
              <w:top w:val="nil"/>
              <w:left w:val="nil"/>
              <w:bottom w:val="single" w:sz="8" w:space="0" w:color="7030A0"/>
              <w:right w:val="nil"/>
            </w:tcBorders>
            <w:shd w:val="clear" w:color="auto" w:fill="auto"/>
            <w:vAlign w:val="center"/>
            <w:hideMark/>
          </w:tcPr>
          <w:p w14:paraId="4C1900D4"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2 032</w:t>
            </w:r>
          </w:p>
        </w:tc>
        <w:tc>
          <w:tcPr>
            <w:tcW w:w="1782" w:type="dxa"/>
            <w:tcBorders>
              <w:top w:val="nil"/>
              <w:left w:val="nil"/>
              <w:bottom w:val="single" w:sz="8" w:space="0" w:color="7030A0"/>
              <w:right w:val="nil"/>
            </w:tcBorders>
            <w:shd w:val="clear" w:color="auto" w:fill="auto"/>
            <w:vAlign w:val="center"/>
            <w:hideMark/>
          </w:tcPr>
          <w:p w14:paraId="7641ADC3"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5 000</w:t>
            </w:r>
          </w:p>
        </w:tc>
        <w:tc>
          <w:tcPr>
            <w:tcW w:w="1781" w:type="dxa"/>
            <w:tcBorders>
              <w:top w:val="nil"/>
              <w:left w:val="nil"/>
              <w:bottom w:val="single" w:sz="8" w:space="0" w:color="7030A0"/>
              <w:right w:val="nil"/>
            </w:tcBorders>
            <w:shd w:val="clear" w:color="auto" w:fill="auto"/>
            <w:vAlign w:val="center"/>
            <w:hideMark/>
          </w:tcPr>
          <w:p w14:paraId="50B40F7E"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10 000</w:t>
            </w:r>
          </w:p>
        </w:tc>
      </w:tr>
    </w:tbl>
    <w:p w14:paraId="2C66A61A" w14:textId="77777777" w:rsidR="00F46C7B" w:rsidRPr="00C73365" w:rsidRDefault="00F46C7B" w:rsidP="00A96CCA">
      <w:pPr>
        <w:spacing w:after="0"/>
        <w:ind w:left="284" w:right="-2"/>
        <w:rPr>
          <w:rFonts w:asciiTheme="minorHAnsi" w:eastAsia="MS Mincho" w:hAnsiTheme="minorHAnsi" w:cstheme="minorHAnsi"/>
          <w:b/>
          <w:szCs w:val="20"/>
          <w:u w:val="single"/>
          <w:lang w:val="fr-FR" w:eastAsia="fr-FR"/>
        </w:rPr>
      </w:pPr>
    </w:p>
    <w:p w14:paraId="78FEF0CF" w14:textId="77777777" w:rsidR="00F46C7B" w:rsidRPr="00C73365" w:rsidRDefault="00F46C7B" w:rsidP="004572A0">
      <w:pPr>
        <w:pStyle w:val="Retraitcorpset1relig"/>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67692C55"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montant des intérêts courus sur comptes à terme au 31 Décembre </w:t>
      </w:r>
      <w:r w:rsidR="00975B62" w:rsidRPr="00C73365">
        <w:rPr>
          <w:rFonts w:asciiTheme="minorHAnsi" w:hAnsiTheme="minorHAnsi" w:cstheme="minorHAnsi"/>
          <w:lang w:val="fr-FR"/>
        </w:rPr>
        <w:t>2017</w:t>
      </w:r>
      <w:r w:rsidRPr="00C73365">
        <w:rPr>
          <w:rFonts w:asciiTheme="minorHAnsi" w:hAnsiTheme="minorHAnsi" w:cstheme="minorHAnsi"/>
          <w:lang w:val="fr-FR"/>
        </w:rPr>
        <w:t xml:space="preserve">, inclus dans les montants ci-dessus, est de </w:t>
      </w:r>
      <w:r w:rsidR="00975B62" w:rsidRPr="00C73365">
        <w:rPr>
          <w:rFonts w:asciiTheme="minorHAnsi" w:hAnsiTheme="minorHAnsi" w:cstheme="minorHAnsi"/>
          <w:lang w:val="fr-FR"/>
        </w:rPr>
        <w:t xml:space="preserve">145 </w:t>
      </w:r>
      <w:r w:rsidR="00EF089C" w:rsidRPr="00C73365">
        <w:rPr>
          <w:rFonts w:asciiTheme="minorHAnsi" w:hAnsiTheme="minorHAnsi" w:cstheme="minorHAnsi"/>
          <w:lang w:val="fr-FR"/>
        </w:rPr>
        <w:t>K€</w:t>
      </w:r>
      <w:r w:rsidRPr="00C73365">
        <w:rPr>
          <w:rFonts w:asciiTheme="minorHAnsi" w:hAnsiTheme="minorHAnsi" w:cstheme="minorHAnsi"/>
          <w:lang w:val="fr-FR"/>
        </w:rPr>
        <w:t>.</w:t>
      </w:r>
    </w:p>
    <w:p w14:paraId="48D6B1E3"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w:t>
      </w:r>
      <w:r w:rsidR="00A375B4" w:rsidRPr="00C73365">
        <w:rPr>
          <w:rFonts w:asciiTheme="minorHAnsi" w:eastAsia="MS Mincho" w:hAnsiTheme="minorHAnsi" w:cstheme="minorHAnsi"/>
          <w:lang w:val="fr-FR" w:eastAsia="fr-FR"/>
        </w:rPr>
        <w:t>trésorerie</w:t>
      </w:r>
      <w:r w:rsidRPr="00C73365">
        <w:rPr>
          <w:rFonts w:asciiTheme="minorHAnsi" w:eastAsia="MS Mincho" w:hAnsiTheme="minorHAnsi" w:cstheme="minorHAnsi"/>
          <w:lang w:val="fr-FR" w:eastAsia="fr-FR"/>
        </w:rPr>
        <w:t xml:space="preserve"> financière nette déduction faite des dettes financières de </w:t>
      </w:r>
      <w:r w:rsidR="00975B62" w:rsidRPr="00C73365">
        <w:rPr>
          <w:rFonts w:asciiTheme="minorHAnsi" w:eastAsia="MS Mincho" w:hAnsiTheme="minorHAnsi" w:cstheme="minorHAnsi"/>
          <w:lang w:val="fr-FR" w:eastAsia="fr-FR"/>
        </w:rPr>
        <w:t xml:space="preserve">170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est de </w:t>
      </w:r>
      <w:r w:rsidR="00975B62" w:rsidRPr="00C73365">
        <w:rPr>
          <w:rFonts w:asciiTheme="minorHAnsi" w:eastAsia="MS Mincho" w:hAnsiTheme="minorHAnsi" w:cstheme="minorHAnsi"/>
          <w:lang w:val="fr-FR" w:eastAsia="fr-FR"/>
        </w:rPr>
        <w:t xml:space="preserve">16 862 </w:t>
      </w:r>
      <w:r w:rsidR="00EF089C" w:rsidRPr="00C73365">
        <w:rPr>
          <w:rFonts w:asciiTheme="minorHAnsi" w:eastAsia="MS Mincho" w:hAnsiTheme="minorHAnsi" w:cstheme="minorHAnsi"/>
          <w:lang w:val="fr-FR" w:eastAsia="fr-FR"/>
        </w:rPr>
        <w:t>K€</w:t>
      </w:r>
    </w:p>
    <w:p w14:paraId="6F7338B7"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14:paraId="3253A9DC" w14:textId="77777777" w:rsidR="00F46C7B" w:rsidRPr="00C73365" w:rsidRDefault="00F46C7B" w:rsidP="00A96CCA">
      <w:pPr>
        <w:spacing w:after="0"/>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br w:type="page"/>
      </w:r>
    </w:p>
    <w:p w14:paraId="4EA82D9E" w14:textId="77777777" w:rsidR="00F46C7B" w:rsidRPr="00C73365" w:rsidRDefault="00F46C7B" w:rsidP="004572A0">
      <w:pPr>
        <w:pStyle w:val="Corpsdetexte"/>
        <w:rPr>
          <w:rFonts w:asciiTheme="minorHAnsi" w:eastAsia="MS Mincho" w:hAnsiTheme="minorHAnsi" w:cstheme="minorHAnsi"/>
          <w:b/>
          <w:lang w:val="fr-FR" w:eastAsia="fr-FR"/>
        </w:rPr>
        <w:sectPr w:rsidR="00F46C7B" w:rsidRPr="00C73365" w:rsidSect="007C607C">
          <w:type w:val="continuous"/>
          <w:pgSz w:w="11906" w:h="16838"/>
          <w:pgMar w:top="1134" w:right="1134" w:bottom="1134" w:left="1134" w:header="709" w:footer="709" w:gutter="0"/>
          <w:cols w:space="708"/>
          <w:docGrid w:linePitch="360"/>
        </w:sectPr>
      </w:pPr>
      <w:r w:rsidRPr="00C73365">
        <w:rPr>
          <w:rFonts w:asciiTheme="minorHAnsi" w:eastAsia="MS Mincho" w:hAnsiTheme="minorHAnsi" w:cstheme="minorHAnsi"/>
          <w:b/>
          <w:lang w:val="fr-FR" w:eastAsia="fr-FR"/>
        </w:rPr>
        <w:lastRenderedPageBreak/>
        <w:t>NOTE 6 – CAPITAUX PROPRES</w:t>
      </w:r>
    </w:p>
    <w:tbl>
      <w:tblPr>
        <w:tblW w:w="9668" w:type="dxa"/>
        <w:tblLook w:val="04A0" w:firstRow="1" w:lastRow="0" w:firstColumn="1" w:lastColumn="0" w:noHBand="0" w:noVBand="1"/>
      </w:tblPr>
      <w:tblGrid>
        <w:gridCol w:w="4112"/>
        <w:gridCol w:w="1033"/>
        <w:gridCol w:w="888"/>
        <w:gridCol w:w="888"/>
        <w:gridCol w:w="888"/>
        <w:gridCol w:w="971"/>
        <w:gridCol w:w="888"/>
      </w:tblGrid>
      <w:tr w:rsidR="00975B62" w:rsidRPr="00C73365" w14:paraId="61DB89ED" w14:textId="77777777" w:rsidTr="00975B62">
        <w:trPr>
          <w:trHeight w:val="983"/>
        </w:trPr>
        <w:tc>
          <w:tcPr>
            <w:tcW w:w="4112" w:type="dxa"/>
            <w:tcBorders>
              <w:top w:val="single" w:sz="12" w:space="0" w:color="7030A0"/>
              <w:left w:val="nil"/>
              <w:bottom w:val="single" w:sz="8" w:space="0" w:color="7030A0"/>
              <w:right w:val="nil"/>
            </w:tcBorders>
            <w:shd w:val="clear" w:color="auto" w:fill="auto"/>
            <w:vAlign w:val="center"/>
            <w:hideMark/>
          </w:tcPr>
          <w:p w14:paraId="24EAF84B"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033" w:type="dxa"/>
            <w:tcBorders>
              <w:top w:val="single" w:sz="12" w:space="0" w:color="7030A0"/>
              <w:left w:val="nil"/>
              <w:bottom w:val="single" w:sz="8" w:space="0" w:color="7030A0"/>
              <w:right w:val="nil"/>
            </w:tcBorders>
            <w:shd w:val="clear" w:color="auto" w:fill="auto"/>
            <w:vAlign w:val="center"/>
            <w:hideMark/>
          </w:tcPr>
          <w:p w14:paraId="65440C51" w14:textId="77777777"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d’actions émises</w:t>
            </w:r>
          </w:p>
        </w:tc>
        <w:tc>
          <w:tcPr>
            <w:tcW w:w="888" w:type="dxa"/>
            <w:tcBorders>
              <w:top w:val="single" w:sz="12" w:space="0" w:color="7030A0"/>
              <w:left w:val="nil"/>
              <w:bottom w:val="single" w:sz="8" w:space="0" w:color="7030A0"/>
              <w:right w:val="nil"/>
            </w:tcBorders>
            <w:shd w:val="clear" w:color="auto" w:fill="auto"/>
            <w:vAlign w:val="center"/>
            <w:hideMark/>
          </w:tcPr>
          <w:p w14:paraId="7E996CAB" w14:textId="77777777"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Capital</w:t>
            </w:r>
          </w:p>
        </w:tc>
        <w:tc>
          <w:tcPr>
            <w:tcW w:w="888" w:type="dxa"/>
            <w:tcBorders>
              <w:top w:val="single" w:sz="12" w:space="0" w:color="7030A0"/>
              <w:left w:val="nil"/>
              <w:bottom w:val="single" w:sz="8" w:space="0" w:color="7030A0"/>
              <w:right w:val="nil"/>
            </w:tcBorders>
            <w:shd w:val="clear" w:color="auto" w:fill="auto"/>
            <w:vAlign w:val="center"/>
            <w:hideMark/>
          </w:tcPr>
          <w:p w14:paraId="5EEAD5E1" w14:textId="77777777"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Primes</w:t>
            </w:r>
          </w:p>
        </w:tc>
        <w:tc>
          <w:tcPr>
            <w:tcW w:w="888" w:type="dxa"/>
            <w:tcBorders>
              <w:top w:val="single" w:sz="12" w:space="0" w:color="7030A0"/>
              <w:left w:val="nil"/>
              <w:bottom w:val="single" w:sz="8" w:space="0" w:color="7030A0"/>
              <w:right w:val="nil"/>
            </w:tcBorders>
            <w:shd w:val="clear" w:color="auto" w:fill="auto"/>
            <w:vAlign w:val="center"/>
            <w:hideMark/>
          </w:tcPr>
          <w:p w14:paraId="721BF905" w14:textId="77777777"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BSA</w:t>
            </w:r>
          </w:p>
        </w:tc>
        <w:tc>
          <w:tcPr>
            <w:tcW w:w="971" w:type="dxa"/>
            <w:tcBorders>
              <w:top w:val="single" w:sz="12" w:space="0" w:color="7030A0"/>
              <w:left w:val="nil"/>
              <w:bottom w:val="single" w:sz="8" w:space="0" w:color="7030A0"/>
              <w:right w:val="nil"/>
            </w:tcBorders>
            <w:shd w:val="clear" w:color="auto" w:fill="auto"/>
            <w:vAlign w:val="center"/>
            <w:hideMark/>
          </w:tcPr>
          <w:p w14:paraId="362D1E51" w14:textId="77777777"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Report à nouveau</w:t>
            </w:r>
          </w:p>
        </w:tc>
        <w:tc>
          <w:tcPr>
            <w:tcW w:w="888" w:type="dxa"/>
            <w:tcBorders>
              <w:top w:val="single" w:sz="12" w:space="0" w:color="7030A0"/>
              <w:left w:val="nil"/>
              <w:bottom w:val="single" w:sz="8" w:space="0" w:color="7030A0"/>
              <w:right w:val="nil"/>
            </w:tcBorders>
            <w:shd w:val="clear" w:color="auto" w:fill="auto"/>
            <w:vAlign w:val="center"/>
            <w:hideMark/>
          </w:tcPr>
          <w:p w14:paraId="7BF0D9AC" w14:textId="77777777"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975B62" w:rsidRPr="00C73365" w14:paraId="3CD2C9E0" w14:textId="77777777" w:rsidTr="00975B62">
        <w:trPr>
          <w:trHeight w:val="346"/>
        </w:trPr>
        <w:tc>
          <w:tcPr>
            <w:tcW w:w="4112" w:type="dxa"/>
            <w:tcBorders>
              <w:top w:val="nil"/>
              <w:left w:val="nil"/>
              <w:bottom w:val="single" w:sz="8" w:space="0" w:color="7030A0"/>
              <w:right w:val="nil"/>
            </w:tcBorders>
            <w:shd w:val="clear" w:color="auto" w:fill="auto"/>
            <w:noWrap/>
            <w:vAlign w:val="center"/>
            <w:hideMark/>
          </w:tcPr>
          <w:p w14:paraId="3E473F69" w14:textId="77777777"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2014</w:t>
            </w:r>
          </w:p>
        </w:tc>
        <w:tc>
          <w:tcPr>
            <w:tcW w:w="1033" w:type="dxa"/>
            <w:tcBorders>
              <w:top w:val="nil"/>
              <w:left w:val="nil"/>
              <w:bottom w:val="single" w:sz="8" w:space="0" w:color="7030A0"/>
              <w:right w:val="nil"/>
            </w:tcBorders>
            <w:shd w:val="clear" w:color="auto" w:fill="auto"/>
            <w:noWrap/>
            <w:vAlign w:val="center"/>
            <w:hideMark/>
          </w:tcPr>
          <w:p w14:paraId="4E5871B7"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69 150</w:t>
            </w:r>
          </w:p>
        </w:tc>
        <w:tc>
          <w:tcPr>
            <w:tcW w:w="888" w:type="dxa"/>
            <w:tcBorders>
              <w:top w:val="nil"/>
              <w:left w:val="nil"/>
              <w:bottom w:val="single" w:sz="8" w:space="0" w:color="7030A0"/>
              <w:right w:val="nil"/>
            </w:tcBorders>
            <w:shd w:val="clear" w:color="auto" w:fill="auto"/>
            <w:vAlign w:val="center"/>
            <w:hideMark/>
          </w:tcPr>
          <w:p w14:paraId="320F59C4"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69</w:t>
            </w:r>
          </w:p>
        </w:tc>
        <w:tc>
          <w:tcPr>
            <w:tcW w:w="888" w:type="dxa"/>
            <w:tcBorders>
              <w:top w:val="nil"/>
              <w:left w:val="nil"/>
              <w:bottom w:val="single" w:sz="8" w:space="0" w:color="7030A0"/>
              <w:right w:val="nil"/>
            </w:tcBorders>
            <w:shd w:val="clear" w:color="auto" w:fill="auto"/>
            <w:vAlign w:val="center"/>
            <w:hideMark/>
          </w:tcPr>
          <w:p w14:paraId="11F37758"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35 674</w:t>
            </w:r>
          </w:p>
        </w:tc>
        <w:tc>
          <w:tcPr>
            <w:tcW w:w="888" w:type="dxa"/>
            <w:tcBorders>
              <w:top w:val="nil"/>
              <w:left w:val="nil"/>
              <w:bottom w:val="single" w:sz="8" w:space="0" w:color="7030A0"/>
              <w:right w:val="nil"/>
            </w:tcBorders>
            <w:shd w:val="clear" w:color="auto" w:fill="auto"/>
            <w:vAlign w:val="center"/>
            <w:hideMark/>
          </w:tcPr>
          <w:p w14:paraId="443614DB"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971" w:type="dxa"/>
            <w:tcBorders>
              <w:top w:val="nil"/>
              <w:left w:val="nil"/>
              <w:bottom w:val="single" w:sz="8" w:space="0" w:color="7030A0"/>
              <w:right w:val="nil"/>
            </w:tcBorders>
            <w:shd w:val="clear" w:color="auto" w:fill="auto"/>
            <w:vAlign w:val="center"/>
            <w:hideMark/>
          </w:tcPr>
          <w:p w14:paraId="69CADDA3"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-5 091</w:t>
            </w:r>
          </w:p>
        </w:tc>
        <w:tc>
          <w:tcPr>
            <w:tcW w:w="888" w:type="dxa"/>
            <w:tcBorders>
              <w:top w:val="nil"/>
              <w:left w:val="nil"/>
              <w:bottom w:val="single" w:sz="8" w:space="0" w:color="7030A0"/>
              <w:right w:val="nil"/>
            </w:tcBorders>
            <w:shd w:val="clear" w:color="auto" w:fill="auto"/>
            <w:vAlign w:val="center"/>
            <w:hideMark/>
          </w:tcPr>
          <w:p w14:paraId="26A5AC61"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30 653</w:t>
            </w:r>
          </w:p>
        </w:tc>
      </w:tr>
      <w:tr w:rsidR="00975B62" w:rsidRPr="00C73365" w14:paraId="3D890D70" w14:textId="77777777" w:rsidTr="00975B62">
        <w:trPr>
          <w:trHeight w:val="332"/>
        </w:trPr>
        <w:tc>
          <w:tcPr>
            <w:tcW w:w="4112" w:type="dxa"/>
            <w:tcBorders>
              <w:top w:val="nil"/>
              <w:left w:val="nil"/>
              <w:bottom w:val="nil"/>
              <w:right w:val="nil"/>
            </w:tcBorders>
            <w:shd w:val="clear" w:color="auto" w:fill="auto"/>
            <w:noWrap/>
            <w:vAlign w:val="center"/>
            <w:hideMark/>
          </w:tcPr>
          <w:p w14:paraId="7D975889" w14:textId="77777777"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Division du nominal - AGM 20 Février 2015</w:t>
            </w:r>
          </w:p>
        </w:tc>
        <w:tc>
          <w:tcPr>
            <w:tcW w:w="1033" w:type="dxa"/>
            <w:tcBorders>
              <w:top w:val="nil"/>
              <w:left w:val="nil"/>
              <w:bottom w:val="nil"/>
              <w:right w:val="nil"/>
            </w:tcBorders>
            <w:shd w:val="clear" w:color="auto" w:fill="auto"/>
            <w:noWrap/>
            <w:vAlign w:val="center"/>
            <w:hideMark/>
          </w:tcPr>
          <w:p w14:paraId="322C6885"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6 915 000</w:t>
            </w:r>
          </w:p>
        </w:tc>
        <w:tc>
          <w:tcPr>
            <w:tcW w:w="888" w:type="dxa"/>
            <w:tcBorders>
              <w:top w:val="nil"/>
              <w:left w:val="nil"/>
              <w:bottom w:val="nil"/>
              <w:right w:val="nil"/>
            </w:tcBorders>
            <w:shd w:val="clear" w:color="auto" w:fill="auto"/>
            <w:hideMark/>
          </w:tcPr>
          <w:p w14:paraId="6CB28DC1" w14:textId="77777777"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18F52458"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0F8007EF" w14:textId="77777777" w:rsidR="00975B62" w:rsidRPr="00C73365" w:rsidRDefault="00975B62" w:rsidP="00A96CCA">
            <w:pPr>
              <w:spacing w:after="0"/>
              <w:rPr>
                <w:rFonts w:asciiTheme="minorHAnsi" w:hAnsiTheme="minorHAnsi" w:cstheme="minorHAnsi"/>
                <w:szCs w:val="20"/>
              </w:rPr>
            </w:pPr>
          </w:p>
        </w:tc>
        <w:tc>
          <w:tcPr>
            <w:tcW w:w="971" w:type="dxa"/>
            <w:tcBorders>
              <w:top w:val="nil"/>
              <w:left w:val="nil"/>
              <w:bottom w:val="nil"/>
              <w:right w:val="nil"/>
            </w:tcBorders>
            <w:shd w:val="clear" w:color="auto" w:fill="auto"/>
            <w:hideMark/>
          </w:tcPr>
          <w:p w14:paraId="3DBD05A2"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178DFF55" w14:textId="77777777" w:rsidR="00975B62" w:rsidRPr="00C73365" w:rsidRDefault="00975B62" w:rsidP="00A96CCA">
            <w:pPr>
              <w:spacing w:after="0"/>
              <w:rPr>
                <w:rFonts w:asciiTheme="minorHAnsi" w:hAnsiTheme="minorHAnsi" w:cstheme="minorHAnsi"/>
                <w:szCs w:val="20"/>
              </w:rPr>
            </w:pPr>
          </w:p>
        </w:tc>
      </w:tr>
      <w:tr w:rsidR="00975B62" w:rsidRPr="00C73365" w14:paraId="04928E5F" w14:textId="77777777" w:rsidTr="00975B62">
        <w:trPr>
          <w:trHeight w:val="332"/>
        </w:trPr>
        <w:tc>
          <w:tcPr>
            <w:tcW w:w="4112" w:type="dxa"/>
            <w:tcBorders>
              <w:top w:val="nil"/>
              <w:left w:val="nil"/>
              <w:bottom w:val="nil"/>
              <w:right w:val="nil"/>
            </w:tcBorders>
            <w:shd w:val="clear" w:color="auto" w:fill="auto"/>
            <w:noWrap/>
            <w:vAlign w:val="center"/>
            <w:hideMark/>
          </w:tcPr>
          <w:p w14:paraId="4DD545F2" w14:textId="77777777"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 CA 23 Juin 2015</w:t>
            </w:r>
          </w:p>
        </w:tc>
        <w:tc>
          <w:tcPr>
            <w:tcW w:w="1033" w:type="dxa"/>
            <w:tcBorders>
              <w:top w:val="nil"/>
              <w:left w:val="nil"/>
              <w:bottom w:val="nil"/>
              <w:right w:val="nil"/>
            </w:tcBorders>
            <w:shd w:val="clear" w:color="auto" w:fill="auto"/>
            <w:noWrap/>
            <w:vAlign w:val="center"/>
            <w:hideMark/>
          </w:tcPr>
          <w:p w14:paraId="09E940F7"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2 707 089</w:t>
            </w:r>
          </w:p>
        </w:tc>
        <w:tc>
          <w:tcPr>
            <w:tcW w:w="888" w:type="dxa"/>
            <w:tcBorders>
              <w:top w:val="nil"/>
              <w:left w:val="nil"/>
              <w:bottom w:val="nil"/>
              <w:right w:val="nil"/>
            </w:tcBorders>
            <w:shd w:val="clear" w:color="auto" w:fill="auto"/>
            <w:vAlign w:val="center"/>
            <w:hideMark/>
          </w:tcPr>
          <w:p w14:paraId="546DF45C"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888" w:type="dxa"/>
            <w:tcBorders>
              <w:top w:val="nil"/>
              <w:left w:val="nil"/>
              <w:bottom w:val="nil"/>
              <w:right w:val="nil"/>
            </w:tcBorders>
            <w:shd w:val="clear" w:color="auto" w:fill="auto"/>
            <w:vAlign w:val="center"/>
            <w:hideMark/>
          </w:tcPr>
          <w:p w14:paraId="194442D8"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57 634</w:t>
            </w:r>
          </w:p>
        </w:tc>
        <w:tc>
          <w:tcPr>
            <w:tcW w:w="888" w:type="dxa"/>
            <w:tcBorders>
              <w:top w:val="nil"/>
              <w:left w:val="nil"/>
              <w:bottom w:val="nil"/>
              <w:right w:val="nil"/>
            </w:tcBorders>
            <w:shd w:val="clear" w:color="auto" w:fill="auto"/>
            <w:hideMark/>
          </w:tcPr>
          <w:p w14:paraId="6AC50EA4" w14:textId="77777777"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14:paraId="24CF8FEF"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49D17C18"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57 661</w:t>
            </w:r>
          </w:p>
        </w:tc>
      </w:tr>
      <w:tr w:rsidR="00975B62" w:rsidRPr="00C73365" w14:paraId="4E3D6BB3" w14:textId="77777777" w:rsidTr="00975B62">
        <w:trPr>
          <w:trHeight w:val="332"/>
        </w:trPr>
        <w:tc>
          <w:tcPr>
            <w:tcW w:w="4112" w:type="dxa"/>
            <w:tcBorders>
              <w:top w:val="nil"/>
              <w:left w:val="nil"/>
              <w:bottom w:val="nil"/>
              <w:right w:val="nil"/>
            </w:tcBorders>
            <w:shd w:val="clear" w:color="auto" w:fill="auto"/>
            <w:noWrap/>
            <w:vAlign w:val="center"/>
            <w:hideMark/>
          </w:tcPr>
          <w:p w14:paraId="056C8A56"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14:paraId="3003C515" w14:textId="77777777"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1BAC872E"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44CAAD4D"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-3 774</w:t>
            </w:r>
          </w:p>
        </w:tc>
        <w:tc>
          <w:tcPr>
            <w:tcW w:w="888" w:type="dxa"/>
            <w:tcBorders>
              <w:top w:val="nil"/>
              <w:left w:val="nil"/>
              <w:bottom w:val="nil"/>
              <w:right w:val="nil"/>
            </w:tcBorders>
            <w:shd w:val="clear" w:color="auto" w:fill="auto"/>
            <w:hideMark/>
          </w:tcPr>
          <w:p w14:paraId="2E6748A7" w14:textId="77777777"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14:paraId="4B5AF4CD"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7B6E36E8"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-3 774</w:t>
            </w:r>
          </w:p>
        </w:tc>
      </w:tr>
      <w:tr w:rsidR="00975B62" w:rsidRPr="00C73365" w14:paraId="003CEEC3" w14:textId="77777777" w:rsidTr="00975B62">
        <w:trPr>
          <w:trHeight w:val="332"/>
        </w:trPr>
        <w:tc>
          <w:tcPr>
            <w:tcW w:w="4112" w:type="dxa"/>
            <w:tcBorders>
              <w:top w:val="nil"/>
              <w:left w:val="nil"/>
              <w:bottom w:val="nil"/>
              <w:right w:val="nil"/>
            </w:tcBorders>
            <w:shd w:val="clear" w:color="auto" w:fill="auto"/>
            <w:noWrap/>
            <w:vAlign w:val="center"/>
            <w:hideMark/>
          </w:tcPr>
          <w:p w14:paraId="255990F7" w14:textId="77777777"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BCE</w:t>
            </w:r>
          </w:p>
        </w:tc>
        <w:tc>
          <w:tcPr>
            <w:tcW w:w="1033" w:type="dxa"/>
            <w:tcBorders>
              <w:top w:val="nil"/>
              <w:left w:val="nil"/>
              <w:bottom w:val="nil"/>
              <w:right w:val="nil"/>
            </w:tcBorders>
            <w:shd w:val="clear" w:color="auto" w:fill="auto"/>
            <w:noWrap/>
            <w:vAlign w:val="center"/>
            <w:hideMark/>
          </w:tcPr>
          <w:p w14:paraId="781B0C86"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74 800</w:t>
            </w:r>
          </w:p>
        </w:tc>
        <w:tc>
          <w:tcPr>
            <w:tcW w:w="888" w:type="dxa"/>
            <w:tcBorders>
              <w:top w:val="nil"/>
              <w:left w:val="nil"/>
              <w:bottom w:val="nil"/>
              <w:right w:val="nil"/>
            </w:tcBorders>
            <w:shd w:val="clear" w:color="auto" w:fill="auto"/>
            <w:vAlign w:val="center"/>
            <w:hideMark/>
          </w:tcPr>
          <w:p w14:paraId="40BC64BE"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hideMark/>
          </w:tcPr>
          <w:p w14:paraId="1671B4CD" w14:textId="77777777"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2331E5E8" w14:textId="77777777" w:rsidR="00975B62" w:rsidRPr="00C73365" w:rsidRDefault="00975B62" w:rsidP="00A96CCA">
            <w:pPr>
              <w:spacing w:after="0"/>
              <w:rPr>
                <w:rFonts w:asciiTheme="minorHAnsi" w:hAnsiTheme="minorHAnsi" w:cstheme="minorHAnsi"/>
                <w:szCs w:val="20"/>
              </w:rPr>
            </w:pPr>
          </w:p>
        </w:tc>
        <w:tc>
          <w:tcPr>
            <w:tcW w:w="971" w:type="dxa"/>
            <w:tcBorders>
              <w:top w:val="nil"/>
              <w:left w:val="nil"/>
              <w:bottom w:val="nil"/>
              <w:right w:val="nil"/>
            </w:tcBorders>
            <w:shd w:val="clear" w:color="auto" w:fill="auto"/>
            <w:hideMark/>
          </w:tcPr>
          <w:p w14:paraId="4C4DA90E"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5A5B6BA1"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r>
      <w:tr w:rsidR="00975B62" w:rsidRPr="00C73365" w14:paraId="142BBCFE" w14:textId="77777777" w:rsidTr="00975B62">
        <w:trPr>
          <w:trHeight w:val="332"/>
        </w:trPr>
        <w:tc>
          <w:tcPr>
            <w:tcW w:w="4112" w:type="dxa"/>
            <w:tcBorders>
              <w:top w:val="nil"/>
              <w:left w:val="nil"/>
              <w:bottom w:val="nil"/>
              <w:right w:val="nil"/>
            </w:tcBorders>
            <w:shd w:val="clear" w:color="auto" w:fill="auto"/>
            <w:noWrap/>
            <w:vAlign w:val="center"/>
            <w:hideMark/>
          </w:tcPr>
          <w:p w14:paraId="3CA05833"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hideMark/>
          </w:tcPr>
          <w:p w14:paraId="6E64808E" w14:textId="77777777"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20A4C29F"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6BCB0B20"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6776C1C2"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173</w:t>
            </w:r>
          </w:p>
        </w:tc>
        <w:tc>
          <w:tcPr>
            <w:tcW w:w="971" w:type="dxa"/>
            <w:tcBorders>
              <w:top w:val="nil"/>
              <w:left w:val="nil"/>
              <w:bottom w:val="nil"/>
              <w:right w:val="nil"/>
            </w:tcBorders>
            <w:shd w:val="clear" w:color="auto" w:fill="auto"/>
            <w:hideMark/>
          </w:tcPr>
          <w:p w14:paraId="51F4287C" w14:textId="77777777"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1EC2044D"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173</w:t>
            </w:r>
          </w:p>
        </w:tc>
      </w:tr>
      <w:tr w:rsidR="00975B62" w:rsidRPr="00C73365" w14:paraId="102045AC" w14:textId="77777777" w:rsidTr="00975B62">
        <w:trPr>
          <w:trHeight w:val="346"/>
        </w:trPr>
        <w:tc>
          <w:tcPr>
            <w:tcW w:w="4112" w:type="dxa"/>
            <w:tcBorders>
              <w:top w:val="nil"/>
              <w:left w:val="nil"/>
              <w:bottom w:val="single" w:sz="8" w:space="0" w:color="7030A0"/>
              <w:right w:val="nil"/>
            </w:tcBorders>
            <w:shd w:val="clear" w:color="auto" w:fill="auto"/>
            <w:noWrap/>
            <w:vAlign w:val="center"/>
            <w:hideMark/>
          </w:tcPr>
          <w:p w14:paraId="6CFE0688"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2015</w:t>
            </w:r>
          </w:p>
        </w:tc>
        <w:tc>
          <w:tcPr>
            <w:tcW w:w="1033" w:type="dxa"/>
            <w:tcBorders>
              <w:top w:val="nil"/>
              <w:left w:val="nil"/>
              <w:bottom w:val="single" w:sz="8" w:space="0" w:color="7030A0"/>
              <w:right w:val="nil"/>
            </w:tcBorders>
            <w:shd w:val="clear" w:color="auto" w:fill="auto"/>
            <w:noWrap/>
            <w:vAlign w:val="center"/>
            <w:hideMark/>
          </w:tcPr>
          <w:p w14:paraId="684D7A54"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7F5ACA25"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5909E148"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6B145A19"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14:paraId="06D17436"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-15 954</w:t>
            </w:r>
          </w:p>
        </w:tc>
        <w:tc>
          <w:tcPr>
            <w:tcW w:w="888" w:type="dxa"/>
            <w:tcBorders>
              <w:top w:val="nil"/>
              <w:left w:val="nil"/>
              <w:bottom w:val="nil"/>
              <w:right w:val="nil"/>
            </w:tcBorders>
            <w:shd w:val="clear" w:color="auto" w:fill="auto"/>
            <w:vAlign w:val="center"/>
            <w:hideMark/>
          </w:tcPr>
          <w:p w14:paraId="2C63EA4D"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-15 954</w:t>
            </w:r>
          </w:p>
        </w:tc>
      </w:tr>
      <w:tr w:rsidR="00975B62" w:rsidRPr="00C73365" w14:paraId="29F5350B" w14:textId="77777777" w:rsidTr="00975B62">
        <w:trPr>
          <w:trHeight w:val="346"/>
        </w:trPr>
        <w:tc>
          <w:tcPr>
            <w:tcW w:w="4112" w:type="dxa"/>
            <w:tcBorders>
              <w:top w:val="nil"/>
              <w:left w:val="nil"/>
              <w:bottom w:val="single" w:sz="8" w:space="0" w:color="7030A0"/>
              <w:right w:val="nil"/>
            </w:tcBorders>
            <w:shd w:val="clear" w:color="auto" w:fill="auto"/>
            <w:noWrap/>
            <w:vAlign w:val="center"/>
            <w:hideMark/>
          </w:tcPr>
          <w:p w14:paraId="411D85B7" w14:textId="77777777"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2015</w:t>
            </w:r>
          </w:p>
        </w:tc>
        <w:tc>
          <w:tcPr>
            <w:tcW w:w="1033" w:type="dxa"/>
            <w:tcBorders>
              <w:top w:val="nil"/>
              <w:left w:val="nil"/>
              <w:bottom w:val="single" w:sz="8" w:space="0" w:color="7030A0"/>
              <w:right w:val="nil"/>
            </w:tcBorders>
            <w:shd w:val="clear" w:color="auto" w:fill="auto"/>
            <w:noWrap/>
            <w:vAlign w:val="center"/>
            <w:hideMark/>
          </w:tcPr>
          <w:p w14:paraId="249F9A18"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9 696 889</w:t>
            </w:r>
          </w:p>
        </w:tc>
        <w:tc>
          <w:tcPr>
            <w:tcW w:w="888" w:type="dxa"/>
            <w:tcBorders>
              <w:top w:val="nil"/>
              <w:left w:val="nil"/>
              <w:bottom w:val="single" w:sz="8" w:space="0" w:color="7030A0"/>
              <w:right w:val="nil"/>
            </w:tcBorders>
            <w:shd w:val="clear" w:color="auto" w:fill="auto"/>
            <w:vAlign w:val="center"/>
            <w:hideMark/>
          </w:tcPr>
          <w:p w14:paraId="19E751AE"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14:paraId="5A353436"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14:paraId="4620D7B4"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173</w:t>
            </w:r>
          </w:p>
        </w:tc>
        <w:tc>
          <w:tcPr>
            <w:tcW w:w="971" w:type="dxa"/>
            <w:tcBorders>
              <w:top w:val="single" w:sz="8" w:space="0" w:color="7030A0"/>
              <w:left w:val="nil"/>
              <w:bottom w:val="single" w:sz="8" w:space="0" w:color="7030A0"/>
              <w:right w:val="nil"/>
            </w:tcBorders>
            <w:shd w:val="clear" w:color="auto" w:fill="auto"/>
            <w:vAlign w:val="center"/>
            <w:hideMark/>
          </w:tcPr>
          <w:p w14:paraId="74FFF74B"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-21 045</w:t>
            </w:r>
          </w:p>
        </w:tc>
        <w:tc>
          <w:tcPr>
            <w:tcW w:w="888" w:type="dxa"/>
            <w:tcBorders>
              <w:top w:val="single" w:sz="8" w:space="0" w:color="7030A0"/>
              <w:left w:val="nil"/>
              <w:bottom w:val="single" w:sz="8" w:space="0" w:color="7030A0"/>
              <w:right w:val="nil"/>
            </w:tcBorders>
            <w:shd w:val="clear" w:color="auto" w:fill="auto"/>
            <w:vAlign w:val="center"/>
            <w:hideMark/>
          </w:tcPr>
          <w:p w14:paraId="1ABEEF76"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68 759</w:t>
            </w:r>
          </w:p>
        </w:tc>
      </w:tr>
      <w:tr w:rsidR="00975B62" w:rsidRPr="00C73365" w14:paraId="0867F995" w14:textId="77777777" w:rsidTr="00975B62">
        <w:trPr>
          <w:trHeight w:val="332"/>
        </w:trPr>
        <w:tc>
          <w:tcPr>
            <w:tcW w:w="4112" w:type="dxa"/>
            <w:tcBorders>
              <w:top w:val="nil"/>
              <w:left w:val="nil"/>
              <w:bottom w:val="nil"/>
              <w:right w:val="nil"/>
            </w:tcBorders>
            <w:shd w:val="clear" w:color="auto" w:fill="auto"/>
            <w:noWrap/>
            <w:vAlign w:val="center"/>
            <w:hideMark/>
          </w:tcPr>
          <w:p w14:paraId="3F00C329" w14:textId="77777777"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14:paraId="1B4BBF68"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5 200</w:t>
            </w:r>
          </w:p>
        </w:tc>
        <w:tc>
          <w:tcPr>
            <w:tcW w:w="888" w:type="dxa"/>
            <w:tcBorders>
              <w:top w:val="nil"/>
              <w:left w:val="nil"/>
              <w:bottom w:val="nil"/>
              <w:right w:val="nil"/>
            </w:tcBorders>
            <w:shd w:val="clear" w:color="auto" w:fill="auto"/>
            <w:vAlign w:val="center"/>
            <w:hideMark/>
          </w:tcPr>
          <w:p w14:paraId="43FAC582" w14:textId="77777777"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0677E612"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40C1EBD9"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971" w:type="dxa"/>
            <w:tcBorders>
              <w:top w:val="nil"/>
              <w:left w:val="nil"/>
              <w:bottom w:val="nil"/>
              <w:right w:val="nil"/>
            </w:tcBorders>
            <w:shd w:val="clear" w:color="auto" w:fill="auto"/>
            <w:vAlign w:val="center"/>
            <w:hideMark/>
          </w:tcPr>
          <w:p w14:paraId="6A81BD38" w14:textId="77777777"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0E4501EF"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975B62" w:rsidRPr="00C73365" w14:paraId="59D04458" w14:textId="77777777" w:rsidTr="00975B62">
        <w:trPr>
          <w:trHeight w:val="332"/>
        </w:trPr>
        <w:tc>
          <w:tcPr>
            <w:tcW w:w="4112" w:type="dxa"/>
            <w:tcBorders>
              <w:top w:val="nil"/>
              <w:left w:val="nil"/>
              <w:bottom w:val="nil"/>
              <w:right w:val="nil"/>
            </w:tcBorders>
            <w:shd w:val="clear" w:color="auto" w:fill="auto"/>
            <w:noWrap/>
            <w:vAlign w:val="center"/>
            <w:hideMark/>
          </w:tcPr>
          <w:p w14:paraId="17DE6EBF"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14:paraId="4B4B4FE8" w14:textId="77777777"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23454BCD"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3479CD1E"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3FBEC2FA"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w:t>
            </w:r>
          </w:p>
        </w:tc>
        <w:tc>
          <w:tcPr>
            <w:tcW w:w="971" w:type="dxa"/>
            <w:tcBorders>
              <w:top w:val="nil"/>
              <w:left w:val="nil"/>
              <w:bottom w:val="nil"/>
              <w:right w:val="nil"/>
            </w:tcBorders>
            <w:shd w:val="clear" w:color="auto" w:fill="auto"/>
            <w:hideMark/>
          </w:tcPr>
          <w:p w14:paraId="144ACAD0" w14:textId="77777777"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145346D0"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w:t>
            </w:r>
          </w:p>
        </w:tc>
      </w:tr>
      <w:tr w:rsidR="00975B62" w:rsidRPr="00C73365" w14:paraId="1F6D872B" w14:textId="77777777" w:rsidTr="00975B62">
        <w:trPr>
          <w:trHeight w:val="346"/>
        </w:trPr>
        <w:tc>
          <w:tcPr>
            <w:tcW w:w="4112" w:type="dxa"/>
            <w:tcBorders>
              <w:top w:val="nil"/>
              <w:left w:val="nil"/>
              <w:bottom w:val="single" w:sz="8" w:space="0" w:color="7030A0"/>
              <w:right w:val="nil"/>
            </w:tcBorders>
            <w:shd w:val="clear" w:color="auto" w:fill="auto"/>
            <w:noWrap/>
            <w:vAlign w:val="center"/>
            <w:hideMark/>
          </w:tcPr>
          <w:p w14:paraId="25DAD94F"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2016</w:t>
            </w:r>
          </w:p>
        </w:tc>
        <w:tc>
          <w:tcPr>
            <w:tcW w:w="1033" w:type="dxa"/>
            <w:tcBorders>
              <w:top w:val="nil"/>
              <w:left w:val="nil"/>
              <w:bottom w:val="single" w:sz="8" w:space="0" w:color="7030A0"/>
              <w:right w:val="nil"/>
            </w:tcBorders>
            <w:shd w:val="clear" w:color="auto" w:fill="auto"/>
            <w:noWrap/>
            <w:vAlign w:val="center"/>
            <w:hideMark/>
          </w:tcPr>
          <w:p w14:paraId="57CF7068"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4C183546"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57C0A30F"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143C4E1E"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14:paraId="688D9C4E"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888" w:type="dxa"/>
            <w:tcBorders>
              <w:top w:val="nil"/>
              <w:left w:val="nil"/>
              <w:bottom w:val="nil"/>
              <w:right w:val="nil"/>
            </w:tcBorders>
            <w:shd w:val="clear" w:color="auto" w:fill="auto"/>
            <w:vAlign w:val="center"/>
            <w:hideMark/>
          </w:tcPr>
          <w:p w14:paraId="1BB23A26"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975B62" w:rsidRPr="00C73365" w14:paraId="6B7DD5D8" w14:textId="77777777" w:rsidTr="00975B62">
        <w:trPr>
          <w:trHeight w:val="346"/>
        </w:trPr>
        <w:tc>
          <w:tcPr>
            <w:tcW w:w="4112" w:type="dxa"/>
            <w:tcBorders>
              <w:top w:val="nil"/>
              <w:left w:val="nil"/>
              <w:bottom w:val="single" w:sz="8" w:space="0" w:color="7030A0"/>
              <w:right w:val="nil"/>
            </w:tcBorders>
            <w:shd w:val="clear" w:color="auto" w:fill="auto"/>
            <w:noWrap/>
            <w:vAlign w:val="center"/>
            <w:hideMark/>
          </w:tcPr>
          <w:p w14:paraId="47E73B69" w14:textId="77777777"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2016</w:t>
            </w:r>
          </w:p>
        </w:tc>
        <w:tc>
          <w:tcPr>
            <w:tcW w:w="1033" w:type="dxa"/>
            <w:tcBorders>
              <w:top w:val="nil"/>
              <w:left w:val="nil"/>
              <w:bottom w:val="single" w:sz="8" w:space="0" w:color="7030A0"/>
              <w:right w:val="nil"/>
            </w:tcBorders>
            <w:shd w:val="clear" w:color="auto" w:fill="auto"/>
            <w:noWrap/>
            <w:vAlign w:val="center"/>
            <w:hideMark/>
          </w:tcPr>
          <w:p w14:paraId="0CDF0D3B"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9 702 089</w:t>
            </w:r>
          </w:p>
        </w:tc>
        <w:tc>
          <w:tcPr>
            <w:tcW w:w="888" w:type="dxa"/>
            <w:tcBorders>
              <w:top w:val="nil"/>
              <w:left w:val="nil"/>
              <w:bottom w:val="single" w:sz="8" w:space="0" w:color="7030A0"/>
              <w:right w:val="nil"/>
            </w:tcBorders>
            <w:shd w:val="clear" w:color="auto" w:fill="auto"/>
            <w:vAlign w:val="center"/>
            <w:hideMark/>
          </w:tcPr>
          <w:p w14:paraId="640B3AFE"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14:paraId="1DE302B5"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14:paraId="28EBAAD4"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231</w:t>
            </w:r>
          </w:p>
        </w:tc>
        <w:tc>
          <w:tcPr>
            <w:tcW w:w="971" w:type="dxa"/>
            <w:tcBorders>
              <w:top w:val="single" w:sz="8" w:space="0" w:color="7030A0"/>
              <w:left w:val="nil"/>
              <w:bottom w:val="single" w:sz="8" w:space="0" w:color="7030A0"/>
              <w:right w:val="nil"/>
            </w:tcBorders>
            <w:shd w:val="clear" w:color="auto" w:fill="auto"/>
            <w:vAlign w:val="center"/>
            <w:hideMark/>
          </w:tcPr>
          <w:p w14:paraId="74054F05"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-35 352</w:t>
            </w:r>
          </w:p>
        </w:tc>
        <w:tc>
          <w:tcPr>
            <w:tcW w:w="888" w:type="dxa"/>
            <w:tcBorders>
              <w:top w:val="single" w:sz="8" w:space="0" w:color="7030A0"/>
              <w:left w:val="nil"/>
              <w:bottom w:val="single" w:sz="8" w:space="0" w:color="7030A0"/>
              <w:right w:val="nil"/>
            </w:tcBorders>
            <w:shd w:val="clear" w:color="auto" w:fill="auto"/>
            <w:vAlign w:val="center"/>
            <w:hideMark/>
          </w:tcPr>
          <w:p w14:paraId="0AB56203"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54 510</w:t>
            </w:r>
          </w:p>
        </w:tc>
      </w:tr>
      <w:tr w:rsidR="00975B62" w:rsidRPr="00C73365" w14:paraId="213CA683" w14:textId="77777777" w:rsidTr="00975B62">
        <w:trPr>
          <w:trHeight w:val="332"/>
        </w:trPr>
        <w:tc>
          <w:tcPr>
            <w:tcW w:w="4112" w:type="dxa"/>
            <w:tcBorders>
              <w:top w:val="nil"/>
              <w:left w:val="nil"/>
              <w:bottom w:val="nil"/>
              <w:right w:val="nil"/>
            </w:tcBorders>
            <w:shd w:val="clear" w:color="auto" w:fill="auto"/>
            <w:noWrap/>
            <w:vAlign w:val="center"/>
            <w:hideMark/>
          </w:tcPr>
          <w:p w14:paraId="5581A79E" w14:textId="77777777"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14:paraId="6A0844D1"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142 140</w:t>
            </w:r>
          </w:p>
        </w:tc>
        <w:tc>
          <w:tcPr>
            <w:tcW w:w="888" w:type="dxa"/>
            <w:tcBorders>
              <w:top w:val="nil"/>
              <w:left w:val="nil"/>
              <w:bottom w:val="nil"/>
              <w:right w:val="nil"/>
            </w:tcBorders>
            <w:shd w:val="clear" w:color="auto" w:fill="auto"/>
            <w:vAlign w:val="center"/>
            <w:hideMark/>
          </w:tcPr>
          <w:p w14:paraId="5A44FFC2"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vAlign w:val="center"/>
            <w:hideMark/>
          </w:tcPr>
          <w:p w14:paraId="24149CA8"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19</w:t>
            </w:r>
          </w:p>
        </w:tc>
        <w:tc>
          <w:tcPr>
            <w:tcW w:w="888" w:type="dxa"/>
            <w:tcBorders>
              <w:top w:val="nil"/>
              <w:left w:val="nil"/>
              <w:bottom w:val="nil"/>
              <w:right w:val="nil"/>
            </w:tcBorders>
            <w:shd w:val="clear" w:color="auto" w:fill="auto"/>
            <w:vAlign w:val="center"/>
            <w:hideMark/>
          </w:tcPr>
          <w:p w14:paraId="45CA9114" w14:textId="77777777"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vAlign w:val="center"/>
            <w:hideMark/>
          </w:tcPr>
          <w:p w14:paraId="072C8103" w14:textId="77777777" w:rsidR="00975B62" w:rsidRPr="00C73365" w:rsidRDefault="00975B62" w:rsidP="00A96CCA">
            <w:pPr>
              <w:spacing w:after="0"/>
              <w:jc w:val="righ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515E1446"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w:t>
            </w:r>
          </w:p>
        </w:tc>
      </w:tr>
      <w:tr w:rsidR="00975B62" w:rsidRPr="00C73365" w14:paraId="25244770" w14:textId="77777777" w:rsidTr="00975B62">
        <w:trPr>
          <w:trHeight w:val="332"/>
        </w:trPr>
        <w:tc>
          <w:tcPr>
            <w:tcW w:w="4112" w:type="dxa"/>
            <w:tcBorders>
              <w:top w:val="nil"/>
              <w:left w:val="nil"/>
              <w:bottom w:val="nil"/>
              <w:right w:val="nil"/>
            </w:tcBorders>
            <w:shd w:val="clear" w:color="auto" w:fill="auto"/>
            <w:noWrap/>
            <w:vAlign w:val="center"/>
            <w:hideMark/>
          </w:tcPr>
          <w:p w14:paraId="2ECCA457"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14:paraId="7BC972A5" w14:textId="77777777"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7A402A5C"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0AA60688"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1E5553AB" w14:textId="77777777" w:rsidR="00975B62" w:rsidRPr="00C73365" w:rsidRDefault="00975B62" w:rsidP="00A96CCA">
            <w:pPr>
              <w:spacing w:after="0"/>
              <w:jc w:val="right"/>
              <w:rPr>
                <w:rFonts w:asciiTheme="minorHAnsi" w:hAnsiTheme="minorHAnsi" w:cstheme="minorHAnsi"/>
                <w:szCs w:val="20"/>
              </w:rPr>
            </w:pPr>
          </w:p>
        </w:tc>
        <w:tc>
          <w:tcPr>
            <w:tcW w:w="971" w:type="dxa"/>
            <w:tcBorders>
              <w:top w:val="nil"/>
              <w:left w:val="nil"/>
              <w:bottom w:val="nil"/>
              <w:right w:val="nil"/>
            </w:tcBorders>
            <w:shd w:val="clear" w:color="auto" w:fill="auto"/>
            <w:hideMark/>
          </w:tcPr>
          <w:p w14:paraId="4A778CCE"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676191D3" w14:textId="77777777" w:rsidR="00975B62" w:rsidRPr="00C73365" w:rsidRDefault="00975B62" w:rsidP="00A96CCA">
            <w:pPr>
              <w:spacing w:after="0"/>
              <w:rPr>
                <w:rFonts w:asciiTheme="minorHAnsi" w:hAnsiTheme="minorHAnsi" w:cstheme="minorHAnsi"/>
                <w:szCs w:val="20"/>
              </w:rPr>
            </w:pPr>
          </w:p>
        </w:tc>
      </w:tr>
      <w:tr w:rsidR="00975B62" w:rsidRPr="00C73365" w14:paraId="3644DB31" w14:textId="77777777" w:rsidTr="00975B62">
        <w:trPr>
          <w:trHeight w:val="332"/>
        </w:trPr>
        <w:tc>
          <w:tcPr>
            <w:tcW w:w="4112" w:type="dxa"/>
            <w:tcBorders>
              <w:top w:val="nil"/>
              <w:left w:val="nil"/>
              <w:bottom w:val="nil"/>
              <w:right w:val="nil"/>
            </w:tcBorders>
            <w:shd w:val="clear" w:color="auto" w:fill="auto"/>
            <w:noWrap/>
            <w:vAlign w:val="center"/>
            <w:hideMark/>
          </w:tcPr>
          <w:p w14:paraId="7BD549DB"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14:paraId="407F6346" w14:textId="77777777"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72105310"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774F7675"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3E806B34"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971" w:type="dxa"/>
            <w:tcBorders>
              <w:top w:val="nil"/>
              <w:left w:val="nil"/>
              <w:bottom w:val="nil"/>
              <w:right w:val="nil"/>
            </w:tcBorders>
            <w:shd w:val="clear" w:color="auto" w:fill="auto"/>
            <w:hideMark/>
          </w:tcPr>
          <w:p w14:paraId="5F9D77BD" w14:textId="77777777"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3707834C"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975B62" w:rsidRPr="00C73365" w14:paraId="7C39328D" w14:textId="77777777" w:rsidTr="00975B62">
        <w:trPr>
          <w:trHeight w:val="332"/>
        </w:trPr>
        <w:tc>
          <w:tcPr>
            <w:tcW w:w="4112" w:type="dxa"/>
            <w:tcBorders>
              <w:top w:val="nil"/>
              <w:left w:val="nil"/>
              <w:bottom w:val="nil"/>
              <w:right w:val="nil"/>
            </w:tcBorders>
            <w:shd w:val="clear" w:color="auto" w:fill="auto"/>
            <w:noWrap/>
            <w:vAlign w:val="center"/>
            <w:hideMark/>
          </w:tcPr>
          <w:p w14:paraId="0A99C5D0"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Equity line Kepler Chevreux</w:t>
            </w:r>
          </w:p>
        </w:tc>
        <w:tc>
          <w:tcPr>
            <w:tcW w:w="1033" w:type="dxa"/>
            <w:tcBorders>
              <w:top w:val="nil"/>
              <w:left w:val="nil"/>
              <w:bottom w:val="nil"/>
              <w:right w:val="nil"/>
            </w:tcBorders>
            <w:shd w:val="clear" w:color="auto" w:fill="auto"/>
            <w:noWrap/>
            <w:vAlign w:val="center"/>
            <w:hideMark/>
          </w:tcPr>
          <w:p w14:paraId="48467C54" w14:textId="77777777"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60 000</w:t>
            </w:r>
          </w:p>
        </w:tc>
        <w:tc>
          <w:tcPr>
            <w:tcW w:w="888" w:type="dxa"/>
            <w:tcBorders>
              <w:top w:val="nil"/>
              <w:left w:val="nil"/>
              <w:bottom w:val="nil"/>
              <w:right w:val="nil"/>
            </w:tcBorders>
            <w:shd w:val="clear" w:color="auto" w:fill="auto"/>
            <w:hideMark/>
          </w:tcPr>
          <w:p w14:paraId="531C6C18" w14:textId="77777777"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1</w:t>
            </w:r>
          </w:p>
        </w:tc>
        <w:tc>
          <w:tcPr>
            <w:tcW w:w="888" w:type="dxa"/>
            <w:tcBorders>
              <w:top w:val="nil"/>
              <w:left w:val="nil"/>
              <w:bottom w:val="nil"/>
              <w:right w:val="nil"/>
            </w:tcBorders>
            <w:shd w:val="clear" w:color="auto" w:fill="auto"/>
            <w:hideMark/>
          </w:tcPr>
          <w:p w14:paraId="046BBCCC" w14:textId="77777777"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664</w:t>
            </w:r>
          </w:p>
        </w:tc>
        <w:tc>
          <w:tcPr>
            <w:tcW w:w="888" w:type="dxa"/>
            <w:tcBorders>
              <w:top w:val="nil"/>
              <w:left w:val="nil"/>
              <w:bottom w:val="nil"/>
              <w:right w:val="nil"/>
            </w:tcBorders>
            <w:shd w:val="clear" w:color="auto" w:fill="auto"/>
            <w:vAlign w:val="center"/>
            <w:hideMark/>
          </w:tcPr>
          <w:p w14:paraId="34369D0D"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971" w:type="dxa"/>
            <w:tcBorders>
              <w:top w:val="nil"/>
              <w:left w:val="nil"/>
              <w:bottom w:val="nil"/>
              <w:right w:val="nil"/>
            </w:tcBorders>
            <w:shd w:val="clear" w:color="auto" w:fill="auto"/>
            <w:hideMark/>
          </w:tcPr>
          <w:p w14:paraId="2E33C561" w14:textId="77777777"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14:paraId="1327E2EC"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665</w:t>
            </w:r>
          </w:p>
        </w:tc>
      </w:tr>
      <w:tr w:rsidR="00975B62" w:rsidRPr="00C73365" w14:paraId="2DCA7993" w14:textId="77777777" w:rsidTr="00975B62">
        <w:trPr>
          <w:trHeight w:val="332"/>
        </w:trPr>
        <w:tc>
          <w:tcPr>
            <w:tcW w:w="4112" w:type="dxa"/>
            <w:tcBorders>
              <w:top w:val="nil"/>
              <w:left w:val="nil"/>
              <w:bottom w:val="nil"/>
              <w:right w:val="nil"/>
            </w:tcBorders>
            <w:shd w:val="clear" w:color="auto" w:fill="auto"/>
            <w:noWrap/>
            <w:vAlign w:val="center"/>
            <w:hideMark/>
          </w:tcPr>
          <w:p w14:paraId="39553B9E"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vAlign w:val="center"/>
            <w:hideMark/>
          </w:tcPr>
          <w:p w14:paraId="15DCE18F" w14:textId="77777777"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14:paraId="55C5F786" w14:textId="77777777"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14:paraId="26B5C1F2" w14:textId="77777777"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-77</w:t>
            </w:r>
          </w:p>
        </w:tc>
        <w:tc>
          <w:tcPr>
            <w:tcW w:w="888" w:type="dxa"/>
            <w:tcBorders>
              <w:top w:val="nil"/>
              <w:left w:val="nil"/>
              <w:bottom w:val="nil"/>
              <w:right w:val="nil"/>
            </w:tcBorders>
            <w:shd w:val="clear" w:color="auto" w:fill="auto"/>
            <w:vAlign w:val="center"/>
            <w:hideMark/>
          </w:tcPr>
          <w:p w14:paraId="25DE3AD4" w14:textId="77777777" w:rsidR="00975B62" w:rsidRPr="00C73365" w:rsidRDefault="00975B62" w:rsidP="00A96CCA">
            <w:pPr>
              <w:spacing w:after="0"/>
              <w:jc w:val="right"/>
              <w:rPr>
                <w:rFonts w:asciiTheme="minorHAnsi" w:hAnsiTheme="minorHAnsi" w:cstheme="minorHAnsi"/>
                <w:color w:val="000000"/>
                <w:sz w:val="22"/>
                <w:szCs w:val="22"/>
              </w:rPr>
            </w:pPr>
          </w:p>
        </w:tc>
        <w:tc>
          <w:tcPr>
            <w:tcW w:w="971" w:type="dxa"/>
            <w:tcBorders>
              <w:top w:val="nil"/>
              <w:left w:val="nil"/>
              <w:bottom w:val="nil"/>
              <w:right w:val="nil"/>
            </w:tcBorders>
            <w:shd w:val="clear" w:color="auto" w:fill="auto"/>
            <w:hideMark/>
          </w:tcPr>
          <w:p w14:paraId="5983AFA8" w14:textId="77777777" w:rsidR="00975B62" w:rsidRPr="00C73365" w:rsidRDefault="00975B62" w:rsidP="00A96CCA">
            <w:pPr>
              <w:spacing w:after="0"/>
              <w:jc w:val="righ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14:paraId="2BF6954D"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-77</w:t>
            </w:r>
          </w:p>
        </w:tc>
      </w:tr>
      <w:tr w:rsidR="00975B62" w:rsidRPr="00C73365" w14:paraId="30592590" w14:textId="77777777" w:rsidTr="00975B62">
        <w:trPr>
          <w:trHeight w:val="346"/>
        </w:trPr>
        <w:tc>
          <w:tcPr>
            <w:tcW w:w="4112" w:type="dxa"/>
            <w:tcBorders>
              <w:top w:val="nil"/>
              <w:left w:val="nil"/>
              <w:bottom w:val="single" w:sz="8" w:space="0" w:color="7030A0"/>
              <w:right w:val="nil"/>
            </w:tcBorders>
            <w:shd w:val="clear" w:color="auto" w:fill="auto"/>
            <w:noWrap/>
            <w:vAlign w:val="center"/>
            <w:hideMark/>
          </w:tcPr>
          <w:p w14:paraId="4BA6C4A2" w14:textId="77777777"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2017</w:t>
            </w:r>
          </w:p>
        </w:tc>
        <w:tc>
          <w:tcPr>
            <w:tcW w:w="1033" w:type="dxa"/>
            <w:tcBorders>
              <w:top w:val="nil"/>
              <w:left w:val="nil"/>
              <w:bottom w:val="single" w:sz="8" w:space="0" w:color="7030A0"/>
              <w:right w:val="nil"/>
            </w:tcBorders>
            <w:shd w:val="clear" w:color="auto" w:fill="auto"/>
            <w:noWrap/>
            <w:vAlign w:val="center"/>
            <w:hideMark/>
          </w:tcPr>
          <w:p w14:paraId="57D25896"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3B9D5540"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1DDC3B2A"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14:paraId="24D6759A"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single" w:sz="8" w:space="0" w:color="7030A0"/>
              <w:right w:val="nil"/>
            </w:tcBorders>
            <w:shd w:val="clear" w:color="auto" w:fill="auto"/>
            <w:vAlign w:val="center"/>
            <w:hideMark/>
          </w:tcPr>
          <w:p w14:paraId="526A6964"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888" w:type="dxa"/>
            <w:tcBorders>
              <w:top w:val="nil"/>
              <w:left w:val="nil"/>
              <w:bottom w:val="single" w:sz="8" w:space="0" w:color="7030A0"/>
              <w:right w:val="nil"/>
            </w:tcBorders>
            <w:shd w:val="clear" w:color="auto" w:fill="auto"/>
            <w:vAlign w:val="center"/>
            <w:hideMark/>
          </w:tcPr>
          <w:p w14:paraId="5759F000" w14:textId="77777777"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r>
      <w:tr w:rsidR="00975B62" w:rsidRPr="00C73365" w14:paraId="2E9F0C85" w14:textId="77777777" w:rsidTr="00975B62">
        <w:trPr>
          <w:trHeight w:val="346"/>
        </w:trPr>
        <w:tc>
          <w:tcPr>
            <w:tcW w:w="4112" w:type="dxa"/>
            <w:tcBorders>
              <w:top w:val="nil"/>
              <w:left w:val="nil"/>
              <w:bottom w:val="single" w:sz="8" w:space="0" w:color="7030A0"/>
              <w:right w:val="nil"/>
            </w:tcBorders>
            <w:shd w:val="clear" w:color="auto" w:fill="auto"/>
            <w:noWrap/>
            <w:vAlign w:val="center"/>
            <w:hideMark/>
          </w:tcPr>
          <w:p w14:paraId="6702DEED" w14:textId="77777777"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2017</w:t>
            </w:r>
          </w:p>
        </w:tc>
        <w:tc>
          <w:tcPr>
            <w:tcW w:w="1033" w:type="dxa"/>
            <w:tcBorders>
              <w:top w:val="nil"/>
              <w:left w:val="nil"/>
              <w:bottom w:val="single" w:sz="8" w:space="0" w:color="7030A0"/>
              <w:right w:val="nil"/>
            </w:tcBorders>
            <w:shd w:val="clear" w:color="auto" w:fill="auto"/>
            <w:noWrap/>
            <w:vAlign w:val="center"/>
            <w:hideMark/>
          </w:tcPr>
          <w:p w14:paraId="742F0D3A"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9 904 229</w:t>
            </w:r>
          </w:p>
        </w:tc>
        <w:tc>
          <w:tcPr>
            <w:tcW w:w="888" w:type="dxa"/>
            <w:tcBorders>
              <w:top w:val="nil"/>
              <w:left w:val="nil"/>
              <w:bottom w:val="single" w:sz="8" w:space="0" w:color="7030A0"/>
              <w:right w:val="nil"/>
            </w:tcBorders>
            <w:shd w:val="clear" w:color="auto" w:fill="auto"/>
            <w:noWrap/>
            <w:vAlign w:val="center"/>
            <w:hideMark/>
          </w:tcPr>
          <w:p w14:paraId="4C1B4FD3"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99</w:t>
            </w:r>
          </w:p>
        </w:tc>
        <w:tc>
          <w:tcPr>
            <w:tcW w:w="888" w:type="dxa"/>
            <w:tcBorders>
              <w:top w:val="nil"/>
              <w:left w:val="nil"/>
              <w:bottom w:val="single" w:sz="8" w:space="0" w:color="7030A0"/>
              <w:right w:val="nil"/>
            </w:tcBorders>
            <w:shd w:val="clear" w:color="auto" w:fill="auto"/>
            <w:noWrap/>
            <w:vAlign w:val="center"/>
            <w:hideMark/>
          </w:tcPr>
          <w:p w14:paraId="4ED21EE7"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90 139</w:t>
            </w:r>
          </w:p>
        </w:tc>
        <w:tc>
          <w:tcPr>
            <w:tcW w:w="888" w:type="dxa"/>
            <w:tcBorders>
              <w:top w:val="nil"/>
              <w:left w:val="nil"/>
              <w:bottom w:val="single" w:sz="8" w:space="0" w:color="7030A0"/>
              <w:right w:val="nil"/>
            </w:tcBorders>
            <w:shd w:val="clear" w:color="auto" w:fill="auto"/>
            <w:noWrap/>
            <w:vAlign w:val="center"/>
            <w:hideMark/>
          </w:tcPr>
          <w:p w14:paraId="6DF8682B"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253</w:t>
            </w:r>
          </w:p>
        </w:tc>
        <w:tc>
          <w:tcPr>
            <w:tcW w:w="971" w:type="dxa"/>
            <w:tcBorders>
              <w:top w:val="nil"/>
              <w:left w:val="nil"/>
              <w:bottom w:val="single" w:sz="8" w:space="0" w:color="7030A0"/>
              <w:right w:val="nil"/>
            </w:tcBorders>
            <w:shd w:val="clear" w:color="auto" w:fill="auto"/>
            <w:noWrap/>
            <w:vAlign w:val="center"/>
            <w:hideMark/>
          </w:tcPr>
          <w:p w14:paraId="6DC13B2B"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-46 575</w:t>
            </w:r>
          </w:p>
        </w:tc>
        <w:tc>
          <w:tcPr>
            <w:tcW w:w="888" w:type="dxa"/>
            <w:tcBorders>
              <w:top w:val="nil"/>
              <w:left w:val="nil"/>
              <w:bottom w:val="single" w:sz="8" w:space="0" w:color="7030A0"/>
              <w:right w:val="nil"/>
            </w:tcBorders>
            <w:shd w:val="clear" w:color="auto" w:fill="auto"/>
            <w:noWrap/>
            <w:vAlign w:val="center"/>
            <w:hideMark/>
          </w:tcPr>
          <w:p w14:paraId="2907E313" w14:textId="77777777"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43 915</w:t>
            </w:r>
          </w:p>
        </w:tc>
      </w:tr>
    </w:tbl>
    <w:p w14:paraId="26B02222" w14:textId="77777777" w:rsidR="00F46C7B" w:rsidRPr="00C73365" w:rsidRDefault="00F46C7B" w:rsidP="00A96CCA">
      <w:pPr>
        <w:spacing w:after="0"/>
        <w:ind w:right="-2"/>
        <w:rPr>
          <w:rFonts w:asciiTheme="minorHAnsi" w:eastAsia="MS Mincho" w:hAnsiTheme="minorHAnsi" w:cstheme="minorHAnsi"/>
          <w:b/>
          <w:szCs w:val="20"/>
          <w:lang w:val="fr-FR" w:eastAsia="fr-FR"/>
        </w:rPr>
      </w:pPr>
    </w:p>
    <w:p w14:paraId="4E1A47B2"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613D4D3B"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Composition du capital social</w:t>
      </w:r>
    </w:p>
    <w:p w14:paraId="07C8BAE9" w14:textId="77777777" w:rsidR="00975B62" w:rsidRPr="00C73365" w:rsidRDefault="00975B62"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 xml:space="preserve">L’exercice de 394 BSA-2014-1 en date du 17 mars 2017 donnant lieu à la création de 39.400 actions de la Société a entraîné  une augmentation du capital social de 394 € pour le porter de 97.020,89 € à 97.414,89 €.  </w:t>
      </w:r>
    </w:p>
    <w:p w14:paraId="3AB73464" w14:textId="77777777" w:rsidR="00975B62" w:rsidRPr="00C73365" w:rsidRDefault="00975B62"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L’exercice de 100 BCE-2014-4 en date du 3 août 2017 donnant lieu à la création de 10.000 actions de la Société a entraîné une augmentation du capital social de 100 € pour le porter de 97.414,89 € à 97.514,89 €.</w:t>
      </w:r>
    </w:p>
    <w:p w14:paraId="2161BF90" w14:textId="77777777" w:rsidR="00975B62" w:rsidRPr="00C73365" w:rsidRDefault="00975B62"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L’exercice de 473,4 BSA 2014-4 en date du 7 août 2017 donnant lieu à la création de 47.340 actions de la Société a entraîné une augmentation du capital social de 473,40 € pour le porter de 97.514,89 € à 97.988,29 €.</w:t>
      </w:r>
    </w:p>
    <w:p w14:paraId="3DFECBFB" w14:textId="77777777" w:rsidR="00975B62" w:rsidRPr="00C73365" w:rsidRDefault="00975B62"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L’exercice de 400 BCE-2014-2 en date du 6 octobre 2017 donnant lieu à la création de 40.000 actions de la Société a entraîné une augmentation du capital social de 400 euros pour le porter de 97.988,29 € à 98.388,29 €.</w:t>
      </w:r>
    </w:p>
    <w:p w14:paraId="72E43FC3" w14:textId="77777777" w:rsidR="00975B62" w:rsidRPr="00C73365" w:rsidRDefault="00975B62"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 xml:space="preserve">L’exercice de 29 BSA-2014-7 en date du 13 novembre 2017 donnant lieu à la création de 2.900 actions de la Société a entraîné une augmentation du capital social de </w:t>
      </w:r>
      <w:r w:rsidRPr="00C73365">
        <w:rPr>
          <w:rFonts w:asciiTheme="minorHAnsi" w:hAnsiTheme="minorHAnsi" w:cstheme="minorHAnsi"/>
          <w:lang w:val="fr-FR" w:eastAsia="fr-FR"/>
        </w:rPr>
        <w:t>29 euros pour le porter de 98.388,29 euros à 98.417,29 euros.</w:t>
      </w:r>
    </w:p>
    <w:p w14:paraId="396F050A" w14:textId="77777777" w:rsidR="00975B62" w:rsidRPr="00C73365" w:rsidRDefault="00975B62"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L’exercice de 2.500 BCE-2016-1 en date du 2</w:t>
      </w:r>
      <w:r w:rsidR="00D468B1" w:rsidRPr="00C73365">
        <w:rPr>
          <w:rFonts w:asciiTheme="minorHAnsi" w:hAnsiTheme="minorHAnsi" w:cstheme="minorHAnsi"/>
          <w:lang w:val="fr-FR" w:eastAsia="fr-FR"/>
        </w:rPr>
        <w:t>0</w:t>
      </w:r>
      <w:r w:rsidRPr="00C73365">
        <w:rPr>
          <w:rFonts w:asciiTheme="minorHAnsi" w:hAnsiTheme="minorHAnsi" w:cstheme="minorHAnsi"/>
          <w:lang w:val="fr-FR" w:eastAsia="fr-FR"/>
        </w:rPr>
        <w:t xml:space="preserve"> décembre 2017 donnant lieu à la création de 2.500 actions de la Société a entraîné une augmentation du capital social de 25 euros pour le porter de 98.417,29 euros à 98.442,29 euros.</w:t>
      </w:r>
    </w:p>
    <w:p w14:paraId="73212B5E" w14:textId="77777777" w:rsidR="00975B62" w:rsidRPr="00C73365" w:rsidRDefault="00975B62"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 xml:space="preserve">L’exercice de 60 000 bons par </w:t>
      </w:r>
      <w:r w:rsidR="00EF089C" w:rsidRPr="00C73365">
        <w:rPr>
          <w:rFonts w:asciiTheme="minorHAnsi" w:hAnsiTheme="minorHAnsi" w:cstheme="minorHAnsi"/>
          <w:lang w:val="fr-FR" w:eastAsia="fr-FR"/>
        </w:rPr>
        <w:t>KEPLER CHEUVREUX</w:t>
      </w:r>
      <w:r w:rsidRPr="00C73365">
        <w:rPr>
          <w:rFonts w:asciiTheme="minorHAnsi" w:hAnsiTheme="minorHAnsi" w:cstheme="minorHAnsi"/>
          <w:lang w:val="fr-FR" w:eastAsia="fr-FR"/>
        </w:rPr>
        <w:t xml:space="preserve"> au cours du second semestre 2017 donnant lieu à la création de 60 000 actions de la Société a entraîné une augmentation du capital social de 600 euros pour le porter de 98.442,29 euros à 99.042,29 euros.</w:t>
      </w:r>
    </w:p>
    <w:p w14:paraId="5A89B413" w14:textId="77777777" w:rsidR="00975B62" w:rsidRPr="00C73365" w:rsidRDefault="00975B62"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 Conseil d’Administration n’a pas encore constaté ces augmentations de capital.</w:t>
      </w:r>
    </w:p>
    <w:p w14:paraId="6FCE31B7" w14:textId="77777777" w:rsidR="00975B62" w:rsidRPr="00C73365" w:rsidRDefault="00975B62"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détail des variations du capital est présenté dans le tableau de variation des capitaux propres figurant dans cette annexe.</w:t>
      </w:r>
    </w:p>
    <w:p w14:paraId="54561A23" w14:textId="77777777" w:rsidR="00975B62" w:rsidRPr="00C73365" w:rsidRDefault="00975B62" w:rsidP="00A96CCA">
      <w:pPr>
        <w:spacing w:after="0"/>
        <w:ind w:right="-2"/>
        <w:rPr>
          <w:rFonts w:asciiTheme="minorHAnsi" w:eastAsia="MS Mincho" w:hAnsiTheme="minorHAnsi" w:cstheme="minorHAnsi"/>
          <w:szCs w:val="20"/>
          <w:lang w:val="fr-FR" w:eastAsia="fr-FR"/>
        </w:rPr>
      </w:pPr>
    </w:p>
    <w:p w14:paraId="063596D9" w14:textId="77777777" w:rsidR="00975B62" w:rsidRPr="00C73365" w:rsidRDefault="00975B62" w:rsidP="00A96CCA">
      <w:pPr>
        <w:spacing w:after="0"/>
        <w:ind w:right="-2"/>
        <w:rPr>
          <w:rFonts w:asciiTheme="minorHAnsi" w:eastAsia="MS Mincho" w:hAnsiTheme="minorHAnsi" w:cstheme="minorHAnsi"/>
          <w:szCs w:val="20"/>
          <w:lang w:val="fr-FR" w:eastAsia="fr-FR"/>
        </w:rPr>
      </w:pPr>
    </w:p>
    <w:p w14:paraId="50E8A60C" w14:textId="77777777" w:rsidR="00975B62" w:rsidRPr="00C73365" w:rsidRDefault="00975B62" w:rsidP="00A96CCA">
      <w:pPr>
        <w:spacing w:after="0"/>
        <w:ind w:right="-2"/>
        <w:rPr>
          <w:rFonts w:asciiTheme="minorHAnsi" w:eastAsia="MS Mincho" w:hAnsiTheme="minorHAnsi" w:cstheme="minorHAnsi"/>
          <w:szCs w:val="20"/>
          <w:lang w:val="fr-FR" w:eastAsia="fr-FR"/>
        </w:rPr>
      </w:pPr>
    </w:p>
    <w:p w14:paraId="08370270" w14:textId="77777777" w:rsidR="002473E0" w:rsidRPr="00C73365" w:rsidRDefault="002473E0" w:rsidP="00A96CCA">
      <w:pPr>
        <w:spacing w:after="0"/>
        <w:ind w:right="-2"/>
        <w:rPr>
          <w:rFonts w:asciiTheme="minorHAnsi" w:eastAsia="MS Mincho" w:hAnsiTheme="minorHAnsi" w:cstheme="minorHAnsi"/>
          <w:szCs w:val="20"/>
          <w:lang w:val="fr-FR" w:eastAsia="fr-FR"/>
        </w:rPr>
      </w:pPr>
    </w:p>
    <w:p w14:paraId="416541A1" w14:textId="77777777" w:rsidR="002473E0" w:rsidRPr="00C73365" w:rsidRDefault="002473E0" w:rsidP="00A96CCA">
      <w:pPr>
        <w:spacing w:after="0"/>
        <w:ind w:right="-2"/>
        <w:rPr>
          <w:rFonts w:asciiTheme="minorHAnsi" w:eastAsia="MS Mincho" w:hAnsiTheme="minorHAnsi" w:cstheme="minorHAnsi"/>
          <w:szCs w:val="20"/>
          <w:lang w:val="fr-FR" w:eastAsia="fr-FR"/>
        </w:rPr>
      </w:pPr>
    </w:p>
    <w:p w14:paraId="64938724" w14:textId="77777777" w:rsidR="00452920" w:rsidRPr="00C73365" w:rsidRDefault="00452920" w:rsidP="00A96CCA">
      <w:pPr>
        <w:spacing w:after="0"/>
        <w:ind w:right="-2"/>
        <w:rPr>
          <w:rFonts w:asciiTheme="minorHAnsi" w:eastAsia="MS Mincho" w:hAnsiTheme="minorHAnsi" w:cstheme="minorHAnsi"/>
          <w:szCs w:val="20"/>
          <w:lang w:val="fr-FR" w:eastAsia="fr-FR"/>
        </w:rPr>
      </w:pPr>
    </w:p>
    <w:tbl>
      <w:tblPr>
        <w:tblW w:w="4613" w:type="dxa"/>
        <w:tblLook w:val="04A0" w:firstRow="1" w:lastRow="0" w:firstColumn="1" w:lastColumn="0" w:noHBand="0" w:noVBand="1"/>
      </w:tblPr>
      <w:tblGrid>
        <w:gridCol w:w="2213"/>
        <w:gridCol w:w="1131"/>
        <w:gridCol w:w="1269"/>
      </w:tblGrid>
      <w:tr w:rsidR="00452920" w:rsidRPr="00C73365" w14:paraId="7B7FEE92" w14:textId="77777777" w:rsidTr="00452920">
        <w:trPr>
          <w:trHeight w:val="247"/>
        </w:trPr>
        <w:tc>
          <w:tcPr>
            <w:tcW w:w="2213" w:type="dxa"/>
            <w:tcBorders>
              <w:top w:val="single" w:sz="8" w:space="0" w:color="7030A0"/>
              <w:left w:val="nil"/>
              <w:bottom w:val="single" w:sz="8" w:space="0" w:color="7030A0"/>
              <w:right w:val="nil"/>
            </w:tcBorders>
            <w:shd w:val="clear" w:color="auto" w:fill="auto"/>
            <w:vAlign w:val="center"/>
            <w:hideMark/>
          </w:tcPr>
          <w:p w14:paraId="0AB45F20" w14:textId="77777777" w:rsidR="00452920" w:rsidRPr="00C73365" w:rsidRDefault="00452920" w:rsidP="00452920">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131" w:type="dxa"/>
            <w:tcBorders>
              <w:top w:val="single" w:sz="8" w:space="0" w:color="7030A0"/>
              <w:left w:val="nil"/>
              <w:bottom w:val="single" w:sz="8" w:space="0" w:color="7030A0"/>
              <w:right w:val="nil"/>
            </w:tcBorders>
            <w:shd w:val="clear" w:color="auto" w:fill="auto"/>
            <w:vAlign w:val="center"/>
            <w:hideMark/>
          </w:tcPr>
          <w:p w14:paraId="44B20972" w14:textId="77777777"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Nombre d’Actions</w:t>
            </w:r>
          </w:p>
        </w:tc>
        <w:tc>
          <w:tcPr>
            <w:tcW w:w="1269" w:type="dxa"/>
            <w:tcBorders>
              <w:top w:val="single" w:sz="8" w:space="0" w:color="7030A0"/>
              <w:left w:val="nil"/>
              <w:bottom w:val="single" w:sz="8" w:space="0" w:color="7030A0"/>
              <w:right w:val="nil"/>
            </w:tcBorders>
            <w:shd w:val="clear" w:color="auto" w:fill="auto"/>
            <w:vAlign w:val="center"/>
            <w:hideMark/>
          </w:tcPr>
          <w:p w14:paraId="7D212471" w14:textId="77777777"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 non dilué (capital)</w:t>
            </w:r>
          </w:p>
        </w:tc>
      </w:tr>
      <w:tr w:rsidR="00452920" w:rsidRPr="00C73365" w14:paraId="61F385E2" w14:textId="77777777" w:rsidTr="00452920">
        <w:trPr>
          <w:trHeight w:val="235"/>
        </w:trPr>
        <w:tc>
          <w:tcPr>
            <w:tcW w:w="2213" w:type="dxa"/>
            <w:tcBorders>
              <w:top w:val="nil"/>
              <w:left w:val="nil"/>
              <w:bottom w:val="nil"/>
              <w:right w:val="nil"/>
            </w:tcBorders>
            <w:shd w:val="clear" w:color="auto" w:fill="auto"/>
            <w:noWrap/>
            <w:vAlign w:val="center"/>
            <w:hideMark/>
          </w:tcPr>
          <w:p w14:paraId="75F04A0D" w14:textId="77777777"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Holding Incubatrice MD</w:t>
            </w:r>
          </w:p>
        </w:tc>
        <w:tc>
          <w:tcPr>
            <w:tcW w:w="1131" w:type="dxa"/>
            <w:tcBorders>
              <w:top w:val="nil"/>
              <w:left w:val="nil"/>
              <w:bottom w:val="nil"/>
              <w:right w:val="nil"/>
            </w:tcBorders>
            <w:shd w:val="clear" w:color="auto" w:fill="auto"/>
            <w:noWrap/>
            <w:vAlign w:val="center"/>
            <w:hideMark/>
          </w:tcPr>
          <w:p w14:paraId="1E55CE09"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257 600</w:t>
            </w:r>
          </w:p>
        </w:tc>
        <w:tc>
          <w:tcPr>
            <w:tcW w:w="1269" w:type="dxa"/>
            <w:tcBorders>
              <w:top w:val="nil"/>
              <w:left w:val="nil"/>
              <w:bottom w:val="nil"/>
              <w:right w:val="nil"/>
            </w:tcBorders>
            <w:shd w:val="clear" w:color="auto" w:fill="auto"/>
            <w:vAlign w:val="center"/>
            <w:hideMark/>
          </w:tcPr>
          <w:p w14:paraId="5CCDE5BE"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2,60%</w:t>
            </w:r>
          </w:p>
        </w:tc>
      </w:tr>
      <w:tr w:rsidR="00452920" w:rsidRPr="00C73365" w14:paraId="67479816" w14:textId="77777777" w:rsidTr="00452920">
        <w:trPr>
          <w:trHeight w:val="235"/>
        </w:trPr>
        <w:tc>
          <w:tcPr>
            <w:tcW w:w="2213" w:type="dxa"/>
            <w:tcBorders>
              <w:top w:val="nil"/>
              <w:left w:val="nil"/>
              <w:bottom w:val="nil"/>
              <w:right w:val="nil"/>
            </w:tcBorders>
            <w:shd w:val="clear" w:color="auto" w:fill="auto"/>
            <w:noWrap/>
            <w:vAlign w:val="center"/>
            <w:hideMark/>
          </w:tcPr>
          <w:p w14:paraId="56642377" w14:textId="77777777"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Truffle Capital</w:t>
            </w:r>
          </w:p>
        </w:tc>
        <w:tc>
          <w:tcPr>
            <w:tcW w:w="1131" w:type="dxa"/>
            <w:tcBorders>
              <w:top w:val="nil"/>
              <w:left w:val="nil"/>
              <w:bottom w:val="nil"/>
              <w:right w:val="nil"/>
            </w:tcBorders>
            <w:shd w:val="clear" w:color="auto" w:fill="auto"/>
            <w:noWrap/>
            <w:vAlign w:val="center"/>
            <w:hideMark/>
          </w:tcPr>
          <w:p w14:paraId="5AB16971"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5 921 954</w:t>
            </w:r>
          </w:p>
        </w:tc>
        <w:tc>
          <w:tcPr>
            <w:tcW w:w="1269" w:type="dxa"/>
            <w:tcBorders>
              <w:top w:val="nil"/>
              <w:left w:val="nil"/>
              <w:bottom w:val="nil"/>
              <w:right w:val="nil"/>
            </w:tcBorders>
            <w:shd w:val="clear" w:color="auto" w:fill="auto"/>
            <w:vAlign w:val="center"/>
            <w:hideMark/>
          </w:tcPr>
          <w:p w14:paraId="6326EC64"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59,79%</w:t>
            </w:r>
          </w:p>
        </w:tc>
      </w:tr>
      <w:tr w:rsidR="00452920" w:rsidRPr="00C73365" w14:paraId="2C1466F5" w14:textId="77777777" w:rsidTr="00452920">
        <w:trPr>
          <w:trHeight w:val="235"/>
        </w:trPr>
        <w:tc>
          <w:tcPr>
            <w:tcW w:w="2213" w:type="dxa"/>
            <w:tcBorders>
              <w:top w:val="nil"/>
              <w:left w:val="nil"/>
              <w:bottom w:val="nil"/>
              <w:right w:val="nil"/>
            </w:tcBorders>
            <w:shd w:val="clear" w:color="auto" w:fill="auto"/>
            <w:noWrap/>
            <w:vAlign w:val="center"/>
            <w:hideMark/>
          </w:tcPr>
          <w:p w14:paraId="40A26314" w14:textId="77777777"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Direction</w:t>
            </w:r>
          </w:p>
        </w:tc>
        <w:tc>
          <w:tcPr>
            <w:tcW w:w="1131" w:type="dxa"/>
            <w:tcBorders>
              <w:top w:val="nil"/>
              <w:left w:val="nil"/>
              <w:bottom w:val="nil"/>
              <w:right w:val="nil"/>
            </w:tcBorders>
            <w:shd w:val="clear" w:color="auto" w:fill="auto"/>
            <w:noWrap/>
            <w:vAlign w:val="center"/>
            <w:hideMark/>
          </w:tcPr>
          <w:p w14:paraId="30BFBD00"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6 500</w:t>
            </w:r>
          </w:p>
        </w:tc>
        <w:tc>
          <w:tcPr>
            <w:tcW w:w="1269" w:type="dxa"/>
            <w:tcBorders>
              <w:top w:val="nil"/>
              <w:left w:val="nil"/>
              <w:bottom w:val="nil"/>
              <w:right w:val="nil"/>
            </w:tcBorders>
            <w:shd w:val="clear" w:color="auto" w:fill="auto"/>
            <w:vAlign w:val="center"/>
            <w:hideMark/>
          </w:tcPr>
          <w:p w14:paraId="46C26E75"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0,07%</w:t>
            </w:r>
          </w:p>
        </w:tc>
      </w:tr>
      <w:tr w:rsidR="00452920" w:rsidRPr="00C73365" w14:paraId="4FFFE37F" w14:textId="77777777" w:rsidTr="00452920">
        <w:trPr>
          <w:trHeight w:val="235"/>
        </w:trPr>
        <w:tc>
          <w:tcPr>
            <w:tcW w:w="2213" w:type="dxa"/>
            <w:tcBorders>
              <w:top w:val="nil"/>
              <w:left w:val="nil"/>
              <w:bottom w:val="nil"/>
              <w:right w:val="nil"/>
            </w:tcBorders>
            <w:shd w:val="clear" w:color="auto" w:fill="auto"/>
            <w:noWrap/>
            <w:vAlign w:val="center"/>
            <w:hideMark/>
          </w:tcPr>
          <w:p w14:paraId="25BE806D" w14:textId="77777777"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Conseil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administration</w:t>
            </w:r>
          </w:p>
        </w:tc>
        <w:tc>
          <w:tcPr>
            <w:tcW w:w="1131" w:type="dxa"/>
            <w:tcBorders>
              <w:top w:val="nil"/>
              <w:left w:val="nil"/>
              <w:bottom w:val="nil"/>
              <w:right w:val="nil"/>
            </w:tcBorders>
            <w:shd w:val="clear" w:color="auto" w:fill="auto"/>
            <w:noWrap/>
            <w:vAlign w:val="center"/>
            <w:hideMark/>
          </w:tcPr>
          <w:p w14:paraId="18518AA6"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446 011</w:t>
            </w:r>
          </w:p>
        </w:tc>
        <w:tc>
          <w:tcPr>
            <w:tcW w:w="1269" w:type="dxa"/>
            <w:tcBorders>
              <w:top w:val="nil"/>
              <w:left w:val="nil"/>
              <w:bottom w:val="nil"/>
              <w:right w:val="nil"/>
            </w:tcBorders>
            <w:shd w:val="clear" w:color="auto" w:fill="auto"/>
            <w:vAlign w:val="center"/>
            <w:hideMark/>
          </w:tcPr>
          <w:p w14:paraId="0B40CCDD"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4,50%</w:t>
            </w:r>
          </w:p>
        </w:tc>
      </w:tr>
      <w:tr w:rsidR="00452920" w:rsidRPr="00C73365" w14:paraId="3EBB9E58" w14:textId="77777777" w:rsidTr="00452920">
        <w:trPr>
          <w:trHeight w:val="235"/>
        </w:trPr>
        <w:tc>
          <w:tcPr>
            <w:tcW w:w="2213" w:type="dxa"/>
            <w:tcBorders>
              <w:top w:val="nil"/>
              <w:left w:val="nil"/>
              <w:bottom w:val="nil"/>
              <w:right w:val="nil"/>
            </w:tcBorders>
            <w:shd w:val="clear" w:color="auto" w:fill="auto"/>
            <w:noWrap/>
            <w:vAlign w:val="center"/>
            <w:hideMark/>
          </w:tcPr>
          <w:p w14:paraId="26C7553B" w14:textId="77777777"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Salariés</w:t>
            </w:r>
          </w:p>
        </w:tc>
        <w:tc>
          <w:tcPr>
            <w:tcW w:w="1131" w:type="dxa"/>
            <w:tcBorders>
              <w:top w:val="nil"/>
              <w:left w:val="nil"/>
              <w:bottom w:val="nil"/>
              <w:right w:val="nil"/>
            </w:tcBorders>
            <w:shd w:val="clear" w:color="auto" w:fill="auto"/>
            <w:noWrap/>
            <w:vAlign w:val="center"/>
            <w:hideMark/>
          </w:tcPr>
          <w:p w14:paraId="481D86F5"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2 500</w:t>
            </w:r>
          </w:p>
        </w:tc>
        <w:tc>
          <w:tcPr>
            <w:tcW w:w="1269" w:type="dxa"/>
            <w:tcBorders>
              <w:top w:val="nil"/>
              <w:left w:val="nil"/>
              <w:bottom w:val="nil"/>
              <w:right w:val="nil"/>
            </w:tcBorders>
            <w:shd w:val="clear" w:color="auto" w:fill="auto"/>
            <w:vAlign w:val="center"/>
            <w:hideMark/>
          </w:tcPr>
          <w:p w14:paraId="2FCF4CA2"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0,03%</w:t>
            </w:r>
          </w:p>
        </w:tc>
      </w:tr>
      <w:tr w:rsidR="00452920" w:rsidRPr="00C73365" w14:paraId="6AAFD9D5" w14:textId="77777777" w:rsidTr="00452920">
        <w:trPr>
          <w:trHeight w:val="235"/>
        </w:trPr>
        <w:tc>
          <w:tcPr>
            <w:tcW w:w="2213" w:type="dxa"/>
            <w:tcBorders>
              <w:top w:val="nil"/>
              <w:left w:val="nil"/>
              <w:bottom w:val="nil"/>
              <w:right w:val="nil"/>
            </w:tcBorders>
            <w:shd w:val="clear" w:color="auto" w:fill="auto"/>
            <w:noWrap/>
            <w:vAlign w:val="center"/>
            <w:hideMark/>
          </w:tcPr>
          <w:p w14:paraId="3EB6785A" w14:textId="77777777"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Consultants**</w:t>
            </w:r>
          </w:p>
        </w:tc>
        <w:tc>
          <w:tcPr>
            <w:tcW w:w="1131" w:type="dxa"/>
            <w:tcBorders>
              <w:top w:val="nil"/>
              <w:left w:val="nil"/>
              <w:bottom w:val="nil"/>
              <w:right w:val="nil"/>
            </w:tcBorders>
            <w:shd w:val="clear" w:color="auto" w:fill="auto"/>
            <w:noWrap/>
            <w:vAlign w:val="center"/>
            <w:hideMark/>
          </w:tcPr>
          <w:p w14:paraId="7933DB20"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53 527</w:t>
            </w:r>
          </w:p>
        </w:tc>
        <w:tc>
          <w:tcPr>
            <w:tcW w:w="1269" w:type="dxa"/>
            <w:tcBorders>
              <w:top w:val="nil"/>
              <w:left w:val="nil"/>
              <w:bottom w:val="nil"/>
              <w:right w:val="nil"/>
            </w:tcBorders>
            <w:shd w:val="clear" w:color="auto" w:fill="auto"/>
            <w:vAlign w:val="center"/>
            <w:hideMark/>
          </w:tcPr>
          <w:p w14:paraId="556A50F0"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0,54%</w:t>
            </w:r>
          </w:p>
        </w:tc>
      </w:tr>
      <w:tr w:rsidR="00452920" w:rsidRPr="00C73365" w14:paraId="4D86F2DC" w14:textId="77777777" w:rsidTr="00452920">
        <w:trPr>
          <w:trHeight w:val="235"/>
        </w:trPr>
        <w:tc>
          <w:tcPr>
            <w:tcW w:w="2213" w:type="dxa"/>
            <w:tcBorders>
              <w:top w:val="nil"/>
              <w:left w:val="nil"/>
              <w:bottom w:val="nil"/>
              <w:right w:val="nil"/>
            </w:tcBorders>
            <w:shd w:val="clear" w:color="auto" w:fill="auto"/>
            <w:noWrap/>
            <w:vAlign w:val="center"/>
            <w:hideMark/>
          </w:tcPr>
          <w:p w14:paraId="7744A7A1" w14:textId="77777777"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w:t>
            </w:r>
          </w:p>
        </w:tc>
        <w:tc>
          <w:tcPr>
            <w:tcW w:w="1131" w:type="dxa"/>
            <w:tcBorders>
              <w:top w:val="nil"/>
              <w:left w:val="nil"/>
              <w:bottom w:val="nil"/>
              <w:right w:val="nil"/>
            </w:tcBorders>
            <w:shd w:val="clear" w:color="auto" w:fill="auto"/>
            <w:noWrap/>
            <w:vAlign w:val="center"/>
            <w:hideMark/>
          </w:tcPr>
          <w:p w14:paraId="1FDFB0DE"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187 883</w:t>
            </w:r>
          </w:p>
        </w:tc>
        <w:tc>
          <w:tcPr>
            <w:tcW w:w="1269" w:type="dxa"/>
            <w:tcBorders>
              <w:top w:val="nil"/>
              <w:left w:val="nil"/>
              <w:bottom w:val="nil"/>
              <w:right w:val="nil"/>
            </w:tcBorders>
            <w:shd w:val="clear" w:color="auto" w:fill="auto"/>
            <w:vAlign w:val="center"/>
            <w:hideMark/>
          </w:tcPr>
          <w:p w14:paraId="63910558"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1,90%</w:t>
            </w:r>
          </w:p>
        </w:tc>
      </w:tr>
      <w:tr w:rsidR="00452920" w:rsidRPr="00C73365" w14:paraId="26844825" w14:textId="77777777" w:rsidTr="00452920">
        <w:trPr>
          <w:trHeight w:val="235"/>
        </w:trPr>
        <w:tc>
          <w:tcPr>
            <w:tcW w:w="2213" w:type="dxa"/>
            <w:tcBorders>
              <w:top w:val="nil"/>
              <w:left w:val="nil"/>
              <w:bottom w:val="nil"/>
              <w:right w:val="nil"/>
            </w:tcBorders>
            <w:shd w:val="clear" w:color="auto" w:fill="auto"/>
            <w:noWrap/>
            <w:vAlign w:val="center"/>
            <w:hideMark/>
          </w:tcPr>
          <w:p w14:paraId="4D1FBF5B" w14:textId="77777777"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Auto contrôle</w:t>
            </w:r>
          </w:p>
        </w:tc>
        <w:tc>
          <w:tcPr>
            <w:tcW w:w="1131" w:type="dxa"/>
            <w:tcBorders>
              <w:top w:val="nil"/>
              <w:left w:val="nil"/>
              <w:bottom w:val="nil"/>
              <w:right w:val="nil"/>
            </w:tcBorders>
            <w:shd w:val="clear" w:color="auto" w:fill="auto"/>
            <w:noWrap/>
            <w:vAlign w:val="center"/>
            <w:hideMark/>
          </w:tcPr>
          <w:p w14:paraId="55FCF34E"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34 050</w:t>
            </w:r>
          </w:p>
        </w:tc>
        <w:tc>
          <w:tcPr>
            <w:tcW w:w="1269" w:type="dxa"/>
            <w:tcBorders>
              <w:top w:val="nil"/>
              <w:left w:val="nil"/>
              <w:bottom w:val="nil"/>
              <w:right w:val="nil"/>
            </w:tcBorders>
            <w:shd w:val="clear" w:color="auto" w:fill="auto"/>
            <w:vAlign w:val="center"/>
            <w:hideMark/>
          </w:tcPr>
          <w:p w14:paraId="640ECABB"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0,34%</w:t>
            </w:r>
          </w:p>
        </w:tc>
      </w:tr>
      <w:tr w:rsidR="00452920" w:rsidRPr="00C73365" w14:paraId="27EC2DB6" w14:textId="77777777" w:rsidTr="00452920">
        <w:trPr>
          <w:trHeight w:val="247"/>
        </w:trPr>
        <w:tc>
          <w:tcPr>
            <w:tcW w:w="2213" w:type="dxa"/>
            <w:tcBorders>
              <w:top w:val="nil"/>
              <w:left w:val="nil"/>
              <w:bottom w:val="single" w:sz="8" w:space="0" w:color="7030A0"/>
              <w:right w:val="nil"/>
            </w:tcBorders>
            <w:shd w:val="clear" w:color="auto" w:fill="auto"/>
            <w:noWrap/>
            <w:vAlign w:val="center"/>
            <w:hideMark/>
          </w:tcPr>
          <w:p w14:paraId="3BD06F9C" w14:textId="77777777"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Flottant</w:t>
            </w:r>
          </w:p>
        </w:tc>
        <w:tc>
          <w:tcPr>
            <w:tcW w:w="1131" w:type="dxa"/>
            <w:tcBorders>
              <w:top w:val="nil"/>
              <w:left w:val="nil"/>
              <w:bottom w:val="single" w:sz="8" w:space="0" w:color="7030A0"/>
              <w:right w:val="nil"/>
            </w:tcBorders>
            <w:shd w:val="clear" w:color="auto" w:fill="auto"/>
            <w:vAlign w:val="center"/>
            <w:hideMark/>
          </w:tcPr>
          <w:p w14:paraId="4656880B"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2 994 204</w:t>
            </w:r>
          </w:p>
        </w:tc>
        <w:tc>
          <w:tcPr>
            <w:tcW w:w="1269" w:type="dxa"/>
            <w:tcBorders>
              <w:top w:val="nil"/>
              <w:left w:val="nil"/>
              <w:bottom w:val="single" w:sz="8" w:space="0" w:color="7030A0"/>
              <w:right w:val="nil"/>
            </w:tcBorders>
            <w:shd w:val="clear" w:color="auto" w:fill="auto"/>
            <w:vAlign w:val="center"/>
            <w:hideMark/>
          </w:tcPr>
          <w:p w14:paraId="00ADD5B5" w14:textId="77777777"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30,23%</w:t>
            </w:r>
          </w:p>
        </w:tc>
      </w:tr>
      <w:tr w:rsidR="00452920" w:rsidRPr="00C73365" w14:paraId="4C9DFD04" w14:textId="77777777" w:rsidTr="00253A11">
        <w:trPr>
          <w:trHeight w:val="247"/>
        </w:trPr>
        <w:tc>
          <w:tcPr>
            <w:tcW w:w="2213" w:type="dxa"/>
            <w:tcBorders>
              <w:top w:val="nil"/>
              <w:left w:val="nil"/>
              <w:bottom w:val="nil"/>
              <w:right w:val="nil"/>
            </w:tcBorders>
            <w:shd w:val="clear" w:color="auto" w:fill="auto"/>
            <w:noWrap/>
            <w:vAlign w:val="center"/>
            <w:hideMark/>
          </w:tcPr>
          <w:p w14:paraId="2AA2785C" w14:textId="77777777" w:rsidR="00452920" w:rsidRPr="00C73365" w:rsidRDefault="00452920" w:rsidP="00452920">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131" w:type="dxa"/>
            <w:tcBorders>
              <w:top w:val="nil"/>
              <w:left w:val="nil"/>
              <w:bottom w:val="nil"/>
              <w:right w:val="nil"/>
            </w:tcBorders>
            <w:shd w:val="clear" w:color="auto" w:fill="auto"/>
            <w:vAlign w:val="center"/>
            <w:hideMark/>
          </w:tcPr>
          <w:p w14:paraId="35F02D36" w14:textId="77777777"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9 904 229</w:t>
            </w:r>
          </w:p>
        </w:tc>
        <w:tc>
          <w:tcPr>
            <w:tcW w:w="1269" w:type="dxa"/>
            <w:tcBorders>
              <w:top w:val="nil"/>
              <w:left w:val="nil"/>
              <w:bottom w:val="nil"/>
              <w:right w:val="nil"/>
            </w:tcBorders>
            <w:shd w:val="clear" w:color="auto" w:fill="auto"/>
            <w:vAlign w:val="center"/>
            <w:hideMark/>
          </w:tcPr>
          <w:p w14:paraId="5A035342" w14:textId="77777777"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100,00%</w:t>
            </w:r>
          </w:p>
        </w:tc>
      </w:tr>
      <w:tr w:rsidR="00253A11" w:rsidRPr="00C73365" w14:paraId="2BDBF097" w14:textId="77777777" w:rsidTr="00452920">
        <w:trPr>
          <w:trHeight w:val="247"/>
        </w:trPr>
        <w:tc>
          <w:tcPr>
            <w:tcW w:w="2213" w:type="dxa"/>
            <w:tcBorders>
              <w:top w:val="nil"/>
              <w:left w:val="nil"/>
              <w:bottom w:val="single" w:sz="8" w:space="0" w:color="7030A0"/>
              <w:right w:val="nil"/>
            </w:tcBorders>
            <w:shd w:val="clear" w:color="auto" w:fill="auto"/>
            <w:noWrap/>
            <w:vAlign w:val="center"/>
          </w:tcPr>
          <w:p w14:paraId="64006DD3" w14:textId="77777777" w:rsidR="00253A11" w:rsidRPr="00C73365" w:rsidRDefault="00253A11" w:rsidP="00452920">
            <w:pPr>
              <w:spacing w:after="0"/>
              <w:rPr>
                <w:rFonts w:asciiTheme="minorHAnsi" w:hAnsiTheme="minorHAnsi" w:cstheme="minorHAnsi"/>
                <w:b/>
                <w:bCs/>
                <w:color w:val="7030A0"/>
                <w:szCs w:val="20"/>
                <w:lang w:val="fr-FR"/>
              </w:rPr>
            </w:pPr>
          </w:p>
        </w:tc>
        <w:tc>
          <w:tcPr>
            <w:tcW w:w="1131" w:type="dxa"/>
            <w:tcBorders>
              <w:top w:val="nil"/>
              <w:left w:val="nil"/>
              <w:bottom w:val="single" w:sz="8" w:space="0" w:color="7030A0"/>
              <w:right w:val="nil"/>
            </w:tcBorders>
            <w:shd w:val="clear" w:color="auto" w:fill="auto"/>
            <w:vAlign w:val="center"/>
          </w:tcPr>
          <w:p w14:paraId="7F821CA7" w14:textId="77777777" w:rsidR="00253A11" w:rsidRPr="00C73365" w:rsidRDefault="00253A11" w:rsidP="00452920">
            <w:pPr>
              <w:spacing w:after="0"/>
              <w:jc w:val="center"/>
              <w:rPr>
                <w:rFonts w:asciiTheme="minorHAnsi" w:hAnsiTheme="minorHAnsi" w:cstheme="minorHAnsi"/>
                <w:b/>
                <w:bCs/>
                <w:color w:val="7030A0"/>
                <w:szCs w:val="20"/>
                <w:lang w:val="fr-FR"/>
              </w:rPr>
            </w:pPr>
          </w:p>
        </w:tc>
        <w:tc>
          <w:tcPr>
            <w:tcW w:w="1269" w:type="dxa"/>
            <w:tcBorders>
              <w:top w:val="nil"/>
              <w:left w:val="nil"/>
              <w:bottom w:val="single" w:sz="8" w:space="0" w:color="7030A0"/>
              <w:right w:val="nil"/>
            </w:tcBorders>
            <w:shd w:val="clear" w:color="auto" w:fill="auto"/>
            <w:vAlign w:val="center"/>
          </w:tcPr>
          <w:p w14:paraId="3D922D2D" w14:textId="77777777" w:rsidR="00253A11" w:rsidRPr="00C73365" w:rsidRDefault="00253A11" w:rsidP="00452920">
            <w:pPr>
              <w:spacing w:after="0"/>
              <w:jc w:val="center"/>
              <w:rPr>
                <w:rFonts w:asciiTheme="minorHAnsi" w:hAnsiTheme="minorHAnsi" w:cstheme="minorHAnsi"/>
                <w:b/>
                <w:bCs/>
                <w:color w:val="7030A0"/>
                <w:szCs w:val="20"/>
                <w:lang w:val="fr-FR"/>
              </w:rPr>
            </w:pPr>
          </w:p>
        </w:tc>
      </w:tr>
    </w:tbl>
    <w:p w14:paraId="2FA99125" w14:textId="77777777" w:rsidR="00452920" w:rsidRPr="00C73365" w:rsidRDefault="00452920" w:rsidP="00A96CCA">
      <w:pPr>
        <w:spacing w:after="0"/>
        <w:ind w:right="-2"/>
        <w:rPr>
          <w:rFonts w:asciiTheme="minorHAnsi" w:eastAsia="MS Mincho" w:hAnsiTheme="minorHAnsi" w:cstheme="minorHAnsi"/>
          <w:szCs w:val="20"/>
          <w:lang w:val="fr-FR" w:eastAsia="fr-FR"/>
        </w:rPr>
      </w:pPr>
    </w:p>
    <w:p w14:paraId="17320C70" w14:textId="77777777" w:rsidR="00452920" w:rsidRPr="00C73365" w:rsidRDefault="00452920" w:rsidP="00A96CCA">
      <w:pPr>
        <w:spacing w:after="0"/>
        <w:ind w:right="-2"/>
        <w:rPr>
          <w:rFonts w:asciiTheme="minorHAnsi" w:eastAsia="MS Mincho" w:hAnsiTheme="minorHAnsi" w:cstheme="minorHAnsi"/>
          <w:szCs w:val="20"/>
          <w:lang w:val="fr-FR" w:eastAsia="fr-FR"/>
        </w:rPr>
      </w:pPr>
    </w:p>
    <w:p w14:paraId="7613EFEA" w14:textId="77777777" w:rsidR="00452920" w:rsidRPr="00C73365" w:rsidRDefault="00452920" w:rsidP="00A96CCA">
      <w:pPr>
        <w:spacing w:after="0"/>
        <w:ind w:right="-2"/>
        <w:rPr>
          <w:rFonts w:asciiTheme="minorHAnsi" w:eastAsia="MS Mincho" w:hAnsiTheme="minorHAnsi" w:cstheme="minorHAnsi"/>
          <w:szCs w:val="20"/>
          <w:lang w:val="fr-FR" w:eastAsia="fr-FR"/>
        </w:rPr>
      </w:pPr>
    </w:p>
    <w:p w14:paraId="75E7CBEE" w14:textId="77777777" w:rsidR="00452920" w:rsidRPr="00C73365" w:rsidRDefault="00452920" w:rsidP="00A96CCA">
      <w:pPr>
        <w:spacing w:after="0"/>
        <w:ind w:right="-2"/>
        <w:rPr>
          <w:rFonts w:asciiTheme="minorHAnsi" w:eastAsia="MS Mincho" w:hAnsiTheme="minorHAnsi" w:cstheme="minorHAnsi"/>
          <w:szCs w:val="20"/>
          <w:lang w:val="fr-FR" w:eastAsia="fr-FR"/>
        </w:rPr>
      </w:pPr>
    </w:p>
    <w:p w14:paraId="58876744" w14:textId="77777777" w:rsidR="00452920" w:rsidRPr="00C73365" w:rsidRDefault="00452920" w:rsidP="00A96CCA">
      <w:pPr>
        <w:spacing w:after="0"/>
        <w:ind w:right="-2"/>
        <w:rPr>
          <w:rFonts w:asciiTheme="minorHAnsi" w:eastAsia="MS Mincho" w:hAnsiTheme="minorHAnsi" w:cstheme="minorHAnsi"/>
          <w:szCs w:val="20"/>
          <w:lang w:val="fr-FR" w:eastAsia="fr-FR"/>
        </w:rPr>
      </w:pPr>
    </w:p>
    <w:p w14:paraId="5D9174A4" w14:textId="77777777" w:rsidR="002473E0" w:rsidRPr="00C73365" w:rsidRDefault="002473E0" w:rsidP="00A96CCA">
      <w:pPr>
        <w:spacing w:after="0"/>
        <w:ind w:right="-2"/>
        <w:rPr>
          <w:rFonts w:asciiTheme="minorHAnsi" w:eastAsia="MS Mincho" w:hAnsiTheme="minorHAnsi" w:cstheme="minorHAnsi"/>
          <w:szCs w:val="20"/>
          <w:lang w:val="fr-FR" w:eastAsia="fr-FR"/>
        </w:rPr>
      </w:pPr>
    </w:p>
    <w:p w14:paraId="3034A8B9" w14:textId="77777777" w:rsidR="002473E0" w:rsidRPr="00C73365" w:rsidRDefault="002473E0" w:rsidP="00A96CCA">
      <w:pPr>
        <w:spacing w:after="0"/>
        <w:ind w:right="-2"/>
        <w:rPr>
          <w:rFonts w:asciiTheme="minorHAnsi" w:eastAsia="MS Mincho" w:hAnsiTheme="minorHAnsi" w:cstheme="minorHAnsi"/>
          <w:szCs w:val="20"/>
          <w:lang w:val="fr-FR" w:eastAsia="fr-FR"/>
        </w:rPr>
      </w:pPr>
    </w:p>
    <w:p w14:paraId="6F397F52" w14:textId="77777777" w:rsidR="002473E0" w:rsidRPr="00C73365" w:rsidRDefault="002473E0" w:rsidP="00A96CCA">
      <w:pPr>
        <w:spacing w:after="0"/>
        <w:ind w:right="-2"/>
        <w:rPr>
          <w:rFonts w:asciiTheme="minorHAnsi" w:eastAsia="MS Mincho" w:hAnsiTheme="minorHAnsi" w:cstheme="minorHAnsi"/>
          <w:szCs w:val="20"/>
          <w:lang w:val="fr-FR" w:eastAsia="fr-FR"/>
        </w:rPr>
      </w:pPr>
    </w:p>
    <w:p w14:paraId="0BD65CE3" w14:textId="77777777" w:rsidR="00253A11" w:rsidRPr="00C73365" w:rsidRDefault="00253A11" w:rsidP="004572A0">
      <w:pPr>
        <w:pStyle w:val="Corpsdetexte"/>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BSA/BSPCE ainsi que des anciens salariés de la société, des anciens membres du conseil ou certains membres des comités.</w:t>
      </w:r>
    </w:p>
    <w:p w14:paraId="39B619C0" w14:textId="77777777" w:rsidR="00253A11" w:rsidRPr="00C73365" w:rsidRDefault="00253A11"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r w:rsidR="00B97E97" w:rsidRPr="00C73365">
        <w:rPr>
          <w:rFonts w:asciiTheme="minorHAnsi" w:hAnsiTheme="minorHAnsi" w:cstheme="minorHAnsi"/>
          <w:lang w:val="fr-FR"/>
        </w:rPr>
        <w:t>)</w:t>
      </w:r>
    </w:p>
    <w:p w14:paraId="1A06B7D0" w14:textId="77777777" w:rsidR="00975B62" w:rsidRPr="00C73365" w:rsidRDefault="00975B62" w:rsidP="004572A0">
      <w:pPr>
        <w:pStyle w:val="Corpsdetexte"/>
        <w:rPr>
          <w:rFonts w:asciiTheme="minorHAnsi" w:hAnsiTheme="minorHAnsi" w:cstheme="minorHAnsi"/>
          <w:lang w:val="fr-FR"/>
        </w:rPr>
        <w:sectPr w:rsidR="00975B62" w:rsidRPr="00C73365" w:rsidSect="007C607C">
          <w:footerReference w:type="default" r:id="rId86"/>
          <w:type w:val="continuous"/>
          <w:pgSz w:w="11906" w:h="16838"/>
          <w:pgMar w:top="1134" w:right="1134" w:bottom="1134" w:left="1134" w:header="709" w:footer="709" w:gutter="0"/>
          <w:cols w:num="2" w:space="397"/>
          <w:docGrid w:linePitch="360"/>
        </w:sectPr>
      </w:pPr>
    </w:p>
    <w:p w14:paraId="0EC670F8" w14:textId="77777777" w:rsidR="00975B62" w:rsidRPr="00C73365" w:rsidRDefault="00975B62" w:rsidP="004572A0">
      <w:pPr>
        <w:pStyle w:val="Corpsdetexte"/>
        <w:rPr>
          <w:rFonts w:asciiTheme="minorHAnsi" w:eastAsia="MS Mincho" w:hAnsiTheme="minorHAnsi" w:cstheme="minorHAnsi"/>
          <w:highlight w:val="yellow"/>
          <w:lang w:val="fr-FR" w:eastAsia="fr-FR"/>
        </w:rPr>
        <w:sectPr w:rsidR="00975B62" w:rsidRPr="00C73365" w:rsidSect="00C50FC3">
          <w:type w:val="continuous"/>
          <w:pgSz w:w="11906" w:h="16838"/>
          <w:pgMar w:top="1134" w:right="1134" w:bottom="1134" w:left="1134" w:header="709" w:footer="709" w:gutter="0"/>
          <w:cols w:space="397"/>
          <w:docGrid w:linePitch="360"/>
        </w:sectPr>
      </w:pPr>
    </w:p>
    <w:p w14:paraId="6DE89BBA" w14:textId="77777777" w:rsidR="005D0722"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Emission d’instruments financiers dilutifs (BSPCE et BSA)</w:t>
      </w:r>
      <w:r w:rsidR="005D0722" w:rsidRPr="00C73365">
        <w:rPr>
          <w:rFonts w:asciiTheme="minorHAnsi" w:eastAsia="MS Mincho" w:hAnsiTheme="minorHAnsi" w:cstheme="minorHAnsi"/>
          <w:b/>
          <w:lang w:val="fr-FR" w:eastAsia="fr-FR"/>
        </w:rPr>
        <w:t xml:space="preserve"> </w:t>
      </w:r>
    </w:p>
    <w:p w14:paraId="0FAB3346" w14:textId="77777777" w:rsidR="004A54FF"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société a émis les titres donnant accès à son capital (bons de souscription de parts de créateur d’entreprise – </w:t>
      </w:r>
      <w:r w:rsidRPr="00C73365">
        <w:rPr>
          <w:rFonts w:asciiTheme="minorHAnsi" w:eastAsia="MS Mincho" w:hAnsiTheme="minorHAnsi" w:cstheme="minorHAnsi"/>
          <w:lang w:val="fr-FR" w:eastAsia="fr-FR"/>
        </w:rPr>
        <w:t xml:space="preserve">BCE- et bons de souscription d’actions – BSA) détaillés dans le tableau présenté ci-après (données mises à jour au </w:t>
      </w:r>
      <w:r w:rsidR="00575359" w:rsidRPr="00C73365">
        <w:rPr>
          <w:rFonts w:asciiTheme="minorHAnsi" w:eastAsia="MS Mincho" w:hAnsiTheme="minorHAnsi" w:cstheme="minorHAnsi"/>
          <w:lang w:val="fr-FR" w:eastAsia="fr-FR"/>
        </w:rPr>
        <w:t xml:space="preserve">31 Décembre </w:t>
      </w:r>
      <w:r w:rsidR="005D0722"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w:t>
      </w:r>
    </w:p>
    <w:p w14:paraId="35DAABEB" w14:textId="77777777" w:rsidR="005D0722" w:rsidRPr="00C73365" w:rsidRDefault="005D0722" w:rsidP="004572A0">
      <w:pPr>
        <w:pStyle w:val="Corpsdetexte"/>
        <w:rPr>
          <w:rFonts w:asciiTheme="minorHAnsi" w:eastAsia="MS Mincho" w:hAnsiTheme="minorHAnsi" w:cstheme="minorHAnsi"/>
          <w:lang w:val="fr-FR" w:eastAsia="fr-FR"/>
        </w:rPr>
        <w:sectPr w:rsidR="005D0722" w:rsidRPr="00C73365" w:rsidSect="00C50FC3">
          <w:type w:val="continuous"/>
          <w:pgSz w:w="11906" w:h="16838"/>
          <w:pgMar w:top="1134" w:right="1134" w:bottom="1134" w:left="1134" w:header="709" w:footer="709" w:gutter="0"/>
          <w:cols w:num="2" w:space="397"/>
          <w:docGrid w:linePitch="360"/>
        </w:sectPr>
      </w:pPr>
    </w:p>
    <w:tbl>
      <w:tblPr>
        <w:tblW w:w="8900" w:type="dxa"/>
        <w:tblCellMar>
          <w:left w:w="0" w:type="dxa"/>
          <w:right w:w="0" w:type="dxa"/>
        </w:tblCellMar>
        <w:tblLook w:val="04A0" w:firstRow="1" w:lastRow="0" w:firstColumn="1" w:lastColumn="0" w:noHBand="0" w:noVBand="1"/>
      </w:tblPr>
      <w:tblGrid>
        <w:gridCol w:w="1460"/>
        <w:gridCol w:w="1240"/>
        <w:gridCol w:w="1240"/>
        <w:gridCol w:w="1240"/>
        <w:gridCol w:w="1240"/>
        <w:gridCol w:w="1240"/>
        <w:gridCol w:w="1240"/>
      </w:tblGrid>
      <w:tr w:rsidR="00333B95" w:rsidRPr="00C73365" w14:paraId="255F6D8D" w14:textId="77777777" w:rsidTr="00117EB8">
        <w:trPr>
          <w:trHeight w:val="852"/>
        </w:trPr>
        <w:tc>
          <w:tcPr>
            <w:tcW w:w="146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14:paraId="210225A6" w14:textId="77777777" w:rsidR="00333B95" w:rsidRPr="00C73365" w:rsidRDefault="00333B95" w:rsidP="00A96CCA">
            <w:pPr>
              <w:widowControl w:val="0"/>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 </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14:paraId="6A6B0B86" w14:textId="77777777"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Emis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14:paraId="27A5F2B1" w14:textId="77777777"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Souscrits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14:paraId="245C3011" w14:textId="77777777"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Exercés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14:paraId="7FACC5C0" w14:textId="77777777"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Caducs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14:paraId="222B6531" w14:textId="77777777"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Solde</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14:paraId="75D5C7D0" w14:textId="77777777"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Nombre d</w:t>
            </w:r>
            <w:r w:rsidR="004572A0" w:rsidRPr="00C73365">
              <w:rPr>
                <w:rFonts w:asciiTheme="minorHAnsi" w:hAnsiTheme="minorHAnsi" w:cstheme="minorHAnsi"/>
                <w:b/>
                <w:bCs/>
                <w:szCs w:val="20"/>
                <w:lang w:eastAsia="fr-FR"/>
              </w:rPr>
              <w:t>’</w:t>
            </w:r>
            <w:r w:rsidRPr="00C73365">
              <w:rPr>
                <w:rFonts w:asciiTheme="minorHAnsi" w:hAnsiTheme="minorHAnsi" w:cstheme="minorHAnsi"/>
                <w:b/>
                <w:bCs/>
                <w:szCs w:val="20"/>
                <w:lang w:eastAsia="fr-FR"/>
              </w:rPr>
              <w:t>actions à émettre</w:t>
            </w:r>
          </w:p>
        </w:tc>
      </w:tr>
      <w:tr w:rsidR="00333B95" w:rsidRPr="00C73365" w14:paraId="3B11D673" w14:textId="77777777" w:rsidTr="00117EB8">
        <w:trPr>
          <w:trHeight w:val="288"/>
        </w:trPr>
        <w:tc>
          <w:tcPr>
            <w:tcW w:w="1460" w:type="dxa"/>
            <w:noWrap/>
            <w:tcMar>
              <w:top w:w="0" w:type="dxa"/>
              <w:left w:w="70" w:type="dxa"/>
              <w:bottom w:w="0" w:type="dxa"/>
              <w:right w:w="70" w:type="dxa"/>
            </w:tcMar>
            <w:vAlign w:val="center"/>
            <w:hideMark/>
          </w:tcPr>
          <w:p w14:paraId="58FA7EC8"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BCE-2014-1</w:t>
            </w:r>
          </w:p>
        </w:tc>
        <w:tc>
          <w:tcPr>
            <w:tcW w:w="1240" w:type="dxa"/>
            <w:tcMar>
              <w:top w:w="0" w:type="dxa"/>
              <w:left w:w="70" w:type="dxa"/>
              <w:bottom w:w="0" w:type="dxa"/>
              <w:right w:w="70" w:type="dxa"/>
            </w:tcMar>
            <w:vAlign w:val="center"/>
            <w:hideMark/>
          </w:tcPr>
          <w:p w14:paraId="1CDEA037"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14:paraId="23B5247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14:paraId="7745A653"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460AB2F7"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23808E77"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14:paraId="15E631D1"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275 000</w:t>
            </w:r>
          </w:p>
        </w:tc>
      </w:tr>
      <w:tr w:rsidR="00333B95" w:rsidRPr="00C73365" w14:paraId="602E7848" w14:textId="77777777" w:rsidTr="00117EB8">
        <w:trPr>
          <w:trHeight w:val="288"/>
        </w:trPr>
        <w:tc>
          <w:tcPr>
            <w:tcW w:w="1460" w:type="dxa"/>
            <w:noWrap/>
            <w:tcMar>
              <w:top w:w="0" w:type="dxa"/>
              <w:left w:w="70" w:type="dxa"/>
              <w:bottom w:w="0" w:type="dxa"/>
              <w:right w:w="70" w:type="dxa"/>
            </w:tcMar>
            <w:vAlign w:val="center"/>
            <w:hideMark/>
          </w:tcPr>
          <w:p w14:paraId="365CC41B"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BCE-2014-2</w:t>
            </w:r>
          </w:p>
        </w:tc>
        <w:tc>
          <w:tcPr>
            <w:tcW w:w="1240" w:type="dxa"/>
            <w:tcMar>
              <w:top w:w="0" w:type="dxa"/>
              <w:left w:w="70" w:type="dxa"/>
              <w:bottom w:w="0" w:type="dxa"/>
              <w:right w:w="70" w:type="dxa"/>
            </w:tcMar>
            <w:vAlign w:val="center"/>
            <w:hideMark/>
          </w:tcPr>
          <w:p w14:paraId="1FDC20D8"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14:paraId="5AE4BA8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14:paraId="13D5F3B7"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400</w:t>
            </w:r>
          </w:p>
        </w:tc>
        <w:tc>
          <w:tcPr>
            <w:tcW w:w="1240" w:type="dxa"/>
            <w:tcMar>
              <w:top w:w="0" w:type="dxa"/>
              <w:left w:w="70" w:type="dxa"/>
              <w:bottom w:w="0" w:type="dxa"/>
              <w:right w:w="70" w:type="dxa"/>
            </w:tcMar>
            <w:vAlign w:val="center"/>
            <w:hideMark/>
          </w:tcPr>
          <w:p w14:paraId="11F37F50"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4567CCA5"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2 350</w:t>
            </w:r>
          </w:p>
        </w:tc>
        <w:tc>
          <w:tcPr>
            <w:tcW w:w="1240" w:type="dxa"/>
            <w:tcMar>
              <w:top w:w="0" w:type="dxa"/>
              <w:left w:w="70" w:type="dxa"/>
              <w:bottom w:w="0" w:type="dxa"/>
              <w:right w:w="70" w:type="dxa"/>
            </w:tcMar>
            <w:vAlign w:val="center"/>
            <w:hideMark/>
          </w:tcPr>
          <w:p w14:paraId="3A22B2B4"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235 000</w:t>
            </w:r>
          </w:p>
        </w:tc>
      </w:tr>
      <w:tr w:rsidR="00333B95" w:rsidRPr="00C73365" w14:paraId="422DBCAC" w14:textId="77777777" w:rsidTr="00117EB8">
        <w:trPr>
          <w:trHeight w:val="288"/>
        </w:trPr>
        <w:tc>
          <w:tcPr>
            <w:tcW w:w="1460" w:type="dxa"/>
            <w:noWrap/>
            <w:tcMar>
              <w:top w:w="0" w:type="dxa"/>
              <w:left w:w="70" w:type="dxa"/>
              <w:bottom w:w="0" w:type="dxa"/>
              <w:right w:w="70" w:type="dxa"/>
            </w:tcMar>
            <w:vAlign w:val="center"/>
            <w:hideMark/>
          </w:tcPr>
          <w:p w14:paraId="71C95AA3"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BCE-2014-3</w:t>
            </w:r>
          </w:p>
        </w:tc>
        <w:tc>
          <w:tcPr>
            <w:tcW w:w="1240" w:type="dxa"/>
            <w:tcMar>
              <w:top w:w="0" w:type="dxa"/>
              <w:left w:w="70" w:type="dxa"/>
              <w:bottom w:w="0" w:type="dxa"/>
              <w:right w:w="70" w:type="dxa"/>
            </w:tcMar>
            <w:vAlign w:val="center"/>
            <w:hideMark/>
          </w:tcPr>
          <w:p w14:paraId="54A7226A"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1 389</w:t>
            </w:r>
          </w:p>
        </w:tc>
        <w:tc>
          <w:tcPr>
            <w:tcW w:w="1240" w:type="dxa"/>
            <w:tcMar>
              <w:top w:w="0" w:type="dxa"/>
              <w:left w:w="70" w:type="dxa"/>
              <w:bottom w:w="0" w:type="dxa"/>
              <w:right w:w="70" w:type="dxa"/>
            </w:tcMar>
            <w:vAlign w:val="center"/>
            <w:hideMark/>
          </w:tcPr>
          <w:p w14:paraId="2AE0187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1 389</w:t>
            </w:r>
          </w:p>
        </w:tc>
        <w:tc>
          <w:tcPr>
            <w:tcW w:w="1240" w:type="dxa"/>
            <w:tcMar>
              <w:top w:w="0" w:type="dxa"/>
              <w:left w:w="70" w:type="dxa"/>
              <w:bottom w:w="0" w:type="dxa"/>
              <w:right w:w="70" w:type="dxa"/>
            </w:tcMar>
            <w:vAlign w:val="center"/>
            <w:hideMark/>
          </w:tcPr>
          <w:p w14:paraId="7216A261"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763</w:t>
            </w:r>
          </w:p>
        </w:tc>
        <w:tc>
          <w:tcPr>
            <w:tcW w:w="1240" w:type="dxa"/>
            <w:tcMar>
              <w:top w:w="0" w:type="dxa"/>
              <w:left w:w="70" w:type="dxa"/>
              <w:bottom w:w="0" w:type="dxa"/>
              <w:right w:w="70" w:type="dxa"/>
            </w:tcMar>
            <w:vAlign w:val="center"/>
            <w:hideMark/>
          </w:tcPr>
          <w:p w14:paraId="696062B0"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626</w:t>
            </w:r>
          </w:p>
        </w:tc>
        <w:tc>
          <w:tcPr>
            <w:tcW w:w="1240" w:type="dxa"/>
            <w:tcMar>
              <w:top w:w="0" w:type="dxa"/>
              <w:left w:w="70" w:type="dxa"/>
              <w:bottom w:w="0" w:type="dxa"/>
              <w:right w:w="70" w:type="dxa"/>
            </w:tcMar>
            <w:vAlign w:val="center"/>
            <w:hideMark/>
          </w:tcPr>
          <w:p w14:paraId="31B6F918"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537ECA8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14:paraId="5517746C" w14:textId="77777777" w:rsidTr="00117EB8">
        <w:trPr>
          <w:trHeight w:val="288"/>
        </w:trPr>
        <w:tc>
          <w:tcPr>
            <w:tcW w:w="1460" w:type="dxa"/>
            <w:noWrap/>
            <w:tcMar>
              <w:top w:w="0" w:type="dxa"/>
              <w:left w:w="70" w:type="dxa"/>
              <w:bottom w:w="0" w:type="dxa"/>
              <w:right w:w="70" w:type="dxa"/>
            </w:tcMar>
            <w:vAlign w:val="center"/>
            <w:hideMark/>
          </w:tcPr>
          <w:p w14:paraId="6FABDB76"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BCE-2014-4</w:t>
            </w:r>
          </w:p>
        </w:tc>
        <w:tc>
          <w:tcPr>
            <w:tcW w:w="1240" w:type="dxa"/>
            <w:tcMar>
              <w:top w:w="0" w:type="dxa"/>
              <w:left w:w="70" w:type="dxa"/>
              <w:bottom w:w="0" w:type="dxa"/>
              <w:right w:w="70" w:type="dxa"/>
            </w:tcMar>
            <w:vAlign w:val="center"/>
            <w:hideMark/>
          </w:tcPr>
          <w:p w14:paraId="2F0F3AE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984</w:t>
            </w:r>
          </w:p>
        </w:tc>
        <w:tc>
          <w:tcPr>
            <w:tcW w:w="1240" w:type="dxa"/>
            <w:tcMar>
              <w:top w:w="0" w:type="dxa"/>
              <w:left w:w="70" w:type="dxa"/>
              <w:bottom w:w="0" w:type="dxa"/>
              <w:right w:w="70" w:type="dxa"/>
            </w:tcMar>
            <w:vAlign w:val="center"/>
            <w:hideMark/>
          </w:tcPr>
          <w:p w14:paraId="76544FB7"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984</w:t>
            </w:r>
          </w:p>
        </w:tc>
        <w:tc>
          <w:tcPr>
            <w:tcW w:w="1240" w:type="dxa"/>
            <w:tcMar>
              <w:top w:w="0" w:type="dxa"/>
              <w:left w:w="70" w:type="dxa"/>
              <w:bottom w:w="0" w:type="dxa"/>
              <w:right w:w="70" w:type="dxa"/>
            </w:tcMar>
            <w:vAlign w:val="center"/>
            <w:hideMark/>
          </w:tcPr>
          <w:p w14:paraId="1B83137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100</w:t>
            </w:r>
          </w:p>
        </w:tc>
        <w:tc>
          <w:tcPr>
            <w:tcW w:w="1240" w:type="dxa"/>
            <w:tcMar>
              <w:top w:w="0" w:type="dxa"/>
              <w:left w:w="70" w:type="dxa"/>
              <w:bottom w:w="0" w:type="dxa"/>
              <w:right w:w="70" w:type="dxa"/>
            </w:tcMar>
            <w:vAlign w:val="center"/>
            <w:hideMark/>
          </w:tcPr>
          <w:p w14:paraId="0E8EC354"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15E8341A"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884</w:t>
            </w:r>
          </w:p>
        </w:tc>
        <w:tc>
          <w:tcPr>
            <w:tcW w:w="1240" w:type="dxa"/>
            <w:tcMar>
              <w:top w:w="0" w:type="dxa"/>
              <w:left w:w="70" w:type="dxa"/>
              <w:bottom w:w="0" w:type="dxa"/>
              <w:right w:w="70" w:type="dxa"/>
            </w:tcMar>
            <w:vAlign w:val="center"/>
            <w:hideMark/>
          </w:tcPr>
          <w:p w14:paraId="082380F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88 400</w:t>
            </w:r>
          </w:p>
        </w:tc>
      </w:tr>
      <w:tr w:rsidR="00333B95" w:rsidRPr="00C73365" w14:paraId="7C8CF2C3" w14:textId="77777777" w:rsidTr="00117EB8">
        <w:trPr>
          <w:trHeight w:val="288"/>
        </w:trPr>
        <w:tc>
          <w:tcPr>
            <w:tcW w:w="1460" w:type="dxa"/>
            <w:noWrap/>
            <w:tcMar>
              <w:top w:w="0" w:type="dxa"/>
              <w:left w:w="70" w:type="dxa"/>
              <w:bottom w:w="0" w:type="dxa"/>
              <w:right w:w="70" w:type="dxa"/>
            </w:tcMar>
            <w:vAlign w:val="center"/>
            <w:hideMark/>
          </w:tcPr>
          <w:p w14:paraId="7FDA3443"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BCE-2014-5</w:t>
            </w:r>
          </w:p>
        </w:tc>
        <w:tc>
          <w:tcPr>
            <w:tcW w:w="1240" w:type="dxa"/>
            <w:tcMar>
              <w:top w:w="0" w:type="dxa"/>
              <w:left w:w="70" w:type="dxa"/>
              <w:bottom w:w="0" w:type="dxa"/>
              <w:right w:w="70" w:type="dxa"/>
            </w:tcMar>
            <w:vAlign w:val="center"/>
            <w:hideMark/>
          </w:tcPr>
          <w:p w14:paraId="7113F728"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197</w:t>
            </w:r>
          </w:p>
        </w:tc>
        <w:tc>
          <w:tcPr>
            <w:tcW w:w="1240" w:type="dxa"/>
            <w:tcMar>
              <w:top w:w="0" w:type="dxa"/>
              <w:left w:w="70" w:type="dxa"/>
              <w:bottom w:w="0" w:type="dxa"/>
              <w:right w:w="70" w:type="dxa"/>
            </w:tcMar>
            <w:vAlign w:val="center"/>
            <w:hideMark/>
          </w:tcPr>
          <w:p w14:paraId="25FDAD7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197</w:t>
            </w:r>
          </w:p>
        </w:tc>
        <w:tc>
          <w:tcPr>
            <w:tcW w:w="1240" w:type="dxa"/>
            <w:tcMar>
              <w:top w:w="0" w:type="dxa"/>
              <w:left w:w="70" w:type="dxa"/>
              <w:bottom w:w="0" w:type="dxa"/>
              <w:right w:w="70" w:type="dxa"/>
            </w:tcMar>
            <w:vAlign w:val="center"/>
            <w:hideMark/>
          </w:tcPr>
          <w:p w14:paraId="0FF3C84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28</w:t>
            </w:r>
          </w:p>
        </w:tc>
        <w:tc>
          <w:tcPr>
            <w:tcW w:w="1240" w:type="dxa"/>
            <w:tcMar>
              <w:top w:w="0" w:type="dxa"/>
              <w:left w:w="70" w:type="dxa"/>
              <w:bottom w:w="0" w:type="dxa"/>
              <w:right w:w="70" w:type="dxa"/>
            </w:tcMar>
            <w:vAlign w:val="center"/>
            <w:hideMark/>
          </w:tcPr>
          <w:p w14:paraId="1656374A"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169</w:t>
            </w:r>
          </w:p>
        </w:tc>
        <w:tc>
          <w:tcPr>
            <w:tcW w:w="1240" w:type="dxa"/>
            <w:tcMar>
              <w:top w:w="0" w:type="dxa"/>
              <w:left w:w="70" w:type="dxa"/>
              <w:bottom w:w="0" w:type="dxa"/>
              <w:right w:w="70" w:type="dxa"/>
            </w:tcMar>
            <w:vAlign w:val="center"/>
            <w:hideMark/>
          </w:tcPr>
          <w:p w14:paraId="0493C4EA"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33F5ECD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14:paraId="0430713C" w14:textId="77777777" w:rsidTr="00117EB8">
        <w:trPr>
          <w:trHeight w:val="288"/>
        </w:trPr>
        <w:tc>
          <w:tcPr>
            <w:tcW w:w="1460" w:type="dxa"/>
            <w:noWrap/>
            <w:tcMar>
              <w:top w:w="0" w:type="dxa"/>
              <w:left w:w="70" w:type="dxa"/>
              <w:bottom w:w="0" w:type="dxa"/>
              <w:right w:w="70" w:type="dxa"/>
            </w:tcMar>
            <w:vAlign w:val="center"/>
            <w:hideMark/>
          </w:tcPr>
          <w:p w14:paraId="464A152E"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BCE-2014-6</w:t>
            </w:r>
          </w:p>
        </w:tc>
        <w:tc>
          <w:tcPr>
            <w:tcW w:w="1240" w:type="dxa"/>
            <w:tcMar>
              <w:top w:w="0" w:type="dxa"/>
              <w:left w:w="70" w:type="dxa"/>
              <w:bottom w:w="0" w:type="dxa"/>
              <w:right w:w="70" w:type="dxa"/>
            </w:tcMar>
            <w:vAlign w:val="center"/>
            <w:hideMark/>
          </w:tcPr>
          <w:p w14:paraId="231B66B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14:paraId="6D41697A"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14:paraId="01786117"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023154E6"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3992AF1B"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14:paraId="4B5482F3"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52 500</w:t>
            </w:r>
          </w:p>
        </w:tc>
      </w:tr>
      <w:tr w:rsidR="00333B95" w:rsidRPr="00C73365" w14:paraId="1A435045" w14:textId="77777777" w:rsidTr="00117EB8">
        <w:trPr>
          <w:trHeight w:val="288"/>
        </w:trPr>
        <w:tc>
          <w:tcPr>
            <w:tcW w:w="1460" w:type="dxa"/>
            <w:noWrap/>
            <w:tcMar>
              <w:top w:w="0" w:type="dxa"/>
              <w:left w:w="70" w:type="dxa"/>
              <w:bottom w:w="0" w:type="dxa"/>
              <w:right w:w="70" w:type="dxa"/>
            </w:tcMar>
            <w:vAlign w:val="center"/>
            <w:hideMark/>
          </w:tcPr>
          <w:p w14:paraId="5174ACD0"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BCE-2014-7</w:t>
            </w:r>
          </w:p>
        </w:tc>
        <w:tc>
          <w:tcPr>
            <w:tcW w:w="1240" w:type="dxa"/>
            <w:tcMar>
              <w:top w:w="0" w:type="dxa"/>
              <w:left w:w="70" w:type="dxa"/>
              <w:bottom w:w="0" w:type="dxa"/>
              <w:right w:w="70" w:type="dxa"/>
            </w:tcMar>
            <w:vAlign w:val="center"/>
            <w:hideMark/>
          </w:tcPr>
          <w:p w14:paraId="0416933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1 650</w:t>
            </w:r>
          </w:p>
        </w:tc>
        <w:tc>
          <w:tcPr>
            <w:tcW w:w="1240" w:type="dxa"/>
            <w:tcMar>
              <w:top w:w="0" w:type="dxa"/>
              <w:left w:w="70" w:type="dxa"/>
              <w:bottom w:w="0" w:type="dxa"/>
              <w:right w:w="70" w:type="dxa"/>
            </w:tcMar>
            <w:vAlign w:val="center"/>
            <w:hideMark/>
          </w:tcPr>
          <w:p w14:paraId="711B3F4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1 650</w:t>
            </w:r>
          </w:p>
        </w:tc>
        <w:tc>
          <w:tcPr>
            <w:tcW w:w="1240" w:type="dxa"/>
            <w:tcMar>
              <w:top w:w="0" w:type="dxa"/>
              <w:left w:w="70" w:type="dxa"/>
              <w:bottom w:w="0" w:type="dxa"/>
              <w:right w:w="70" w:type="dxa"/>
            </w:tcMar>
            <w:vAlign w:val="center"/>
            <w:hideMark/>
          </w:tcPr>
          <w:p w14:paraId="3D58A3B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0C8DCAF3"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990</w:t>
            </w:r>
          </w:p>
        </w:tc>
        <w:tc>
          <w:tcPr>
            <w:tcW w:w="1240" w:type="dxa"/>
            <w:tcMar>
              <w:top w:w="0" w:type="dxa"/>
              <w:left w:w="70" w:type="dxa"/>
              <w:bottom w:w="0" w:type="dxa"/>
              <w:right w:w="70" w:type="dxa"/>
            </w:tcMar>
            <w:vAlign w:val="center"/>
            <w:hideMark/>
          </w:tcPr>
          <w:p w14:paraId="36AF7E7B"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660</w:t>
            </w:r>
          </w:p>
        </w:tc>
        <w:tc>
          <w:tcPr>
            <w:tcW w:w="1240" w:type="dxa"/>
            <w:tcMar>
              <w:top w:w="0" w:type="dxa"/>
              <w:left w:w="70" w:type="dxa"/>
              <w:bottom w:w="0" w:type="dxa"/>
              <w:right w:w="70" w:type="dxa"/>
            </w:tcMar>
            <w:vAlign w:val="center"/>
            <w:hideMark/>
          </w:tcPr>
          <w:p w14:paraId="059402F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66 000</w:t>
            </w:r>
          </w:p>
        </w:tc>
      </w:tr>
      <w:tr w:rsidR="00333B95" w:rsidRPr="00C73365" w14:paraId="1811FAE5" w14:textId="77777777" w:rsidTr="00117EB8">
        <w:trPr>
          <w:trHeight w:val="288"/>
        </w:trPr>
        <w:tc>
          <w:tcPr>
            <w:tcW w:w="1460" w:type="dxa"/>
            <w:tcBorders>
              <w:top w:val="nil"/>
              <w:left w:val="nil"/>
              <w:bottom w:val="single" w:sz="8" w:space="0" w:color="FFFFFF"/>
              <w:right w:val="nil"/>
            </w:tcBorders>
            <w:noWrap/>
            <w:tcMar>
              <w:top w:w="0" w:type="dxa"/>
              <w:left w:w="70" w:type="dxa"/>
              <w:bottom w:w="0" w:type="dxa"/>
              <w:right w:w="70" w:type="dxa"/>
            </w:tcMar>
            <w:vAlign w:val="center"/>
            <w:hideMark/>
          </w:tcPr>
          <w:p w14:paraId="236B2EED"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BCE-2015-9</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14:paraId="61F3F4F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14:paraId="670A8545"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14:paraId="19A78F78"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14:paraId="4C37BB8B"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14:paraId="1122B23E"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14:paraId="7B1CB9D4"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14:paraId="5D3475D2" w14:textId="77777777" w:rsidTr="00117EB8">
        <w:trPr>
          <w:trHeight w:val="288"/>
        </w:trPr>
        <w:tc>
          <w:tcPr>
            <w:tcW w:w="1460" w:type="dxa"/>
            <w:noWrap/>
            <w:tcMar>
              <w:top w:w="0" w:type="dxa"/>
              <w:left w:w="70" w:type="dxa"/>
              <w:bottom w:w="0" w:type="dxa"/>
              <w:right w:w="70" w:type="dxa"/>
            </w:tcMar>
            <w:vAlign w:val="center"/>
            <w:hideMark/>
          </w:tcPr>
          <w:p w14:paraId="04D2E6DB"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BCE-2016-1</w:t>
            </w:r>
          </w:p>
        </w:tc>
        <w:tc>
          <w:tcPr>
            <w:tcW w:w="1240" w:type="dxa"/>
            <w:tcMar>
              <w:top w:w="0" w:type="dxa"/>
              <w:left w:w="70" w:type="dxa"/>
              <w:bottom w:w="0" w:type="dxa"/>
              <w:right w:w="70" w:type="dxa"/>
            </w:tcMar>
            <w:vAlign w:val="center"/>
            <w:hideMark/>
          </w:tcPr>
          <w:p w14:paraId="29EF13D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84 000</w:t>
            </w:r>
          </w:p>
        </w:tc>
        <w:tc>
          <w:tcPr>
            <w:tcW w:w="1240" w:type="dxa"/>
            <w:tcMar>
              <w:top w:w="0" w:type="dxa"/>
              <w:left w:w="70" w:type="dxa"/>
              <w:bottom w:w="0" w:type="dxa"/>
              <w:right w:w="70" w:type="dxa"/>
            </w:tcMar>
            <w:vAlign w:val="center"/>
            <w:hideMark/>
          </w:tcPr>
          <w:p w14:paraId="53D9B085"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84 000</w:t>
            </w:r>
          </w:p>
        </w:tc>
        <w:tc>
          <w:tcPr>
            <w:tcW w:w="1240" w:type="dxa"/>
            <w:tcMar>
              <w:top w:w="0" w:type="dxa"/>
              <w:left w:w="70" w:type="dxa"/>
              <w:bottom w:w="0" w:type="dxa"/>
              <w:right w:w="70" w:type="dxa"/>
            </w:tcMar>
            <w:vAlign w:val="center"/>
            <w:hideMark/>
          </w:tcPr>
          <w:p w14:paraId="6155B0B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2 500</w:t>
            </w:r>
          </w:p>
        </w:tc>
        <w:tc>
          <w:tcPr>
            <w:tcW w:w="1240" w:type="dxa"/>
            <w:tcMar>
              <w:top w:w="0" w:type="dxa"/>
              <w:left w:w="70" w:type="dxa"/>
              <w:bottom w:w="0" w:type="dxa"/>
              <w:right w:w="70" w:type="dxa"/>
            </w:tcMar>
            <w:vAlign w:val="center"/>
            <w:hideMark/>
          </w:tcPr>
          <w:p w14:paraId="2F6A150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13B4B91C" w14:textId="77777777" w:rsidR="00333B95" w:rsidRPr="00C73365" w:rsidRDefault="00A021F1"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81 500</w:t>
            </w:r>
          </w:p>
        </w:tc>
        <w:tc>
          <w:tcPr>
            <w:tcW w:w="1240" w:type="dxa"/>
            <w:tcMar>
              <w:top w:w="0" w:type="dxa"/>
              <w:left w:w="70" w:type="dxa"/>
              <w:bottom w:w="0" w:type="dxa"/>
              <w:right w:w="70" w:type="dxa"/>
            </w:tcMar>
            <w:vAlign w:val="center"/>
            <w:hideMark/>
          </w:tcPr>
          <w:p w14:paraId="172E104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81 500</w:t>
            </w:r>
          </w:p>
        </w:tc>
      </w:tr>
      <w:tr w:rsidR="00333B95" w:rsidRPr="00C73365" w14:paraId="2299AE33" w14:textId="77777777" w:rsidTr="00117EB8">
        <w:trPr>
          <w:trHeight w:val="288"/>
        </w:trPr>
        <w:tc>
          <w:tcPr>
            <w:tcW w:w="1460" w:type="dxa"/>
            <w:noWrap/>
            <w:tcMar>
              <w:top w:w="0" w:type="dxa"/>
              <w:left w:w="70" w:type="dxa"/>
              <w:bottom w:w="0" w:type="dxa"/>
              <w:right w:w="70" w:type="dxa"/>
            </w:tcMar>
            <w:vAlign w:val="center"/>
            <w:hideMark/>
          </w:tcPr>
          <w:p w14:paraId="4098F24C"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BCE-2017-1</w:t>
            </w:r>
          </w:p>
        </w:tc>
        <w:tc>
          <w:tcPr>
            <w:tcW w:w="1240" w:type="dxa"/>
            <w:tcMar>
              <w:top w:w="0" w:type="dxa"/>
              <w:left w:w="70" w:type="dxa"/>
              <w:bottom w:w="0" w:type="dxa"/>
              <w:right w:w="70" w:type="dxa"/>
            </w:tcMar>
            <w:vAlign w:val="center"/>
            <w:hideMark/>
          </w:tcPr>
          <w:p w14:paraId="469434D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14:paraId="3EBCC14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14:paraId="6A507798"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2C08ED25"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6D7E5FA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14:paraId="2427B6B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14:paraId="13F0B33B" w14:textId="77777777" w:rsidTr="00117EB8">
        <w:trPr>
          <w:trHeight w:val="288"/>
        </w:trPr>
        <w:tc>
          <w:tcPr>
            <w:tcW w:w="1460" w:type="dxa"/>
            <w:noWrap/>
            <w:tcMar>
              <w:top w:w="0" w:type="dxa"/>
              <w:left w:w="70" w:type="dxa"/>
              <w:bottom w:w="0" w:type="dxa"/>
              <w:right w:w="70" w:type="dxa"/>
            </w:tcMar>
            <w:vAlign w:val="center"/>
            <w:hideMark/>
          </w:tcPr>
          <w:p w14:paraId="7CBCAFF1"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BCE-2017-2</w:t>
            </w:r>
          </w:p>
        </w:tc>
        <w:tc>
          <w:tcPr>
            <w:tcW w:w="1240" w:type="dxa"/>
            <w:tcMar>
              <w:top w:w="0" w:type="dxa"/>
              <w:left w:w="70" w:type="dxa"/>
              <w:bottom w:w="0" w:type="dxa"/>
              <w:right w:w="70" w:type="dxa"/>
            </w:tcMar>
            <w:vAlign w:val="center"/>
            <w:hideMark/>
          </w:tcPr>
          <w:p w14:paraId="6DB6B373"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14:paraId="150F2935"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14:paraId="01AC956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54ED086E"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246946A5"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14:paraId="75C7FAE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r>
      <w:tr w:rsidR="00333B95" w:rsidRPr="00C73365" w14:paraId="168FD171" w14:textId="77777777" w:rsidTr="00117EB8">
        <w:trPr>
          <w:trHeight w:val="288"/>
        </w:trPr>
        <w:tc>
          <w:tcPr>
            <w:tcW w:w="1460" w:type="dxa"/>
            <w:noWrap/>
            <w:tcMar>
              <w:top w:w="0" w:type="dxa"/>
              <w:left w:w="70" w:type="dxa"/>
              <w:bottom w:w="0" w:type="dxa"/>
              <w:right w:w="70" w:type="dxa"/>
            </w:tcMar>
            <w:vAlign w:val="center"/>
            <w:hideMark/>
          </w:tcPr>
          <w:p w14:paraId="14188D1E"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BCE-2017-3</w:t>
            </w:r>
          </w:p>
        </w:tc>
        <w:tc>
          <w:tcPr>
            <w:tcW w:w="1240" w:type="dxa"/>
            <w:tcMar>
              <w:top w:w="0" w:type="dxa"/>
              <w:left w:w="70" w:type="dxa"/>
              <w:bottom w:w="0" w:type="dxa"/>
              <w:right w:w="70" w:type="dxa"/>
            </w:tcMar>
            <w:vAlign w:val="center"/>
            <w:hideMark/>
          </w:tcPr>
          <w:p w14:paraId="0CEA719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14:paraId="1914A8D1"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14:paraId="489D102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4C82554E"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3F0F6BB3"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14:paraId="4DA38E1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r>
      <w:tr w:rsidR="00333B95" w:rsidRPr="00C73365" w14:paraId="3CD16669" w14:textId="77777777" w:rsidTr="00117EB8">
        <w:trPr>
          <w:trHeight w:val="288"/>
        </w:trPr>
        <w:tc>
          <w:tcPr>
            <w:tcW w:w="1460" w:type="dxa"/>
            <w:noWrap/>
            <w:tcMar>
              <w:top w:w="0" w:type="dxa"/>
              <w:left w:w="70" w:type="dxa"/>
              <w:bottom w:w="0" w:type="dxa"/>
              <w:right w:w="70" w:type="dxa"/>
            </w:tcMar>
            <w:vAlign w:val="center"/>
            <w:hideMark/>
          </w:tcPr>
          <w:p w14:paraId="2662ACE6"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BCE-2017-4</w:t>
            </w:r>
          </w:p>
        </w:tc>
        <w:tc>
          <w:tcPr>
            <w:tcW w:w="1240" w:type="dxa"/>
            <w:tcMar>
              <w:top w:w="0" w:type="dxa"/>
              <w:left w:w="70" w:type="dxa"/>
              <w:bottom w:w="0" w:type="dxa"/>
              <w:right w:w="70" w:type="dxa"/>
            </w:tcMar>
            <w:vAlign w:val="center"/>
            <w:hideMark/>
          </w:tcPr>
          <w:p w14:paraId="328FCD05"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14:paraId="51B90E0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14:paraId="435B50B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21349590"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795A6C4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14:paraId="1CF9F8FB"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14:paraId="63A8AD43" w14:textId="77777777" w:rsidTr="00117EB8">
        <w:trPr>
          <w:trHeight w:val="288"/>
        </w:trPr>
        <w:tc>
          <w:tcPr>
            <w:tcW w:w="1460" w:type="dxa"/>
            <w:noWrap/>
            <w:tcMar>
              <w:top w:w="0" w:type="dxa"/>
              <w:left w:w="70" w:type="dxa"/>
              <w:bottom w:w="0" w:type="dxa"/>
              <w:right w:w="70" w:type="dxa"/>
            </w:tcMar>
            <w:vAlign w:val="center"/>
            <w:hideMark/>
          </w:tcPr>
          <w:p w14:paraId="4852B0F2"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BCE-2017-5</w:t>
            </w:r>
          </w:p>
        </w:tc>
        <w:tc>
          <w:tcPr>
            <w:tcW w:w="1240" w:type="dxa"/>
            <w:tcMar>
              <w:top w:w="0" w:type="dxa"/>
              <w:left w:w="70" w:type="dxa"/>
              <w:bottom w:w="0" w:type="dxa"/>
              <w:right w:w="70" w:type="dxa"/>
            </w:tcMar>
            <w:vAlign w:val="center"/>
            <w:hideMark/>
          </w:tcPr>
          <w:p w14:paraId="275B15D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14:paraId="6C61E8D1"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14:paraId="032D829B"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03F81E5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60B0EBF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14:paraId="7E5A2775"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14:paraId="31FCF801" w14:textId="77777777" w:rsidTr="00117EB8">
        <w:trPr>
          <w:trHeight w:val="300"/>
        </w:trPr>
        <w:tc>
          <w:tcPr>
            <w:tcW w:w="1460" w:type="dxa"/>
            <w:tcBorders>
              <w:top w:val="single" w:sz="8" w:space="0" w:color="7030A0"/>
              <w:left w:val="nil"/>
              <w:bottom w:val="single" w:sz="8" w:space="0" w:color="7030A0"/>
              <w:right w:val="nil"/>
            </w:tcBorders>
            <w:noWrap/>
            <w:tcMar>
              <w:top w:w="0" w:type="dxa"/>
              <w:left w:w="70" w:type="dxa"/>
              <w:bottom w:w="0" w:type="dxa"/>
              <w:right w:w="70" w:type="dxa"/>
            </w:tcMar>
            <w:vAlign w:val="center"/>
            <w:hideMark/>
          </w:tcPr>
          <w:p w14:paraId="590BC39F"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Total BCE</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335C9443"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749 550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01B09E98"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749 550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6FC0CEE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3791</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52CF9CF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203 907</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01C6718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544 352</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34FEE75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1 251 583</w:t>
            </w:r>
          </w:p>
        </w:tc>
      </w:tr>
      <w:tr w:rsidR="00333B95" w:rsidRPr="00C73365" w14:paraId="3DB71821" w14:textId="77777777" w:rsidTr="00117EB8">
        <w:trPr>
          <w:trHeight w:val="288"/>
        </w:trPr>
        <w:tc>
          <w:tcPr>
            <w:tcW w:w="1460" w:type="dxa"/>
            <w:noWrap/>
            <w:tcMar>
              <w:top w:w="0" w:type="dxa"/>
              <w:left w:w="70" w:type="dxa"/>
              <w:bottom w:w="0" w:type="dxa"/>
              <w:right w:w="70" w:type="dxa"/>
            </w:tcMar>
            <w:vAlign w:val="center"/>
            <w:hideMark/>
          </w:tcPr>
          <w:p w14:paraId="50C30638"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BSA-2014-1</w:t>
            </w:r>
          </w:p>
        </w:tc>
        <w:tc>
          <w:tcPr>
            <w:tcW w:w="1240" w:type="dxa"/>
            <w:tcMar>
              <w:top w:w="0" w:type="dxa"/>
              <w:left w:w="70" w:type="dxa"/>
              <w:bottom w:w="0" w:type="dxa"/>
              <w:right w:w="70" w:type="dxa"/>
            </w:tcMar>
            <w:vAlign w:val="center"/>
            <w:hideMark/>
          </w:tcPr>
          <w:p w14:paraId="64D2739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14:paraId="78A9ABF1"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14:paraId="203623F4"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14:paraId="580E1497"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2F38D39A"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321A8041"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14:paraId="36D8E273" w14:textId="77777777" w:rsidTr="00117EB8">
        <w:trPr>
          <w:trHeight w:val="288"/>
        </w:trPr>
        <w:tc>
          <w:tcPr>
            <w:tcW w:w="1460" w:type="dxa"/>
            <w:noWrap/>
            <w:tcMar>
              <w:top w:w="0" w:type="dxa"/>
              <w:left w:w="70" w:type="dxa"/>
              <w:bottom w:w="0" w:type="dxa"/>
              <w:right w:w="70" w:type="dxa"/>
            </w:tcMar>
            <w:vAlign w:val="center"/>
            <w:hideMark/>
          </w:tcPr>
          <w:p w14:paraId="34256DA6"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BSA-2014-2</w:t>
            </w:r>
          </w:p>
        </w:tc>
        <w:tc>
          <w:tcPr>
            <w:tcW w:w="1240" w:type="dxa"/>
            <w:tcMar>
              <w:top w:w="0" w:type="dxa"/>
              <w:left w:w="70" w:type="dxa"/>
              <w:bottom w:w="0" w:type="dxa"/>
              <w:right w:w="70" w:type="dxa"/>
            </w:tcMar>
            <w:vAlign w:val="center"/>
            <w:hideMark/>
          </w:tcPr>
          <w:p w14:paraId="1AEC53F8"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677</w:t>
            </w:r>
          </w:p>
        </w:tc>
        <w:tc>
          <w:tcPr>
            <w:tcW w:w="1240" w:type="dxa"/>
            <w:tcMar>
              <w:top w:w="0" w:type="dxa"/>
              <w:left w:w="70" w:type="dxa"/>
              <w:bottom w:w="0" w:type="dxa"/>
              <w:right w:w="70" w:type="dxa"/>
            </w:tcMar>
            <w:vAlign w:val="center"/>
            <w:hideMark/>
          </w:tcPr>
          <w:p w14:paraId="775E22B0"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677</w:t>
            </w:r>
          </w:p>
        </w:tc>
        <w:tc>
          <w:tcPr>
            <w:tcW w:w="1240" w:type="dxa"/>
            <w:tcMar>
              <w:top w:w="0" w:type="dxa"/>
              <w:left w:w="70" w:type="dxa"/>
              <w:bottom w:w="0" w:type="dxa"/>
              <w:right w:w="70" w:type="dxa"/>
            </w:tcMar>
            <w:vAlign w:val="center"/>
            <w:hideMark/>
          </w:tcPr>
          <w:p w14:paraId="7165B2B8"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448</w:t>
            </w:r>
          </w:p>
        </w:tc>
        <w:tc>
          <w:tcPr>
            <w:tcW w:w="1240" w:type="dxa"/>
            <w:tcMar>
              <w:top w:w="0" w:type="dxa"/>
              <w:left w:w="70" w:type="dxa"/>
              <w:bottom w:w="0" w:type="dxa"/>
              <w:right w:w="70" w:type="dxa"/>
            </w:tcMar>
            <w:vAlign w:val="center"/>
            <w:hideMark/>
          </w:tcPr>
          <w:p w14:paraId="6586358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229</w:t>
            </w:r>
          </w:p>
        </w:tc>
        <w:tc>
          <w:tcPr>
            <w:tcW w:w="1240" w:type="dxa"/>
            <w:tcMar>
              <w:top w:w="0" w:type="dxa"/>
              <w:left w:w="70" w:type="dxa"/>
              <w:bottom w:w="0" w:type="dxa"/>
              <w:right w:w="70" w:type="dxa"/>
            </w:tcMar>
            <w:vAlign w:val="center"/>
            <w:hideMark/>
          </w:tcPr>
          <w:p w14:paraId="68C1540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5BC1DA1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14:paraId="599A3F3C" w14:textId="77777777" w:rsidTr="00117EB8">
        <w:trPr>
          <w:trHeight w:val="288"/>
        </w:trPr>
        <w:tc>
          <w:tcPr>
            <w:tcW w:w="1460" w:type="dxa"/>
            <w:noWrap/>
            <w:tcMar>
              <w:top w:w="0" w:type="dxa"/>
              <w:left w:w="70" w:type="dxa"/>
              <w:bottom w:w="0" w:type="dxa"/>
              <w:right w:w="70" w:type="dxa"/>
            </w:tcMar>
            <w:vAlign w:val="center"/>
            <w:hideMark/>
          </w:tcPr>
          <w:p w14:paraId="397428CC"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BSA-2014-3</w:t>
            </w:r>
          </w:p>
        </w:tc>
        <w:tc>
          <w:tcPr>
            <w:tcW w:w="1240" w:type="dxa"/>
            <w:tcMar>
              <w:top w:w="0" w:type="dxa"/>
              <w:left w:w="70" w:type="dxa"/>
              <w:bottom w:w="0" w:type="dxa"/>
              <w:right w:w="70" w:type="dxa"/>
            </w:tcMar>
            <w:vAlign w:val="center"/>
            <w:hideMark/>
          </w:tcPr>
          <w:p w14:paraId="384DFDD7"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1 172</w:t>
            </w:r>
          </w:p>
        </w:tc>
        <w:tc>
          <w:tcPr>
            <w:tcW w:w="1240" w:type="dxa"/>
            <w:tcMar>
              <w:top w:w="0" w:type="dxa"/>
              <w:left w:w="70" w:type="dxa"/>
              <w:bottom w:w="0" w:type="dxa"/>
              <w:right w:w="70" w:type="dxa"/>
            </w:tcMar>
            <w:vAlign w:val="center"/>
            <w:hideMark/>
          </w:tcPr>
          <w:p w14:paraId="230FF1E1"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1 008</w:t>
            </w:r>
          </w:p>
        </w:tc>
        <w:tc>
          <w:tcPr>
            <w:tcW w:w="1240" w:type="dxa"/>
            <w:tcMar>
              <w:top w:w="0" w:type="dxa"/>
              <w:left w:w="70" w:type="dxa"/>
              <w:bottom w:w="0" w:type="dxa"/>
              <w:right w:w="70" w:type="dxa"/>
            </w:tcMar>
            <w:vAlign w:val="center"/>
            <w:hideMark/>
          </w:tcPr>
          <w:p w14:paraId="35BF173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64</w:t>
            </w:r>
          </w:p>
        </w:tc>
        <w:tc>
          <w:tcPr>
            <w:tcW w:w="1240" w:type="dxa"/>
            <w:tcMar>
              <w:top w:w="0" w:type="dxa"/>
              <w:left w:w="70" w:type="dxa"/>
              <w:bottom w:w="0" w:type="dxa"/>
              <w:right w:w="70" w:type="dxa"/>
            </w:tcMar>
            <w:vAlign w:val="center"/>
            <w:hideMark/>
          </w:tcPr>
          <w:p w14:paraId="7EEB321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100</w:t>
            </w:r>
          </w:p>
        </w:tc>
        <w:tc>
          <w:tcPr>
            <w:tcW w:w="1240" w:type="dxa"/>
            <w:tcMar>
              <w:top w:w="0" w:type="dxa"/>
              <w:left w:w="70" w:type="dxa"/>
              <w:bottom w:w="0" w:type="dxa"/>
              <w:right w:w="70" w:type="dxa"/>
            </w:tcMar>
            <w:vAlign w:val="center"/>
            <w:hideMark/>
          </w:tcPr>
          <w:p w14:paraId="1FEE49CB"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844</w:t>
            </w:r>
          </w:p>
        </w:tc>
        <w:tc>
          <w:tcPr>
            <w:tcW w:w="1240" w:type="dxa"/>
            <w:tcMar>
              <w:top w:w="0" w:type="dxa"/>
              <w:left w:w="70" w:type="dxa"/>
              <w:bottom w:w="0" w:type="dxa"/>
              <w:right w:w="70" w:type="dxa"/>
            </w:tcMar>
            <w:vAlign w:val="center"/>
            <w:hideMark/>
          </w:tcPr>
          <w:p w14:paraId="1391C0B3"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84 400</w:t>
            </w:r>
          </w:p>
        </w:tc>
      </w:tr>
      <w:tr w:rsidR="00333B95" w:rsidRPr="00C73365" w14:paraId="3D618C77" w14:textId="77777777" w:rsidTr="00117EB8">
        <w:trPr>
          <w:trHeight w:val="288"/>
        </w:trPr>
        <w:tc>
          <w:tcPr>
            <w:tcW w:w="1460" w:type="dxa"/>
            <w:noWrap/>
            <w:tcMar>
              <w:top w:w="0" w:type="dxa"/>
              <w:left w:w="70" w:type="dxa"/>
              <w:bottom w:w="0" w:type="dxa"/>
              <w:right w:w="70" w:type="dxa"/>
            </w:tcMar>
            <w:vAlign w:val="center"/>
            <w:hideMark/>
          </w:tcPr>
          <w:p w14:paraId="0D78C115"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BSA-2014-4</w:t>
            </w:r>
          </w:p>
        </w:tc>
        <w:tc>
          <w:tcPr>
            <w:tcW w:w="1240" w:type="dxa"/>
            <w:tcMar>
              <w:top w:w="0" w:type="dxa"/>
              <w:left w:w="70" w:type="dxa"/>
              <w:bottom w:w="0" w:type="dxa"/>
              <w:right w:w="70" w:type="dxa"/>
            </w:tcMar>
            <w:vAlign w:val="center"/>
            <w:hideMark/>
          </w:tcPr>
          <w:p w14:paraId="6C9405C3"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1 315</w:t>
            </w:r>
          </w:p>
        </w:tc>
        <w:tc>
          <w:tcPr>
            <w:tcW w:w="1240" w:type="dxa"/>
            <w:tcMar>
              <w:top w:w="0" w:type="dxa"/>
              <w:left w:w="70" w:type="dxa"/>
              <w:bottom w:w="0" w:type="dxa"/>
              <w:right w:w="70" w:type="dxa"/>
            </w:tcMar>
            <w:vAlign w:val="center"/>
            <w:hideMark/>
          </w:tcPr>
          <w:p w14:paraId="05AE0075"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1 315</w:t>
            </w:r>
          </w:p>
        </w:tc>
        <w:tc>
          <w:tcPr>
            <w:tcW w:w="1240" w:type="dxa"/>
            <w:tcMar>
              <w:top w:w="0" w:type="dxa"/>
              <w:left w:w="70" w:type="dxa"/>
              <w:bottom w:w="0" w:type="dxa"/>
              <w:right w:w="70" w:type="dxa"/>
            </w:tcMar>
            <w:vAlign w:val="center"/>
            <w:hideMark/>
          </w:tcPr>
          <w:p w14:paraId="7F542A4B"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473</w:t>
            </w:r>
          </w:p>
        </w:tc>
        <w:tc>
          <w:tcPr>
            <w:tcW w:w="1240" w:type="dxa"/>
            <w:tcMar>
              <w:top w:w="0" w:type="dxa"/>
              <w:left w:w="70" w:type="dxa"/>
              <w:bottom w:w="0" w:type="dxa"/>
              <w:right w:w="70" w:type="dxa"/>
            </w:tcMar>
            <w:vAlign w:val="center"/>
            <w:hideMark/>
          </w:tcPr>
          <w:p w14:paraId="5AE77C60"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7D9B55E6"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842</w:t>
            </w:r>
          </w:p>
        </w:tc>
        <w:tc>
          <w:tcPr>
            <w:tcW w:w="1240" w:type="dxa"/>
            <w:tcMar>
              <w:top w:w="0" w:type="dxa"/>
              <w:left w:w="70" w:type="dxa"/>
              <w:bottom w:w="0" w:type="dxa"/>
              <w:right w:w="70" w:type="dxa"/>
            </w:tcMar>
            <w:vAlign w:val="center"/>
            <w:hideMark/>
          </w:tcPr>
          <w:p w14:paraId="4B3B4F64"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84 160</w:t>
            </w:r>
          </w:p>
        </w:tc>
      </w:tr>
      <w:tr w:rsidR="00333B95" w:rsidRPr="00C73365" w14:paraId="6908CF92" w14:textId="77777777" w:rsidTr="00117EB8">
        <w:trPr>
          <w:trHeight w:val="288"/>
        </w:trPr>
        <w:tc>
          <w:tcPr>
            <w:tcW w:w="1460" w:type="dxa"/>
            <w:noWrap/>
            <w:tcMar>
              <w:top w:w="0" w:type="dxa"/>
              <w:left w:w="70" w:type="dxa"/>
              <w:bottom w:w="0" w:type="dxa"/>
              <w:right w:w="70" w:type="dxa"/>
            </w:tcMar>
            <w:vAlign w:val="center"/>
            <w:hideMark/>
          </w:tcPr>
          <w:p w14:paraId="6256829A"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BSA-2014-5</w:t>
            </w:r>
          </w:p>
        </w:tc>
        <w:tc>
          <w:tcPr>
            <w:tcW w:w="1240" w:type="dxa"/>
            <w:tcMar>
              <w:top w:w="0" w:type="dxa"/>
              <w:left w:w="70" w:type="dxa"/>
              <w:bottom w:w="0" w:type="dxa"/>
              <w:right w:w="70" w:type="dxa"/>
            </w:tcMar>
            <w:vAlign w:val="center"/>
            <w:hideMark/>
          </w:tcPr>
          <w:p w14:paraId="2BDD31D4"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14:paraId="5FCD4A5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14:paraId="61AA9C0A"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693105B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18B4643E"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14:paraId="5B766B8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78 700</w:t>
            </w:r>
          </w:p>
        </w:tc>
      </w:tr>
      <w:tr w:rsidR="00333B95" w:rsidRPr="00C73365" w14:paraId="64A80CFE" w14:textId="77777777" w:rsidTr="00117EB8">
        <w:trPr>
          <w:trHeight w:val="288"/>
        </w:trPr>
        <w:tc>
          <w:tcPr>
            <w:tcW w:w="1460" w:type="dxa"/>
            <w:noWrap/>
            <w:tcMar>
              <w:top w:w="0" w:type="dxa"/>
              <w:left w:w="70" w:type="dxa"/>
              <w:bottom w:w="0" w:type="dxa"/>
              <w:right w:w="70" w:type="dxa"/>
            </w:tcMar>
            <w:vAlign w:val="center"/>
            <w:hideMark/>
          </w:tcPr>
          <w:p w14:paraId="120FFB98"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BSA-2014-6</w:t>
            </w:r>
          </w:p>
        </w:tc>
        <w:tc>
          <w:tcPr>
            <w:tcW w:w="1240" w:type="dxa"/>
            <w:tcMar>
              <w:top w:w="0" w:type="dxa"/>
              <w:left w:w="70" w:type="dxa"/>
              <w:bottom w:w="0" w:type="dxa"/>
              <w:right w:w="70" w:type="dxa"/>
            </w:tcMar>
            <w:vAlign w:val="center"/>
            <w:hideMark/>
          </w:tcPr>
          <w:p w14:paraId="0A33AAB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14:paraId="7B2A2186"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14:paraId="1A54FE1B"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14:paraId="49A4FEF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59D71E0E"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2CA8D960"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14:paraId="5D72C340" w14:textId="77777777" w:rsidTr="00117EB8">
        <w:trPr>
          <w:trHeight w:val="288"/>
        </w:trPr>
        <w:tc>
          <w:tcPr>
            <w:tcW w:w="1460" w:type="dxa"/>
            <w:noWrap/>
            <w:tcMar>
              <w:top w:w="0" w:type="dxa"/>
              <w:left w:w="70" w:type="dxa"/>
              <w:bottom w:w="0" w:type="dxa"/>
              <w:right w:w="70" w:type="dxa"/>
            </w:tcMar>
            <w:vAlign w:val="center"/>
            <w:hideMark/>
          </w:tcPr>
          <w:p w14:paraId="1E07534D"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BSA-2014-7</w:t>
            </w:r>
          </w:p>
        </w:tc>
        <w:tc>
          <w:tcPr>
            <w:tcW w:w="1240" w:type="dxa"/>
            <w:tcMar>
              <w:top w:w="0" w:type="dxa"/>
              <w:left w:w="70" w:type="dxa"/>
              <w:bottom w:w="0" w:type="dxa"/>
              <w:right w:w="70" w:type="dxa"/>
            </w:tcMar>
            <w:vAlign w:val="center"/>
            <w:hideMark/>
          </w:tcPr>
          <w:p w14:paraId="1A138173"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w:t>
            </w:r>
          </w:p>
        </w:tc>
        <w:tc>
          <w:tcPr>
            <w:tcW w:w="1240" w:type="dxa"/>
            <w:tcMar>
              <w:top w:w="0" w:type="dxa"/>
              <w:left w:w="70" w:type="dxa"/>
              <w:bottom w:w="0" w:type="dxa"/>
              <w:right w:w="70" w:type="dxa"/>
            </w:tcMar>
            <w:vAlign w:val="center"/>
            <w:hideMark/>
          </w:tcPr>
          <w:p w14:paraId="7959CF66"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w:t>
            </w:r>
          </w:p>
        </w:tc>
        <w:tc>
          <w:tcPr>
            <w:tcW w:w="1240" w:type="dxa"/>
            <w:tcMar>
              <w:top w:w="0" w:type="dxa"/>
              <w:left w:w="70" w:type="dxa"/>
              <w:bottom w:w="0" w:type="dxa"/>
              <w:right w:w="70" w:type="dxa"/>
            </w:tcMar>
            <w:vAlign w:val="center"/>
            <w:hideMark/>
          </w:tcPr>
          <w:p w14:paraId="057665DB"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29</w:t>
            </w:r>
          </w:p>
        </w:tc>
        <w:tc>
          <w:tcPr>
            <w:tcW w:w="1240" w:type="dxa"/>
            <w:tcMar>
              <w:top w:w="0" w:type="dxa"/>
              <w:left w:w="70" w:type="dxa"/>
              <w:bottom w:w="0" w:type="dxa"/>
              <w:right w:w="70" w:type="dxa"/>
            </w:tcMar>
            <w:vAlign w:val="center"/>
            <w:hideMark/>
          </w:tcPr>
          <w:p w14:paraId="2A2E485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4C992963"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14:paraId="2AD58C43"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5 200</w:t>
            </w:r>
          </w:p>
        </w:tc>
      </w:tr>
      <w:tr w:rsidR="00333B95" w:rsidRPr="00C73365" w14:paraId="4E3B3F10" w14:textId="77777777" w:rsidTr="00117EB8">
        <w:trPr>
          <w:trHeight w:val="288"/>
        </w:trPr>
        <w:tc>
          <w:tcPr>
            <w:tcW w:w="1460" w:type="dxa"/>
            <w:noWrap/>
            <w:tcMar>
              <w:top w:w="0" w:type="dxa"/>
              <w:left w:w="70" w:type="dxa"/>
              <w:bottom w:w="0" w:type="dxa"/>
              <w:right w:w="70" w:type="dxa"/>
            </w:tcMar>
            <w:vAlign w:val="center"/>
            <w:hideMark/>
          </w:tcPr>
          <w:p w14:paraId="16B95115"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BSA-2015-9</w:t>
            </w:r>
          </w:p>
        </w:tc>
        <w:tc>
          <w:tcPr>
            <w:tcW w:w="1240" w:type="dxa"/>
            <w:tcMar>
              <w:top w:w="0" w:type="dxa"/>
              <w:left w:w="70" w:type="dxa"/>
              <w:bottom w:w="0" w:type="dxa"/>
              <w:right w:w="70" w:type="dxa"/>
            </w:tcMar>
            <w:vAlign w:val="center"/>
            <w:hideMark/>
          </w:tcPr>
          <w:p w14:paraId="5E685C8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122 274</w:t>
            </w:r>
          </w:p>
        </w:tc>
        <w:tc>
          <w:tcPr>
            <w:tcW w:w="1240" w:type="dxa"/>
            <w:tcMar>
              <w:top w:w="0" w:type="dxa"/>
              <w:left w:w="70" w:type="dxa"/>
              <w:bottom w:w="0" w:type="dxa"/>
              <w:right w:w="70" w:type="dxa"/>
            </w:tcMar>
            <w:vAlign w:val="center"/>
            <w:hideMark/>
          </w:tcPr>
          <w:p w14:paraId="64B1C4C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12D8346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0B5E5EC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3E65F31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682AD506"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14:paraId="4457B580" w14:textId="77777777" w:rsidTr="00117EB8">
        <w:trPr>
          <w:trHeight w:val="288"/>
        </w:trPr>
        <w:tc>
          <w:tcPr>
            <w:tcW w:w="1460" w:type="dxa"/>
            <w:noWrap/>
            <w:tcMar>
              <w:top w:w="0" w:type="dxa"/>
              <w:left w:w="70" w:type="dxa"/>
              <w:bottom w:w="0" w:type="dxa"/>
              <w:right w:w="70" w:type="dxa"/>
            </w:tcMar>
            <w:vAlign w:val="center"/>
            <w:hideMark/>
          </w:tcPr>
          <w:p w14:paraId="51EF3AA1"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BSA-2015-11</w:t>
            </w:r>
          </w:p>
        </w:tc>
        <w:tc>
          <w:tcPr>
            <w:tcW w:w="1240" w:type="dxa"/>
            <w:tcMar>
              <w:top w:w="0" w:type="dxa"/>
              <w:left w:w="70" w:type="dxa"/>
              <w:bottom w:w="0" w:type="dxa"/>
              <w:right w:w="70" w:type="dxa"/>
            </w:tcMar>
            <w:vAlign w:val="center"/>
            <w:hideMark/>
          </w:tcPr>
          <w:p w14:paraId="61A908F4"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14:paraId="2CC96A0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14:paraId="45F4A1B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54EE001E"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49874FA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14:paraId="67084BFA"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r>
      <w:tr w:rsidR="00333B95" w:rsidRPr="00C73365" w14:paraId="53218B6D" w14:textId="77777777" w:rsidTr="00117EB8">
        <w:trPr>
          <w:trHeight w:val="288"/>
        </w:trPr>
        <w:tc>
          <w:tcPr>
            <w:tcW w:w="1460" w:type="dxa"/>
            <w:noWrap/>
            <w:tcMar>
              <w:top w:w="0" w:type="dxa"/>
              <w:left w:w="70" w:type="dxa"/>
              <w:bottom w:w="0" w:type="dxa"/>
              <w:right w:w="70" w:type="dxa"/>
            </w:tcMar>
            <w:vAlign w:val="center"/>
            <w:hideMark/>
          </w:tcPr>
          <w:p w14:paraId="73DAB6C1"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BSA-2015-12</w:t>
            </w:r>
          </w:p>
        </w:tc>
        <w:tc>
          <w:tcPr>
            <w:tcW w:w="1240" w:type="dxa"/>
            <w:tcMar>
              <w:top w:w="0" w:type="dxa"/>
              <w:left w:w="70" w:type="dxa"/>
              <w:bottom w:w="0" w:type="dxa"/>
              <w:right w:w="70" w:type="dxa"/>
            </w:tcMar>
            <w:vAlign w:val="center"/>
            <w:hideMark/>
          </w:tcPr>
          <w:p w14:paraId="28A2005A"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82 000</w:t>
            </w:r>
          </w:p>
        </w:tc>
        <w:tc>
          <w:tcPr>
            <w:tcW w:w="1240" w:type="dxa"/>
            <w:tcMar>
              <w:top w:w="0" w:type="dxa"/>
              <w:left w:w="70" w:type="dxa"/>
              <w:bottom w:w="0" w:type="dxa"/>
              <w:right w:w="70" w:type="dxa"/>
            </w:tcMar>
            <w:vAlign w:val="center"/>
            <w:hideMark/>
          </w:tcPr>
          <w:p w14:paraId="69F44872"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c>
          <w:tcPr>
            <w:tcW w:w="1240" w:type="dxa"/>
            <w:tcMar>
              <w:top w:w="0" w:type="dxa"/>
              <w:left w:w="70" w:type="dxa"/>
              <w:bottom w:w="0" w:type="dxa"/>
              <w:right w:w="70" w:type="dxa"/>
            </w:tcMar>
            <w:vAlign w:val="center"/>
            <w:hideMark/>
          </w:tcPr>
          <w:p w14:paraId="5B8C2FC1"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2C10DFF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1E6E0E2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c>
          <w:tcPr>
            <w:tcW w:w="1240" w:type="dxa"/>
            <w:tcMar>
              <w:top w:w="0" w:type="dxa"/>
              <w:left w:w="70" w:type="dxa"/>
              <w:bottom w:w="0" w:type="dxa"/>
              <w:right w:w="70" w:type="dxa"/>
            </w:tcMar>
            <w:vAlign w:val="center"/>
            <w:hideMark/>
          </w:tcPr>
          <w:p w14:paraId="7F21EA2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r>
      <w:tr w:rsidR="00333B95" w:rsidRPr="00C73365" w14:paraId="5197C049" w14:textId="77777777"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14:paraId="48EEAEBC"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BSA-2017-1</w:t>
            </w:r>
          </w:p>
        </w:tc>
        <w:tc>
          <w:tcPr>
            <w:tcW w:w="1240" w:type="dxa"/>
            <w:tcMar>
              <w:top w:w="0" w:type="dxa"/>
              <w:left w:w="70" w:type="dxa"/>
              <w:bottom w:w="0" w:type="dxa"/>
              <w:right w:w="70" w:type="dxa"/>
            </w:tcMar>
            <w:vAlign w:val="center"/>
            <w:hideMark/>
          </w:tcPr>
          <w:p w14:paraId="07B24FD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14:paraId="5EADDA5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14:paraId="4E9F649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53E3259C"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14:paraId="4C26BE51"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14:paraId="056011CE"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r>
      <w:tr w:rsidR="00333B95" w:rsidRPr="00C73365" w14:paraId="376D411C" w14:textId="77777777"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14:paraId="45B8900E" w14:textId="77777777"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lastRenderedPageBreak/>
              <w:t>Total BSA</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547B3344"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322 076</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156A8ACD"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150 438</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335B9ECF"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1460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5CE837D9"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329</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53B37911"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148 649</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14:paraId="273856F8" w14:textId="77777777"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398 584</w:t>
            </w:r>
          </w:p>
        </w:tc>
      </w:tr>
      <w:tr w:rsidR="00333B95" w:rsidRPr="00C73365" w14:paraId="5B4889C5" w14:textId="77777777"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14:paraId="7567A0EA" w14:textId="77777777"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Total BCE+BSA</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14:paraId="239537BB" w14:textId="77777777"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1 071 626</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14:paraId="2E87CB30" w14:textId="77777777"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899 988</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14:paraId="2A8ACA81" w14:textId="77777777"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5 251</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14:paraId="29877714" w14:textId="77777777"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204 236</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14:paraId="4CF0074B" w14:textId="77777777"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693 001</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14:paraId="2F549799" w14:textId="77777777"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1 650 167</w:t>
            </w:r>
          </w:p>
        </w:tc>
      </w:tr>
    </w:tbl>
    <w:p w14:paraId="08DA2575" w14:textId="77777777" w:rsidR="00333B95" w:rsidRPr="00C73365" w:rsidRDefault="00333B95" w:rsidP="00A96CCA">
      <w:pPr>
        <w:spacing w:after="0"/>
        <w:rPr>
          <w:rFonts w:asciiTheme="minorHAnsi" w:eastAsia="MS Mincho" w:hAnsiTheme="minorHAnsi" w:cstheme="minorHAnsi"/>
          <w:szCs w:val="20"/>
          <w:lang w:val="fr-FR" w:eastAsia="fr-FR"/>
        </w:rPr>
      </w:pPr>
    </w:p>
    <w:p w14:paraId="33DBB9A5" w14:textId="77777777" w:rsidR="004A54FF" w:rsidRPr="00C73365" w:rsidRDefault="004A54FF" w:rsidP="00A96CCA">
      <w:pPr>
        <w:spacing w:after="0"/>
        <w:rPr>
          <w:rFonts w:asciiTheme="minorHAnsi" w:eastAsia="MS Mincho" w:hAnsiTheme="minorHAnsi" w:cstheme="minorHAnsi"/>
          <w:szCs w:val="20"/>
          <w:lang w:val="fr-FR" w:eastAsia="fr-FR"/>
        </w:rPr>
      </w:pPr>
    </w:p>
    <w:p w14:paraId="0F6DB501" w14:textId="77777777" w:rsidR="004A54FF" w:rsidRPr="00C73365" w:rsidRDefault="004A54FF" w:rsidP="004572A0">
      <w:pPr>
        <w:pStyle w:val="Corpsdetexte"/>
        <w:rPr>
          <w:rFonts w:asciiTheme="minorHAnsi" w:eastAsia="MS Mincho" w:hAnsiTheme="minorHAnsi" w:cstheme="minorHAnsi"/>
          <w:lang w:val="fr-FR" w:eastAsia="fr-FR"/>
        </w:rPr>
        <w:sectPr w:rsidR="004A54FF" w:rsidRPr="00C73365" w:rsidSect="007C607C">
          <w:type w:val="continuous"/>
          <w:pgSz w:w="11906" w:h="16838"/>
          <w:pgMar w:top="1134" w:right="1134" w:bottom="1134" w:left="1134" w:header="709" w:footer="709" w:gutter="0"/>
          <w:cols w:space="708"/>
          <w:docGrid w:linePitch="360"/>
        </w:sectPr>
      </w:pPr>
    </w:p>
    <w:p w14:paraId="7EC59477" w14:textId="77777777" w:rsidR="00333B95" w:rsidRPr="00C73365" w:rsidRDefault="00333B95"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dilution potentielle maximale associée à ces instruments financiers émis au profit de salariés, dirigeants, membres du conseil d’administration ou de comités et consultants externes représente 1 650 167 actions, générant une dilution de 16,66% du capital émis au 31 décembre 2017.</w:t>
      </w:r>
    </w:p>
    <w:p w14:paraId="7CDDA6C4" w14:textId="77777777" w:rsidR="00F46C7B" w:rsidRPr="00C73365" w:rsidRDefault="00333B95" w:rsidP="004572A0">
      <w:pPr>
        <w:pStyle w:val="Corpsdetexte"/>
        <w:rPr>
          <w:rFonts w:asciiTheme="minorHAnsi" w:hAnsiTheme="minorHAnsi" w:cstheme="minorHAnsi"/>
          <w:lang w:val="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Ces instruments dilutifs sont exerçables à un prix préférentiel (généralement au nominal de 1 euro), mais ils ont une durée de vie limitée et sont exerçables de </w:t>
      </w:r>
      <w:r w:rsidRPr="00C73365">
        <w:rPr>
          <w:rFonts w:asciiTheme="minorHAnsi" w:eastAsia="MS Mincho" w:hAnsiTheme="minorHAnsi" w:cstheme="minorHAnsi"/>
          <w:lang w:val="fr-FR" w:eastAsia="fr-FR"/>
        </w:rPr>
        <w:t>façon progressive et/ou sous condition de la réalisation d’objectifs préalablement fixés par le conseil d’administration ou par le règlement du plan. Sur la base des capitaux propres au 31 décembre 2017, et dans l’hypothèse où tous les instruments dilutifs valides à la même date seraient exercés, les capitaux propres par action au 31 décembre 2017 sont de 4.43 euros pour 9 904 229 actions. Après dilution (soit avec 1 650 167 actions supplémentaires), ils seraient de 3.80 euros pour 11 554 396 actions.</w:t>
      </w:r>
    </w:p>
    <w:p w14:paraId="5E53B20D" w14:textId="77777777" w:rsidR="00333B95" w:rsidRPr="00C73365" w:rsidRDefault="00333B95" w:rsidP="00A96CCA">
      <w:pPr>
        <w:spacing w:after="0"/>
        <w:rPr>
          <w:rFonts w:asciiTheme="minorHAnsi" w:eastAsia="MS Mincho" w:hAnsiTheme="minorHAnsi" w:cstheme="minorHAnsi"/>
          <w:b/>
          <w:color w:val="7030A0"/>
          <w:szCs w:val="20"/>
          <w:highlight w:val="lightGray"/>
          <w:lang w:val="fr-FR" w:eastAsia="fr-FR"/>
        </w:rPr>
      </w:pPr>
      <w:r w:rsidRPr="00C73365">
        <w:rPr>
          <w:rFonts w:asciiTheme="minorHAnsi" w:eastAsia="MS Mincho" w:hAnsiTheme="minorHAnsi" w:cstheme="minorHAnsi"/>
          <w:b/>
          <w:color w:val="7030A0"/>
          <w:szCs w:val="20"/>
          <w:highlight w:val="lightGray"/>
          <w:lang w:val="fr-FR" w:eastAsia="fr-FR"/>
        </w:rPr>
        <w:br w:type="page"/>
      </w:r>
    </w:p>
    <w:p w14:paraId="4BE27882"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7 – PROVISIONS POUR RISQUES ET CHARGES</w:t>
      </w:r>
    </w:p>
    <w:tbl>
      <w:tblPr>
        <w:tblW w:w="9360" w:type="dxa"/>
        <w:tblLook w:val="04A0" w:firstRow="1" w:lastRow="0" w:firstColumn="1" w:lastColumn="0" w:noHBand="0" w:noVBand="1"/>
      </w:tblPr>
      <w:tblGrid>
        <w:gridCol w:w="4400"/>
        <w:gridCol w:w="1367"/>
        <w:gridCol w:w="1123"/>
        <w:gridCol w:w="1103"/>
        <w:gridCol w:w="1367"/>
      </w:tblGrid>
      <w:tr w:rsidR="005D0722" w:rsidRPr="00036317" w14:paraId="6E312052" w14:textId="77777777" w:rsidTr="00246D6C">
        <w:trPr>
          <w:trHeight w:val="852"/>
        </w:trPr>
        <w:tc>
          <w:tcPr>
            <w:tcW w:w="4400" w:type="dxa"/>
            <w:tcBorders>
              <w:top w:val="single" w:sz="12" w:space="0" w:color="7030A0"/>
              <w:left w:val="nil"/>
              <w:bottom w:val="single" w:sz="8" w:space="0" w:color="7030A0"/>
              <w:right w:val="nil"/>
            </w:tcBorders>
            <w:shd w:val="clear" w:color="auto" w:fill="auto"/>
            <w:vAlign w:val="center"/>
            <w:hideMark/>
          </w:tcPr>
          <w:p w14:paraId="4A36009F" w14:textId="77777777" w:rsidR="005D0722" w:rsidRPr="00C73365" w:rsidRDefault="005D0722" w:rsidP="00A96CCA">
            <w:pPr>
              <w:spacing w:after="0"/>
              <w:rPr>
                <w:rFonts w:asciiTheme="minorHAnsi" w:hAnsiTheme="minorHAnsi" w:cstheme="minorHAnsi"/>
                <w:color w:val="000000"/>
                <w:sz w:val="22"/>
                <w:szCs w:val="22"/>
                <w:lang w:val="fr-FR"/>
              </w:rPr>
            </w:pPr>
            <w:r w:rsidRPr="00C73365">
              <w:rPr>
                <w:rFonts w:asciiTheme="minorHAnsi" w:hAnsiTheme="minorHAnsi" w:cstheme="minorHAnsi"/>
                <w:color w:val="000000"/>
                <w:sz w:val="22"/>
                <w:szCs w:val="22"/>
                <w:lang w:val="fr-FR"/>
              </w:rPr>
              <w:t> </w:t>
            </w:r>
          </w:p>
        </w:tc>
        <w:tc>
          <w:tcPr>
            <w:tcW w:w="1367" w:type="dxa"/>
            <w:tcBorders>
              <w:top w:val="single" w:sz="12" w:space="0" w:color="7030A0"/>
              <w:left w:val="nil"/>
              <w:bottom w:val="single" w:sz="8" w:space="0" w:color="7030A0"/>
              <w:right w:val="nil"/>
            </w:tcBorders>
            <w:shd w:val="clear" w:color="auto" w:fill="auto"/>
            <w:vAlign w:val="center"/>
            <w:hideMark/>
          </w:tcPr>
          <w:p w14:paraId="14C2B519" w14:textId="77777777" w:rsidR="005D0722" w:rsidRPr="00C73365" w:rsidRDefault="005D0722" w:rsidP="00246D6C">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au début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c>
          <w:tcPr>
            <w:tcW w:w="1123" w:type="dxa"/>
            <w:tcBorders>
              <w:top w:val="single" w:sz="12" w:space="0" w:color="7030A0"/>
              <w:left w:val="nil"/>
              <w:bottom w:val="single" w:sz="8" w:space="0" w:color="7030A0"/>
              <w:right w:val="nil"/>
            </w:tcBorders>
            <w:shd w:val="clear" w:color="auto" w:fill="auto"/>
            <w:vAlign w:val="center"/>
            <w:hideMark/>
          </w:tcPr>
          <w:p w14:paraId="0CAA31B0" w14:textId="77777777" w:rsidR="005D0722" w:rsidRPr="00C73365" w:rsidRDefault="005D0722" w:rsidP="00246D6C">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Dotations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103" w:type="dxa"/>
            <w:tcBorders>
              <w:top w:val="single" w:sz="12" w:space="0" w:color="7030A0"/>
              <w:left w:val="nil"/>
              <w:bottom w:val="single" w:sz="8" w:space="0" w:color="7030A0"/>
              <w:right w:val="nil"/>
            </w:tcBorders>
            <w:shd w:val="clear" w:color="auto" w:fill="auto"/>
            <w:vAlign w:val="center"/>
            <w:hideMark/>
          </w:tcPr>
          <w:p w14:paraId="7840E9DA" w14:textId="77777777" w:rsidR="005D0722" w:rsidRPr="00C73365" w:rsidRDefault="005D0722" w:rsidP="00246D6C">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Reprise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367" w:type="dxa"/>
            <w:tcBorders>
              <w:top w:val="single" w:sz="12" w:space="0" w:color="7030A0"/>
              <w:left w:val="nil"/>
              <w:bottom w:val="single" w:sz="8" w:space="0" w:color="7030A0"/>
              <w:right w:val="nil"/>
            </w:tcBorders>
            <w:shd w:val="clear" w:color="auto" w:fill="auto"/>
            <w:vAlign w:val="center"/>
            <w:hideMark/>
          </w:tcPr>
          <w:p w14:paraId="6D5843E2" w14:textId="77777777" w:rsidR="005D0722" w:rsidRPr="00C73365" w:rsidRDefault="005D0722" w:rsidP="00246D6C">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à la fin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r>
      <w:tr w:rsidR="005D0722" w:rsidRPr="00C73365" w14:paraId="7717DC17" w14:textId="77777777" w:rsidTr="00246D6C">
        <w:trPr>
          <w:trHeight w:val="288"/>
        </w:trPr>
        <w:tc>
          <w:tcPr>
            <w:tcW w:w="4400" w:type="dxa"/>
            <w:tcBorders>
              <w:top w:val="nil"/>
              <w:left w:val="nil"/>
              <w:right w:val="nil"/>
            </w:tcBorders>
            <w:shd w:val="clear" w:color="auto" w:fill="auto"/>
            <w:noWrap/>
            <w:vAlign w:val="center"/>
            <w:hideMark/>
          </w:tcPr>
          <w:p w14:paraId="6DB1E74B" w14:textId="77777777"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Indemnités fournisseurs</w:t>
            </w:r>
          </w:p>
        </w:tc>
        <w:tc>
          <w:tcPr>
            <w:tcW w:w="1367" w:type="dxa"/>
            <w:tcBorders>
              <w:top w:val="nil"/>
              <w:left w:val="nil"/>
              <w:right w:val="nil"/>
            </w:tcBorders>
            <w:shd w:val="clear" w:color="auto" w:fill="auto"/>
            <w:vAlign w:val="center"/>
            <w:hideMark/>
          </w:tcPr>
          <w:p w14:paraId="5D030BAD" w14:textId="77777777"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right w:val="nil"/>
            </w:tcBorders>
            <w:shd w:val="clear" w:color="auto" w:fill="auto"/>
            <w:vAlign w:val="center"/>
            <w:hideMark/>
          </w:tcPr>
          <w:p w14:paraId="58E3C72F" w14:textId="77777777" w:rsidR="005D0722" w:rsidRPr="00C73365" w:rsidRDefault="005D0722" w:rsidP="00246D6C">
            <w:pPr>
              <w:spacing w:after="0"/>
              <w:jc w:val="center"/>
              <w:rPr>
                <w:rFonts w:asciiTheme="minorHAnsi" w:hAnsiTheme="minorHAnsi" w:cstheme="minorHAnsi"/>
                <w:szCs w:val="20"/>
              </w:rPr>
            </w:pPr>
          </w:p>
        </w:tc>
        <w:tc>
          <w:tcPr>
            <w:tcW w:w="1103" w:type="dxa"/>
            <w:tcBorders>
              <w:top w:val="nil"/>
              <w:left w:val="nil"/>
              <w:right w:val="nil"/>
            </w:tcBorders>
            <w:shd w:val="clear" w:color="auto" w:fill="auto"/>
            <w:vAlign w:val="center"/>
            <w:hideMark/>
          </w:tcPr>
          <w:p w14:paraId="355D4006" w14:textId="77777777" w:rsidR="005D0722" w:rsidRPr="00C73365" w:rsidRDefault="005D0722" w:rsidP="00246D6C">
            <w:pPr>
              <w:spacing w:after="0"/>
              <w:jc w:val="center"/>
              <w:rPr>
                <w:rFonts w:asciiTheme="minorHAnsi" w:hAnsiTheme="minorHAnsi" w:cstheme="minorHAnsi"/>
                <w:szCs w:val="20"/>
              </w:rPr>
            </w:pPr>
          </w:p>
        </w:tc>
        <w:tc>
          <w:tcPr>
            <w:tcW w:w="1367" w:type="dxa"/>
            <w:tcBorders>
              <w:top w:val="nil"/>
              <w:left w:val="nil"/>
              <w:right w:val="nil"/>
            </w:tcBorders>
            <w:shd w:val="clear" w:color="auto" w:fill="auto"/>
            <w:vAlign w:val="center"/>
            <w:hideMark/>
          </w:tcPr>
          <w:p w14:paraId="556DF9E0" w14:textId="77777777" w:rsidR="005D0722" w:rsidRPr="00C73365" w:rsidRDefault="005D0722" w:rsidP="00246D6C">
            <w:pPr>
              <w:spacing w:after="0"/>
              <w:jc w:val="center"/>
              <w:rPr>
                <w:rFonts w:asciiTheme="minorHAnsi" w:hAnsiTheme="minorHAnsi" w:cstheme="minorHAnsi"/>
                <w:szCs w:val="20"/>
              </w:rPr>
            </w:pPr>
          </w:p>
        </w:tc>
      </w:tr>
      <w:tr w:rsidR="005D0722" w:rsidRPr="00C73365" w14:paraId="19160C5D" w14:textId="77777777" w:rsidTr="00246D6C">
        <w:trPr>
          <w:trHeight w:val="288"/>
        </w:trPr>
        <w:tc>
          <w:tcPr>
            <w:tcW w:w="4400" w:type="dxa"/>
            <w:tcBorders>
              <w:top w:val="nil"/>
              <w:left w:val="nil"/>
              <w:bottom w:val="single" w:sz="4" w:space="0" w:color="7030A0"/>
              <w:right w:val="nil"/>
            </w:tcBorders>
            <w:shd w:val="clear" w:color="auto" w:fill="auto"/>
            <w:noWrap/>
            <w:vAlign w:val="center"/>
            <w:hideMark/>
          </w:tcPr>
          <w:p w14:paraId="696356C3" w14:textId="77777777" w:rsidR="005D0722" w:rsidRPr="00C73365" w:rsidRDefault="005D072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Provisions pour </w:t>
            </w:r>
            <w:r w:rsidR="006372F0" w:rsidRPr="00C73365">
              <w:rPr>
                <w:rFonts w:asciiTheme="minorHAnsi" w:hAnsiTheme="minorHAnsi" w:cstheme="minorHAnsi"/>
                <w:color w:val="000000"/>
                <w:szCs w:val="20"/>
                <w:lang w:val="fr-FR"/>
              </w:rPr>
              <w:t>risques et charges</w:t>
            </w:r>
          </w:p>
        </w:tc>
        <w:tc>
          <w:tcPr>
            <w:tcW w:w="1367" w:type="dxa"/>
            <w:tcBorders>
              <w:top w:val="nil"/>
              <w:left w:val="nil"/>
              <w:bottom w:val="single" w:sz="4" w:space="0" w:color="7030A0"/>
              <w:right w:val="nil"/>
            </w:tcBorders>
            <w:shd w:val="clear" w:color="auto" w:fill="auto"/>
            <w:vAlign w:val="center"/>
            <w:hideMark/>
          </w:tcPr>
          <w:p w14:paraId="23047326" w14:textId="77777777"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123" w:type="dxa"/>
            <w:tcBorders>
              <w:top w:val="nil"/>
              <w:left w:val="nil"/>
              <w:bottom w:val="single" w:sz="4" w:space="0" w:color="7030A0"/>
              <w:right w:val="nil"/>
            </w:tcBorders>
            <w:shd w:val="clear" w:color="auto" w:fill="auto"/>
            <w:vAlign w:val="center"/>
            <w:hideMark/>
          </w:tcPr>
          <w:p w14:paraId="7CC23964" w14:textId="77777777"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103" w:type="dxa"/>
            <w:tcBorders>
              <w:top w:val="nil"/>
              <w:left w:val="nil"/>
              <w:bottom w:val="single" w:sz="4" w:space="0" w:color="7030A0"/>
              <w:right w:val="nil"/>
            </w:tcBorders>
            <w:shd w:val="clear" w:color="auto" w:fill="auto"/>
            <w:vAlign w:val="center"/>
            <w:hideMark/>
          </w:tcPr>
          <w:p w14:paraId="4220A132" w14:textId="77777777"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single" w:sz="4" w:space="0" w:color="7030A0"/>
              <w:right w:val="nil"/>
            </w:tcBorders>
            <w:shd w:val="clear" w:color="auto" w:fill="auto"/>
            <w:vAlign w:val="center"/>
            <w:hideMark/>
          </w:tcPr>
          <w:p w14:paraId="78D4DC58" w14:textId="77777777"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27</w:t>
            </w:r>
          </w:p>
        </w:tc>
      </w:tr>
      <w:tr w:rsidR="005D0722" w:rsidRPr="00C73365" w14:paraId="5D39C85B" w14:textId="77777777" w:rsidTr="00246D6C">
        <w:trPr>
          <w:trHeight w:val="300"/>
        </w:trPr>
        <w:tc>
          <w:tcPr>
            <w:tcW w:w="4400" w:type="dxa"/>
            <w:tcBorders>
              <w:top w:val="single" w:sz="4" w:space="0" w:color="7030A0"/>
              <w:left w:val="nil"/>
              <w:bottom w:val="single" w:sz="8" w:space="0" w:color="7030A0"/>
              <w:right w:val="nil"/>
            </w:tcBorders>
            <w:shd w:val="clear" w:color="auto" w:fill="auto"/>
            <w:noWrap/>
            <w:vAlign w:val="center"/>
            <w:hideMark/>
          </w:tcPr>
          <w:p w14:paraId="7DE510F1" w14:textId="77777777" w:rsidR="005D0722" w:rsidRPr="00C73365" w:rsidRDefault="005D0722"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Total Provisions pour risques et charges</w:t>
            </w:r>
          </w:p>
        </w:tc>
        <w:tc>
          <w:tcPr>
            <w:tcW w:w="1367" w:type="dxa"/>
            <w:tcBorders>
              <w:top w:val="single" w:sz="4" w:space="0" w:color="7030A0"/>
              <w:left w:val="nil"/>
              <w:bottom w:val="single" w:sz="8" w:space="0" w:color="7030A0"/>
              <w:right w:val="nil"/>
            </w:tcBorders>
            <w:shd w:val="clear" w:color="auto" w:fill="auto"/>
            <w:vAlign w:val="center"/>
            <w:hideMark/>
          </w:tcPr>
          <w:p w14:paraId="57C7E07D" w14:textId="77777777"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16</w:t>
            </w:r>
          </w:p>
        </w:tc>
        <w:tc>
          <w:tcPr>
            <w:tcW w:w="1123" w:type="dxa"/>
            <w:tcBorders>
              <w:top w:val="single" w:sz="4" w:space="0" w:color="7030A0"/>
              <w:left w:val="nil"/>
              <w:bottom w:val="single" w:sz="8" w:space="0" w:color="7030A0"/>
              <w:right w:val="nil"/>
            </w:tcBorders>
            <w:shd w:val="clear" w:color="auto" w:fill="auto"/>
            <w:vAlign w:val="center"/>
            <w:hideMark/>
          </w:tcPr>
          <w:p w14:paraId="29FC0DD4" w14:textId="77777777"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11</w:t>
            </w:r>
          </w:p>
        </w:tc>
        <w:tc>
          <w:tcPr>
            <w:tcW w:w="1103" w:type="dxa"/>
            <w:tcBorders>
              <w:top w:val="single" w:sz="4" w:space="0" w:color="7030A0"/>
              <w:left w:val="nil"/>
              <w:bottom w:val="single" w:sz="8" w:space="0" w:color="7030A0"/>
              <w:right w:val="nil"/>
            </w:tcBorders>
            <w:shd w:val="clear" w:color="auto" w:fill="auto"/>
            <w:vAlign w:val="center"/>
            <w:hideMark/>
          </w:tcPr>
          <w:p w14:paraId="45AB3F81" w14:textId="77777777"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1367" w:type="dxa"/>
            <w:tcBorders>
              <w:top w:val="single" w:sz="4" w:space="0" w:color="7030A0"/>
              <w:left w:val="nil"/>
              <w:bottom w:val="single" w:sz="8" w:space="0" w:color="7030A0"/>
              <w:right w:val="nil"/>
            </w:tcBorders>
            <w:shd w:val="clear" w:color="auto" w:fill="auto"/>
            <w:vAlign w:val="center"/>
            <w:hideMark/>
          </w:tcPr>
          <w:p w14:paraId="55B00843" w14:textId="77777777"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27</w:t>
            </w:r>
          </w:p>
        </w:tc>
      </w:tr>
      <w:tr w:rsidR="005D0722" w:rsidRPr="00036317" w14:paraId="61677AC0" w14:textId="77777777" w:rsidTr="00246D6C">
        <w:trPr>
          <w:trHeight w:val="288"/>
        </w:trPr>
        <w:tc>
          <w:tcPr>
            <w:tcW w:w="4400" w:type="dxa"/>
            <w:tcBorders>
              <w:top w:val="nil"/>
              <w:left w:val="nil"/>
              <w:bottom w:val="nil"/>
              <w:right w:val="nil"/>
            </w:tcBorders>
            <w:shd w:val="clear" w:color="auto" w:fill="auto"/>
            <w:noWrap/>
            <w:vAlign w:val="center"/>
            <w:hideMark/>
          </w:tcPr>
          <w:p w14:paraId="0CC838FB" w14:textId="77777777" w:rsidR="005D0722" w:rsidRPr="00C73365" w:rsidRDefault="005D0722"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Répartition des dotations et reprises:</w:t>
            </w:r>
          </w:p>
        </w:tc>
        <w:tc>
          <w:tcPr>
            <w:tcW w:w="1367" w:type="dxa"/>
            <w:tcBorders>
              <w:top w:val="nil"/>
              <w:left w:val="nil"/>
              <w:bottom w:val="nil"/>
              <w:right w:val="nil"/>
            </w:tcBorders>
            <w:shd w:val="clear" w:color="auto" w:fill="auto"/>
            <w:vAlign w:val="center"/>
            <w:hideMark/>
          </w:tcPr>
          <w:p w14:paraId="783EBA90" w14:textId="77777777" w:rsidR="005D0722" w:rsidRPr="00C73365" w:rsidRDefault="005D0722" w:rsidP="00246D6C">
            <w:pPr>
              <w:spacing w:after="0"/>
              <w:jc w:val="center"/>
              <w:rPr>
                <w:rFonts w:asciiTheme="minorHAnsi" w:hAnsiTheme="minorHAnsi" w:cstheme="minorHAnsi"/>
                <w:b/>
                <w:bCs/>
                <w:color w:val="000000"/>
                <w:szCs w:val="20"/>
                <w:lang w:val="fr-FR"/>
              </w:rPr>
            </w:pPr>
          </w:p>
        </w:tc>
        <w:tc>
          <w:tcPr>
            <w:tcW w:w="1123" w:type="dxa"/>
            <w:tcBorders>
              <w:top w:val="nil"/>
              <w:left w:val="nil"/>
              <w:bottom w:val="nil"/>
              <w:right w:val="nil"/>
            </w:tcBorders>
            <w:shd w:val="clear" w:color="auto" w:fill="auto"/>
            <w:vAlign w:val="center"/>
            <w:hideMark/>
          </w:tcPr>
          <w:p w14:paraId="19882E29" w14:textId="77777777" w:rsidR="005D0722" w:rsidRPr="00C73365" w:rsidRDefault="005D0722" w:rsidP="00246D6C">
            <w:pPr>
              <w:spacing w:after="0"/>
              <w:jc w:val="center"/>
              <w:rPr>
                <w:rFonts w:asciiTheme="minorHAnsi" w:hAnsiTheme="minorHAnsi" w:cstheme="minorHAnsi"/>
                <w:szCs w:val="20"/>
                <w:lang w:val="fr-FR"/>
              </w:rPr>
            </w:pPr>
          </w:p>
        </w:tc>
        <w:tc>
          <w:tcPr>
            <w:tcW w:w="1103" w:type="dxa"/>
            <w:tcBorders>
              <w:top w:val="nil"/>
              <w:left w:val="nil"/>
              <w:bottom w:val="nil"/>
              <w:right w:val="nil"/>
            </w:tcBorders>
            <w:shd w:val="clear" w:color="auto" w:fill="auto"/>
            <w:vAlign w:val="center"/>
            <w:hideMark/>
          </w:tcPr>
          <w:p w14:paraId="185F9A83" w14:textId="77777777" w:rsidR="005D0722" w:rsidRPr="00C73365" w:rsidRDefault="005D0722" w:rsidP="00246D6C">
            <w:pPr>
              <w:spacing w:after="0"/>
              <w:jc w:val="center"/>
              <w:rPr>
                <w:rFonts w:asciiTheme="minorHAnsi" w:hAnsiTheme="minorHAnsi" w:cstheme="minorHAnsi"/>
                <w:szCs w:val="20"/>
                <w:lang w:val="fr-FR"/>
              </w:rPr>
            </w:pPr>
          </w:p>
        </w:tc>
        <w:tc>
          <w:tcPr>
            <w:tcW w:w="1367" w:type="dxa"/>
            <w:tcBorders>
              <w:top w:val="nil"/>
              <w:left w:val="nil"/>
              <w:bottom w:val="nil"/>
              <w:right w:val="nil"/>
            </w:tcBorders>
            <w:shd w:val="clear" w:color="auto" w:fill="auto"/>
            <w:vAlign w:val="center"/>
            <w:hideMark/>
          </w:tcPr>
          <w:p w14:paraId="26B74F3C" w14:textId="77777777" w:rsidR="005D0722" w:rsidRPr="00C73365" w:rsidRDefault="005D0722" w:rsidP="00246D6C">
            <w:pPr>
              <w:spacing w:after="0"/>
              <w:jc w:val="center"/>
              <w:rPr>
                <w:rFonts w:asciiTheme="minorHAnsi" w:hAnsiTheme="minorHAnsi" w:cstheme="minorHAnsi"/>
                <w:szCs w:val="20"/>
                <w:lang w:val="fr-FR"/>
              </w:rPr>
            </w:pPr>
          </w:p>
        </w:tc>
      </w:tr>
      <w:tr w:rsidR="005D0722" w:rsidRPr="00C73365" w14:paraId="4D13E16B" w14:textId="77777777" w:rsidTr="00246D6C">
        <w:trPr>
          <w:trHeight w:val="288"/>
        </w:trPr>
        <w:tc>
          <w:tcPr>
            <w:tcW w:w="4400" w:type="dxa"/>
            <w:tcBorders>
              <w:top w:val="nil"/>
              <w:left w:val="nil"/>
              <w:bottom w:val="nil"/>
              <w:right w:val="nil"/>
            </w:tcBorders>
            <w:shd w:val="clear" w:color="auto" w:fill="auto"/>
            <w:noWrap/>
            <w:vAlign w:val="center"/>
            <w:hideMark/>
          </w:tcPr>
          <w:p w14:paraId="59DCFC4D" w14:textId="77777777"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Exploitation</w:t>
            </w:r>
          </w:p>
        </w:tc>
        <w:tc>
          <w:tcPr>
            <w:tcW w:w="1367" w:type="dxa"/>
            <w:tcBorders>
              <w:top w:val="nil"/>
              <w:left w:val="nil"/>
              <w:bottom w:val="nil"/>
              <w:right w:val="nil"/>
            </w:tcBorders>
            <w:shd w:val="clear" w:color="auto" w:fill="auto"/>
            <w:vAlign w:val="center"/>
            <w:hideMark/>
          </w:tcPr>
          <w:p w14:paraId="0DC80D09" w14:textId="77777777"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nil"/>
              <w:right w:val="nil"/>
            </w:tcBorders>
            <w:shd w:val="clear" w:color="auto" w:fill="auto"/>
            <w:vAlign w:val="center"/>
            <w:hideMark/>
          </w:tcPr>
          <w:p w14:paraId="4EA8DDCC" w14:textId="77777777"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103" w:type="dxa"/>
            <w:tcBorders>
              <w:top w:val="nil"/>
              <w:left w:val="nil"/>
              <w:bottom w:val="nil"/>
              <w:right w:val="nil"/>
            </w:tcBorders>
            <w:shd w:val="clear" w:color="auto" w:fill="auto"/>
            <w:vAlign w:val="center"/>
            <w:hideMark/>
          </w:tcPr>
          <w:p w14:paraId="3F51B88C" w14:textId="77777777"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nil"/>
              <w:right w:val="nil"/>
            </w:tcBorders>
            <w:shd w:val="clear" w:color="auto" w:fill="auto"/>
            <w:vAlign w:val="center"/>
            <w:hideMark/>
          </w:tcPr>
          <w:p w14:paraId="3D2199BE" w14:textId="77777777" w:rsidR="005D0722" w:rsidRPr="00C73365" w:rsidRDefault="005D0722" w:rsidP="00246D6C">
            <w:pPr>
              <w:spacing w:after="0"/>
              <w:jc w:val="center"/>
              <w:rPr>
                <w:rFonts w:asciiTheme="minorHAnsi" w:hAnsiTheme="minorHAnsi" w:cstheme="minorHAnsi"/>
                <w:szCs w:val="20"/>
              </w:rPr>
            </w:pPr>
          </w:p>
        </w:tc>
      </w:tr>
      <w:tr w:rsidR="005D0722" w:rsidRPr="00C73365" w14:paraId="1800AF8C" w14:textId="77777777" w:rsidTr="00246D6C">
        <w:trPr>
          <w:trHeight w:val="288"/>
        </w:trPr>
        <w:tc>
          <w:tcPr>
            <w:tcW w:w="4400" w:type="dxa"/>
            <w:tcBorders>
              <w:top w:val="nil"/>
              <w:left w:val="nil"/>
              <w:bottom w:val="nil"/>
              <w:right w:val="nil"/>
            </w:tcBorders>
            <w:shd w:val="clear" w:color="auto" w:fill="auto"/>
            <w:vAlign w:val="center"/>
            <w:hideMark/>
          </w:tcPr>
          <w:p w14:paraId="0EBBA615" w14:textId="77777777"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Financières</w:t>
            </w:r>
          </w:p>
        </w:tc>
        <w:tc>
          <w:tcPr>
            <w:tcW w:w="1367" w:type="dxa"/>
            <w:tcBorders>
              <w:top w:val="nil"/>
              <w:left w:val="nil"/>
              <w:bottom w:val="nil"/>
              <w:right w:val="nil"/>
            </w:tcBorders>
            <w:shd w:val="clear" w:color="auto" w:fill="auto"/>
            <w:vAlign w:val="center"/>
            <w:hideMark/>
          </w:tcPr>
          <w:p w14:paraId="4FDF2FCC" w14:textId="77777777"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nil"/>
              <w:right w:val="nil"/>
            </w:tcBorders>
            <w:shd w:val="clear" w:color="auto" w:fill="auto"/>
            <w:vAlign w:val="center"/>
            <w:hideMark/>
          </w:tcPr>
          <w:p w14:paraId="4039797B" w14:textId="77777777" w:rsidR="005D0722" w:rsidRPr="00C73365" w:rsidRDefault="005D0722" w:rsidP="00246D6C">
            <w:pPr>
              <w:spacing w:after="0"/>
              <w:jc w:val="center"/>
              <w:rPr>
                <w:rFonts w:asciiTheme="minorHAnsi" w:hAnsiTheme="minorHAnsi" w:cstheme="minorHAnsi"/>
                <w:szCs w:val="20"/>
              </w:rPr>
            </w:pPr>
          </w:p>
        </w:tc>
        <w:tc>
          <w:tcPr>
            <w:tcW w:w="1103" w:type="dxa"/>
            <w:tcBorders>
              <w:top w:val="nil"/>
              <w:left w:val="nil"/>
              <w:bottom w:val="nil"/>
              <w:right w:val="nil"/>
            </w:tcBorders>
            <w:shd w:val="clear" w:color="auto" w:fill="auto"/>
            <w:vAlign w:val="center"/>
            <w:hideMark/>
          </w:tcPr>
          <w:p w14:paraId="77F62B63" w14:textId="77777777" w:rsidR="005D0722" w:rsidRPr="00C73365" w:rsidRDefault="005D0722" w:rsidP="00246D6C">
            <w:pPr>
              <w:spacing w:after="0"/>
              <w:jc w:val="center"/>
              <w:rPr>
                <w:rFonts w:asciiTheme="minorHAnsi" w:hAnsiTheme="minorHAnsi" w:cstheme="minorHAnsi"/>
                <w:szCs w:val="20"/>
              </w:rPr>
            </w:pPr>
          </w:p>
        </w:tc>
        <w:tc>
          <w:tcPr>
            <w:tcW w:w="1367" w:type="dxa"/>
            <w:tcBorders>
              <w:top w:val="nil"/>
              <w:left w:val="nil"/>
              <w:bottom w:val="nil"/>
              <w:right w:val="nil"/>
            </w:tcBorders>
            <w:shd w:val="clear" w:color="auto" w:fill="auto"/>
            <w:vAlign w:val="center"/>
            <w:hideMark/>
          </w:tcPr>
          <w:p w14:paraId="39EB6EA6" w14:textId="77777777" w:rsidR="005D0722" w:rsidRPr="00C73365" w:rsidRDefault="005D0722" w:rsidP="00246D6C">
            <w:pPr>
              <w:spacing w:after="0"/>
              <w:jc w:val="center"/>
              <w:rPr>
                <w:rFonts w:asciiTheme="minorHAnsi" w:hAnsiTheme="minorHAnsi" w:cstheme="minorHAnsi"/>
                <w:szCs w:val="20"/>
              </w:rPr>
            </w:pPr>
          </w:p>
        </w:tc>
      </w:tr>
      <w:tr w:rsidR="005D0722" w:rsidRPr="00C73365" w14:paraId="3CE19AD4" w14:textId="77777777" w:rsidTr="00246D6C">
        <w:trPr>
          <w:trHeight w:val="300"/>
        </w:trPr>
        <w:tc>
          <w:tcPr>
            <w:tcW w:w="4400" w:type="dxa"/>
            <w:tcBorders>
              <w:top w:val="nil"/>
              <w:left w:val="nil"/>
              <w:bottom w:val="single" w:sz="8" w:space="0" w:color="7030A0"/>
              <w:right w:val="nil"/>
            </w:tcBorders>
            <w:shd w:val="clear" w:color="auto" w:fill="auto"/>
            <w:noWrap/>
            <w:vAlign w:val="center"/>
            <w:hideMark/>
          </w:tcPr>
          <w:p w14:paraId="6D5B4E25" w14:textId="77777777"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Exceptionnelles</w:t>
            </w:r>
          </w:p>
        </w:tc>
        <w:tc>
          <w:tcPr>
            <w:tcW w:w="1367" w:type="dxa"/>
            <w:tcBorders>
              <w:top w:val="nil"/>
              <w:left w:val="nil"/>
              <w:bottom w:val="single" w:sz="8" w:space="0" w:color="7030A0"/>
              <w:right w:val="nil"/>
            </w:tcBorders>
            <w:shd w:val="clear" w:color="auto" w:fill="auto"/>
            <w:vAlign w:val="center"/>
            <w:hideMark/>
          </w:tcPr>
          <w:p w14:paraId="62D1DBCC" w14:textId="77777777"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single" w:sz="8" w:space="0" w:color="7030A0"/>
              <w:right w:val="nil"/>
            </w:tcBorders>
            <w:shd w:val="clear" w:color="auto" w:fill="auto"/>
            <w:vAlign w:val="center"/>
            <w:hideMark/>
          </w:tcPr>
          <w:p w14:paraId="27EA12C7" w14:textId="77777777" w:rsidR="005D0722" w:rsidRPr="00C73365" w:rsidRDefault="005D0722" w:rsidP="00246D6C">
            <w:pPr>
              <w:spacing w:after="0"/>
              <w:jc w:val="center"/>
              <w:rPr>
                <w:rFonts w:asciiTheme="minorHAnsi" w:hAnsiTheme="minorHAnsi" w:cstheme="minorHAnsi"/>
                <w:color w:val="000000"/>
                <w:szCs w:val="20"/>
              </w:rPr>
            </w:pPr>
          </w:p>
        </w:tc>
        <w:tc>
          <w:tcPr>
            <w:tcW w:w="1103" w:type="dxa"/>
            <w:tcBorders>
              <w:top w:val="nil"/>
              <w:left w:val="nil"/>
              <w:bottom w:val="single" w:sz="8" w:space="0" w:color="7030A0"/>
              <w:right w:val="nil"/>
            </w:tcBorders>
            <w:shd w:val="clear" w:color="auto" w:fill="auto"/>
            <w:vAlign w:val="center"/>
            <w:hideMark/>
          </w:tcPr>
          <w:p w14:paraId="59DF24D3" w14:textId="77777777"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single" w:sz="8" w:space="0" w:color="7030A0"/>
              <w:right w:val="nil"/>
            </w:tcBorders>
            <w:shd w:val="clear" w:color="auto" w:fill="auto"/>
            <w:vAlign w:val="center"/>
            <w:hideMark/>
          </w:tcPr>
          <w:p w14:paraId="609485E5" w14:textId="77777777" w:rsidR="005D0722" w:rsidRPr="00C73365" w:rsidRDefault="005D0722" w:rsidP="00246D6C">
            <w:pPr>
              <w:spacing w:after="0"/>
              <w:jc w:val="center"/>
              <w:rPr>
                <w:rFonts w:asciiTheme="minorHAnsi" w:hAnsiTheme="minorHAnsi" w:cstheme="minorHAnsi"/>
                <w:color w:val="000000"/>
                <w:szCs w:val="20"/>
              </w:rPr>
            </w:pPr>
          </w:p>
        </w:tc>
      </w:tr>
    </w:tbl>
    <w:p w14:paraId="35FD7B6D" w14:textId="77777777" w:rsidR="005D0722" w:rsidRPr="00C73365" w:rsidRDefault="005D0722" w:rsidP="00A96CCA">
      <w:pPr>
        <w:spacing w:after="0"/>
        <w:ind w:right="-2"/>
        <w:rPr>
          <w:rFonts w:asciiTheme="minorHAnsi" w:eastAsia="MS Mincho" w:hAnsiTheme="minorHAnsi" w:cstheme="minorHAnsi"/>
          <w:b/>
          <w:color w:val="7030A0"/>
          <w:szCs w:val="20"/>
          <w:highlight w:val="lightGray"/>
          <w:lang w:val="fr-FR" w:eastAsia="fr-FR"/>
        </w:rPr>
      </w:pPr>
    </w:p>
    <w:p w14:paraId="5874D837"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1597AB19"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768B8DE2"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62CF12F5"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3D172496"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3BE35154"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1AB3DE42"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01623C2F"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30AB7F03"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3E3468D0"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7BA5C6EB"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21CD1551"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53B78649"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42A791C2"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318FA741"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6F10320A"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5B5CAA22"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0CF7C7FA"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18BF6B55"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0285677C"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52DFBE16"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6C8C3B1E"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5AC4D8AC"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4CB9122E"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72FB446D" w14:textId="77777777"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14:paraId="2C7D0202" w14:textId="77777777"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14:paraId="52C2DCAB" w14:textId="77777777" w:rsidR="00C73492" w:rsidRPr="00C73365" w:rsidRDefault="00C73492" w:rsidP="00A96CCA">
      <w:pPr>
        <w:spacing w:after="0"/>
        <w:ind w:right="-2"/>
        <w:rPr>
          <w:rFonts w:asciiTheme="minorHAnsi" w:eastAsia="MS Mincho" w:hAnsiTheme="minorHAnsi" w:cstheme="minorHAnsi"/>
          <w:b/>
          <w:color w:val="7030A0"/>
          <w:sz w:val="28"/>
          <w:szCs w:val="22"/>
          <w:highlight w:val="lightGray"/>
          <w:lang w:val="fr-FR" w:eastAsia="fr-FR"/>
        </w:rPr>
      </w:pPr>
    </w:p>
    <w:p w14:paraId="18987313" w14:textId="77777777" w:rsidR="00D22228" w:rsidRPr="00C73365" w:rsidRDefault="00D22228" w:rsidP="00A96CCA">
      <w:pPr>
        <w:spacing w:after="0"/>
        <w:ind w:right="-2"/>
        <w:rPr>
          <w:rFonts w:asciiTheme="minorHAnsi" w:eastAsia="MS Mincho" w:hAnsiTheme="minorHAnsi" w:cstheme="minorHAnsi"/>
          <w:b/>
          <w:color w:val="7030A0"/>
          <w:sz w:val="28"/>
          <w:szCs w:val="22"/>
          <w:highlight w:val="lightGray"/>
          <w:lang w:val="fr-FR" w:eastAsia="fr-FR"/>
        </w:rPr>
      </w:pPr>
    </w:p>
    <w:p w14:paraId="2B836969" w14:textId="77777777" w:rsidR="00072C6F" w:rsidRPr="00C73365" w:rsidRDefault="00072C6F" w:rsidP="00A96CCA">
      <w:pPr>
        <w:spacing w:after="0"/>
        <w:rPr>
          <w:rFonts w:asciiTheme="minorHAnsi" w:eastAsia="MS Mincho" w:hAnsiTheme="minorHAnsi" w:cstheme="minorHAnsi"/>
          <w:b/>
          <w:color w:val="7030A0"/>
          <w:szCs w:val="20"/>
          <w:highlight w:val="yellow"/>
          <w:lang w:val="fr-FR" w:eastAsia="fr-FR"/>
        </w:rPr>
      </w:pPr>
      <w:r w:rsidRPr="00C73365">
        <w:rPr>
          <w:rFonts w:asciiTheme="minorHAnsi" w:eastAsia="MS Mincho" w:hAnsiTheme="minorHAnsi" w:cstheme="minorHAnsi"/>
          <w:b/>
          <w:color w:val="7030A0"/>
          <w:szCs w:val="20"/>
          <w:highlight w:val="yellow"/>
          <w:lang w:val="fr-FR" w:eastAsia="fr-FR"/>
        </w:rPr>
        <w:br w:type="page"/>
      </w:r>
    </w:p>
    <w:p w14:paraId="6B6F9BE3"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8 – AVANCES CONDITIONNEES ET SUBVENTIONS</w:t>
      </w:r>
    </w:p>
    <w:p w14:paraId="33BC3CE4"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5778C02F"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Avances remboursables accordées par des organismes publics</w:t>
      </w:r>
    </w:p>
    <w:p w14:paraId="4E719E3E"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En conséquence de la transmission universelle du patrimoine de ses anciennes filiales Splicos et Wittycell, la Société bénéficie des aides qui leur avaient été accordées et a repris les engagements correspondants à </w:t>
      </w:r>
      <w:r w:rsidRPr="00C73365">
        <w:rPr>
          <w:rFonts w:asciiTheme="minorHAnsi" w:eastAsia="MS Mincho" w:hAnsiTheme="minorHAnsi" w:cstheme="minorHAnsi"/>
          <w:lang w:val="fr-FR" w:eastAsia="fr-FR"/>
        </w:rPr>
        <w:t xml:space="preserve">son passif, soit en Avances conditionnées lorsque le remboursement n’est pas certain, soit en Emprunts et dettes financières diverses dans le cas contraire. </w:t>
      </w:r>
    </w:p>
    <w:p w14:paraId="77D0A230"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Les tableaux, ci-après, exprimés en milliers d’euros fournissent le détail de la variation de ces passifs entre le 31 décembre </w:t>
      </w:r>
      <w:r w:rsidR="00C73492" w:rsidRPr="00C73365">
        <w:rPr>
          <w:rFonts w:asciiTheme="minorHAnsi" w:eastAsia="MS Mincho" w:hAnsiTheme="minorHAnsi" w:cstheme="minorHAnsi"/>
          <w:lang w:val="fr-FR" w:eastAsia="fr-FR"/>
        </w:rPr>
        <w:t xml:space="preserve">2016 </w:t>
      </w:r>
      <w:r w:rsidRPr="00C73365">
        <w:rPr>
          <w:rFonts w:asciiTheme="minorHAnsi" w:eastAsia="MS Mincho" w:hAnsiTheme="minorHAnsi" w:cstheme="minorHAnsi"/>
          <w:lang w:val="fr-FR" w:eastAsia="fr-FR"/>
        </w:rPr>
        <w:t xml:space="preserve">et le 31 Décembre </w:t>
      </w:r>
      <w:r w:rsidR="00C73492"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w:t>
      </w:r>
    </w:p>
    <w:p w14:paraId="19EAFA56"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 xml:space="preserve">Situation au 31 Décembre </w:t>
      </w:r>
      <w:r w:rsidR="00B4407F" w:rsidRPr="00C73365">
        <w:rPr>
          <w:rFonts w:asciiTheme="minorHAnsi" w:eastAsia="MS Mincho" w:hAnsiTheme="minorHAnsi" w:cstheme="minorHAnsi"/>
          <w:b/>
          <w:lang w:val="fr-FR" w:eastAsia="fr-FR"/>
        </w:rPr>
        <w:t>2017 </w:t>
      </w:r>
      <w:r w:rsidRPr="00C73365">
        <w:rPr>
          <w:rFonts w:asciiTheme="minorHAnsi" w:eastAsia="MS Mincho" w:hAnsiTheme="minorHAnsi" w:cstheme="minorHAnsi"/>
          <w:b/>
          <w:lang w:val="fr-FR" w:eastAsia="fr-FR"/>
        </w:rPr>
        <w:t>:</w:t>
      </w:r>
    </w:p>
    <w:tbl>
      <w:tblPr>
        <w:tblW w:w="8292" w:type="dxa"/>
        <w:tblLook w:val="04A0" w:firstRow="1" w:lastRow="0" w:firstColumn="1" w:lastColumn="0" w:noHBand="0" w:noVBand="1"/>
      </w:tblPr>
      <w:tblGrid>
        <w:gridCol w:w="1557"/>
        <w:gridCol w:w="1199"/>
        <w:gridCol w:w="903"/>
        <w:gridCol w:w="1305"/>
        <w:gridCol w:w="1199"/>
        <w:gridCol w:w="1415"/>
        <w:gridCol w:w="1156"/>
      </w:tblGrid>
      <w:tr w:rsidR="00B4407F" w:rsidRPr="00C73365" w14:paraId="5DAAB49F" w14:textId="77777777" w:rsidTr="00BB083E">
        <w:trPr>
          <w:trHeight w:val="275"/>
        </w:trPr>
        <w:tc>
          <w:tcPr>
            <w:tcW w:w="1557" w:type="dxa"/>
            <w:vMerge w:val="restart"/>
            <w:tcBorders>
              <w:top w:val="single" w:sz="12" w:space="0" w:color="9032B8"/>
              <w:left w:val="nil"/>
              <w:bottom w:val="single" w:sz="8" w:space="0" w:color="9032B8"/>
              <w:right w:val="nil"/>
            </w:tcBorders>
            <w:shd w:val="clear" w:color="auto" w:fill="auto"/>
            <w:vAlign w:val="center"/>
            <w:hideMark/>
          </w:tcPr>
          <w:p w14:paraId="6692621F" w14:textId="77777777"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01" w:type="dxa"/>
            <w:vMerge w:val="restart"/>
            <w:tcBorders>
              <w:top w:val="single" w:sz="12" w:space="0" w:color="9032B8"/>
              <w:left w:val="nil"/>
              <w:bottom w:val="single" w:sz="8" w:space="0" w:color="9032B8"/>
              <w:right w:val="nil"/>
            </w:tcBorders>
            <w:shd w:val="clear" w:color="auto" w:fill="auto"/>
            <w:vAlign w:val="center"/>
            <w:hideMark/>
          </w:tcPr>
          <w:p w14:paraId="18CB37E6" w14:textId="77777777"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Solde au 31/12/201</w:t>
            </w:r>
            <w:r w:rsidR="005C36A7">
              <w:rPr>
                <w:rFonts w:asciiTheme="minorHAnsi" w:hAnsiTheme="minorHAnsi" w:cstheme="minorHAnsi"/>
                <w:b/>
                <w:bCs/>
                <w:color w:val="000000"/>
                <w:szCs w:val="20"/>
              </w:rPr>
              <w:t>6</w:t>
            </w:r>
          </w:p>
        </w:tc>
        <w:tc>
          <w:tcPr>
            <w:tcW w:w="955" w:type="dxa"/>
            <w:vMerge w:val="restart"/>
            <w:tcBorders>
              <w:top w:val="single" w:sz="12" w:space="0" w:color="9032B8"/>
              <w:left w:val="nil"/>
              <w:bottom w:val="single" w:sz="8" w:space="0" w:color="9032B8"/>
              <w:right w:val="nil"/>
            </w:tcBorders>
            <w:shd w:val="clear" w:color="auto" w:fill="auto"/>
            <w:vAlign w:val="center"/>
            <w:hideMark/>
          </w:tcPr>
          <w:p w14:paraId="472C36F7" w14:textId="77777777"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reçues </w:t>
            </w:r>
          </w:p>
        </w:tc>
        <w:tc>
          <w:tcPr>
            <w:tcW w:w="1196" w:type="dxa"/>
            <w:vMerge w:val="restart"/>
            <w:tcBorders>
              <w:top w:val="single" w:sz="12" w:space="0" w:color="9032B8"/>
              <w:left w:val="nil"/>
              <w:bottom w:val="single" w:sz="8" w:space="0" w:color="9032B8"/>
              <w:right w:val="nil"/>
            </w:tcBorders>
            <w:shd w:val="clear" w:color="auto" w:fill="auto"/>
            <w:vAlign w:val="center"/>
            <w:hideMark/>
          </w:tcPr>
          <w:p w14:paraId="0645755B" w14:textId="77777777"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remboursées </w:t>
            </w:r>
          </w:p>
        </w:tc>
        <w:tc>
          <w:tcPr>
            <w:tcW w:w="1101" w:type="dxa"/>
            <w:vMerge w:val="restart"/>
            <w:tcBorders>
              <w:top w:val="single" w:sz="12" w:space="0" w:color="9032B8"/>
              <w:left w:val="nil"/>
              <w:bottom w:val="single" w:sz="8" w:space="0" w:color="9032B8"/>
              <w:right w:val="nil"/>
            </w:tcBorders>
            <w:shd w:val="clear" w:color="auto" w:fill="auto"/>
            <w:vAlign w:val="center"/>
            <w:hideMark/>
          </w:tcPr>
          <w:p w14:paraId="31B3CC72" w14:textId="77777777"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Solde au 31/12/2017</w:t>
            </w:r>
          </w:p>
        </w:tc>
        <w:tc>
          <w:tcPr>
            <w:tcW w:w="2382" w:type="dxa"/>
            <w:gridSpan w:val="2"/>
            <w:tcBorders>
              <w:top w:val="single" w:sz="12" w:space="0" w:color="9032B8"/>
              <w:left w:val="nil"/>
              <w:bottom w:val="nil"/>
              <w:right w:val="nil"/>
            </w:tcBorders>
            <w:shd w:val="clear" w:color="auto" w:fill="auto"/>
            <w:vAlign w:val="center"/>
            <w:hideMark/>
          </w:tcPr>
          <w:p w14:paraId="59B70795" w14:textId="77777777"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Dont</w:t>
            </w:r>
          </w:p>
        </w:tc>
      </w:tr>
      <w:tr w:rsidR="00B4407F" w:rsidRPr="00C73365" w14:paraId="7C0C8B06" w14:textId="77777777" w:rsidTr="00BB083E">
        <w:trPr>
          <w:trHeight w:val="452"/>
        </w:trPr>
        <w:tc>
          <w:tcPr>
            <w:tcW w:w="1557" w:type="dxa"/>
            <w:vMerge/>
            <w:tcBorders>
              <w:top w:val="single" w:sz="12" w:space="0" w:color="9032B8"/>
              <w:left w:val="nil"/>
              <w:bottom w:val="single" w:sz="8" w:space="0" w:color="9032B8"/>
              <w:right w:val="nil"/>
            </w:tcBorders>
            <w:vAlign w:val="center"/>
            <w:hideMark/>
          </w:tcPr>
          <w:p w14:paraId="78E01B43" w14:textId="77777777" w:rsidR="00B4407F" w:rsidRPr="00C73365" w:rsidRDefault="00B4407F" w:rsidP="00A96CCA">
            <w:pPr>
              <w:spacing w:after="0"/>
              <w:rPr>
                <w:rFonts w:asciiTheme="minorHAnsi" w:hAnsiTheme="minorHAnsi" w:cstheme="minorHAnsi"/>
                <w:color w:val="000000"/>
                <w:szCs w:val="20"/>
              </w:rPr>
            </w:pPr>
          </w:p>
        </w:tc>
        <w:tc>
          <w:tcPr>
            <w:tcW w:w="1101" w:type="dxa"/>
            <w:vMerge/>
            <w:tcBorders>
              <w:top w:val="single" w:sz="12" w:space="0" w:color="9032B8"/>
              <w:left w:val="nil"/>
              <w:bottom w:val="single" w:sz="8" w:space="0" w:color="9032B8"/>
              <w:right w:val="nil"/>
            </w:tcBorders>
            <w:vAlign w:val="center"/>
            <w:hideMark/>
          </w:tcPr>
          <w:p w14:paraId="4882E1EF" w14:textId="77777777" w:rsidR="00B4407F" w:rsidRPr="00C73365" w:rsidRDefault="00B4407F" w:rsidP="00A96CCA">
            <w:pPr>
              <w:spacing w:after="0"/>
              <w:rPr>
                <w:rFonts w:asciiTheme="minorHAnsi" w:hAnsiTheme="minorHAnsi" w:cstheme="minorHAnsi"/>
                <w:b/>
                <w:bCs/>
                <w:color w:val="000000"/>
                <w:szCs w:val="20"/>
              </w:rPr>
            </w:pPr>
          </w:p>
        </w:tc>
        <w:tc>
          <w:tcPr>
            <w:tcW w:w="955" w:type="dxa"/>
            <w:vMerge/>
            <w:tcBorders>
              <w:top w:val="single" w:sz="12" w:space="0" w:color="9032B8"/>
              <w:left w:val="nil"/>
              <w:bottom w:val="single" w:sz="8" w:space="0" w:color="9032B8"/>
              <w:right w:val="nil"/>
            </w:tcBorders>
            <w:vAlign w:val="center"/>
            <w:hideMark/>
          </w:tcPr>
          <w:p w14:paraId="60226CC2" w14:textId="77777777" w:rsidR="00B4407F" w:rsidRPr="00C73365" w:rsidRDefault="00B4407F" w:rsidP="00A96CCA">
            <w:pPr>
              <w:spacing w:after="0"/>
              <w:rPr>
                <w:rFonts w:asciiTheme="minorHAnsi" w:hAnsiTheme="minorHAnsi" w:cstheme="minorHAnsi"/>
                <w:b/>
                <w:bCs/>
                <w:color w:val="000000"/>
                <w:szCs w:val="20"/>
              </w:rPr>
            </w:pPr>
          </w:p>
        </w:tc>
        <w:tc>
          <w:tcPr>
            <w:tcW w:w="1196" w:type="dxa"/>
            <w:vMerge/>
            <w:tcBorders>
              <w:top w:val="single" w:sz="12" w:space="0" w:color="9032B8"/>
              <w:left w:val="nil"/>
              <w:bottom w:val="single" w:sz="8" w:space="0" w:color="9032B8"/>
              <w:right w:val="nil"/>
            </w:tcBorders>
            <w:vAlign w:val="center"/>
            <w:hideMark/>
          </w:tcPr>
          <w:p w14:paraId="23B32DA3" w14:textId="77777777" w:rsidR="00B4407F" w:rsidRPr="00C73365" w:rsidRDefault="00B4407F" w:rsidP="00A96CCA">
            <w:pPr>
              <w:spacing w:after="0"/>
              <w:rPr>
                <w:rFonts w:asciiTheme="minorHAnsi" w:hAnsiTheme="minorHAnsi" w:cstheme="minorHAnsi"/>
                <w:b/>
                <w:bCs/>
                <w:color w:val="000000"/>
                <w:szCs w:val="20"/>
              </w:rPr>
            </w:pPr>
          </w:p>
        </w:tc>
        <w:tc>
          <w:tcPr>
            <w:tcW w:w="1101" w:type="dxa"/>
            <w:vMerge/>
            <w:tcBorders>
              <w:top w:val="single" w:sz="12" w:space="0" w:color="9032B8"/>
              <w:left w:val="nil"/>
              <w:bottom w:val="single" w:sz="8" w:space="0" w:color="9032B8"/>
              <w:right w:val="nil"/>
            </w:tcBorders>
            <w:vAlign w:val="center"/>
            <w:hideMark/>
          </w:tcPr>
          <w:p w14:paraId="2BEA93EB" w14:textId="77777777" w:rsidR="00B4407F" w:rsidRPr="00C73365" w:rsidRDefault="00B4407F" w:rsidP="00A96CCA">
            <w:pPr>
              <w:spacing w:after="0"/>
              <w:rPr>
                <w:rFonts w:asciiTheme="minorHAnsi" w:hAnsiTheme="minorHAnsi" w:cstheme="minorHAnsi"/>
                <w:b/>
                <w:bCs/>
                <w:color w:val="000000"/>
                <w:szCs w:val="20"/>
              </w:rPr>
            </w:pPr>
          </w:p>
        </w:tc>
        <w:tc>
          <w:tcPr>
            <w:tcW w:w="1320" w:type="dxa"/>
            <w:tcBorders>
              <w:top w:val="nil"/>
              <w:left w:val="nil"/>
              <w:bottom w:val="single" w:sz="8" w:space="0" w:color="9032B8"/>
              <w:right w:val="nil"/>
            </w:tcBorders>
            <w:shd w:val="clear" w:color="auto" w:fill="auto"/>
            <w:vAlign w:val="center"/>
            <w:hideMark/>
          </w:tcPr>
          <w:p w14:paraId="61395FB5" w14:textId="77777777"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Avances Conditionnées</w:t>
            </w:r>
          </w:p>
        </w:tc>
        <w:tc>
          <w:tcPr>
            <w:tcW w:w="1062" w:type="dxa"/>
            <w:tcBorders>
              <w:top w:val="nil"/>
              <w:left w:val="nil"/>
              <w:bottom w:val="single" w:sz="8" w:space="0" w:color="9032B8"/>
              <w:right w:val="nil"/>
            </w:tcBorders>
            <w:shd w:val="clear" w:color="auto" w:fill="auto"/>
            <w:vAlign w:val="center"/>
            <w:hideMark/>
          </w:tcPr>
          <w:p w14:paraId="71198B93" w14:textId="77777777"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Dettes Financières</w:t>
            </w:r>
          </w:p>
        </w:tc>
      </w:tr>
      <w:tr w:rsidR="00B4407F" w:rsidRPr="00C73365" w14:paraId="42FE525D" w14:textId="77777777" w:rsidTr="00BB083E">
        <w:trPr>
          <w:trHeight w:val="264"/>
        </w:trPr>
        <w:tc>
          <w:tcPr>
            <w:tcW w:w="1557" w:type="dxa"/>
            <w:tcBorders>
              <w:top w:val="nil"/>
              <w:left w:val="nil"/>
              <w:bottom w:val="nil"/>
              <w:right w:val="nil"/>
            </w:tcBorders>
            <w:shd w:val="clear" w:color="auto" w:fill="auto"/>
            <w:vAlign w:val="center"/>
            <w:hideMark/>
          </w:tcPr>
          <w:p w14:paraId="083E5281" w14:textId="77777777"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w:t>
            </w:r>
            <w:r w:rsidRPr="00C73365">
              <w:rPr>
                <w:rFonts w:asciiTheme="minorHAnsi" w:hAnsiTheme="minorHAnsi" w:cstheme="minorHAnsi"/>
                <w:color w:val="000000"/>
                <w:szCs w:val="20"/>
              </w:rPr>
              <w:t xml:space="preserve"> – CaReNA</w:t>
            </w:r>
            <w:r w:rsidRPr="00C73365">
              <w:rPr>
                <w:rFonts w:asciiTheme="minorHAnsi" w:hAnsiTheme="minorHAnsi" w:cstheme="minorHAnsi"/>
                <w:color w:val="9032B8"/>
                <w:szCs w:val="20"/>
              </w:rPr>
              <w:t>*</w:t>
            </w:r>
          </w:p>
        </w:tc>
        <w:tc>
          <w:tcPr>
            <w:tcW w:w="1101" w:type="dxa"/>
            <w:tcBorders>
              <w:top w:val="nil"/>
              <w:left w:val="nil"/>
              <w:bottom w:val="nil"/>
              <w:right w:val="nil"/>
            </w:tcBorders>
            <w:shd w:val="clear" w:color="auto" w:fill="auto"/>
            <w:vAlign w:val="center"/>
            <w:hideMark/>
          </w:tcPr>
          <w:p w14:paraId="59EFD2F0"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2 269</w:t>
            </w:r>
          </w:p>
        </w:tc>
        <w:tc>
          <w:tcPr>
            <w:tcW w:w="955" w:type="dxa"/>
            <w:tcBorders>
              <w:top w:val="nil"/>
              <w:left w:val="nil"/>
              <w:bottom w:val="nil"/>
              <w:right w:val="nil"/>
            </w:tcBorders>
            <w:shd w:val="clear" w:color="auto" w:fill="auto"/>
            <w:vAlign w:val="center"/>
            <w:hideMark/>
          </w:tcPr>
          <w:p w14:paraId="607C243E" w14:textId="77777777" w:rsidR="00B4407F" w:rsidRPr="00C73365" w:rsidRDefault="00B4407F" w:rsidP="00A96CCA">
            <w:pPr>
              <w:spacing w:after="0"/>
              <w:jc w:val="right"/>
              <w:rPr>
                <w:rFonts w:asciiTheme="minorHAnsi" w:hAnsiTheme="minorHAnsi" w:cstheme="minorHAnsi"/>
                <w:color w:val="000000"/>
                <w:szCs w:val="20"/>
              </w:rPr>
            </w:pPr>
          </w:p>
        </w:tc>
        <w:tc>
          <w:tcPr>
            <w:tcW w:w="1196" w:type="dxa"/>
            <w:tcBorders>
              <w:top w:val="nil"/>
              <w:left w:val="nil"/>
              <w:bottom w:val="nil"/>
              <w:right w:val="nil"/>
            </w:tcBorders>
            <w:shd w:val="clear" w:color="auto" w:fill="auto"/>
            <w:hideMark/>
          </w:tcPr>
          <w:p w14:paraId="15873D50" w14:textId="77777777" w:rsidR="00B4407F" w:rsidRPr="00C73365" w:rsidRDefault="00B4407F" w:rsidP="00A96CCA">
            <w:pPr>
              <w:spacing w:after="0"/>
              <w:jc w:val="right"/>
              <w:rPr>
                <w:rFonts w:asciiTheme="minorHAnsi" w:hAnsiTheme="minorHAnsi" w:cstheme="minorHAnsi"/>
                <w:color w:val="000000"/>
                <w:szCs w:val="20"/>
              </w:rPr>
            </w:pPr>
          </w:p>
        </w:tc>
        <w:tc>
          <w:tcPr>
            <w:tcW w:w="1101" w:type="dxa"/>
            <w:tcBorders>
              <w:top w:val="nil"/>
              <w:left w:val="nil"/>
              <w:bottom w:val="nil"/>
              <w:right w:val="nil"/>
            </w:tcBorders>
            <w:shd w:val="clear" w:color="auto" w:fill="auto"/>
            <w:hideMark/>
          </w:tcPr>
          <w:p w14:paraId="0047D0ED"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2 300</w:t>
            </w:r>
          </w:p>
        </w:tc>
        <w:tc>
          <w:tcPr>
            <w:tcW w:w="1320" w:type="dxa"/>
            <w:tcBorders>
              <w:top w:val="nil"/>
              <w:left w:val="nil"/>
              <w:bottom w:val="nil"/>
              <w:right w:val="nil"/>
            </w:tcBorders>
            <w:shd w:val="clear" w:color="auto" w:fill="auto"/>
            <w:vAlign w:val="center"/>
            <w:hideMark/>
          </w:tcPr>
          <w:p w14:paraId="5E26C3AD"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r w:rsidR="005F3354" w:rsidRPr="00C73365">
              <w:rPr>
                <w:rFonts w:asciiTheme="minorHAnsi" w:hAnsiTheme="minorHAnsi" w:cstheme="minorHAnsi"/>
                <w:color w:val="000000"/>
                <w:szCs w:val="20"/>
              </w:rPr>
              <w:t xml:space="preserve"> 187</w:t>
            </w:r>
          </w:p>
        </w:tc>
        <w:tc>
          <w:tcPr>
            <w:tcW w:w="1062" w:type="dxa"/>
            <w:tcBorders>
              <w:top w:val="nil"/>
              <w:left w:val="nil"/>
              <w:bottom w:val="nil"/>
              <w:right w:val="nil"/>
            </w:tcBorders>
            <w:shd w:val="clear" w:color="auto" w:fill="auto"/>
            <w:vAlign w:val="center"/>
            <w:hideMark/>
          </w:tcPr>
          <w:p w14:paraId="102DAACE" w14:textId="77777777" w:rsidR="00B4407F" w:rsidRPr="00C73365" w:rsidRDefault="005F3354"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113</w:t>
            </w:r>
          </w:p>
        </w:tc>
      </w:tr>
      <w:tr w:rsidR="00B4407F" w:rsidRPr="00C73365" w14:paraId="3AC6829A" w14:textId="77777777" w:rsidTr="00BB083E">
        <w:trPr>
          <w:trHeight w:val="264"/>
        </w:trPr>
        <w:tc>
          <w:tcPr>
            <w:tcW w:w="1557" w:type="dxa"/>
            <w:tcBorders>
              <w:top w:val="nil"/>
              <w:left w:val="nil"/>
              <w:bottom w:val="nil"/>
              <w:right w:val="nil"/>
            </w:tcBorders>
            <w:shd w:val="clear" w:color="auto" w:fill="auto"/>
            <w:vAlign w:val="center"/>
            <w:hideMark/>
          </w:tcPr>
          <w:p w14:paraId="31AA9619" w14:textId="77777777"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A1006002G</w:t>
            </w:r>
          </w:p>
        </w:tc>
        <w:tc>
          <w:tcPr>
            <w:tcW w:w="1101" w:type="dxa"/>
            <w:tcBorders>
              <w:top w:val="nil"/>
              <w:left w:val="nil"/>
              <w:bottom w:val="nil"/>
              <w:right w:val="nil"/>
            </w:tcBorders>
            <w:shd w:val="clear" w:color="auto" w:fill="auto"/>
            <w:vAlign w:val="center"/>
            <w:hideMark/>
          </w:tcPr>
          <w:p w14:paraId="784D0E87"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955" w:type="dxa"/>
            <w:tcBorders>
              <w:top w:val="nil"/>
              <w:left w:val="nil"/>
              <w:bottom w:val="nil"/>
              <w:right w:val="nil"/>
            </w:tcBorders>
            <w:shd w:val="clear" w:color="auto" w:fill="auto"/>
            <w:hideMark/>
          </w:tcPr>
          <w:p w14:paraId="3F333BE4" w14:textId="77777777" w:rsidR="00B4407F" w:rsidRPr="00C73365" w:rsidRDefault="00B4407F" w:rsidP="00A96CCA">
            <w:pPr>
              <w:spacing w:after="0"/>
              <w:jc w:val="right"/>
              <w:rPr>
                <w:rFonts w:asciiTheme="minorHAnsi" w:hAnsiTheme="minorHAnsi" w:cstheme="minorHAnsi"/>
                <w:color w:val="000000"/>
                <w:szCs w:val="20"/>
              </w:rPr>
            </w:pPr>
          </w:p>
        </w:tc>
        <w:tc>
          <w:tcPr>
            <w:tcW w:w="1196" w:type="dxa"/>
            <w:tcBorders>
              <w:top w:val="nil"/>
              <w:left w:val="nil"/>
              <w:bottom w:val="nil"/>
              <w:right w:val="nil"/>
            </w:tcBorders>
            <w:shd w:val="clear" w:color="auto" w:fill="auto"/>
            <w:vAlign w:val="center"/>
            <w:hideMark/>
          </w:tcPr>
          <w:p w14:paraId="2B8D7491"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101" w:type="dxa"/>
            <w:tcBorders>
              <w:top w:val="nil"/>
              <w:left w:val="nil"/>
              <w:bottom w:val="nil"/>
              <w:right w:val="nil"/>
            </w:tcBorders>
            <w:shd w:val="clear" w:color="auto" w:fill="auto"/>
            <w:hideMark/>
          </w:tcPr>
          <w:p w14:paraId="6CBDB73D"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320" w:type="dxa"/>
            <w:tcBorders>
              <w:top w:val="nil"/>
              <w:left w:val="nil"/>
              <w:bottom w:val="nil"/>
              <w:right w:val="nil"/>
            </w:tcBorders>
            <w:shd w:val="clear" w:color="auto" w:fill="auto"/>
            <w:vAlign w:val="center"/>
            <w:hideMark/>
          </w:tcPr>
          <w:p w14:paraId="452B93D3" w14:textId="77777777" w:rsidR="00B4407F" w:rsidRPr="00C73365" w:rsidRDefault="00B4407F" w:rsidP="00A96CCA">
            <w:pPr>
              <w:spacing w:after="0"/>
              <w:jc w:val="right"/>
              <w:rPr>
                <w:rFonts w:asciiTheme="minorHAnsi" w:hAnsiTheme="minorHAnsi" w:cstheme="minorHAnsi"/>
                <w:color w:val="000000"/>
                <w:szCs w:val="20"/>
              </w:rPr>
            </w:pPr>
          </w:p>
        </w:tc>
        <w:tc>
          <w:tcPr>
            <w:tcW w:w="1062" w:type="dxa"/>
            <w:tcBorders>
              <w:top w:val="nil"/>
              <w:left w:val="nil"/>
              <w:bottom w:val="nil"/>
              <w:right w:val="nil"/>
            </w:tcBorders>
            <w:shd w:val="clear" w:color="auto" w:fill="auto"/>
            <w:vAlign w:val="center"/>
            <w:hideMark/>
          </w:tcPr>
          <w:p w14:paraId="33D2D873"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r>
      <w:tr w:rsidR="00B4407F" w:rsidRPr="00C73365" w14:paraId="646A8DB1" w14:textId="77777777" w:rsidTr="00BB083E">
        <w:trPr>
          <w:trHeight w:val="264"/>
        </w:trPr>
        <w:tc>
          <w:tcPr>
            <w:tcW w:w="1557" w:type="dxa"/>
            <w:tcBorders>
              <w:top w:val="nil"/>
              <w:left w:val="nil"/>
              <w:bottom w:val="nil"/>
              <w:right w:val="nil"/>
            </w:tcBorders>
            <w:shd w:val="clear" w:color="auto" w:fill="auto"/>
            <w:vAlign w:val="center"/>
            <w:hideMark/>
          </w:tcPr>
          <w:p w14:paraId="6C8D2B14" w14:textId="77777777"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EBOLA</w:t>
            </w:r>
          </w:p>
        </w:tc>
        <w:tc>
          <w:tcPr>
            <w:tcW w:w="1101" w:type="dxa"/>
            <w:tcBorders>
              <w:top w:val="nil"/>
              <w:left w:val="nil"/>
              <w:bottom w:val="nil"/>
              <w:right w:val="nil"/>
            </w:tcBorders>
            <w:shd w:val="clear" w:color="auto" w:fill="auto"/>
            <w:vAlign w:val="center"/>
            <w:hideMark/>
          </w:tcPr>
          <w:p w14:paraId="7EBA95FF" w14:textId="77777777" w:rsidR="00B4407F" w:rsidRPr="00C73365" w:rsidRDefault="00B4407F" w:rsidP="00A96CCA">
            <w:pPr>
              <w:spacing w:after="0"/>
              <w:rPr>
                <w:rFonts w:asciiTheme="minorHAnsi" w:hAnsiTheme="minorHAnsi" w:cstheme="minorHAnsi"/>
                <w:b/>
                <w:bCs/>
                <w:color w:val="000000"/>
                <w:szCs w:val="20"/>
              </w:rPr>
            </w:pPr>
          </w:p>
        </w:tc>
        <w:tc>
          <w:tcPr>
            <w:tcW w:w="955" w:type="dxa"/>
            <w:tcBorders>
              <w:top w:val="nil"/>
              <w:left w:val="nil"/>
              <w:bottom w:val="nil"/>
              <w:right w:val="nil"/>
            </w:tcBorders>
            <w:shd w:val="clear" w:color="auto" w:fill="auto"/>
            <w:hideMark/>
          </w:tcPr>
          <w:p w14:paraId="57196207"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96" w:type="dxa"/>
            <w:tcBorders>
              <w:top w:val="nil"/>
              <w:left w:val="nil"/>
              <w:bottom w:val="nil"/>
              <w:right w:val="nil"/>
            </w:tcBorders>
            <w:shd w:val="clear" w:color="auto" w:fill="auto"/>
            <w:hideMark/>
          </w:tcPr>
          <w:p w14:paraId="03D29345" w14:textId="77777777" w:rsidR="00B4407F" w:rsidRPr="00C73365" w:rsidRDefault="00B4407F" w:rsidP="00A96CCA">
            <w:pPr>
              <w:spacing w:after="0"/>
              <w:jc w:val="right"/>
              <w:rPr>
                <w:rFonts w:asciiTheme="minorHAnsi" w:hAnsiTheme="minorHAnsi" w:cstheme="minorHAnsi"/>
                <w:color w:val="000000"/>
                <w:szCs w:val="20"/>
              </w:rPr>
            </w:pPr>
          </w:p>
        </w:tc>
        <w:tc>
          <w:tcPr>
            <w:tcW w:w="1101" w:type="dxa"/>
            <w:tcBorders>
              <w:top w:val="nil"/>
              <w:left w:val="nil"/>
              <w:bottom w:val="nil"/>
              <w:right w:val="nil"/>
            </w:tcBorders>
            <w:shd w:val="clear" w:color="auto" w:fill="auto"/>
            <w:vAlign w:val="center"/>
            <w:hideMark/>
          </w:tcPr>
          <w:p w14:paraId="406860AF"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320" w:type="dxa"/>
            <w:tcBorders>
              <w:top w:val="nil"/>
              <w:left w:val="nil"/>
              <w:bottom w:val="nil"/>
              <w:right w:val="nil"/>
            </w:tcBorders>
            <w:shd w:val="clear" w:color="auto" w:fill="auto"/>
            <w:hideMark/>
          </w:tcPr>
          <w:p w14:paraId="7F51F043"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062" w:type="dxa"/>
            <w:tcBorders>
              <w:top w:val="nil"/>
              <w:left w:val="nil"/>
              <w:bottom w:val="nil"/>
              <w:right w:val="nil"/>
            </w:tcBorders>
            <w:shd w:val="clear" w:color="auto" w:fill="auto"/>
            <w:hideMark/>
          </w:tcPr>
          <w:p w14:paraId="057B409E" w14:textId="77777777" w:rsidR="00B4407F" w:rsidRPr="00C73365" w:rsidRDefault="00B4407F" w:rsidP="00A96CCA">
            <w:pPr>
              <w:spacing w:after="0"/>
              <w:jc w:val="right"/>
              <w:rPr>
                <w:rFonts w:asciiTheme="minorHAnsi" w:hAnsiTheme="minorHAnsi" w:cstheme="minorHAnsi"/>
                <w:color w:val="000000"/>
                <w:szCs w:val="20"/>
              </w:rPr>
            </w:pPr>
          </w:p>
        </w:tc>
      </w:tr>
      <w:tr w:rsidR="00B4407F" w:rsidRPr="00C73365" w14:paraId="1A60D8B6" w14:textId="77777777" w:rsidTr="00BB083E">
        <w:trPr>
          <w:trHeight w:val="275"/>
        </w:trPr>
        <w:tc>
          <w:tcPr>
            <w:tcW w:w="1557" w:type="dxa"/>
            <w:tcBorders>
              <w:top w:val="nil"/>
              <w:left w:val="nil"/>
              <w:bottom w:val="single" w:sz="8" w:space="0" w:color="9032B8"/>
              <w:right w:val="nil"/>
            </w:tcBorders>
            <w:shd w:val="clear" w:color="auto" w:fill="auto"/>
            <w:vAlign w:val="center"/>
            <w:hideMark/>
          </w:tcPr>
          <w:p w14:paraId="66CAA427" w14:textId="77777777"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RNP VIR</w:t>
            </w:r>
          </w:p>
        </w:tc>
        <w:tc>
          <w:tcPr>
            <w:tcW w:w="1101" w:type="dxa"/>
            <w:tcBorders>
              <w:top w:val="nil"/>
              <w:left w:val="nil"/>
              <w:bottom w:val="single" w:sz="8" w:space="0" w:color="9032B8"/>
              <w:right w:val="nil"/>
            </w:tcBorders>
            <w:shd w:val="clear" w:color="auto" w:fill="auto"/>
            <w:vAlign w:val="center"/>
            <w:hideMark/>
          </w:tcPr>
          <w:p w14:paraId="070858BE"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55" w:type="dxa"/>
            <w:tcBorders>
              <w:top w:val="nil"/>
              <w:left w:val="nil"/>
              <w:bottom w:val="single" w:sz="8" w:space="0" w:color="9032B8"/>
              <w:right w:val="nil"/>
            </w:tcBorders>
            <w:shd w:val="clear" w:color="auto" w:fill="auto"/>
            <w:vAlign w:val="center"/>
            <w:hideMark/>
          </w:tcPr>
          <w:p w14:paraId="66412C11"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196" w:type="dxa"/>
            <w:tcBorders>
              <w:top w:val="nil"/>
              <w:left w:val="nil"/>
              <w:bottom w:val="single" w:sz="8" w:space="0" w:color="9032B8"/>
              <w:right w:val="nil"/>
            </w:tcBorders>
            <w:shd w:val="clear" w:color="auto" w:fill="auto"/>
            <w:vAlign w:val="center"/>
            <w:hideMark/>
          </w:tcPr>
          <w:p w14:paraId="6D44671C" w14:textId="77777777"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101" w:type="dxa"/>
            <w:tcBorders>
              <w:top w:val="nil"/>
              <w:left w:val="nil"/>
              <w:bottom w:val="single" w:sz="8" w:space="0" w:color="9032B8"/>
              <w:right w:val="nil"/>
            </w:tcBorders>
            <w:shd w:val="clear" w:color="auto" w:fill="auto"/>
            <w:vAlign w:val="center"/>
            <w:hideMark/>
          </w:tcPr>
          <w:p w14:paraId="74347C54"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320" w:type="dxa"/>
            <w:tcBorders>
              <w:top w:val="nil"/>
              <w:left w:val="nil"/>
              <w:bottom w:val="single" w:sz="8" w:space="0" w:color="9032B8"/>
              <w:right w:val="nil"/>
            </w:tcBorders>
            <w:shd w:val="clear" w:color="auto" w:fill="auto"/>
            <w:vAlign w:val="center"/>
            <w:hideMark/>
          </w:tcPr>
          <w:p w14:paraId="1C9296BB"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062" w:type="dxa"/>
            <w:tcBorders>
              <w:top w:val="nil"/>
              <w:left w:val="nil"/>
              <w:bottom w:val="single" w:sz="8" w:space="0" w:color="9032B8"/>
              <w:right w:val="nil"/>
            </w:tcBorders>
            <w:shd w:val="clear" w:color="auto" w:fill="auto"/>
            <w:vAlign w:val="center"/>
            <w:hideMark/>
          </w:tcPr>
          <w:p w14:paraId="3EAD5348" w14:textId="77777777"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B4407F" w:rsidRPr="00C73365" w14:paraId="0E40DBCD" w14:textId="77777777" w:rsidTr="00BB083E">
        <w:trPr>
          <w:trHeight w:val="275"/>
        </w:trPr>
        <w:tc>
          <w:tcPr>
            <w:tcW w:w="1557" w:type="dxa"/>
            <w:tcBorders>
              <w:top w:val="nil"/>
              <w:left w:val="nil"/>
              <w:bottom w:val="single" w:sz="8" w:space="0" w:color="9032B8"/>
              <w:right w:val="nil"/>
            </w:tcBorders>
            <w:shd w:val="clear" w:color="auto" w:fill="auto"/>
            <w:noWrap/>
            <w:vAlign w:val="center"/>
            <w:hideMark/>
          </w:tcPr>
          <w:p w14:paraId="106672A5" w14:textId="77777777" w:rsidR="00B4407F" w:rsidRPr="00C73365" w:rsidRDefault="00B4407F" w:rsidP="00A96CCA">
            <w:pPr>
              <w:spacing w:after="0"/>
              <w:rPr>
                <w:rFonts w:asciiTheme="minorHAnsi" w:hAnsiTheme="minorHAnsi" w:cstheme="minorHAnsi"/>
                <w:color w:val="9032B8"/>
                <w:szCs w:val="20"/>
              </w:rPr>
            </w:pPr>
            <w:r w:rsidRPr="00C73365">
              <w:rPr>
                <w:rFonts w:asciiTheme="minorHAnsi" w:hAnsiTheme="minorHAnsi" w:cstheme="minorHAnsi"/>
                <w:color w:val="9032B8"/>
                <w:szCs w:val="20"/>
              </w:rPr>
              <w:t>Total</w:t>
            </w:r>
          </w:p>
        </w:tc>
        <w:tc>
          <w:tcPr>
            <w:tcW w:w="1101" w:type="dxa"/>
            <w:tcBorders>
              <w:top w:val="nil"/>
              <w:left w:val="nil"/>
              <w:bottom w:val="single" w:sz="8" w:space="0" w:color="9032B8"/>
              <w:right w:val="nil"/>
            </w:tcBorders>
            <w:shd w:val="clear" w:color="auto" w:fill="auto"/>
            <w:vAlign w:val="center"/>
            <w:hideMark/>
          </w:tcPr>
          <w:p w14:paraId="4548E414" w14:textId="77777777"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2 524</w:t>
            </w:r>
          </w:p>
        </w:tc>
        <w:tc>
          <w:tcPr>
            <w:tcW w:w="955" w:type="dxa"/>
            <w:tcBorders>
              <w:top w:val="nil"/>
              <w:left w:val="nil"/>
              <w:bottom w:val="single" w:sz="8" w:space="0" w:color="9032B8"/>
              <w:right w:val="nil"/>
            </w:tcBorders>
            <w:shd w:val="clear" w:color="auto" w:fill="auto"/>
            <w:vAlign w:val="center"/>
            <w:hideMark/>
          </w:tcPr>
          <w:p w14:paraId="1862BFB1" w14:textId="77777777"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2 087</w:t>
            </w:r>
          </w:p>
        </w:tc>
        <w:tc>
          <w:tcPr>
            <w:tcW w:w="1196" w:type="dxa"/>
            <w:tcBorders>
              <w:top w:val="nil"/>
              <w:left w:val="nil"/>
              <w:bottom w:val="single" w:sz="8" w:space="0" w:color="9032B8"/>
              <w:right w:val="nil"/>
            </w:tcBorders>
            <w:shd w:val="clear" w:color="auto" w:fill="auto"/>
            <w:vAlign w:val="center"/>
            <w:hideMark/>
          </w:tcPr>
          <w:p w14:paraId="1F609669" w14:textId="77777777"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85</w:t>
            </w:r>
          </w:p>
        </w:tc>
        <w:tc>
          <w:tcPr>
            <w:tcW w:w="1101" w:type="dxa"/>
            <w:tcBorders>
              <w:top w:val="nil"/>
              <w:left w:val="nil"/>
              <w:bottom w:val="single" w:sz="8" w:space="0" w:color="9032B8"/>
              <w:right w:val="nil"/>
            </w:tcBorders>
            <w:shd w:val="clear" w:color="auto" w:fill="auto"/>
            <w:vAlign w:val="center"/>
            <w:hideMark/>
          </w:tcPr>
          <w:p w14:paraId="5776FAF5" w14:textId="77777777"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4 526</w:t>
            </w:r>
          </w:p>
        </w:tc>
        <w:tc>
          <w:tcPr>
            <w:tcW w:w="1320" w:type="dxa"/>
            <w:tcBorders>
              <w:top w:val="nil"/>
              <w:left w:val="nil"/>
              <w:bottom w:val="single" w:sz="8" w:space="0" w:color="9032B8"/>
              <w:right w:val="nil"/>
            </w:tcBorders>
            <w:shd w:val="clear" w:color="auto" w:fill="auto"/>
            <w:vAlign w:val="center"/>
            <w:hideMark/>
          </w:tcPr>
          <w:p w14:paraId="0A86676B" w14:textId="77777777"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4 356</w:t>
            </w:r>
          </w:p>
        </w:tc>
        <w:tc>
          <w:tcPr>
            <w:tcW w:w="1062" w:type="dxa"/>
            <w:tcBorders>
              <w:top w:val="nil"/>
              <w:left w:val="nil"/>
              <w:bottom w:val="single" w:sz="8" w:space="0" w:color="9032B8"/>
              <w:right w:val="nil"/>
            </w:tcBorders>
            <w:shd w:val="clear" w:color="auto" w:fill="auto"/>
            <w:vAlign w:val="center"/>
            <w:hideMark/>
          </w:tcPr>
          <w:p w14:paraId="613A2240" w14:textId="77777777"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170</w:t>
            </w:r>
          </w:p>
        </w:tc>
      </w:tr>
    </w:tbl>
    <w:p w14:paraId="693D062F" w14:textId="77777777" w:rsidR="00B4407F" w:rsidRPr="00C73365" w:rsidRDefault="00B4407F" w:rsidP="00A96CCA">
      <w:pPr>
        <w:spacing w:after="0"/>
        <w:rPr>
          <w:rFonts w:asciiTheme="minorHAnsi" w:eastAsia="MS Mincho" w:hAnsiTheme="minorHAnsi" w:cstheme="minorHAnsi"/>
          <w:color w:val="7030A0"/>
          <w:sz w:val="18"/>
          <w:szCs w:val="18"/>
          <w:lang w:val="fr-FR" w:eastAsia="fr-FR"/>
        </w:rPr>
      </w:pPr>
    </w:p>
    <w:p w14:paraId="65233A8C" w14:textId="77777777" w:rsidR="005F3354" w:rsidRPr="00C93577" w:rsidRDefault="005C36A7" w:rsidP="005C36A7">
      <w:pPr>
        <w:pStyle w:val="Listepuces"/>
        <w:numPr>
          <w:ilvl w:val="0"/>
          <w:numId w:val="0"/>
        </w:numPr>
        <w:ind w:left="360"/>
        <w:rPr>
          <w:rFonts w:asciiTheme="minorHAnsi" w:hAnsiTheme="minorHAnsi" w:cstheme="minorHAnsi"/>
          <w:lang w:val="fr-FR"/>
        </w:rPr>
      </w:pPr>
      <w:r>
        <w:rPr>
          <w:rFonts w:asciiTheme="minorHAnsi" w:hAnsiTheme="minorHAnsi" w:cstheme="minorHAnsi"/>
          <w:lang w:val="fr-FR"/>
        </w:rPr>
        <w:t>*</w:t>
      </w:r>
      <w:r w:rsidR="005F3354" w:rsidRPr="00C93577">
        <w:rPr>
          <w:rFonts w:asciiTheme="minorHAnsi" w:hAnsiTheme="minorHAnsi" w:cstheme="minorHAnsi"/>
          <w:lang w:val="fr-FR"/>
        </w:rPr>
        <w:t xml:space="preserve">En 2016 : 2269 € comprends les avances remboursables reçues par </w:t>
      </w:r>
      <w:r w:rsidR="00EF089C" w:rsidRPr="00C93577">
        <w:rPr>
          <w:rFonts w:asciiTheme="minorHAnsi" w:hAnsiTheme="minorHAnsi" w:cstheme="minorHAnsi"/>
          <w:lang w:val="fr-FR"/>
        </w:rPr>
        <w:t>ABIVAX</w:t>
      </w:r>
      <w:r w:rsidR="005F3354" w:rsidRPr="00C93577">
        <w:rPr>
          <w:rFonts w:asciiTheme="minorHAnsi" w:hAnsiTheme="minorHAnsi" w:cstheme="minorHAnsi"/>
          <w:lang w:val="fr-FR"/>
        </w:rPr>
        <w:t xml:space="preserve"> (2 187</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et les intérêts courus : 21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comptabilisé sur le compte 167 400 et 61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comptabilisés sur le compte 168 810 en 2016 (contre 92</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en 2017) soit 31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supplémentaires en 2017, ce qui augmente le solde BPI-Carena à 2 300 € au 31/12/2017.</w:t>
      </w:r>
    </w:p>
    <w:p w14:paraId="138A0845" w14:textId="77777777" w:rsidR="00D22228" w:rsidRPr="00C73365" w:rsidRDefault="00D22228" w:rsidP="00A96CCA">
      <w:pPr>
        <w:spacing w:after="0"/>
        <w:rPr>
          <w:rFonts w:asciiTheme="minorHAnsi" w:eastAsia="MS Mincho" w:hAnsiTheme="minorHAnsi" w:cstheme="minorHAnsi"/>
          <w:color w:val="7030A0"/>
          <w:sz w:val="18"/>
          <w:szCs w:val="18"/>
          <w:lang w:val="fr-FR" w:eastAsia="fr-FR"/>
        </w:rPr>
      </w:pPr>
    </w:p>
    <w:p w14:paraId="316BF8C3"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Les montants restant à rembourser pour la société sont :</w:t>
      </w:r>
    </w:p>
    <w:tbl>
      <w:tblPr>
        <w:tblW w:w="9452" w:type="dxa"/>
        <w:tblLook w:val="04A0" w:firstRow="1" w:lastRow="0" w:firstColumn="1" w:lastColumn="0" w:noHBand="0" w:noVBand="1"/>
      </w:tblPr>
      <w:tblGrid>
        <w:gridCol w:w="2166"/>
        <w:gridCol w:w="1540"/>
        <w:gridCol w:w="1042"/>
        <w:gridCol w:w="1042"/>
        <w:gridCol w:w="1147"/>
        <w:gridCol w:w="1254"/>
        <w:gridCol w:w="1261"/>
      </w:tblGrid>
      <w:tr w:rsidR="00B4407F" w:rsidRPr="00036317" w14:paraId="25052E11" w14:textId="77777777" w:rsidTr="00B4407F">
        <w:trPr>
          <w:trHeight w:val="515"/>
        </w:trPr>
        <w:tc>
          <w:tcPr>
            <w:tcW w:w="2166" w:type="dxa"/>
            <w:tcBorders>
              <w:top w:val="single" w:sz="12" w:space="0" w:color="7030A0"/>
              <w:left w:val="nil"/>
              <w:bottom w:val="nil"/>
              <w:right w:val="nil"/>
            </w:tcBorders>
            <w:shd w:val="clear" w:color="auto" w:fill="auto"/>
            <w:vAlign w:val="center"/>
            <w:hideMark/>
          </w:tcPr>
          <w:p w14:paraId="16332570" w14:textId="77777777"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 31 décembre 2017</w:t>
            </w:r>
          </w:p>
        </w:tc>
        <w:tc>
          <w:tcPr>
            <w:tcW w:w="1540" w:type="dxa"/>
            <w:vMerge w:val="restart"/>
            <w:tcBorders>
              <w:top w:val="single" w:sz="12" w:space="0" w:color="7030A0"/>
              <w:left w:val="nil"/>
              <w:right w:val="nil"/>
            </w:tcBorders>
            <w:shd w:val="clear" w:color="auto" w:fill="auto"/>
            <w:vAlign w:val="center"/>
            <w:hideMark/>
          </w:tcPr>
          <w:p w14:paraId="432FEFF0" w14:textId="77777777"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Situation du contrat</w:t>
            </w:r>
          </w:p>
        </w:tc>
        <w:tc>
          <w:tcPr>
            <w:tcW w:w="1042" w:type="dxa"/>
            <w:vMerge w:val="restart"/>
            <w:tcBorders>
              <w:top w:val="single" w:sz="12" w:space="0" w:color="7030A0"/>
              <w:left w:val="nil"/>
              <w:bottom w:val="single" w:sz="8" w:space="0" w:color="7030A0"/>
              <w:right w:val="nil"/>
            </w:tcBorders>
            <w:shd w:val="clear" w:color="auto" w:fill="auto"/>
            <w:vAlign w:val="center"/>
            <w:hideMark/>
          </w:tcPr>
          <w:p w14:paraId="21149126" w14:textId="77777777"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Montant accordé </w:t>
            </w:r>
          </w:p>
        </w:tc>
        <w:tc>
          <w:tcPr>
            <w:tcW w:w="1042" w:type="dxa"/>
            <w:vMerge w:val="restart"/>
            <w:tcBorders>
              <w:top w:val="single" w:sz="12" w:space="0" w:color="7030A0"/>
              <w:left w:val="nil"/>
              <w:bottom w:val="single" w:sz="8" w:space="0" w:color="7030A0"/>
              <w:right w:val="nil"/>
            </w:tcBorders>
            <w:shd w:val="clear" w:color="auto" w:fill="auto"/>
            <w:vAlign w:val="center"/>
            <w:hideMark/>
          </w:tcPr>
          <w:p w14:paraId="2D1112CE" w14:textId="77777777"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Montant encaissé </w:t>
            </w:r>
          </w:p>
        </w:tc>
        <w:tc>
          <w:tcPr>
            <w:tcW w:w="1147" w:type="dxa"/>
            <w:vMerge w:val="restart"/>
            <w:tcBorders>
              <w:top w:val="single" w:sz="12" w:space="0" w:color="7030A0"/>
              <w:left w:val="nil"/>
              <w:bottom w:val="single" w:sz="8" w:space="0" w:color="7030A0"/>
              <w:right w:val="nil"/>
            </w:tcBorders>
            <w:shd w:val="clear" w:color="auto" w:fill="auto"/>
            <w:vAlign w:val="center"/>
            <w:hideMark/>
          </w:tcPr>
          <w:p w14:paraId="030B44ED" w14:textId="77777777"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restant à percevoir</w:t>
            </w:r>
            <w:r w:rsidRPr="00C73365">
              <w:rPr>
                <w:rFonts w:asciiTheme="minorHAnsi" w:hAnsiTheme="minorHAnsi" w:cstheme="minorHAnsi"/>
                <w:color w:val="7030A0"/>
                <w:szCs w:val="20"/>
                <w:vertAlign w:val="superscript"/>
              </w:rPr>
              <w:t>(2)</w:t>
            </w:r>
          </w:p>
        </w:tc>
        <w:tc>
          <w:tcPr>
            <w:tcW w:w="1254" w:type="dxa"/>
            <w:vMerge w:val="restart"/>
            <w:tcBorders>
              <w:top w:val="single" w:sz="12" w:space="0" w:color="7030A0"/>
              <w:left w:val="nil"/>
              <w:bottom w:val="single" w:sz="8" w:space="0" w:color="7030A0"/>
              <w:right w:val="nil"/>
            </w:tcBorders>
            <w:shd w:val="clear" w:color="auto" w:fill="auto"/>
            <w:vAlign w:val="center"/>
            <w:hideMark/>
          </w:tcPr>
          <w:p w14:paraId="625FF4A3" w14:textId="77777777"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remboursé</w:t>
            </w:r>
          </w:p>
        </w:tc>
        <w:tc>
          <w:tcPr>
            <w:tcW w:w="1261" w:type="dxa"/>
            <w:vMerge w:val="restart"/>
            <w:tcBorders>
              <w:top w:val="single" w:sz="12" w:space="0" w:color="7030A0"/>
              <w:left w:val="nil"/>
              <w:bottom w:val="single" w:sz="8" w:space="0" w:color="7030A0"/>
              <w:right w:val="nil"/>
            </w:tcBorders>
            <w:shd w:val="clear" w:color="auto" w:fill="auto"/>
            <w:vAlign w:val="center"/>
            <w:hideMark/>
          </w:tcPr>
          <w:p w14:paraId="1639086E" w14:textId="77777777" w:rsidR="00B4407F" w:rsidRPr="00C73365" w:rsidRDefault="00B4407F"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Montant à rembourser sauf en cas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échec constaté</w:t>
            </w:r>
            <w:r w:rsidRPr="00C73365">
              <w:rPr>
                <w:rFonts w:asciiTheme="minorHAnsi" w:hAnsiTheme="minorHAnsi" w:cstheme="minorHAnsi"/>
                <w:color w:val="7030A0"/>
                <w:szCs w:val="20"/>
                <w:vertAlign w:val="superscript"/>
                <w:lang w:val="fr-FR"/>
              </w:rPr>
              <w:t>(1)</w:t>
            </w:r>
          </w:p>
        </w:tc>
      </w:tr>
      <w:tr w:rsidR="00B4407F" w:rsidRPr="00C73365" w14:paraId="061A17C0" w14:textId="77777777" w:rsidTr="00B4407F">
        <w:trPr>
          <w:trHeight w:val="274"/>
        </w:trPr>
        <w:tc>
          <w:tcPr>
            <w:tcW w:w="2166" w:type="dxa"/>
            <w:tcBorders>
              <w:top w:val="nil"/>
              <w:left w:val="nil"/>
              <w:bottom w:val="single" w:sz="8" w:space="0" w:color="7030A0"/>
              <w:right w:val="nil"/>
            </w:tcBorders>
            <w:shd w:val="clear" w:color="auto" w:fill="auto"/>
            <w:vAlign w:val="center"/>
            <w:hideMark/>
          </w:tcPr>
          <w:p w14:paraId="52C50E4D" w14:textId="77777777"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540" w:type="dxa"/>
            <w:vMerge/>
            <w:tcBorders>
              <w:left w:val="nil"/>
              <w:bottom w:val="single" w:sz="8" w:space="0" w:color="7030A0"/>
              <w:right w:val="nil"/>
            </w:tcBorders>
            <w:shd w:val="clear" w:color="auto" w:fill="auto"/>
            <w:vAlign w:val="center"/>
            <w:hideMark/>
          </w:tcPr>
          <w:p w14:paraId="6CC28ECA" w14:textId="77777777" w:rsidR="00B4407F" w:rsidRPr="00C73365" w:rsidRDefault="00B4407F" w:rsidP="00A96CCA">
            <w:pPr>
              <w:spacing w:after="0"/>
              <w:rPr>
                <w:rFonts w:asciiTheme="minorHAnsi" w:hAnsiTheme="minorHAnsi" w:cstheme="minorHAnsi"/>
                <w:b/>
                <w:bCs/>
                <w:color w:val="000000"/>
                <w:szCs w:val="20"/>
              </w:rPr>
            </w:pPr>
          </w:p>
        </w:tc>
        <w:tc>
          <w:tcPr>
            <w:tcW w:w="1042" w:type="dxa"/>
            <w:vMerge/>
            <w:tcBorders>
              <w:top w:val="single" w:sz="12" w:space="0" w:color="7030A0"/>
              <w:left w:val="nil"/>
              <w:bottom w:val="single" w:sz="8" w:space="0" w:color="7030A0"/>
              <w:right w:val="nil"/>
            </w:tcBorders>
            <w:vAlign w:val="center"/>
            <w:hideMark/>
          </w:tcPr>
          <w:p w14:paraId="7EECCE05" w14:textId="77777777" w:rsidR="00B4407F" w:rsidRPr="00C73365" w:rsidRDefault="00B4407F" w:rsidP="00A96CCA">
            <w:pPr>
              <w:spacing w:after="0"/>
              <w:rPr>
                <w:rFonts w:asciiTheme="minorHAnsi" w:hAnsiTheme="minorHAnsi" w:cstheme="minorHAnsi"/>
                <w:b/>
                <w:bCs/>
                <w:color w:val="000000"/>
                <w:szCs w:val="20"/>
              </w:rPr>
            </w:pPr>
          </w:p>
        </w:tc>
        <w:tc>
          <w:tcPr>
            <w:tcW w:w="1042" w:type="dxa"/>
            <w:vMerge/>
            <w:tcBorders>
              <w:top w:val="single" w:sz="12" w:space="0" w:color="7030A0"/>
              <w:left w:val="nil"/>
              <w:bottom w:val="single" w:sz="8" w:space="0" w:color="7030A0"/>
              <w:right w:val="nil"/>
            </w:tcBorders>
            <w:vAlign w:val="center"/>
            <w:hideMark/>
          </w:tcPr>
          <w:p w14:paraId="5DA892B8" w14:textId="77777777" w:rsidR="00B4407F" w:rsidRPr="00C73365" w:rsidRDefault="00B4407F" w:rsidP="00A96CCA">
            <w:pPr>
              <w:spacing w:after="0"/>
              <w:rPr>
                <w:rFonts w:asciiTheme="minorHAnsi" w:hAnsiTheme="minorHAnsi" w:cstheme="minorHAnsi"/>
                <w:b/>
                <w:bCs/>
                <w:color w:val="000000"/>
                <w:szCs w:val="20"/>
              </w:rPr>
            </w:pPr>
          </w:p>
        </w:tc>
        <w:tc>
          <w:tcPr>
            <w:tcW w:w="1147" w:type="dxa"/>
            <w:vMerge/>
            <w:tcBorders>
              <w:top w:val="single" w:sz="12" w:space="0" w:color="7030A0"/>
              <w:left w:val="nil"/>
              <w:bottom w:val="single" w:sz="8" w:space="0" w:color="7030A0"/>
              <w:right w:val="nil"/>
            </w:tcBorders>
            <w:vAlign w:val="center"/>
            <w:hideMark/>
          </w:tcPr>
          <w:p w14:paraId="27119541" w14:textId="77777777" w:rsidR="00B4407F" w:rsidRPr="00C73365" w:rsidRDefault="00B4407F" w:rsidP="00A96CCA">
            <w:pPr>
              <w:spacing w:after="0"/>
              <w:rPr>
                <w:rFonts w:asciiTheme="minorHAnsi" w:hAnsiTheme="minorHAnsi" w:cstheme="minorHAnsi"/>
                <w:b/>
                <w:bCs/>
                <w:color w:val="000000"/>
                <w:szCs w:val="20"/>
              </w:rPr>
            </w:pPr>
          </w:p>
        </w:tc>
        <w:tc>
          <w:tcPr>
            <w:tcW w:w="1254" w:type="dxa"/>
            <w:vMerge/>
            <w:tcBorders>
              <w:top w:val="single" w:sz="12" w:space="0" w:color="7030A0"/>
              <w:left w:val="nil"/>
              <w:bottom w:val="single" w:sz="8" w:space="0" w:color="7030A0"/>
              <w:right w:val="nil"/>
            </w:tcBorders>
            <w:vAlign w:val="center"/>
            <w:hideMark/>
          </w:tcPr>
          <w:p w14:paraId="6897B47B" w14:textId="77777777" w:rsidR="00B4407F" w:rsidRPr="00C73365" w:rsidRDefault="00B4407F" w:rsidP="00A96CCA">
            <w:pPr>
              <w:spacing w:after="0"/>
              <w:rPr>
                <w:rFonts w:asciiTheme="minorHAnsi" w:hAnsiTheme="minorHAnsi" w:cstheme="minorHAnsi"/>
                <w:b/>
                <w:bCs/>
                <w:color w:val="000000"/>
                <w:szCs w:val="20"/>
              </w:rPr>
            </w:pPr>
          </w:p>
        </w:tc>
        <w:tc>
          <w:tcPr>
            <w:tcW w:w="1261" w:type="dxa"/>
            <w:vMerge/>
            <w:tcBorders>
              <w:top w:val="single" w:sz="12" w:space="0" w:color="7030A0"/>
              <w:left w:val="nil"/>
              <w:bottom w:val="single" w:sz="8" w:space="0" w:color="7030A0"/>
              <w:right w:val="nil"/>
            </w:tcBorders>
            <w:vAlign w:val="center"/>
            <w:hideMark/>
          </w:tcPr>
          <w:p w14:paraId="1EF3B2AB" w14:textId="77777777" w:rsidR="00B4407F" w:rsidRPr="00C73365" w:rsidRDefault="00B4407F" w:rsidP="00A96CCA">
            <w:pPr>
              <w:spacing w:after="0"/>
              <w:rPr>
                <w:rFonts w:asciiTheme="minorHAnsi" w:hAnsiTheme="minorHAnsi" w:cstheme="minorHAnsi"/>
                <w:b/>
                <w:bCs/>
                <w:color w:val="000000"/>
                <w:szCs w:val="20"/>
              </w:rPr>
            </w:pPr>
          </w:p>
        </w:tc>
      </w:tr>
      <w:tr w:rsidR="00B4407F" w:rsidRPr="00C73365" w14:paraId="08790AFC" w14:textId="77777777" w:rsidTr="00B4407F">
        <w:trPr>
          <w:trHeight w:val="504"/>
        </w:trPr>
        <w:tc>
          <w:tcPr>
            <w:tcW w:w="2166" w:type="dxa"/>
            <w:tcBorders>
              <w:top w:val="nil"/>
              <w:left w:val="nil"/>
              <w:bottom w:val="nil"/>
              <w:right w:val="nil"/>
            </w:tcBorders>
            <w:shd w:val="clear" w:color="auto" w:fill="auto"/>
            <w:vAlign w:val="center"/>
            <w:hideMark/>
          </w:tcPr>
          <w:p w14:paraId="320DDB1F" w14:textId="77777777"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p>
        </w:tc>
        <w:tc>
          <w:tcPr>
            <w:tcW w:w="1540" w:type="dxa"/>
            <w:tcBorders>
              <w:top w:val="nil"/>
              <w:left w:val="nil"/>
              <w:bottom w:val="nil"/>
              <w:right w:val="nil"/>
            </w:tcBorders>
            <w:shd w:val="clear" w:color="auto" w:fill="auto"/>
            <w:vAlign w:val="center"/>
            <w:hideMark/>
          </w:tcPr>
          <w:p w14:paraId="589BFAD8"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nil"/>
              <w:right w:val="nil"/>
            </w:tcBorders>
            <w:shd w:val="clear" w:color="auto" w:fill="auto"/>
            <w:vAlign w:val="center"/>
            <w:hideMark/>
          </w:tcPr>
          <w:p w14:paraId="72F30E5A"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1 397</w:t>
            </w:r>
          </w:p>
        </w:tc>
        <w:tc>
          <w:tcPr>
            <w:tcW w:w="1042" w:type="dxa"/>
            <w:tcBorders>
              <w:top w:val="nil"/>
              <w:left w:val="nil"/>
              <w:bottom w:val="nil"/>
              <w:right w:val="nil"/>
            </w:tcBorders>
            <w:shd w:val="clear" w:color="auto" w:fill="auto"/>
            <w:vAlign w:val="center"/>
            <w:hideMark/>
          </w:tcPr>
          <w:p w14:paraId="717A8363" w14:textId="77777777" w:rsidR="00B4407F" w:rsidRPr="00C73365" w:rsidRDefault="0056443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1147" w:type="dxa"/>
            <w:tcBorders>
              <w:top w:val="nil"/>
              <w:left w:val="nil"/>
              <w:bottom w:val="nil"/>
              <w:right w:val="nil"/>
            </w:tcBorders>
            <w:shd w:val="clear" w:color="auto" w:fill="auto"/>
            <w:vAlign w:val="center"/>
            <w:hideMark/>
          </w:tcPr>
          <w:p w14:paraId="040F4E00"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1254" w:type="dxa"/>
            <w:tcBorders>
              <w:top w:val="nil"/>
              <w:left w:val="nil"/>
              <w:bottom w:val="nil"/>
              <w:right w:val="nil"/>
            </w:tcBorders>
            <w:shd w:val="clear" w:color="auto" w:fill="auto"/>
            <w:vAlign w:val="center"/>
            <w:hideMark/>
          </w:tcPr>
          <w:p w14:paraId="5A30122B" w14:textId="77777777" w:rsidR="00B4407F" w:rsidRPr="00C73365" w:rsidRDefault="00B4407F" w:rsidP="00A96CCA">
            <w:pPr>
              <w:spacing w:after="0"/>
              <w:jc w:val="center"/>
              <w:rPr>
                <w:rFonts w:asciiTheme="minorHAnsi" w:hAnsiTheme="minorHAnsi" w:cstheme="minorHAnsi"/>
                <w:color w:val="000000"/>
                <w:szCs w:val="20"/>
              </w:rPr>
            </w:pPr>
          </w:p>
        </w:tc>
        <w:tc>
          <w:tcPr>
            <w:tcW w:w="1261" w:type="dxa"/>
            <w:tcBorders>
              <w:top w:val="nil"/>
              <w:left w:val="nil"/>
              <w:bottom w:val="nil"/>
              <w:right w:val="nil"/>
            </w:tcBorders>
            <w:shd w:val="clear" w:color="auto" w:fill="auto"/>
            <w:vAlign w:val="center"/>
            <w:hideMark/>
          </w:tcPr>
          <w:p w14:paraId="0135CFFF" w14:textId="77777777" w:rsidR="00B4407F" w:rsidRPr="00C73365" w:rsidRDefault="00B4407F" w:rsidP="00A96CCA">
            <w:pPr>
              <w:spacing w:after="0"/>
              <w:rPr>
                <w:rFonts w:asciiTheme="minorHAnsi" w:hAnsiTheme="minorHAnsi" w:cstheme="minorHAnsi"/>
                <w:szCs w:val="20"/>
              </w:rPr>
            </w:pPr>
          </w:p>
        </w:tc>
      </w:tr>
      <w:tr w:rsidR="00B4407F" w:rsidRPr="00C73365" w14:paraId="5D4BF3FB" w14:textId="77777777" w:rsidTr="00B4407F">
        <w:trPr>
          <w:trHeight w:val="515"/>
        </w:trPr>
        <w:tc>
          <w:tcPr>
            <w:tcW w:w="2166" w:type="dxa"/>
            <w:tcBorders>
              <w:top w:val="nil"/>
              <w:left w:val="nil"/>
              <w:bottom w:val="single" w:sz="8" w:space="0" w:color="7030A0"/>
              <w:right w:val="nil"/>
            </w:tcBorders>
            <w:shd w:val="clear" w:color="auto" w:fill="auto"/>
            <w:vAlign w:val="center"/>
            <w:hideMark/>
          </w:tcPr>
          <w:p w14:paraId="26A71282" w14:textId="77777777"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Avances Remboursables)</w:t>
            </w:r>
          </w:p>
        </w:tc>
        <w:tc>
          <w:tcPr>
            <w:tcW w:w="1540" w:type="dxa"/>
            <w:tcBorders>
              <w:top w:val="nil"/>
              <w:left w:val="nil"/>
              <w:bottom w:val="single" w:sz="8" w:space="0" w:color="7030A0"/>
              <w:right w:val="nil"/>
            </w:tcBorders>
            <w:shd w:val="clear" w:color="auto" w:fill="auto"/>
            <w:vAlign w:val="center"/>
            <w:hideMark/>
          </w:tcPr>
          <w:p w14:paraId="727DC39A"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14:paraId="5DC5E03E"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p>
        </w:tc>
        <w:tc>
          <w:tcPr>
            <w:tcW w:w="1042" w:type="dxa"/>
            <w:tcBorders>
              <w:top w:val="nil"/>
              <w:left w:val="nil"/>
              <w:bottom w:val="single" w:sz="8" w:space="0" w:color="7030A0"/>
              <w:right w:val="nil"/>
            </w:tcBorders>
            <w:shd w:val="clear" w:color="auto" w:fill="auto"/>
            <w:vAlign w:val="center"/>
            <w:hideMark/>
          </w:tcPr>
          <w:p w14:paraId="0B38A556"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147" w:type="dxa"/>
            <w:tcBorders>
              <w:top w:val="nil"/>
              <w:left w:val="nil"/>
              <w:bottom w:val="single" w:sz="8" w:space="0" w:color="7030A0"/>
              <w:right w:val="nil"/>
            </w:tcBorders>
            <w:shd w:val="clear" w:color="auto" w:fill="auto"/>
            <w:vAlign w:val="center"/>
            <w:hideMark/>
          </w:tcPr>
          <w:p w14:paraId="172B7C8E"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1 643</w:t>
            </w:r>
          </w:p>
        </w:tc>
        <w:tc>
          <w:tcPr>
            <w:tcW w:w="1254" w:type="dxa"/>
            <w:tcBorders>
              <w:top w:val="nil"/>
              <w:left w:val="nil"/>
              <w:bottom w:val="single" w:sz="8" w:space="0" w:color="7030A0"/>
              <w:right w:val="nil"/>
            </w:tcBorders>
            <w:shd w:val="clear" w:color="auto" w:fill="auto"/>
            <w:vAlign w:val="center"/>
            <w:hideMark/>
          </w:tcPr>
          <w:p w14:paraId="7A5622C8"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14:paraId="558152A2"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4 397</w:t>
            </w:r>
          </w:p>
        </w:tc>
      </w:tr>
      <w:tr w:rsidR="00B4407F" w:rsidRPr="00C73365" w14:paraId="7C5704AB" w14:textId="77777777" w:rsidTr="00B4407F">
        <w:trPr>
          <w:trHeight w:val="504"/>
        </w:trPr>
        <w:tc>
          <w:tcPr>
            <w:tcW w:w="2166" w:type="dxa"/>
            <w:tcBorders>
              <w:top w:val="nil"/>
              <w:left w:val="nil"/>
              <w:bottom w:val="nil"/>
              <w:right w:val="nil"/>
            </w:tcBorders>
            <w:shd w:val="clear" w:color="auto" w:fill="auto"/>
            <w:vAlign w:val="center"/>
            <w:hideMark/>
          </w:tcPr>
          <w:p w14:paraId="45DBC9F0" w14:textId="77777777"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Feder</w:t>
            </w:r>
          </w:p>
        </w:tc>
        <w:tc>
          <w:tcPr>
            <w:tcW w:w="1540" w:type="dxa"/>
            <w:vMerge w:val="restart"/>
            <w:tcBorders>
              <w:top w:val="nil"/>
              <w:left w:val="nil"/>
              <w:bottom w:val="single" w:sz="8" w:space="0" w:color="7030A0"/>
              <w:right w:val="nil"/>
            </w:tcBorders>
            <w:shd w:val="clear" w:color="auto" w:fill="auto"/>
            <w:vAlign w:val="center"/>
            <w:hideMark/>
          </w:tcPr>
          <w:p w14:paraId="1BDEC94B"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 remboursement</w:t>
            </w:r>
          </w:p>
        </w:tc>
        <w:tc>
          <w:tcPr>
            <w:tcW w:w="1042" w:type="dxa"/>
            <w:vMerge w:val="restart"/>
            <w:tcBorders>
              <w:top w:val="nil"/>
              <w:left w:val="nil"/>
              <w:bottom w:val="single" w:sz="8" w:space="0" w:color="7030A0"/>
              <w:right w:val="nil"/>
            </w:tcBorders>
            <w:shd w:val="clear" w:color="auto" w:fill="auto"/>
            <w:vAlign w:val="center"/>
            <w:hideMark/>
          </w:tcPr>
          <w:p w14:paraId="4CDCF233"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042" w:type="dxa"/>
            <w:vMerge w:val="restart"/>
            <w:tcBorders>
              <w:top w:val="nil"/>
              <w:left w:val="nil"/>
              <w:bottom w:val="single" w:sz="8" w:space="0" w:color="7030A0"/>
              <w:right w:val="nil"/>
            </w:tcBorders>
            <w:shd w:val="clear" w:color="auto" w:fill="auto"/>
            <w:vAlign w:val="center"/>
            <w:hideMark/>
          </w:tcPr>
          <w:p w14:paraId="534471F5"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147" w:type="dxa"/>
            <w:vMerge w:val="restart"/>
            <w:tcBorders>
              <w:top w:val="nil"/>
              <w:left w:val="nil"/>
              <w:bottom w:val="single" w:sz="8" w:space="0" w:color="7030A0"/>
              <w:right w:val="nil"/>
            </w:tcBorders>
            <w:shd w:val="clear" w:color="auto" w:fill="auto"/>
            <w:vAlign w:val="center"/>
            <w:hideMark/>
          </w:tcPr>
          <w:p w14:paraId="03D49F45"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4" w:type="dxa"/>
            <w:vMerge w:val="restart"/>
            <w:tcBorders>
              <w:top w:val="nil"/>
              <w:left w:val="nil"/>
              <w:bottom w:val="single" w:sz="8" w:space="0" w:color="7030A0"/>
              <w:right w:val="nil"/>
            </w:tcBorders>
            <w:shd w:val="clear" w:color="auto" w:fill="auto"/>
            <w:vAlign w:val="center"/>
            <w:hideMark/>
          </w:tcPr>
          <w:p w14:paraId="0EEED6B0"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630</w:t>
            </w:r>
          </w:p>
        </w:tc>
        <w:tc>
          <w:tcPr>
            <w:tcW w:w="1261" w:type="dxa"/>
            <w:tcBorders>
              <w:top w:val="nil"/>
              <w:left w:val="nil"/>
              <w:bottom w:val="nil"/>
              <w:right w:val="nil"/>
            </w:tcBorders>
            <w:shd w:val="clear" w:color="auto" w:fill="auto"/>
            <w:vAlign w:val="center"/>
            <w:hideMark/>
          </w:tcPr>
          <w:p w14:paraId="7BAECF63"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r w:rsidR="008F2F8F" w:rsidRPr="00C73365">
              <w:rPr>
                <w:rFonts w:asciiTheme="minorHAnsi" w:hAnsiTheme="minorHAnsi" w:cstheme="minorHAnsi"/>
                <w:color w:val="000000"/>
                <w:szCs w:val="20"/>
              </w:rPr>
              <w:t>*</w:t>
            </w:r>
          </w:p>
        </w:tc>
      </w:tr>
      <w:tr w:rsidR="00B4407F" w:rsidRPr="00C73365" w14:paraId="0921B1E2" w14:textId="77777777" w:rsidTr="00B4407F">
        <w:trPr>
          <w:trHeight w:val="767"/>
        </w:trPr>
        <w:tc>
          <w:tcPr>
            <w:tcW w:w="2166" w:type="dxa"/>
            <w:tcBorders>
              <w:top w:val="nil"/>
              <w:left w:val="nil"/>
              <w:bottom w:val="single" w:sz="8" w:space="0" w:color="7030A0"/>
              <w:right w:val="nil"/>
            </w:tcBorders>
            <w:shd w:val="clear" w:color="auto" w:fill="auto"/>
            <w:vAlign w:val="center"/>
            <w:hideMark/>
          </w:tcPr>
          <w:p w14:paraId="315B1021" w14:textId="77777777"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 10 06 002G)</w:t>
            </w:r>
          </w:p>
        </w:tc>
        <w:tc>
          <w:tcPr>
            <w:tcW w:w="1540" w:type="dxa"/>
            <w:vMerge/>
            <w:tcBorders>
              <w:top w:val="nil"/>
              <w:left w:val="nil"/>
              <w:bottom w:val="single" w:sz="8" w:space="0" w:color="7030A0"/>
              <w:right w:val="nil"/>
            </w:tcBorders>
            <w:vAlign w:val="center"/>
            <w:hideMark/>
          </w:tcPr>
          <w:p w14:paraId="0D868D25" w14:textId="77777777" w:rsidR="00B4407F" w:rsidRPr="00C73365" w:rsidRDefault="00B4407F" w:rsidP="00A96CCA">
            <w:pPr>
              <w:spacing w:after="0"/>
              <w:rPr>
                <w:rFonts w:asciiTheme="minorHAnsi" w:hAnsiTheme="minorHAnsi" w:cstheme="minorHAnsi"/>
                <w:color w:val="000000"/>
                <w:szCs w:val="20"/>
              </w:rPr>
            </w:pPr>
          </w:p>
        </w:tc>
        <w:tc>
          <w:tcPr>
            <w:tcW w:w="1042" w:type="dxa"/>
            <w:vMerge/>
            <w:tcBorders>
              <w:top w:val="nil"/>
              <w:left w:val="nil"/>
              <w:bottom w:val="single" w:sz="8" w:space="0" w:color="7030A0"/>
              <w:right w:val="nil"/>
            </w:tcBorders>
            <w:vAlign w:val="center"/>
            <w:hideMark/>
          </w:tcPr>
          <w:p w14:paraId="7DE17F08" w14:textId="77777777" w:rsidR="00B4407F" w:rsidRPr="00C73365" w:rsidRDefault="00B4407F" w:rsidP="00A96CCA">
            <w:pPr>
              <w:spacing w:after="0"/>
              <w:rPr>
                <w:rFonts w:asciiTheme="minorHAnsi" w:hAnsiTheme="minorHAnsi" w:cstheme="minorHAnsi"/>
                <w:color w:val="000000"/>
                <w:szCs w:val="20"/>
              </w:rPr>
            </w:pPr>
          </w:p>
        </w:tc>
        <w:tc>
          <w:tcPr>
            <w:tcW w:w="1042" w:type="dxa"/>
            <w:vMerge/>
            <w:tcBorders>
              <w:top w:val="nil"/>
              <w:left w:val="nil"/>
              <w:bottom w:val="single" w:sz="8" w:space="0" w:color="7030A0"/>
              <w:right w:val="nil"/>
            </w:tcBorders>
            <w:vAlign w:val="center"/>
            <w:hideMark/>
          </w:tcPr>
          <w:p w14:paraId="4ED357C2" w14:textId="77777777" w:rsidR="00B4407F" w:rsidRPr="00C73365" w:rsidRDefault="00B4407F" w:rsidP="00A96CCA">
            <w:pPr>
              <w:spacing w:after="0"/>
              <w:rPr>
                <w:rFonts w:asciiTheme="minorHAnsi" w:hAnsiTheme="minorHAnsi" w:cstheme="minorHAnsi"/>
                <w:color w:val="000000"/>
                <w:szCs w:val="20"/>
              </w:rPr>
            </w:pPr>
          </w:p>
        </w:tc>
        <w:tc>
          <w:tcPr>
            <w:tcW w:w="1147" w:type="dxa"/>
            <w:vMerge/>
            <w:tcBorders>
              <w:top w:val="nil"/>
              <w:left w:val="nil"/>
              <w:bottom w:val="single" w:sz="8" w:space="0" w:color="7030A0"/>
              <w:right w:val="nil"/>
            </w:tcBorders>
            <w:vAlign w:val="center"/>
            <w:hideMark/>
          </w:tcPr>
          <w:p w14:paraId="1CDA7F13" w14:textId="77777777" w:rsidR="00B4407F" w:rsidRPr="00C73365" w:rsidRDefault="00B4407F" w:rsidP="00A96CCA">
            <w:pPr>
              <w:spacing w:after="0"/>
              <w:rPr>
                <w:rFonts w:asciiTheme="minorHAnsi" w:hAnsiTheme="minorHAnsi" w:cstheme="minorHAnsi"/>
                <w:color w:val="000000"/>
                <w:szCs w:val="20"/>
              </w:rPr>
            </w:pPr>
          </w:p>
        </w:tc>
        <w:tc>
          <w:tcPr>
            <w:tcW w:w="1254" w:type="dxa"/>
            <w:vMerge/>
            <w:tcBorders>
              <w:top w:val="nil"/>
              <w:left w:val="nil"/>
              <w:bottom w:val="single" w:sz="8" w:space="0" w:color="7030A0"/>
              <w:right w:val="nil"/>
            </w:tcBorders>
            <w:vAlign w:val="center"/>
            <w:hideMark/>
          </w:tcPr>
          <w:p w14:paraId="0549CE54" w14:textId="77777777" w:rsidR="00B4407F" w:rsidRPr="00C73365" w:rsidRDefault="00B4407F" w:rsidP="00A96CCA">
            <w:pPr>
              <w:spacing w:after="0"/>
              <w:rPr>
                <w:rFonts w:asciiTheme="minorHAnsi" w:hAnsiTheme="minorHAnsi" w:cstheme="minorHAnsi"/>
                <w:color w:val="000000"/>
                <w:szCs w:val="20"/>
              </w:rPr>
            </w:pPr>
          </w:p>
        </w:tc>
        <w:tc>
          <w:tcPr>
            <w:tcW w:w="1261" w:type="dxa"/>
            <w:tcBorders>
              <w:top w:val="nil"/>
              <w:left w:val="nil"/>
              <w:bottom w:val="single" w:sz="8" w:space="0" w:color="7030A0"/>
              <w:right w:val="nil"/>
            </w:tcBorders>
            <w:shd w:val="clear" w:color="auto" w:fill="auto"/>
            <w:vAlign w:val="center"/>
            <w:hideMark/>
          </w:tcPr>
          <w:p w14:paraId="7B7D187F"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(non conditionné au succès)</w:t>
            </w:r>
          </w:p>
        </w:tc>
      </w:tr>
      <w:tr w:rsidR="00B4407F" w:rsidRPr="00C73365" w14:paraId="5D509B2F" w14:textId="77777777" w:rsidTr="00B4407F">
        <w:trPr>
          <w:trHeight w:val="504"/>
        </w:trPr>
        <w:tc>
          <w:tcPr>
            <w:tcW w:w="2166" w:type="dxa"/>
            <w:tcBorders>
              <w:top w:val="nil"/>
              <w:left w:val="nil"/>
              <w:bottom w:val="nil"/>
              <w:right w:val="nil"/>
            </w:tcBorders>
            <w:shd w:val="clear" w:color="auto" w:fill="auto"/>
            <w:vAlign w:val="center"/>
            <w:hideMark/>
          </w:tcPr>
          <w:p w14:paraId="6CB1D462" w14:textId="77777777"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Projet RNP-VIR (Subventions)</w:t>
            </w:r>
          </w:p>
        </w:tc>
        <w:tc>
          <w:tcPr>
            <w:tcW w:w="1540" w:type="dxa"/>
            <w:tcBorders>
              <w:top w:val="nil"/>
              <w:left w:val="nil"/>
              <w:bottom w:val="nil"/>
              <w:right w:val="nil"/>
            </w:tcBorders>
            <w:shd w:val="clear" w:color="auto" w:fill="auto"/>
            <w:vAlign w:val="center"/>
            <w:hideMark/>
          </w:tcPr>
          <w:p w14:paraId="7D2DB706"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nil"/>
              <w:right w:val="nil"/>
            </w:tcBorders>
            <w:shd w:val="clear" w:color="auto" w:fill="auto"/>
            <w:vAlign w:val="center"/>
            <w:hideMark/>
          </w:tcPr>
          <w:p w14:paraId="5DD35218"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2 112</w:t>
            </w:r>
          </w:p>
        </w:tc>
        <w:tc>
          <w:tcPr>
            <w:tcW w:w="1042" w:type="dxa"/>
            <w:tcBorders>
              <w:top w:val="nil"/>
              <w:left w:val="nil"/>
              <w:bottom w:val="nil"/>
              <w:right w:val="nil"/>
            </w:tcBorders>
            <w:shd w:val="clear" w:color="auto" w:fill="auto"/>
            <w:vAlign w:val="center"/>
            <w:hideMark/>
          </w:tcPr>
          <w:p w14:paraId="0F0158BC"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1147" w:type="dxa"/>
            <w:tcBorders>
              <w:top w:val="nil"/>
              <w:left w:val="nil"/>
              <w:bottom w:val="nil"/>
              <w:right w:val="nil"/>
            </w:tcBorders>
            <w:shd w:val="clear" w:color="auto" w:fill="auto"/>
            <w:vAlign w:val="center"/>
            <w:hideMark/>
          </w:tcPr>
          <w:p w14:paraId="41B5DAFF"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1 765</w:t>
            </w:r>
          </w:p>
        </w:tc>
        <w:tc>
          <w:tcPr>
            <w:tcW w:w="1254" w:type="dxa"/>
            <w:tcBorders>
              <w:top w:val="nil"/>
              <w:left w:val="nil"/>
              <w:bottom w:val="nil"/>
              <w:right w:val="nil"/>
            </w:tcBorders>
            <w:shd w:val="clear" w:color="auto" w:fill="auto"/>
            <w:vAlign w:val="center"/>
            <w:hideMark/>
          </w:tcPr>
          <w:p w14:paraId="789F330A"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nil"/>
              <w:right w:val="nil"/>
            </w:tcBorders>
            <w:shd w:val="clear" w:color="auto" w:fill="auto"/>
            <w:vAlign w:val="center"/>
            <w:hideMark/>
          </w:tcPr>
          <w:p w14:paraId="0E75EEA3"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B4407F" w:rsidRPr="00C73365" w14:paraId="6D940097" w14:textId="77777777" w:rsidTr="00B4407F">
        <w:trPr>
          <w:trHeight w:val="515"/>
        </w:trPr>
        <w:tc>
          <w:tcPr>
            <w:tcW w:w="2166" w:type="dxa"/>
            <w:tcBorders>
              <w:top w:val="nil"/>
              <w:left w:val="nil"/>
              <w:bottom w:val="single" w:sz="8" w:space="0" w:color="7030A0"/>
              <w:right w:val="nil"/>
            </w:tcBorders>
            <w:shd w:val="clear" w:color="auto" w:fill="auto"/>
            <w:vAlign w:val="center"/>
            <w:hideMark/>
          </w:tcPr>
          <w:p w14:paraId="785E4E36" w14:textId="77777777"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RNP-VIR (Avances Remboursables)</w:t>
            </w:r>
          </w:p>
        </w:tc>
        <w:tc>
          <w:tcPr>
            <w:tcW w:w="1540" w:type="dxa"/>
            <w:tcBorders>
              <w:top w:val="nil"/>
              <w:left w:val="nil"/>
              <w:bottom w:val="single" w:sz="8" w:space="0" w:color="7030A0"/>
              <w:right w:val="nil"/>
            </w:tcBorders>
            <w:shd w:val="clear" w:color="auto" w:fill="auto"/>
            <w:vAlign w:val="center"/>
            <w:hideMark/>
          </w:tcPr>
          <w:p w14:paraId="54EB5C49"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14:paraId="6440414C"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6 298</w:t>
            </w:r>
          </w:p>
        </w:tc>
        <w:tc>
          <w:tcPr>
            <w:tcW w:w="1042" w:type="dxa"/>
            <w:tcBorders>
              <w:top w:val="nil"/>
              <w:left w:val="nil"/>
              <w:bottom w:val="single" w:sz="8" w:space="0" w:color="7030A0"/>
              <w:right w:val="nil"/>
            </w:tcBorders>
            <w:shd w:val="clear" w:color="auto" w:fill="auto"/>
            <w:vAlign w:val="center"/>
            <w:hideMark/>
          </w:tcPr>
          <w:p w14:paraId="1015E637"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147" w:type="dxa"/>
            <w:tcBorders>
              <w:top w:val="nil"/>
              <w:left w:val="nil"/>
              <w:bottom w:val="single" w:sz="8" w:space="0" w:color="7030A0"/>
              <w:right w:val="nil"/>
            </w:tcBorders>
            <w:shd w:val="clear" w:color="auto" w:fill="auto"/>
            <w:vAlign w:val="center"/>
            <w:hideMark/>
          </w:tcPr>
          <w:p w14:paraId="332D8B25"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4 542</w:t>
            </w:r>
          </w:p>
        </w:tc>
        <w:tc>
          <w:tcPr>
            <w:tcW w:w="1254" w:type="dxa"/>
            <w:tcBorders>
              <w:top w:val="nil"/>
              <w:left w:val="nil"/>
              <w:bottom w:val="single" w:sz="8" w:space="0" w:color="7030A0"/>
              <w:right w:val="nil"/>
            </w:tcBorders>
            <w:shd w:val="clear" w:color="auto" w:fill="auto"/>
            <w:vAlign w:val="center"/>
            <w:hideMark/>
          </w:tcPr>
          <w:p w14:paraId="753FE8FF"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14:paraId="2FDA87AF"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6 576</w:t>
            </w:r>
          </w:p>
        </w:tc>
      </w:tr>
      <w:tr w:rsidR="00B4407F" w:rsidRPr="00C73365" w14:paraId="5A48118D" w14:textId="77777777" w:rsidTr="00B4407F">
        <w:trPr>
          <w:trHeight w:val="767"/>
        </w:trPr>
        <w:tc>
          <w:tcPr>
            <w:tcW w:w="2166" w:type="dxa"/>
            <w:tcBorders>
              <w:top w:val="nil"/>
              <w:left w:val="nil"/>
              <w:bottom w:val="single" w:sz="8" w:space="0" w:color="7030A0"/>
              <w:right w:val="nil"/>
            </w:tcBorders>
            <w:shd w:val="clear" w:color="auto" w:fill="auto"/>
            <w:vAlign w:val="center"/>
            <w:hideMark/>
          </w:tcPr>
          <w:p w14:paraId="61E78DA6" w14:textId="77777777"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(part Avances Remboursables)</w:t>
            </w:r>
          </w:p>
        </w:tc>
        <w:tc>
          <w:tcPr>
            <w:tcW w:w="1540" w:type="dxa"/>
            <w:tcBorders>
              <w:top w:val="nil"/>
              <w:left w:val="nil"/>
              <w:bottom w:val="single" w:sz="8" w:space="0" w:color="7030A0"/>
              <w:right w:val="nil"/>
            </w:tcBorders>
            <w:shd w:val="clear" w:color="auto" w:fill="auto"/>
            <w:vAlign w:val="center"/>
            <w:hideMark/>
          </w:tcPr>
          <w:p w14:paraId="0B320F9F" w14:textId="77777777"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14:paraId="1A8DF2F9"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c>
          <w:tcPr>
            <w:tcW w:w="1042" w:type="dxa"/>
            <w:tcBorders>
              <w:top w:val="nil"/>
              <w:left w:val="nil"/>
              <w:bottom w:val="single" w:sz="8" w:space="0" w:color="7030A0"/>
              <w:right w:val="nil"/>
            </w:tcBorders>
            <w:shd w:val="clear" w:color="auto" w:fill="auto"/>
            <w:vAlign w:val="center"/>
            <w:hideMark/>
          </w:tcPr>
          <w:p w14:paraId="52AEF460" w14:textId="77777777" w:rsidR="00B4407F" w:rsidRPr="00C73365" w:rsidRDefault="00C0081E"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47" w:type="dxa"/>
            <w:tcBorders>
              <w:top w:val="nil"/>
              <w:left w:val="nil"/>
              <w:bottom w:val="single" w:sz="8" w:space="0" w:color="7030A0"/>
              <w:right w:val="nil"/>
            </w:tcBorders>
            <w:shd w:val="clear" w:color="auto" w:fill="auto"/>
            <w:vAlign w:val="center"/>
            <w:hideMark/>
          </w:tcPr>
          <w:p w14:paraId="1CE1F060"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1254" w:type="dxa"/>
            <w:tcBorders>
              <w:top w:val="nil"/>
              <w:left w:val="nil"/>
              <w:bottom w:val="single" w:sz="8" w:space="0" w:color="7030A0"/>
              <w:right w:val="nil"/>
            </w:tcBorders>
            <w:shd w:val="clear" w:color="auto" w:fill="auto"/>
            <w:vAlign w:val="center"/>
            <w:hideMark/>
          </w:tcPr>
          <w:p w14:paraId="22CF6320"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14:paraId="091A8AB6" w14:textId="77777777"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390 </w:t>
            </w:r>
            <w:r w:rsidRPr="00C73365">
              <w:rPr>
                <w:rFonts w:asciiTheme="minorHAnsi" w:hAnsiTheme="minorHAnsi" w:cstheme="minorHAnsi"/>
                <w:color w:val="000000"/>
                <w:szCs w:val="20"/>
              </w:rPr>
              <w:br/>
              <w:t>(conditionné au succès)</w:t>
            </w:r>
          </w:p>
        </w:tc>
      </w:tr>
    </w:tbl>
    <w:p w14:paraId="19D63939" w14:textId="77777777" w:rsidR="00B4407F" w:rsidRPr="00C73365" w:rsidRDefault="00B4407F" w:rsidP="00A96CCA">
      <w:pPr>
        <w:spacing w:after="0"/>
        <w:ind w:right="-2"/>
        <w:rPr>
          <w:rFonts w:asciiTheme="minorHAnsi" w:eastAsia="MS Mincho" w:hAnsiTheme="minorHAnsi" w:cstheme="minorHAnsi"/>
          <w:szCs w:val="20"/>
          <w:lang w:val="fr-FR" w:eastAsia="fr-FR"/>
        </w:rPr>
      </w:pPr>
    </w:p>
    <w:p w14:paraId="4A5E01DE" w14:textId="77777777" w:rsidR="00B4407F" w:rsidRPr="00C73365" w:rsidRDefault="00B4407F" w:rsidP="004572A0">
      <w:pPr>
        <w:pStyle w:val="Corpsdetexte"/>
        <w:rPr>
          <w:rFonts w:asciiTheme="minorHAnsi" w:eastAsia="MS Mincho" w:hAnsiTheme="minorHAnsi" w:cstheme="minorHAnsi"/>
          <w:lang w:val="fr-FR" w:eastAsia="fr-FR"/>
        </w:rPr>
        <w:sectPr w:rsidR="00B4407F" w:rsidRPr="00C73365" w:rsidSect="007C607C">
          <w:type w:val="continuous"/>
          <w:pgSz w:w="11906" w:h="16838"/>
          <w:pgMar w:top="1134" w:right="1134" w:bottom="1134" w:left="1134" w:header="709" w:footer="709" w:gutter="0"/>
          <w:cols w:space="708"/>
          <w:docGrid w:linePitch="360"/>
        </w:sectPr>
      </w:pPr>
    </w:p>
    <w:p w14:paraId="137A8A67" w14:textId="77777777" w:rsidR="00B4407F" w:rsidRDefault="009E7962" w:rsidP="001479F8">
      <w:pPr>
        <w:pStyle w:val="Liste"/>
        <w:rPr>
          <w:rFonts w:asciiTheme="minorHAnsi" w:hAnsiTheme="minorHAnsi" w:cstheme="minorHAnsi"/>
          <w:lang w:val="fr-FR"/>
        </w:rPr>
      </w:pPr>
      <w:r w:rsidRPr="00C73365">
        <w:rPr>
          <w:rFonts w:asciiTheme="minorHAnsi" w:hAnsiTheme="minorHAnsi" w:cstheme="minorHAnsi"/>
          <w:vertAlign w:val="superscript"/>
          <w:lang w:val="fr-FR"/>
        </w:rPr>
        <w:t>(1)</w:t>
      </w:r>
      <w:r w:rsidR="004572A0" w:rsidRPr="00C73365">
        <w:rPr>
          <w:rFonts w:asciiTheme="minorHAnsi" w:hAnsiTheme="minorHAnsi" w:cstheme="minorHAnsi"/>
          <w:lang w:val="fr-FR"/>
        </w:rPr>
        <w:tab/>
      </w:r>
      <w:r w:rsidRPr="00C73365">
        <w:rPr>
          <w:rFonts w:asciiTheme="minorHAnsi" w:hAnsiTheme="minorHAnsi" w:cstheme="minorHAnsi"/>
          <w:lang w:val="fr-FR"/>
        </w:rPr>
        <w:t>Se référer au paragraphe 4.6.1, au paragraphe 10.3.2 et au chapitre 22 du présent document de référence pour le détail des échéanciers des sommes restant à percevoir et des sommes à rembourser</w:t>
      </w:r>
      <w:r w:rsidRPr="00C73365">
        <w:rPr>
          <w:rFonts w:asciiTheme="minorHAnsi" w:hAnsiTheme="minorHAnsi" w:cstheme="minorHAnsi"/>
          <w:vertAlign w:val="superscript"/>
          <w:lang w:val="fr-FR"/>
        </w:rPr>
        <w:t xml:space="preserve"> (2)</w:t>
      </w:r>
      <w:r w:rsidRPr="00C73365">
        <w:rPr>
          <w:rFonts w:asciiTheme="minorHAnsi" w:hAnsiTheme="minorHAnsi" w:cstheme="minorHAnsi"/>
          <w:lang w:val="fr-FR"/>
        </w:rPr>
        <w:t xml:space="preserve"> Versements maximaux</w:t>
      </w:r>
      <w:r w:rsidR="008F2F8F" w:rsidRPr="00C73365">
        <w:rPr>
          <w:rFonts w:asciiTheme="minorHAnsi" w:hAnsiTheme="minorHAnsi" w:cstheme="minorHAnsi"/>
          <w:lang w:val="fr-FR"/>
        </w:rPr>
        <w:t xml:space="preserve"> * à date d’enregistrement d</w:t>
      </w:r>
      <w:r w:rsidR="005C36A7">
        <w:rPr>
          <w:rFonts w:asciiTheme="minorHAnsi" w:hAnsiTheme="minorHAnsi" w:cstheme="minorHAnsi"/>
          <w:lang w:val="fr-FR"/>
        </w:rPr>
        <w:t>e ce document</w:t>
      </w:r>
      <w:r w:rsidR="008F2F8F" w:rsidRPr="00C73365">
        <w:rPr>
          <w:rFonts w:asciiTheme="minorHAnsi" w:hAnsiTheme="minorHAnsi" w:cstheme="minorHAnsi"/>
          <w:lang w:val="fr-FR"/>
        </w:rPr>
        <w:t xml:space="preserve">, l’aide conjointe </w:t>
      </w:r>
      <w:r w:rsidR="001479F8">
        <w:rPr>
          <w:rFonts w:asciiTheme="minorHAnsi" w:hAnsiTheme="minorHAnsi" w:cstheme="minorHAnsi"/>
          <w:lang w:val="fr-FR"/>
        </w:rPr>
        <w:t>Bpifrance</w:t>
      </w:r>
      <w:r w:rsidR="008F2F8F" w:rsidRPr="00C73365">
        <w:rPr>
          <w:rFonts w:asciiTheme="minorHAnsi" w:hAnsiTheme="minorHAnsi" w:cstheme="minorHAnsi"/>
          <w:lang w:val="fr-FR"/>
        </w:rPr>
        <w:t xml:space="preserve"> et Feder est intégralement remboursée</w:t>
      </w:r>
    </w:p>
    <w:p w14:paraId="5F1C4258" w14:textId="77777777" w:rsidR="001479F8" w:rsidRPr="001479F8" w:rsidRDefault="001479F8" w:rsidP="001479F8">
      <w:pPr>
        <w:pStyle w:val="Liste"/>
        <w:ind w:left="0" w:firstLine="0"/>
        <w:rPr>
          <w:rFonts w:asciiTheme="minorHAnsi" w:hAnsiTheme="minorHAnsi" w:cstheme="minorHAnsi"/>
          <w:lang w:val="fr-FR"/>
        </w:rPr>
        <w:sectPr w:rsidR="001479F8" w:rsidRPr="001479F8" w:rsidSect="00981866">
          <w:type w:val="continuous"/>
          <w:pgSz w:w="11906" w:h="16838"/>
          <w:pgMar w:top="1134" w:right="1134" w:bottom="1134" w:left="1134" w:header="709" w:footer="709" w:gutter="0"/>
          <w:cols w:space="397"/>
          <w:docGrid w:linePitch="360"/>
        </w:sectPr>
      </w:pPr>
    </w:p>
    <w:p w14:paraId="5A2A1B42" w14:textId="77777777" w:rsidR="008F2F8F" w:rsidRPr="00C73365" w:rsidRDefault="008F2F8F" w:rsidP="00A96CCA">
      <w:pPr>
        <w:widowControl w:val="0"/>
        <w:spacing w:after="0"/>
        <w:ind w:right="-2"/>
        <w:rPr>
          <w:rFonts w:asciiTheme="minorHAnsi" w:eastAsia="MS Mincho" w:hAnsiTheme="minorHAnsi" w:cstheme="minorHAnsi"/>
          <w:b/>
          <w:color w:val="7030A0"/>
          <w:szCs w:val="20"/>
          <w:lang w:val="fr-FR" w:eastAsia="fr-FR"/>
        </w:rPr>
      </w:pPr>
    </w:p>
    <w:p w14:paraId="1C64A565"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 CaReNA</w:t>
      </w:r>
    </w:p>
    <w:p w14:paraId="5C29D52D"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le projet d’Innovation Stratégique Industrielle dénommé « CaReNA » signé avec la société Splicos en 2013.</w:t>
      </w:r>
    </w:p>
    <w:p w14:paraId="4BE4161C"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3 830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un taux d’Avance Remboursable de 50% des dépenses totales programmées.</w:t>
      </w:r>
    </w:p>
    <w:p w14:paraId="08310631"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w:t>
      </w:r>
      <w:r w:rsidR="00B4407F"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le montant perçu par la société s’élève à 2 </w:t>
      </w:r>
      <w:r w:rsidR="00D22228" w:rsidRPr="00C73365">
        <w:rPr>
          <w:rFonts w:asciiTheme="minorHAnsi" w:eastAsia="MS Mincho" w:hAnsiTheme="minorHAnsi" w:cstheme="minorHAnsi"/>
          <w:lang w:val="fr-FR" w:eastAsia="fr-FR"/>
        </w:rPr>
        <w:t xml:space="preserve">187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dont 1 150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décembre 2013, 1 008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w:t>
      </w:r>
      <w:r w:rsidR="006B119E" w:rsidRPr="00C73365">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2014 et 29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en Juin 2016.</w:t>
      </w:r>
    </w:p>
    <w:p w14:paraId="5BC74D5B"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retours financiers s’effectueront au moyen de versements déterminés, en fonction des prévisions de chiffre d’affaires généré par l’exploitation directe ou indirecte, des produits ou services issus du projet.</w:t>
      </w:r>
    </w:p>
    <w:p w14:paraId="07EF87CF"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1,66% calculée selon les modalités contractuelles.</w:t>
      </w:r>
    </w:p>
    <w:p w14:paraId="0B39CB52"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w:t>
      </w:r>
      <w:r w:rsidR="0056443F"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F46C7B" w:rsidRPr="00036317" w14:paraId="306D7993" w14:textId="77777777" w:rsidTr="007C607C">
        <w:trPr>
          <w:trHeight w:val="458"/>
        </w:trPr>
        <w:tc>
          <w:tcPr>
            <w:tcW w:w="2998" w:type="dxa"/>
            <w:tcBorders>
              <w:top w:val="single" w:sz="12" w:space="0" w:color="7030A0"/>
              <w:left w:val="nil"/>
              <w:bottom w:val="single" w:sz="8" w:space="0" w:color="7030A0"/>
              <w:right w:val="nil"/>
            </w:tcBorders>
            <w:shd w:val="clear" w:color="auto" w:fill="auto"/>
            <w:vAlign w:val="center"/>
            <w:hideMark/>
          </w:tcPr>
          <w:p w14:paraId="4339C854"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14:paraId="1AC7198E"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14:paraId="632C2AA9"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F46C7B" w:rsidRPr="00C73365" w14:paraId="69A43B79" w14:textId="77777777" w:rsidTr="007C607C">
        <w:trPr>
          <w:trHeight w:val="202"/>
        </w:trPr>
        <w:tc>
          <w:tcPr>
            <w:tcW w:w="2998" w:type="dxa"/>
            <w:tcBorders>
              <w:top w:val="nil"/>
              <w:left w:val="nil"/>
              <w:bottom w:val="single" w:sz="8" w:space="0" w:color="7030A0"/>
              <w:right w:val="nil"/>
            </w:tcBorders>
            <w:shd w:val="clear" w:color="auto" w:fill="auto"/>
            <w:noWrap/>
            <w:vAlign w:val="center"/>
            <w:hideMark/>
          </w:tcPr>
          <w:p w14:paraId="72DDD09E"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2020</w:t>
            </w:r>
          </w:p>
        </w:tc>
        <w:tc>
          <w:tcPr>
            <w:tcW w:w="156" w:type="dxa"/>
            <w:tcBorders>
              <w:top w:val="nil"/>
              <w:left w:val="nil"/>
              <w:bottom w:val="nil"/>
              <w:right w:val="nil"/>
            </w:tcBorders>
            <w:shd w:val="clear" w:color="auto" w:fill="auto"/>
            <w:noWrap/>
            <w:vAlign w:val="center"/>
            <w:hideMark/>
          </w:tcPr>
          <w:p w14:paraId="429943E5"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0CCE83D5"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300 </w:t>
            </w:r>
            <w:r w:rsidR="00EF089C" w:rsidRPr="00C73365">
              <w:rPr>
                <w:rFonts w:asciiTheme="minorHAnsi" w:hAnsiTheme="minorHAnsi" w:cstheme="minorHAnsi"/>
                <w:color w:val="000000"/>
                <w:szCs w:val="20"/>
                <w:lang w:val="fr-FR" w:eastAsia="fr-FR"/>
              </w:rPr>
              <w:t>K€</w:t>
            </w:r>
          </w:p>
        </w:tc>
      </w:tr>
      <w:tr w:rsidR="00F46C7B" w:rsidRPr="00C73365" w14:paraId="130E7C2B" w14:textId="77777777" w:rsidTr="007C607C">
        <w:trPr>
          <w:trHeight w:val="202"/>
        </w:trPr>
        <w:tc>
          <w:tcPr>
            <w:tcW w:w="2998" w:type="dxa"/>
            <w:tcBorders>
              <w:top w:val="nil"/>
              <w:left w:val="nil"/>
              <w:bottom w:val="single" w:sz="8" w:space="0" w:color="7030A0"/>
              <w:right w:val="nil"/>
            </w:tcBorders>
            <w:shd w:val="clear" w:color="auto" w:fill="auto"/>
            <w:noWrap/>
            <w:vAlign w:val="center"/>
            <w:hideMark/>
          </w:tcPr>
          <w:p w14:paraId="5C8A7A88"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2021</w:t>
            </w:r>
          </w:p>
        </w:tc>
        <w:tc>
          <w:tcPr>
            <w:tcW w:w="156" w:type="dxa"/>
            <w:tcBorders>
              <w:top w:val="nil"/>
              <w:left w:val="nil"/>
              <w:bottom w:val="nil"/>
              <w:right w:val="nil"/>
            </w:tcBorders>
            <w:shd w:val="clear" w:color="auto" w:fill="auto"/>
            <w:noWrap/>
            <w:vAlign w:val="center"/>
            <w:hideMark/>
          </w:tcPr>
          <w:p w14:paraId="478B8A9F"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4F51E016"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500 </w:t>
            </w:r>
            <w:r w:rsidR="00EF089C" w:rsidRPr="00C73365">
              <w:rPr>
                <w:rFonts w:asciiTheme="minorHAnsi" w:hAnsiTheme="minorHAnsi" w:cstheme="minorHAnsi"/>
                <w:color w:val="000000"/>
                <w:szCs w:val="20"/>
                <w:lang w:val="fr-FR" w:eastAsia="fr-FR"/>
              </w:rPr>
              <w:t>K€</w:t>
            </w:r>
          </w:p>
        </w:tc>
      </w:tr>
      <w:tr w:rsidR="00F46C7B" w:rsidRPr="00C73365" w14:paraId="4D1BBE11" w14:textId="77777777" w:rsidTr="007C607C">
        <w:trPr>
          <w:trHeight w:val="202"/>
        </w:trPr>
        <w:tc>
          <w:tcPr>
            <w:tcW w:w="2998" w:type="dxa"/>
            <w:tcBorders>
              <w:top w:val="nil"/>
              <w:left w:val="nil"/>
              <w:bottom w:val="single" w:sz="8" w:space="0" w:color="7030A0"/>
              <w:right w:val="nil"/>
            </w:tcBorders>
            <w:shd w:val="clear" w:color="auto" w:fill="auto"/>
            <w:noWrap/>
            <w:vAlign w:val="center"/>
            <w:hideMark/>
          </w:tcPr>
          <w:p w14:paraId="2DBE3EBC"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2022</w:t>
            </w:r>
          </w:p>
        </w:tc>
        <w:tc>
          <w:tcPr>
            <w:tcW w:w="156" w:type="dxa"/>
            <w:tcBorders>
              <w:top w:val="nil"/>
              <w:left w:val="nil"/>
              <w:bottom w:val="nil"/>
              <w:right w:val="nil"/>
            </w:tcBorders>
            <w:shd w:val="clear" w:color="auto" w:fill="auto"/>
            <w:noWrap/>
            <w:vAlign w:val="center"/>
            <w:hideMark/>
          </w:tcPr>
          <w:p w14:paraId="76798637"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2F1ED69B"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750 </w:t>
            </w:r>
            <w:r w:rsidR="00EF089C" w:rsidRPr="00C73365">
              <w:rPr>
                <w:rFonts w:asciiTheme="minorHAnsi" w:hAnsiTheme="minorHAnsi" w:cstheme="minorHAnsi"/>
                <w:color w:val="000000"/>
                <w:szCs w:val="20"/>
                <w:lang w:val="fr-FR" w:eastAsia="fr-FR"/>
              </w:rPr>
              <w:t>K€</w:t>
            </w:r>
          </w:p>
        </w:tc>
      </w:tr>
      <w:tr w:rsidR="00F46C7B" w:rsidRPr="00C73365" w14:paraId="3CF6B2D5" w14:textId="77777777" w:rsidTr="007C607C">
        <w:trPr>
          <w:trHeight w:val="202"/>
        </w:trPr>
        <w:tc>
          <w:tcPr>
            <w:tcW w:w="2998" w:type="dxa"/>
            <w:tcBorders>
              <w:top w:val="nil"/>
              <w:left w:val="nil"/>
              <w:bottom w:val="single" w:sz="8" w:space="0" w:color="7030A0"/>
              <w:right w:val="nil"/>
            </w:tcBorders>
            <w:shd w:val="clear" w:color="auto" w:fill="auto"/>
            <w:noWrap/>
            <w:vAlign w:val="center"/>
            <w:hideMark/>
          </w:tcPr>
          <w:p w14:paraId="3C577023"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2023</w:t>
            </w:r>
          </w:p>
        </w:tc>
        <w:tc>
          <w:tcPr>
            <w:tcW w:w="156" w:type="dxa"/>
            <w:tcBorders>
              <w:top w:val="nil"/>
              <w:left w:val="nil"/>
              <w:bottom w:val="nil"/>
              <w:right w:val="nil"/>
            </w:tcBorders>
            <w:shd w:val="clear" w:color="auto" w:fill="auto"/>
            <w:noWrap/>
            <w:vAlign w:val="center"/>
            <w:hideMark/>
          </w:tcPr>
          <w:p w14:paraId="0175C004"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1D541001"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1 100 </w:t>
            </w:r>
            <w:r w:rsidR="00EF089C" w:rsidRPr="00C73365">
              <w:rPr>
                <w:rFonts w:asciiTheme="minorHAnsi" w:hAnsiTheme="minorHAnsi" w:cstheme="minorHAnsi"/>
                <w:color w:val="000000"/>
                <w:szCs w:val="20"/>
                <w:lang w:val="fr-FR" w:eastAsia="fr-FR"/>
              </w:rPr>
              <w:t>K€</w:t>
            </w:r>
          </w:p>
        </w:tc>
      </w:tr>
      <w:tr w:rsidR="00F46C7B" w:rsidRPr="00C73365" w14:paraId="10EE4EC3" w14:textId="77777777" w:rsidTr="007C607C">
        <w:trPr>
          <w:trHeight w:val="202"/>
        </w:trPr>
        <w:tc>
          <w:tcPr>
            <w:tcW w:w="2998" w:type="dxa"/>
            <w:tcBorders>
              <w:top w:val="nil"/>
              <w:left w:val="nil"/>
              <w:bottom w:val="single" w:sz="8" w:space="0" w:color="7030A0"/>
              <w:right w:val="nil"/>
            </w:tcBorders>
            <w:shd w:val="clear" w:color="auto" w:fill="auto"/>
            <w:noWrap/>
            <w:vAlign w:val="center"/>
            <w:hideMark/>
          </w:tcPr>
          <w:p w14:paraId="5F376AC2"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2024</w:t>
            </w:r>
          </w:p>
        </w:tc>
        <w:tc>
          <w:tcPr>
            <w:tcW w:w="156" w:type="dxa"/>
            <w:tcBorders>
              <w:top w:val="nil"/>
              <w:left w:val="nil"/>
              <w:bottom w:val="nil"/>
              <w:right w:val="nil"/>
            </w:tcBorders>
            <w:shd w:val="clear" w:color="auto" w:fill="auto"/>
            <w:noWrap/>
            <w:vAlign w:val="center"/>
            <w:hideMark/>
          </w:tcPr>
          <w:p w14:paraId="6C0780AC"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76E02B69"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1 747 </w:t>
            </w:r>
            <w:r w:rsidR="00EF089C" w:rsidRPr="00C73365">
              <w:rPr>
                <w:rFonts w:asciiTheme="minorHAnsi" w:hAnsiTheme="minorHAnsi" w:cstheme="minorHAnsi"/>
                <w:color w:val="000000"/>
                <w:szCs w:val="20"/>
                <w:lang w:val="fr-FR" w:eastAsia="fr-FR"/>
              </w:rPr>
              <w:t>K€</w:t>
            </w:r>
          </w:p>
        </w:tc>
      </w:tr>
      <w:tr w:rsidR="00F46C7B" w:rsidRPr="00C73365" w14:paraId="730CAB91" w14:textId="77777777" w:rsidTr="007C607C">
        <w:trPr>
          <w:trHeight w:val="267"/>
        </w:trPr>
        <w:tc>
          <w:tcPr>
            <w:tcW w:w="2998" w:type="dxa"/>
            <w:tcBorders>
              <w:top w:val="nil"/>
              <w:left w:val="nil"/>
              <w:bottom w:val="single" w:sz="8" w:space="0" w:color="7030A0"/>
              <w:right w:val="nil"/>
            </w:tcBorders>
            <w:shd w:val="clear" w:color="auto" w:fill="auto"/>
            <w:noWrap/>
            <w:vAlign w:val="center"/>
            <w:hideMark/>
          </w:tcPr>
          <w:p w14:paraId="21504CCF" w14:textId="77777777" w:rsidR="00F46C7B" w:rsidRPr="00C73365" w:rsidRDefault="00F46C7B" w:rsidP="00A96CCA">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nil"/>
              <w:left w:val="nil"/>
              <w:bottom w:val="nil"/>
              <w:right w:val="nil"/>
            </w:tcBorders>
            <w:shd w:val="clear" w:color="auto" w:fill="auto"/>
            <w:noWrap/>
            <w:vAlign w:val="center"/>
            <w:hideMark/>
          </w:tcPr>
          <w:p w14:paraId="209F5CFF" w14:textId="77777777" w:rsidR="00F46C7B" w:rsidRPr="00C73365" w:rsidRDefault="00F46C7B" w:rsidP="00A96CCA">
            <w:pPr>
              <w:spacing w:after="0"/>
              <w:rPr>
                <w:rFonts w:asciiTheme="minorHAnsi" w:hAnsiTheme="minorHAnsi" w:cstheme="minorHAnsi"/>
                <w:b/>
                <w:color w:val="7030A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1CBF542B" w14:textId="77777777" w:rsidR="00F46C7B" w:rsidRPr="00C73365" w:rsidRDefault="00F46C7B" w:rsidP="00A96CCA">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4 397 </w:t>
            </w:r>
            <w:r w:rsidR="00EF089C" w:rsidRPr="00C73365">
              <w:rPr>
                <w:rFonts w:asciiTheme="minorHAnsi" w:hAnsiTheme="minorHAnsi" w:cstheme="minorHAnsi"/>
                <w:b/>
                <w:color w:val="7030A0"/>
                <w:szCs w:val="20"/>
                <w:lang w:val="fr-FR" w:eastAsia="fr-FR"/>
              </w:rPr>
              <w:t>K€</w:t>
            </w:r>
          </w:p>
        </w:tc>
      </w:tr>
    </w:tbl>
    <w:p w14:paraId="481ED17C" w14:textId="77777777" w:rsidR="00F46C7B" w:rsidRPr="00C73365" w:rsidRDefault="00F46C7B" w:rsidP="00A96CCA">
      <w:pPr>
        <w:spacing w:after="0"/>
        <w:ind w:right="-11"/>
        <w:rPr>
          <w:rFonts w:asciiTheme="minorHAnsi" w:eastAsia="MS Mincho" w:hAnsiTheme="minorHAnsi" w:cstheme="minorHAnsi"/>
          <w:color w:val="000000"/>
          <w:szCs w:val="20"/>
          <w:lang w:val="fr-FR" w:eastAsia="fr-FR"/>
        </w:rPr>
      </w:pPr>
    </w:p>
    <w:p w14:paraId="61576CF8" w14:textId="77777777" w:rsidR="0056443F" w:rsidRPr="00C73365" w:rsidRDefault="0056443F"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p w14:paraId="71FC47A6" w14:textId="77777777" w:rsidR="0056443F" w:rsidRPr="00C73365" w:rsidRDefault="0056443F" w:rsidP="004572A0">
      <w:pPr>
        <w:pStyle w:val="Corpsdetexte"/>
        <w:rPr>
          <w:rFonts w:asciiTheme="minorHAnsi" w:eastAsia="MS Mincho" w:hAnsiTheme="minorHAnsi" w:cstheme="minorHAnsi"/>
          <w:color w:val="000000"/>
          <w:lang w:val="fr-FR" w:eastAsia="fr-FR"/>
        </w:rPr>
      </w:pPr>
      <w:r w:rsidRPr="00C73365">
        <w:rPr>
          <w:rFonts w:asciiTheme="minorHAnsi" w:hAnsiTheme="minorHAnsi" w:cstheme="minorHAnsi"/>
          <w:lang w:val="fr-FR"/>
        </w:rPr>
        <w:t xml:space="preserve">Les avances remboursables effectivement reçues et estimées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fonction de ses dépenses et de l’avancement du projet sont effectivement différentes de celles estimées initialement</w:t>
      </w:r>
    </w:p>
    <w:p w14:paraId="7655982C"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p>
    <w:p w14:paraId="4CBBCD57"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pendant </w:t>
      </w:r>
      <w:r w:rsidR="002369F8" w:rsidRPr="00C73365">
        <w:rPr>
          <w:rFonts w:asciiTheme="minorHAnsi" w:eastAsia="MS Mincho" w:hAnsiTheme="minorHAnsi" w:cstheme="minorHAnsi"/>
          <w:lang w:val="fr-FR" w:eastAsia="fr-FR"/>
        </w:rPr>
        <w:t>une durée de 5 année consécutive</w:t>
      </w:r>
      <w:r w:rsidRPr="00C73365">
        <w:rPr>
          <w:rFonts w:asciiTheme="minorHAnsi" w:eastAsia="MS Mincho" w:hAnsiTheme="minorHAnsi" w:cstheme="minorHAnsi"/>
          <w:lang w:val="fr-FR" w:eastAsia="fr-FR"/>
        </w:rPr>
        <w:t xml:space="preserve"> après la date de terminaison de l’échéancier et dès lors qu’elle aura atteint un montant cumulé de chiffre d’affaires hors taxes égal ou supérieur à 50 000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1,20% du chiffre d’affaires annuel généré par l’exploitation des produits issus du projet.</w:t>
      </w:r>
    </w:p>
    <w:p w14:paraId="5BC15819"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versements complémentaires est plafonné à la somme de 6 800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235D9A97"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14:paraId="59004EB9"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A106002G</w:t>
      </w:r>
    </w:p>
    <w:p w14:paraId="7BD8EE10"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un projet de développement de nouveaux adjuvants vaccinaux et évaluation clinique, en continuité avec le dossier A0805001G signé avec la société Wittycell en 2010.</w:t>
      </w:r>
    </w:p>
    <w:p w14:paraId="4C31DA5E"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correspondant à un taux d’Avance Remboursable de 31,95% des dépenses totales programmées.</w:t>
      </w:r>
    </w:p>
    <w:p w14:paraId="2F931A0C"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w:t>
      </w:r>
      <w:r w:rsidR="00B4407F"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le montant perçu par la société s’élève à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des remboursements ont déjà été effectués pour un total de </w:t>
      </w:r>
      <w:r w:rsidR="00B4407F" w:rsidRPr="00C73365">
        <w:rPr>
          <w:rFonts w:asciiTheme="minorHAnsi" w:eastAsia="MS Mincho" w:hAnsiTheme="minorHAnsi" w:cstheme="minorHAnsi"/>
          <w:lang w:val="fr-FR" w:eastAsia="fr-FR"/>
        </w:rPr>
        <w:t xml:space="preserve">630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395B064B"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L’échéancier forfaitaire de remboursement, indépendant de la réussite du projet, est le suivant: </w:t>
      </w:r>
    </w:p>
    <w:tbl>
      <w:tblPr>
        <w:tblW w:w="4588" w:type="dxa"/>
        <w:tblCellMar>
          <w:left w:w="70" w:type="dxa"/>
          <w:right w:w="70" w:type="dxa"/>
        </w:tblCellMar>
        <w:tblLook w:val="04A0" w:firstRow="1" w:lastRow="0" w:firstColumn="1" w:lastColumn="0" w:noHBand="0" w:noVBand="1"/>
      </w:tblPr>
      <w:tblGrid>
        <w:gridCol w:w="3069"/>
        <w:gridCol w:w="160"/>
        <w:gridCol w:w="1359"/>
      </w:tblGrid>
      <w:tr w:rsidR="00F46C7B" w:rsidRPr="00036317" w14:paraId="522C43E3" w14:textId="77777777" w:rsidTr="007C607C">
        <w:trPr>
          <w:trHeight w:val="332"/>
        </w:trPr>
        <w:tc>
          <w:tcPr>
            <w:tcW w:w="3069" w:type="dxa"/>
            <w:tcBorders>
              <w:top w:val="single" w:sz="12" w:space="0" w:color="7030A0"/>
              <w:left w:val="nil"/>
              <w:bottom w:val="single" w:sz="8" w:space="0" w:color="7030A0"/>
              <w:right w:val="nil"/>
            </w:tcBorders>
            <w:shd w:val="clear" w:color="auto" w:fill="auto"/>
            <w:vAlign w:val="center"/>
            <w:hideMark/>
          </w:tcPr>
          <w:p w14:paraId="740D2D1B"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0" w:type="dxa"/>
            <w:tcBorders>
              <w:top w:val="nil"/>
              <w:left w:val="nil"/>
              <w:bottom w:val="nil"/>
              <w:right w:val="nil"/>
            </w:tcBorders>
            <w:shd w:val="clear" w:color="auto" w:fill="auto"/>
            <w:vAlign w:val="center"/>
            <w:hideMark/>
          </w:tcPr>
          <w:p w14:paraId="3888580D"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single" w:sz="12" w:space="0" w:color="7030A0"/>
              <w:left w:val="nil"/>
              <w:bottom w:val="single" w:sz="8" w:space="0" w:color="7030A0"/>
              <w:right w:val="nil"/>
            </w:tcBorders>
            <w:shd w:val="clear" w:color="auto" w:fill="auto"/>
            <w:vAlign w:val="center"/>
            <w:hideMark/>
          </w:tcPr>
          <w:p w14:paraId="61A6AC48"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F46C7B" w:rsidRPr="00C73365" w14:paraId="458D00A1" w14:textId="77777777" w:rsidTr="007C607C">
        <w:trPr>
          <w:trHeight w:val="287"/>
        </w:trPr>
        <w:tc>
          <w:tcPr>
            <w:tcW w:w="3069" w:type="dxa"/>
            <w:tcBorders>
              <w:top w:val="nil"/>
              <w:left w:val="nil"/>
              <w:bottom w:val="single" w:sz="8" w:space="0" w:color="7030A0"/>
              <w:right w:val="nil"/>
            </w:tcBorders>
            <w:shd w:val="clear" w:color="auto" w:fill="auto"/>
            <w:noWrap/>
            <w:vAlign w:val="center"/>
            <w:hideMark/>
          </w:tcPr>
          <w:p w14:paraId="07352D5E"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2017</w:t>
            </w:r>
          </w:p>
        </w:tc>
        <w:tc>
          <w:tcPr>
            <w:tcW w:w="160" w:type="dxa"/>
            <w:tcBorders>
              <w:top w:val="nil"/>
              <w:left w:val="nil"/>
              <w:bottom w:val="nil"/>
              <w:right w:val="nil"/>
            </w:tcBorders>
            <w:shd w:val="clear" w:color="auto" w:fill="auto"/>
            <w:noWrap/>
            <w:vAlign w:val="center"/>
            <w:hideMark/>
          </w:tcPr>
          <w:p w14:paraId="1E1A10B8"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nil"/>
              <w:left w:val="nil"/>
              <w:bottom w:val="single" w:sz="8" w:space="0" w:color="7030A0"/>
              <w:right w:val="nil"/>
            </w:tcBorders>
            <w:shd w:val="clear" w:color="auto" w:fill="auto"/>
            <w:noWrap/>
            <w:hideMark/>
          </w:tcPr>
          <w:p w14:paraId="690024B4"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F46C7B" w:rsidRPr="00C73365" w14:paraId="6D4304F4" w14:textId="77777777" w:rsidTr="007C607C">
        <w:trPr>
          <w:trHeight w:val="146"/>
        </w:trPr>
        <w:tc>
          <w:tcPr>
            <w:tcW w:w="3069" w:type="dxa"/>
            <w:tcBorders>
              <w:top w:val="nil"/>
              <w:left w:val="nil"/>
              <w:bottom w:val="single" w:sz="8" w:space="0" w:color="7030A0"/>
              <w:right w:val="nil"/>
            </w:tcBorders>
            <w:shd w:val="clear" w:color="auto" w:fill="auto"/>
            <w:noWrap/>
            <w:vAlign w:val="center"/>
            <w:hideMark/>
          </w:tcPr>
          <w:p w14:paraId="4D5E0843"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mars 2018</w:t>
            </w:r>
          </w:p>
        </w:tc>
        <w:tc>
          <w:tcPr>
            <w:tcW w:w="160" w:type="dxa"/>
            <w:tcBorders>
              <w:top w:val="nil"/>
              <w:left w:val="nil"/>
              <w:bottom w:val="nil"/>
              <w:right w:val="nil"/>
            </w:tcBorders>
            <w:shd w:val="clear" w:color="auto" w:fill="auto"/>
            <w:noWrap/>
            <w:vAlign w:val="center"/>
            <w:hideMark/>
          </w:tcPr>
          <w:p w14:paraId="2B6FE222"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nil"/>
              <w:left w:val="nil"/>
              <w:bottom w:val="single" w:sz="8" w:space="0" w:color="7030A0"/>
              <w:right w:val="nil"/>
            </w:tcBorders>
            <w:shd w:val="clear" w:color="auto" w:fill="auto"/>
            <w:noWrap/>
            <w:vAlign w:val="center"/>
            <w:hideMark/>
          </w:tcPr>
          <w:p w14:paraId="7E430C7D"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F46C7B" w:rsidRPr="00C73365" w14:paraId="4F28504A" w14:textId="77777777" w:rsidTr="007C607C">
        <w:trPr>
          <w:trHeight w:val="194"/>
        </w:trPr>
        <w:tc>
          <w:tcPr>
            <w:tcW w:w="3069" w:type="dxa"/>
            <w:tcBorders>
              <w:top w:val="nil"/>
              <w:left w:val="nil"/>
              <w:bottom w:val="single" w:sz="8" w:space="0" w:color="7030A0"/>
              <w:right w:val="nil"/>
            </w:tcBorders>
            <w:shd w:val="clear" w:color="auto" w:fill="auto"/>
            <w:noWrap/>
            <w:vAlign w:val="center"/>
            <w:hideMark/>
          </w:tcPr>
          <w:p w14:paraId="3F21F40F" w14:textId="77777777"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60" w:type="dxa"/>
            <w:tcBorders>
              <w:top w:val="nil"/>
              <w:left w:val="nil"/>
              <w:bottom w:val="nil"/>
              <w:right w:val="nil"/>
            </w:tcBorders>
            <w:shd w:val="clear" w:color="auto" w:fill="auto"/>
            <w:vAlign w:val="center"/>
            <w:hideMark/>
          </w:tcPr>
          <w:p w14:paraId="149CC130" w14:textId="77777777" w:rsidR="00F46C7B" w:rsidRPr="00C73365" w:rsidRDefault="00F46C7B" w:rsidP="00A96CCA">
            <w:pPr>
              <w:spacing w:after="0"/>
              <w:rPr>
                <w:rFonts w:asciiTheme="minorHAnsi" w:hAnsiTheme="minorHAnsi" w:cstheme="minorHAnsi"/>
                <w:b/>
                <w:bCs/>
                <w:color w:val="7030A0"/>
                <w:szCs w:val="20"/>
                <w:lang w:val="fr-FR" w:eastAsia="fr-FR"/>
              </w:rPr>
            </w:pPr>
          </w:p>
        </w:tc>
        <w:tc>
          <w:tcPr>
            <w:tcW w:w="1359" w:type="dxa"/>
            <w:tcBorders>
              <w:top w:val="nil"/>
              <w:left w:val="nil"/>
              <w:bottom w:val="single" w:sz="8" w:space="0" w:color="7030A0"/>
              <w:right w:val="nil"/>
            </w:tcBorders>
            <w:shd w:val="clear" w:color="auto" w:fill="auto"/>
            <w:vAlign w:val="center"/>
            <w:hideMark/>
          </w:tcPr>
          <w:p w14:paraId="5CAC0AD4" w14:textId="77777777" w:rsidR="00F46C7B" w:rsidRPr="00C73365" w:rsidRDefault="00B4407F"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170 </w:t>
            </w:r>
            <w:r w:rsidR="00EF089C" w:rsidRPr="00C73365">
              <w:rPr>
                <w:rFonts w:asciiTheme="minorHAnsi" w:hAnsiTheme="minorHAnsi" w:cstheme="minorHAnsi"/>
                <w:b/>
                <w:bCs/>
                <w:color w:val="7030A0"/>
                <w:szCs w:val="20"/>
                <w:lang w:val="fr-FR" w:eastAsia="fr-FR"/>
              </w:rPr>
              <w:t>K€</w:t>
            </w:r>
          </w:p>
        </w:tc>
      </w:tr>
    </w:tbl>
    <w:p w14:paraId="589D0897" w14:textId="77777777" w:rsidR="00F46C7B" w:rsidRPr="00C73365" w:rsidRDefault="00F46C7B" w:rsidP="00A96CCA">
      <w:pPr>
        <w:spacing w:after="0"/>
        <w:ind w:right="-11"/>
        <w:rPr>
          <w:rFonts w:asciiTheme="minorHAnsi" w:eastAsia="MS Mincho" w:hAnsiTheme="minorHAnsi" w:cstheme="minorHAnsi"/>
          <w:szCs w:val="20"/>
          <w:lang w:val="fr-FR" w:eastAsia="fr-FR"/>
        </w:rPr>
      </w:pPr>
    </w:p>
    <w:p w14:paraId="1B5F5D4D"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L’entreprise est libérée de tout remboursement en cas de constat d’échec accepté par la BPI.</w:t>
      </w:r>
    </w:p>
    <w:p w14:paraId="348B21A6"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cas échéant, la société devra aussi verser une annuité de 31,95% du produit généré par : </w:t>
      </w:r>
    </w:p>
    <w:p w14:paraId="5896AC81" w14:textId="77777777" w:rsidR="00F46C7B" w:rsidRPr="00C93577" w:rsidRDefault="00F46C7B" w:rsidP="004572A0">
      <w:pPr>
        <w:pStyle w:val="Listepuces2"/>
        <w:numPr>
          <w:ilvl w:val="0"/>
          <w:numId w:val="42"/>
        </w:numPr>
        <w:rPr>
          <w:rFonts w:asciiTheme="minorHAnsi" w:hAnsiTheme="minorHAnsi" w:cstheme="minorHAnsi"/>
          <w:lang w:val="fr-FR"/>
        </w:rPr>
      </w:pPr>
      <w:r w:rsidRPr="00C93577">
        <w:rPr>
          <w:rFonts w:asciiTheme="minorHAnsi" w:hAnsiTheme="minorHAnsi" w:cstheme="minorHAnsi"/>
          <w:lang w:val="fr-FR"/>
        </w:rPr>
        <w:t>Le produit, hors taxes, des cessions ou concessions de licences - de brevets ou de savoir-faire – perçu au cours de l’année calendaire précédente lorsque lesdites cessions ou concessions portent sur tout ou partie des résultats du programme aidé.</w:t>
      </w:r>
    </w:p>
    <w:p w14:paraId="2764AA7B" w14:textId="77777777" w:rsidR="00F46C7B" w:rsidRPr="00C93577" w:rsidRDefault="00F46C7B" w:rsidP="004572A0">
      <w:pPr>
        <w:pStyle w:val="Listepuces2"/>
        <w:numPr>
          <w:ilvl w:val="0"/>
          <w:numId w:val="42"/>
        </w:numPr>
        <w:rPr>
          <w:rFonts w:asciiTheme="minorHAnsi" w:hAnsiTheme="minorHAnsi" w:cstheme="minorHAnsi"/>
          <w:lang w:val="fr-FR"/>
        </w:rPr>
      </w:pPr>
      <w:r w:rsidRPr="00C93577">
        <w:rPr>
          <w:rFonts w:asciiTheme="minorHAnsi" w:hAnsiTheme="minorHAnsi" w:cstheme="minorHAnsi"/>
          <w:lang w:val="fr-FR"/>
        </w:rPr>
        <w:t>Le produit, hors taxes, généré par la commercialisation et notamment la vente à un tiers ou l’utilisation par la société pour ses besoins propres des prototypes, pré-séries, maquettes, réalisés dans le cadre du projet.</w:t>
      </w:r>
    </w:p>
    <w:p w14:paraId="5BECED73" w14:textId="77777777" w:rsidR="00F46C7B" w:rsidRPr="00C73365" w:rsidRDefault="00F46C7B" w:rsidP="00A96CCA">
      <w:pPr>
        <w:spacing w:after="0"/>
        <w:ind w:right="-11"/>
        <w:rPr>
          <w:rFonts w:asciiTheme="minorHAnsi" w:eastAsia="MS Mincho" w:hAnsiTheme="minorHAnsi" w:cstheme="minorHAnsi"/>
          <w:szCs w:val="20"/>
          <w:lang w:val="fr-FR" w:eastAsia="fr-FR"/>
        </w:rPr>
      </w:pPr>
    </w:p>
    <w:p w14:paraId="2B5E3A88"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 xml:space="preserve">L’application de la clause de versements complémentaires ci-dessus ne saurait amener la société à rembourser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une somme supérieure en principal au montant de l’aide qu’elle a perçue.</w:t>
      </w:r>
    </w:p>
    <w:p w14:paraId="58F84082"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remboursements n’étant pas conditionnels, le passif correspondant à cette avance remboursable est présenté au poste du bilan Emprunts et Dettes financières diverses.</w:t>
      </w:r>
    </w:p>
    <w:p w14:paraId="46CF918B" w14:textId="77777777" w:rsidR="00B4407F" w:rsidRPr="00C73365" w:rsidRDefault="00B4407F"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EBOLA</w:t>
      </w:r>
    </w:p>
    <w:p w14:paraId="240F64EE" w14:textId="77777777" w:rsidR="00B4407F" w:rsidRPr="00C73365" w:rsidRDefault="00B4407F"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et Région Occitanie pour financer un projet de développement d’un traitement contre le virus EBOLA.</w:t>
      </w:r>
    </w:p>
    <w:p w14:paraId="7D9FB35B" w14:textId="77777777" w:rsidR="00B4407F" w:rsidRPr="00C73365" w:rsidRDefault="00B4407F" w:rsidP="00A96CCA">
      <w:pPr>
        <w:widowControl w:val="0"/>
        <w:spacing w:after="0"/>
        <w:rPr>
          <w:rFonts w:asciiTheme="minorHAnsi" w:eastAsia="MS Mincho" w:hAnsiTheme="minorHAnsi" w:cstheme="minorHAnsi"/>
          <w:color w:val="000000"/>
          <w:szCs w:val="20"/>
          <w:lang w:val="fr-FR" w:eastAsia="fr-FR"/>
        </w:rPr>
      </w:pPr>
    </w:p>
    <w:p w14:paraId="72B0B366" w14:textId="77777777" w:rsidR="00B4407F" w:rsidRPr="00C73365" w:rsidRDefault="00B4407F"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130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Région Occitanie pour un taux d’Avance Remboursable de 10,2% des dépenses totales programmées.</w:t>
      </w:r>
    </w:p>
    <w:p w14:paraId="7FDF4E4E" w14:textId="77777777" w:rsidR="00B4407F" w:rsidRPr="00C73365" w:rsidRDefault="00B4407F"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260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BPI pour un taux d’Avance Remboursable de 20,4% des dépenses totales programmées.</w:t>
      </w:r>
    </w:p>
    <w:p w14:paraId="34CC0916" w14:textId="77777777" w:rsidR="00B4407F" w:rsidRPr="00C73365" w:rsidRDefault="00B4407F"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2017, le montant perçu par la société s’élève à 300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août 2017, dont 100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Région Occitanie et 200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BPI.</w:t>
      </w:r>
    </w:p>
    <w:p w14:paraId="1285697C" w14:textId="77777777" w:rsidR="00B4407F" w:rsidRPr="00C73365" w:rsidRDefault="00B4407F"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B4407F" w:rsidRPr="00036317" w14:paraId="330D151A" w14:textId="77777777" w:rsidTr="00BB083E">
        <w:trPr>
          <w:trHeight w:val="458"/>
        </w:trPr>
        <w:tc>
          <w:tcPr>
            <w:tcW w:w="2998" w:type="dxa"/>
            <w:tcBorders>
              <w:top w:val="single" w:sz="12" w:space="0" w:color="7030A0"/>
              <w:left w:val="nil"/>
              <w:bottom w:val="single" w:sz="8" w:space="0" w:color="7030A0"/>
              <w:right w:val="nil"/>
            </w:tcBorders>
            <w:shd w:val="clear" w:color="auto" w:fill="auto"/>
            <w:vAlign w:val="center"/>
            <w:hideMark/>
          </w:tcPr>
          <w:p w14:paraId="232C8161" w14:textId="77777777"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14:paraId="7D6C3D14" w14:textId="77777777"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14:paraId="3C70161C" w14:textId="77777777" w:rsidR="00B4407F" w:rsidRPr="00C73365" w:rsidRDefault="00B4407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B4407F" w:rsidRPr="00C73365" w14:paraId="6BDD32C2" w14:textId="77777777" w:rsidTr="00BB083E">
        <w:trPr>
          <w:trHeight w:val="202"/>
        </w:trPr>
        <w:tc>
          <w:tcPr>
            <w:tcW w:w="2998" w:type="dxa"/>
            <w:tcBorders>
              <w:top w:val="nil"/>
              <w:left w:val="nil"/>
              <w:bottom w:val="single" w:sz="8" w:space="0" w:color="7030A0"/>
              <w:right w:val="nil"/>
            </w:tcBorders>
            <w:shd w:val="clear" w:color="auto" w:fill="auto"/>
            <w:noWrap/>
            <w:vAlign w:val="center"/>
            <w:hideMark/>
          </w:tcPr>
          <w:p w14:paraId="17EF53A0" w14:textId="77777777"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2020</w:t>
            </w:r>
          </w:p>
        </w:tc>
        <w:tc>
          <w:tcPr>
            <w:tcW w:w="156" w:type="dxa"/>
            <w:tcBorders>
              <w:top w:val="nil"/>
              <w:left w:val="nil"/>
              <w:bottom w:val="nil"/>
              <w:right w:val="nil"/>
            </w:tcBorders>
            <w:shd w:val="clear" w:color="auto" w:fill="auto"/>
            <w:noWrap/>
            <w:vAlign w:val="center"/>
            <w:hideMark/>
          </w:tcPr>
          <w:p w14:paraId="5367D80C" w14:textId="77777777"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51D823AB" w14:textId="77777777"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40 </w:t>
            </w:r>
            <w:r w:rsidR="00EF089C" w:rsidRPr="00C73365">
              <w:rPr>
                <w:rFonts w:asciiTheme="minorHAnsi" w:hAnsiTheme="minorHAnsi" w:cstheme="minorHAnsi"/>
                <w:color w:val="000000"/>
                <w:szCs w:val="20"/>
                <w:lang w:val="fr-FR" w:eastAsia="fr-FR"/>
              </w:rPr>
              <w:t>K€</w:t>
            </w:r>
          </w:p>
        </w:tc>
      </w:tr>
      <w:tr w:rsidR="00B4407F" w:rsidRPr="00C73365" w14:paraId="53FD4652" w14:textId="77777777" w:rsidTr="00BB083E">
        <w:trPr>
          <w:trHeight w:val="202"/>
        </w:trPr>
        <w:tc>
          <w:tcPr>
            <w:tcW w:w="2998" w:type="dxa"/>
            <w:tcBorders>
              <w:top w:val="nil"/>
              <w:left w:val="nil"/>
              <w:bottom w:val="single" w:sz="8" w:space="0" w:color="7030A0"/>
              <w:right w:val="nil"/>
            </w:tcBorders>
            <w:shd w:val="clear" w:color="auto" w:fill="auto"/>
            <w:noWrap/>
            <w:vAlign w:val="center"/>
            <w:hideMark/>
          </w:tcPr>
          <w:p w14:paraId="1FF11BF0" w14:textId="77777777"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2021</w:t>
            </w:r>
          </w:p>
        </w:tc>
        <w:tc>
          <w:tcPr>
            <w:tcW w:w="156" w:type="dxa"/>
            <w:tcBorders>
              <w:top w:val="nil"/>
              <w:left w:val="nil"/>
              <w:bottom w:val="nil"/>
              <w:right w:val="nil"/>
            </w:tcBorders>
            <w:shd w:val="clear" w:color="auto" w:fill="auto"/>
            <w:noWrap/>
            <w:vAlign w:val="center"/>
            <w:hideMark/>
          </w:tcPr>
          <w:p w14:paraId="7FC9898B" w14:textId="77777777"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71AEA503" w14:textId="77777777"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60 </w:t>
            </w:r>
            <w:r w:rsidR="00EF089C" w:rsidRPr="00C73365">
              <w:rPr>
                <w:rFonts w:asciiTheme="minorHAnsi" w:hAnsiTheme="minorHAnsi" w:cstheme="minorHAnsi"/>
                <w:color w:val="000000"/>
                <w:szCs w:val="20"/>
                <w:lang w:val="fr-FR" w:eastAsia="fr-FR"/>
              </w:rPr>
              <w:t>K€</w:t>
            </w:r>
          </w:p>
        </w:tc>
      </w:tr>
      <w:tr w:rsidR="00B4407F" w:rsidRPr="00C73365" w14:paraId="04692989" w14:textId="77777777" w:rsidTr="00BB083E">
        <w:trPr>
          <w:trHeight w:val="202"/>
        </w:trPr>
        <w:tc>
          <w:tcPr>
            <w:tcW w:w="2998" w:type="dxa"/>
            <w:tcBorders>
              <w:top w:val="nil"/>
              <w:left w:val="nil"/>
              <w:bottom w:val="single" w:sz="8" w:space="0" w:color="7030A0"/>
              <w:right w:val="nil"/>
            </w:tcBorders>
            <w:shd w:val="clear" w:color="auto" w:fill="auto"/>
            <w:noWrap/>
            <w:vAlign w:val="center"/>
            <w:hideMark/>
          </w:tcPr>
          <w:p w14:paraId="367F96B9" w14:textId="77777777"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2022</w:t>
            </w:r>
          </w:p>
        </w:tc>
        <w:tc>
          <w:tcPr>
            <w:tcW w:w="156" w:type="dxa"/>
            <w:tcBorders>
              <w:top w:val="nil"/>
              <w:left w:val="nil"/>
              <w:bottom w:val="nil"/>
              <w:right w:val="nil"/>
            </w:tcBorders>
            <w:shd w:val="clear" w:color="auto" w:fill="auto"/>
            <w:noWrap/>
            <w:vAlign w:val="center"/>
            <w:hideMark/>
          </w:tcPr>
          <w:p w14:paraId="57C6165D" w14:textId="77777777"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6554E1D9" w14:textId="77777777"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80 </w:t>
            </w:r>
            <w:r w:rsidR="00EF089C" w:rsidRPr="00C73365">
              <w:rPr>
                <w:rFonts w:asciiTheme="minorHAnsi" w:hAnsiTheme="minorHAnsi" w:cstheme="minorHAnsi"/>
                <w:color w:val="000000"/>
                <w:szCs w:val="20"/>
                <w:lang w:val="fr-FR" w:eastAsia="fr-FR"/>
              </w:rPr>
              <w:t>K€</w:t>
            </w:r>
          </w:p>
        </w:tc>
      </w:tr>
      <w:tr w:rsidR="00B4407F" w:rsidRPr="00C73365" w14:paraId="3A01BD62" w14:textId="77777777" w:rsidTr="00BB083E">
        <w:trPr>
          <w:trHeight w:val="202"/>
        </w:trPr>
        <w:tc>
          <w:tcPr>
            <w:tcW w:w="2998" w:type="dxa"/>
            <w:tcBorders>
              <w:top w:val="nil"/>
              <w:left w:val="nil"/>
              <w:bottom w:val="single" w:sz="8" w:space="0" w:color="7030A0"/>
              <w:right w:val="nil"/>
            </w:tcBorders>
            <w:shd w:val="clear" w:color="auto" w:fill="auto"/>
            <w:noWrap/>
            <w:vAlign w:val="center"/>
            <w:hideMark/>
          </w:tcPr>
          <w:p w14:paraId="516B2F3B" w14:textId="77777777"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2023</w:t>
            </w:r>
          </w:p>
        </w:tc>
        <w:tc>
          <w:tcPr>
            <w:tcW w:w="156" w:type="dxa"/>
            <w:tcBorders>
              <w:top w:val="nil"/>
              <w:left w:val="nil"/>
              <w:right w:val="nil"/>
            </w:tcBorders>
            <w:shd w:val="clear" w:color="auto" w:fill="auto"/>
            <w:noWrap/>
            <w:vAlign w:val="center"/>
            <w:hideMark/>
          </w:tcPr>
          <w:p w14:paraId="17FFC8B2" w14:textId="77777777"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4AC31B79" w14:textId="77777777"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100 </w:t>
            </w:r>
            <w:r w:rsidR="00EF089C" w:rsidRPr="00C73365">
              <w:rPr>
                <w:rFonts w:asciiTheme="minorHAnsi" w:hAnsiTheme="minorHAnsi" w:cstheme="minorHAnsi"/>
                <w:color w:val="000000"/>
                <w:szCs w:val="20"/>
                <w:lang w:val="fr-FR" w:eastAsia="fr-FR"/>
              </w:rPr>
              <w:t>K€</w:t>
            </w:r>
          </w:p>
        </w:tc>
      </w:tr>
      <w:tr w:rsidR="00B4407F" w:rsidRPr="00C73365" w14:paraId="71721BEF" w14:textId="77777777" w:rsidTr="00BB083E">
        <w:trPr>
          <w:trHeight w:val="202"/>
        </w:trPr>
        <w:tc>
          <w:tcPr>
            <w:tcW w:w="2998" w:type="dxa"/>
            <w:tcBorders>
              <w:top w:val="nil"/>
              <w:left w:val="nil"/>
              <w:bottom w:val="single" w:sz="4" w:space="0" w:color="7030A0"/>
              <w:right w:val="nil"/>
            </w:tcBorders>
            <w:shd w:val="clear" w:color="auto" w:fill="auto"/>
            <w:noWrap/>
            <w:vAlign w:val="center"/>
            <w:hideMark/>
          </w:tcPr>
          <w:p w14:paraId="6FCB3CEE" w14:textId="77777777"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2024</w:t>
            </w:r>
          </w:p>
        </w:tc>
        <w:tc>
          <w:tcPr>
            <w:tcW w:w="156" w:type="dxa"/>
            <w:tcBorders>
              <w:top w:val="nil"/>
              <w:left w:val="nil"/>
              <w:right w:val="nil"/>
            </w:tcBorders>
            <w:shd w:val="clear" w:color="auto" w:fill="auto"/>
            <w:noWrap/>
            <w:vAlign w:val="center"/>
            <w:hideMark/>
          </w:tcPr>
          <w:p w14:paraId="62ED589D" w14:textId="77777777"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4" w:space="0" w:color="7030A0"/>
              <w:right w:val="nil"/>
            </w:tcBorders>
            <w:shd w:val="clear" w:color="auto" w:fill="auto"/>
            <w:noWrap/>
            <w:vAlign w:val="center"/>
            <w:hideMark/>
          </w:tcPr>
          <w:p w14:paraId="466D7D70" w14:textId="77777777"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110 </w:t>
            </w:r>
            <w:r w:rsidR="00EF089C" w:rsidRPr="00C73365">
              <w:rPr>
                <w:rFonts w:asciiTheme="minorHAnsi" w:hAnsiTheme="minorHAnsi" w:cstheme="minorHAnsi"/>
                <w:color w:val="000000"/>
                <w:szCs w:val="20"/>
                <w:lang w:val="fr-FR" w:eastAsia="fr-FR"/>
              </w:rPr>
              <w:t>K€</w:t>
            </w:r>
          </w:p>
        </w:tc>
      </w:tr>
      <w:tr w:rsidR="00B4407F" w:rsidRPr="00C73365" w14:paraId="1751B09E" w14:textId="77777777" w:rsidTr="00BB083E">
        <w:trPr>
          <w:trHeight w:val="202"/>
        </w:trPr>
        <w:tc>
          <w:tcPr>
            <w:tcW w:w="2998" w:type="dxa"/>
            <w:tcBorders>
              <w:top w:val="single" w:sz="4" w:space="0" w:color="7030A0"/>
              <w:left w:val="nil"/>
              <w:bottom w:val="single" w:sz="4" w:space="0" w:color="7030A0"/>
              <w:right w:val="nil"/>
            </w:tcBorders>
            <w:shd w:val="clear" w:color="auto" w:fill="auto"/>
            <w:noWrap/>
            <w:vAlign w:val="center"/>
          </w:tcPr>
          <w:p w14:paraId="41A68F65" w14:textId="77777777"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left w:val="nil"/>
              <w:right w:val="nil"/>
            </w:tcBorders>
            <w:shd w:val="clear" w:color="auto" w:fill="auto"/>
            <w:noWrap/>
            <w:vAlign w:val="center"/>
          </w:tcPr>
          <w:p w14:paraId="2DD7DB00" w14:textId="77777777"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single" w:sz="4" w:space="0" w:color="7030A0"/>
              <w:left w:val="nil"/>
              <w:bottom w:val="single" w:sz="4" w:space="0" w:color="7030A0"/>
              <w:right w:val="nil"/>
            </w:tcBorders>
            <w:shd w:val="clear" w:color="auto" w:fill="auto"/>
            <w:noWrap/>
            <w:vAlign w:val="center"/>
          </w:tcPr>
          <w:p w14:paraId="4CF96983" w14:textId="77777777"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 xml:space="preserve">390 </w:t>
            </w:r>
            <w:r w:rsidR="00EF089C" w:rsidRPr="00C73365">
              <w:rPr>
                <w:rFonts w:asciiTheme="minorHAnsi" w:hAnsiTheme="minorHAnsi" w:cstheme="minorHAnsi"/>
                <w:b/>
                <w:color w:val="7030A0"/>
                <w:szCs w:val="20"/>
                <w:lang w:val="fr-FR" w:eastAsia="fr-FR"/>
              </w:rPr>
              <w:t>K€</w:t>
            </w:r>
          </w:p>
        </w:tc>
      </w:tr>
    </w:tbl>
    <w:p w14:paraId="33F151B3" w14:textId="77777777" w:rsidR="00B4407F" w:rsidRPr="00C73365" w:rsidRDefault="00B4407F" w:rsidP="00A96CCA">
      <w:pPr>
        <w:spacing w:after="0"/>
        <w:ind w:right="-11"/>
        <w:rPr>
          <w:rFonts w:asciiTheme="minorHAnsi" w:eastAsia="MS Mincho" w:hAnsiTheme="minorHAnsi" w:cstheme="minorHAnsi"/>
          <w:b/>
          <w:color w:val="7030A0"/>
          <w:szCs w:val="20"/>
          <w:lang w:val="fr-FR" w:eastAsia="fr-FR"/>
        </w:rPr>
      </w:pPr>
    </w:p>
    <w:p w14:paraId="4BD811A0" w14:textId="77777777" w:rsidR="0071713F" w:rsidRPr="00C73365" w:rsidRDefault="0071713F"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RNP VIR</w:t>
      </w:r>
    </w:p>
    <w:p w14:paraId="3B28F98C" w14:textId="77777777" w:rsidR="002868BA" w:rsidRPr="00C73365" w:rsidRDefault="002868BA"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le projet Structurant de R&amp;D Pour la Compétitivité dénommé « RNP-VIR ». Ce financement a été accordé dans le cadre des Investissements d’Avenir.</w:t>
      </w:r>
    </w:p>
    <w:p w14:paraId="2DFA4235" w14:textId="77777777" w:rsidR="002868BA" w:rsidRPr="00C73365" w:rsidRDefault="002868BA"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6 298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un taux d’Avance Remboursable de 50% des dépenses totales programmées.</w:t>
      </w:r>
    </w:p>
    <w:p w14:paraId="74CAB6A1" w14:textId="77777777" w:rsidR="002868BA" w:rsidRPr="00C73365" w:rsidRDefault="002868BA"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2017, le montant perçu par la société s’élève à 1 756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w:t>
      </w:r>
      <w:r w:rsidR="006B119E" w:rsidRPr="00C73365">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2017.</w:t>
      </w:r>
    </w:p>
    <w:p w14:paraId="1FCD345A" w14:textId="77777777" w:rsidR="002868BA" w:rsidRPr="00C73365" w:rsidRDefault="002868BA"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retours financiers s’effectueront au moyen de versements déterminés, en fonction des prévisions de </w:t>
      </w:r>
      <w:r w:rsidRPr="00C73365">
        <w:rPr>
          <w:rFonts w:asciiTheme="minorHAnsi" w:eastAsia="MS Mincho" w:hAnsiTheme="minorHAnsi" w:cstheme="minorHAnsi"/>
          <w:lang w:val="fr-FR" w:eastAsia="fr-FR"/>
        </w:rPr>
        <w:t>chiffre d’affaires généré par l’exploitation directe ou indirecte, des produits ou services issus du projet.</w:t>
      </w:r>
    </w:p>
    <w:p w14:paraId="1E5E2FE6" w14:textId="77777777" w:rsidR="002868BA" w:rsidRPr="00C73365" w:rsidRDefault="002868BA"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0,95% calculée selon les modalités contractuelles.</w:t>
      </w:r>
    </w:p>
    <w:p w14:paraId="1E603DCF" w14:textId="77777777" w:rsidR="0071713F" w:rsidRPr="00C73365" w:rsidRDefault="002868BA"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2868BA" w:rsidRPr="00036317" w14:paraId="16FF64DE" w14:textId="77777777" w:rsidTr="00BB083E">
        <w:trPr>
          <w:trHeight w:val="458"/>
        </w:trPr>
        <w:tc>
          <w:tcPr>
            <w:tcW w:w="2998" w:type="dxa"/>
            <w:tcBorders>
              <w:top w:val="single" w:sz="12" w:space="0" w:color="7030A0"/>
              <w:left w:val="nil"/>
              <w:bottom w:val="single" w:sz="8" w:space="0" w:color="7030A0"/>
              <w:right w:val="nil"/>
            </w:tcBorders>
            <w:shd w:val="clear" w:color="auto" w:fill="auto"/>
            <w:vAlign w:val="center"/>
            <w:hideMark/>
          </w:tcPr>
          <w:p w14:paraId="6D2FEAF7" w14:textId="77777777"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14:paraId="6255EB7B" w14:textId="77777777"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14:paraId="1537C14D" w14:textId="77777777" w:rsidR="002868BA" w:rsidRPr="00C73365" w:rsidRDefault="002868BA"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2868BA" w:rsidRPr="00C73365" w14:paraId="0D665BE1" w14:textId="77777777" w:rsidTr="00BB083E">
        <w:trPr>
          <w:trHeight w:val="202"/>
        </w:trPr>
        <w:tc>
          <w:tcPr>
            <w:tcW w:w="2998" w:type="dxa"/>
            <w:tcBorders>
              <w:top w:val="nil"/>
              <w:left w:val="nil"/>
              <w:bottom w:val="single" w:sz="8" w:space="0" w:color="7030A0"/>
              <w:right w:val="nil"/>
            </w:tcBorders>
            <w:shd w:val="clear" w:color="auto" w:fill="auto"/>
            <w:noWrap/>
            <w:vAlign w:val="center"/>
            <w:hideMark/>
          </w:tcPr>
          <w:p w14:paraId="5ECD4D79" w14:textId="77777777"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2022</w:t>
            </w:r>
          </w:p>
        </w:tc>
        <w:tc>
          <w:tcPr>
            <w:tcW w:w="156" w:type="dxa"/>
            <w:tcBorders>
              <w:top w:val="nil"/>
              <w:left w:val="nil"/>
              <w:bottom w:val="nil"/>
              <w:right w:val="nil"/>
            </w:tcBorders>
            <w:shd w:val="clear" w:color="auto" w:fill="auto"/>
            <w:noWrap/>
            <w:vAlign w:val="center"/>
            <w:hideMark/>
          </w:tcPr>
          <w:p w14:paraId="0521F6F9" w14:textId="77777777"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030C6409" w14:textId="77777777"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14:paraId="30D07115" w14:textId="77777777" w:rsidTr="00BB083E">
        <w:trPr>
          <w:trHeight w:val="202"/>
        </w:trPr>
        <w:tc>
          <w:tcPr>
            <w:tcW w:w="2998" w:type="dxa"/>
            <w:tcBorders>
              <w:top w:val="nil"/>
              <w:left w:val="nil"/>
              <w:bottom w:val="single" w:sz="8" w:space="0" w:color="7030A0"/>
              <w:right w:val="nil"/>
            </w:tcBorders>
            <w:shd w:val="clear" w:color="auto" w:fill="auto"/>
            <w:noWrap/>
            <w:vAlign w:val="center"/>
            <w:hideMark/>
          </w:tcPr>
          <w:p w14:paraId="2ADF7978" w14:textId="77777777"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2023</w:t>
            </w:r>
          </w:p>
        </w:tc>
        <w:tc>
          <w:tcPr>
            <w:tcW w:w="156" w:type="dxa"/>
            <w:tcBorders>
              <w:top w:val="nil"/>
              <w:left w:val="nil"/>
              <w:bottom w:val="nil"/>
              <w:right w:val="nil"/>
            </w:tcBorders>
            <w:shd w:val="clear" w:color="auto" w:fill="auto"/>
            <w:noWrap/>
            <w:vAlign w:val="center"/>
            <w:hideMark/>
          </w:tcPr>
          <w:p w14:paraId="5A43B9F3" w14:textId="77777777"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73417272" w14:textId="77777777"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14:paraId="6E0E2B4E" w14:textId="77777777" w:rsidTr="00BB083E">
        <w:trPr>
          <w:trHeight w:val="202"/>
        </w:trPr>
        <w:tc>
          <w:tcPr>
            <w:tcW w:w="2998" w:type="dxa"/>
            <w:tcBorders>
              <w:top w:val="nil"/>
              <w:left w:val="nil"/>
              <w:bottom w:val="single" w:sz="8" w:space="0" w:color="7030A0"/>
              <w:right w:val="nil"/>
            </w:tcBorders>
            <w:shd w:val="clear" w:color="auto" w:fill="auto"/>
            <w:noWrap/>
            <w:vAlign w:val="center"/>
            <w:hideMark/>
          </w:tcPr>
          <w:p w14:paraId="478EFB3C" w14:textId="77777777"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2024</w:t>
            </w:r>
          </w:p>
        </w:tc>
        <w:tc>
          <w:tcPr>
            <w:tcW w:w="156" w:type="dxa"/>
            <w:tcBorders>
              <w:top w:val="nil"/>
              <w:left w:val="nil"/>
              <w:bottom w:val="nil"/>
              <w:right w:val="nil"/>
            </w:tcBorders>
            <w:shd w:val="clear" w:color="auto" w:fill="auto"/>
            <w:noWrap/>
            <w:vAlign w:val="center"/>
            <w:hideMark/>
          </w:tcPr>
          <w:p w14:paraId="53490702" w14:textId="77777777"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339ECC3E" w14:textId="77777777"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14:paraId="4FB648D3" w14:textId="77777777" w:rsidTr="00BB083E">
        <w:trPr>
          <w:trHeight w:val="202"/>
        </w:trPr>
        <w:tc>
          <w:tcPr>
            <w:tcW w:w="2998" w:type="dxa"/>
            <w:tcBorders>
              <w:top w:val="nil"/>
              <w:left w:val="nil"/>
              <w:bottom w:val="single" w:sz="8" w:space="0" w:color="7030A0"/>
              <w:right w:val="nil"/>
            </w:tcBorders>
            <w:shd w:val="clear" w:color="auto" w:fill="auto"/>
            <w:noWrap/>
            <w:vAlign w:val="center"/>
            <w:hideMark/>
          </w:tcPr>
          <w:p w14:paraId="30A045CD" w14:textId="77777777"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2025</w:t>
            </w:r>
          </w:p>
        </w:tc>
        <w:tc>
          <w:tcPr>
            <w:tcW w:w="156" w:type="dxa"/>
            <w:tcBorders>
              <w:top w:val="nil"/>
              <w:left w:val="nil"/>
              <w:right w:val="nil"/>
            </w:tcBorders>
            <w:shd w:val="clear" w:color="auto" w:fill="auto"/>
            <w:noWrap/>
            <w:vAlign w:val="center"/>
            <w:hideMark/>
          </w:tcPr>
          <w:p w14:paraId="0FA283B2" w14:textId="77777777"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14:paraId="68A2FC4F" w14:textId="77777777"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14:paraId="0BC139E1" w14:textId="77777777" w:rsidTr="00BB083E">
        <w:trPr>
          <w:trHeight w:val="202"/>
        </w:trPr>
        <w:tc>
          <w:tcPr>
            <w:tcW w:w="2998" w:type="dxa"/>
            <w:tcBorders>
              <w:top w:val="single" w:sz="4" w:space="0" w:color="7030A0"/>
              <w:left w:val="nil"/>
              <w:bottom w:val="single" w:sz="4" w:space="0" w:color="7030A0"/>
              <w:right w:val="nil"/>
            </w:tcBorders>
            <w:shd w:val="clear" w:color="auto" w:fill="auto"/>
            <w:noWrap/>
            <w:vAlign w:val="center"/>
          </w:tcPr>
          <w:p w14:paraId="1F14B699" w14:textId="77777777"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left w:val="nil"/>
              <w:right w:val="nil"/>
            </w:tcBorders>
            <w:shd w:val="clear" w:color="auto" w:fill="auto"/>
            <w:noWrap/>
            <w:vAlign w:val="center"/>
          </w:tcPr>
          <w:p w14:paraId="78ADCD4A" w14:textId="77777777"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single" w:sz="4" w:space="0" w:color="7030A0"/>
              <w:left w:val="nil"/>
              <w:bottom w:val="single" w:sz="4" w:space="0" w:color="7030A0"/>
              <w:right w:val="nil"/>
            </w:tcBorders>
            <w:shd w:val="clear" w:color="auto" w:fill="auto"/>
            <w:noWrap/>
            <w:vAlign w:val="center"/>
          </w:tcPr>
          <w:p w14:paraId="3EA99B8D" w14:textId="77777777"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 xml:space="preserve">6 576 </w:t>
            </w:r>
            <w:r w:rsidR="00EF089C" w:rsidRPr="00C73365">
              <w:rPr>
                <w:rFonts w:asciiTheme="minorHAnsi" w:hAnsiTheme="minorHAnsi" w:cstheme="minorHAnsi"/>
                <w:b/>
                <w:color w:val="7030A0"/>
                <w:szCs w:val="20"/>
                <w:lang w:val="fr-FR" w:eastAsia="fr-FR"/>
              </w:rPr>
              <w:t>K€</w:t>
            </w:r>
          </w:p>
        </w:tc>
      </w:tr>
    </w:tbl>
    <w:p w14:paraId="0ED6356C" w14:textId="77777777" w:rsidR="002868BA" w:rsidRPr="00C73365" w:rsidRDefault="002868BA" w:rsidP="00A96CCA">
      <w:pPr>
        <w:spacing w:after="0"/>
        <w:ind w:right="-11"/>
        <w:rPr>
          <w:rFonts w:asciiTheme="minorHAnsi" w:eastAsia="MS Mincho" w:hAnsiTheme="minorHAnsi" w:cstheme="minorHAnsi"/>
          <w:b/>
          <w:color w:val="7030A0"/>
          <w:szCs w:val="20"/>
          <w:lang w:val="fr-FR" w:eastAsia="fr-FR"/>
        </w:rPr>
      </w:pPr>
    </w:p>
    <w:p w14:paraId="4ACC2B0E" w14:textId="77777777" w:rsidR="0056443F" w:rsidRPr="00C73365" w:rsidRDefault="0056443F" w:rsidP="004572A0">
      <w:pPr>
        <w:pStyle w:val="Corpsdetexte"/>
        <w:rPr>
          <w:rFonts w:asciiTheme="minorHAnsi" w:hAnsiTheme="minorHAnsi" w:cstheme="minorHAnsi"/>
          <w:lang w:val="fr-FR"/>
        </w:rPr>
      </w:pPr>
      <w:bookmarkStart w:id="1454" w:name="_Hlk510111077"/>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bookmarkEnd w:id="1454"/>
    <w:p w14:paraId="159C821E" w14:textId="77777777" w:rsidR="002868BA" w:rsidRPr="00C73365" w:rsidRDefault="002868BA"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p>
    <w:p w14:paraId="30387E0F" w14:textId="77777777" w:rsidR="002868BA" w:rsidRPr="00C73365" w:rsidRDefault="002868BA"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pendant une durée de 5 années consécutives après la date de terminaison de l’échéancier et dès lors qu’elle aura atteint un montant cumulé de chiffre d’affaires hors taxes égal ou supérieur à 25 000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3% du chiffre d’affaires annuel généré par l’exploitation des produits issus du projet.</w:t>
      </w:r>
    </w:p>
    <w:p w14:paraId="0248D208" w14:textId="77777777" w:rsidR="002868BA" w:rsidRPr="00C73365" w:rsidRDefault="002868BA"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versements complémentaires est plafonné à la somme de 5 500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3EAE2272" w14:textId="77777777" w:rsidR="002868BA" w:rsidRPr="00C73365" w:rsidRDefault="002868BA"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14:paraId="396C4955"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Subventions accordées par des organismes publics:</w:t>
      </w:r>
    </w:p>
    <w:p w14:paraId="0A460B2A" w14:textId="77777777" w:rsidR="00F46C7B" w:rsidRPr="00C73365" w:rsidRDefault="00F46C7B" w:rsidP="004572A0">
      <w:pPr>
        <w:pStyle w:val="Liste2"/>
        <w:numPr>
          <w:ilvl w:val="0"/>
          <w:numId w:val="41"/>
        </w:numPr>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Projet CaReNA</w:t>
      </w:r>
    </w:p>
    <w:p w14:paraId="3C26F019"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prévoyait un versement maximum de 1 396,5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soit un taux de subvention de 45%. </w:t>
      </w:r>
    </w:p>
    <w:p w14:paraId="3CD5BE82"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w:t>
      </w:r>
      <w:r w:rsidR="00354B11" w:rsidRPr="00C73365">
        <w:rPr>
          <w:rFonts w:asciiTheme="minorHAnsi" w:eastAsia="MS Mincho" w:hAnsiTheme="minorHAnsi" w:cstheme="minorHAnsi"/>
          <w:lang w:val="fr-FR" w:eastAsia="fr-FR"/>
        </w:rPr>
        <w:t>7</w:t>
      </w:r>
      <w:r w:rsidRPr="00C73365">
        <w:rPr>
          <w:rFonts w:asciiTheme="minorHAnsi" w:eastAsia="MS Mincho" w:hAnsiTheme="minorHAnsi" w:cstheme="minorHAnsi"/>
          <w:lang w:val="fr-FR" w:eastAsia="fr-FR"/>
        </w:rPr>
        <w:t xml:space="preserve">, la société a déjà perçu un montant total de 1 187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6EFA4961"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 xml:space="preserve">Le total des dépenses réalisées depuis le démarrage du projet en 2013 s’élève à </w:t>
      </w:r>
      <w:r w:rsidR="00354B11" w:rsidRPr="00C73365">
        <w:rPr>
          <w:rFonts w:asciiTheme="minorHAnsi" w:eastAsia="MS Mincho" w:hAnsiTheme="minorHAnsi" w:cstheme="minorHAnsi"/>
          <w:lang w:val="fr-FR" w:eastAsia="fr-FR"/>
        </w:rPr>
        <w:t>8 657</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dont </w:t>
      </w:r>
      <w:r w:rsidR="00354B11" w:rsidRPr="00C73365">
        <w:rPr>
          <w:rFonts w:asciiTheme="minorHAnsi" w:eastAsia="MS Mincho" w:hAnsiTheme="minorHAnsi" w:cstheme="minorHAnsi"/>
          <w:lang w:val="fr-FR" w:eastAsia="fr-FR"/>
        </w:rPr>
        <w:t xml:space="preserve">3 055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réalisées </w:t>
      </w:r>
      <w:r w:rsidR="00354B11" w:rsidRPr="00C73365">
        <w:rPr>
          <w:rFonts w:asciiTheme="minorHAnsi" w:eastAsia="MS Mincho" w:hAnsiTheme="minorHAnsi" w:cstheme="minorHAnsi"/>
          <w:lang w:val="fr-FR" w:eastAsia="fr-FR"/>
        </w:rPr>
        <w:t>en 2017.</w:t>
      </w:r>
      <w:r w:rsidRPr="00C73365">
        <w:rPr>
          <w:rFonts w:asciiTheme="minorHAnsi" w:eastAsia="MS Mincho" w:hAnsiTheme="minorHAnsi" w:cstheme="minorHAnsi"/>
          <w:lang w:val="fr-FR" w:eastAsia="fr-FR"/>
        </w:rPr>
        <w:t xml:space="preserve"> Les dépenses du premier semestre 2016 correspondent à l’étape-clé n°3 du contrat et ne donneront pas lieu au versement d’une subvention.</w:t>
      </w:r>
    </w:p>
    <w:p w14:paraId="12DE0B5F" w14:textId="77777777" w:rsidR="00F46C7B" w:rsidRPr="00C73365" w:rsidRDefault="00F46C7B" w:rsidP="004572A0">
      <w:pPr>
        <w:pStyle w:val="Liste2"/>
        <w:numPr>
          <w:ilvl w:val="0"/>
          <w:numId w:val="41"/>
        </w:numPr>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Projet RNP</w:t>
      </w:r>
      <w:r w:rsidR="00121755" w:rsidRPr="00C73365">
        <w:rPr>
          <w:rFonts w:asciiTheme="minorHAnsi" w:eastAsia="MS Mincho" w:hAnsiTheme="minorHAnsi" w:cstheme="minorHAnsi"/>
          <w:lang w:val="fr-FR" w:eastAsia="fr-FR"/>
        </w:rPr>
        <w:t xml:space="preserve"> Vir</w:t>
      </w:r>
    </w:p>
    <w:p w14:paraId="6B66FC2C" w14:textId="77777777" w:rsidR="00354B11" w:rsidRPr="00C73365" w:rsidRDefault="00354B11"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prévoit un versement maximum de 2 111,7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soit un taux de subvention de 50%. </w:t>
      </w:r>
    </w:p>
    <w:p w14:paraId="68E51AD2" w14:textId="77777777" w:rsidR="00354B11" w:rsidRPr="00C73365" w:rsidRDefault="00354B11"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2017, la société a déjà perçu un montant de 347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3842C76D" w14:textId="77777777" w:rsidR="00354B11" w:rsidRPr="00C73365" w:rsidRDefault="00354B11"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dépenses réalisées depuis le démarrage du projet en 2017 s’élève à 1 576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74E971F8" w14:textId="77777777" w:rsidR="00354B11" w:rsidRPr="00C73365" w:rsidRDefault="00354B11"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Aucun produit à recevoir n’a été comptabilisé au titre de cette subvention.</w:t>
      </w:r>
    </w:p>
    <w:p w14:paraId="3AC61AF9" w14:textId="77777777" w:rsidR="005F6736" w:rsidRPr="00C73365" w:rsidRDefault="005F6736" w:rsidP="00A96CCA">
      <w:pPr>
        <w:pStyle w:val="Paragraphedeliste"/>
        <w:widowControl w:val="0"/>
        <w:spacing w:after="0"/>
        <w:ind w:left="720" w:right="568"/>
        <w:rPr>
          <w:rFonts w:asciiTheme="minorHAnsi" w:eastAsia="MS Mincho" w:hAnsiTheme="minorHAnsi" w:cstheme="minorHAnsi"/>
          <w:szCs w:val="20"/>
          <w:lang w:val="fr-FR" w:eastAsia="fr-FR"/>
        </w:rPr>
      </w:pPr>
    </w:p>
    <w:p w14:paraId="5D05A13D" w14:textId="77777777" w:rsidR="00F46C7B" w:rsidRPr="00C73365" w:rsidRDefault="00F46C7B" w:rsidP="00A96CCA">
      <w:pPr>
        <w:spacing w:after="0"/>
        <w:ind w:right="-9"/>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14:paraId="3C0798BF" w14:textId="77777777" w:rsidR="00F46C7B" w:rsidRPr="00C73365" w:rsidRDefault="00F46C7B" w:rsidP="004572A0">
      <w:pPr>
        <w:pStyle w:val="Corpsdetexte"/>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14:paraId="0A7BAD55"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9 – DETTES</w:t>
      </w:r>
    </w:p>
    <w:p w14:paraId="45B55678"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pgSz w:w="11906" w:h="16838"/>
          <w:pgMar w:top="1134" w:right="1134" w:bottom="1134" w:left="1134" w:header="709" w:footer="709" w:gutter="0"/>
          <w:cols w:space="708"/>
          <w:docGrid w:linePitch="360"/>
        </w:sectPr>
      </w:pPr>
    </w:p>
    <w:p w14:paraId="58C30319"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dettes à la clôture de l’exercice s’élève à </w:t>
      </w:r>
      <w:r w:rsidR="00676ACD" w:rsidRPr="00C73365">
        <w:rPr>
          <w:rFonts w:asciiTheme="minorHAnsi" w:eastAsia="MS Mincho" w:hAnsiTheme="minorHAnsi" w:cstheme="minorHAnsi"/>
          <w:lang w:val="fr-FR" w:eastAsia="fr-FR"/>
        </w:rPr>
        <w:t>5 513</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le classement détaillé par échéance s’établit comme suit :</w:t>
      </w:r>
    </w:p>
    <w:p w14:paraId="4C5AB730"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tbl>
      <w:tblPr>
        <w:tblW w:w="8600" w:type="dxa"/>
        <w:tblLook w:val="04A0" w:firstRow="1" w:lastRow="0" w:firstColumn="1" w:lastColumn="0" w:noHBand="0" w:noVBand="1"/>
      </w:tblPr>
      <w:tblGrid>
        <w:gridCol w:w="3640"/>
        <w:gridCol w:w="1240"/>
        <w:gridCol w:w="1240"/>
        <w:gridCol w:w="1240"/>
        <w:gridCol w:w="1240"/>
      </w:tblGrid>
      <w:tr w:rsidR="00676ACD" w:rsidRPr="00036317" w14:paraId="6816C546" w14:textId="77777777" w:rsidTr="00676ACD">
        <w:trPr>
          <w:trHeight w:val="852"/>
        </w:trPr>
        <w:tc>
          <w:tcPr>
            <w:tcW w:w="3640" w:type="dxa"/>
            <w:tcBorders>
              <w:top w:val="single" w:sz="12" w:space="0" w:color="7030A0"/>
              <w:left w:val="nil"/>
              <w:bottom w:val="single" w:sz="8" w:space="0" w:color="7030A0"/>
              <w:right w:val="nil"/>
            </w:tcBorders>
            <w:shd w:val="clear" w:color="auto" w:fill="auto"/>
            <w:vAlign w:val="center"/>
            <w:hideMark/>
          </w:tcPr>
          <w:p w14:paraId="4F3295DC" w14:textId="77777777"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14:paraId="62AC0890" w14:textId="77777777" w:rsidR="00676ACD" w:rsidRPr="00C73365" w:rsidRDefault="00676ACD"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Montant brut</w:t>
            </w:r>
          </w:p>
        </w:tc>
        <w:tc>
          <w:tcPr>
            <w:tcW w:w="1240" w:type="dxa"/>
            <w:tcBorders>
              <w:top w:val="single" w:sz="12" w:space="0" w:color="7030A0"/>
              <w:left w:val="nil"/>
              <w:bottom w:val="single" w:sz="8" w:space="0" w:color="7030A0"/>
              <w:right w:val="nil"/>
            </w:tcBorders>
            <w:shd w:val="clear" w:color="auto" w:fill="auto"/>
            <w:vAlign w:val="center"/>
            <w:hideMark/>
          </w:tcPr>
          <w:p w14:paraId="7CD16EE0" w14:textId="77777777"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moins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240" w:type="dxa"/>
            <w:tcBorders>
              <w:top w:val="single" w:sz="12" w:space="0" w:color="7030A0"/>
              <w:left w:val="nil"/>
              <w:bottom w:val="single" w:sz="8" w:space="0" w:color="7030A0"/>
              <w:right w:val="nil"/>
            </w:tcBorders>
            <w:shd w:val="clear" w:color="auto" w:fill="auto"/>
            <w:vAlign w:val="center"/>
            <w:hideMark/>
          </w:tcPr>
          <w:p w14:paraId="09977D2A" w14:textId="77777777"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240" w:type="dxa"/>
            <w:tcBorders>
              <w:top w:val="single" w:sz="12" w:space="0" w:color="7030A0"/>
              <w:left w:val="nil"/>
              <w:bottom w:val="single" w:sz="8" w:space="0" w:color="7030A0"/>
              <w:right w:val="nil"/>
            </w:tcBorders>
            <w:shd w:val="clear" w:color="auto" w:fill="auto"/>
            <w:vAlign w:val="center"/>
            <w:hideMark/>
          </w:tcPr>
          <w:p w14:paraId="13A97C6B" w14:textId="77777777"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de 5 ans</w:t>
            </w:r>
          </w:p>
        </w:tc>
      </w:tr>
      <w:tr w:rsidR="00676ACD" w:rsidRPr="00C73365" w14:paraId="13086C5E" w14:textId="77777777" w:rsidTr="00676ACD">
        <w:trPr>
          <w:trHeight w:val="552"/>
        </w:trPr>
        <w:tc>
          <w:tcPr>
            <w:tcW w:w="3640" w:type="dxa"/>
            <w:tcBorders>
              <w:top w:val="nil"/>
              <w:left w:val="nil"/>
              <w:bottom w:val="nil"/>
              <w:right w:val="nil"/>
            </w:tcBorders>
            <w:shd w:val="clear" w:color="auto" w:fill="auto"/>
            <w:vAlign w:val="center"/>
            <w:hideMark/>
          </w:tcPr>
          <w:p w14:paraId="4C9AF54E" w14:textId="77777777" w:rsidR="00676ACD" w:rsidRPr="00C73365" w:rsidRDefault="00676AC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Emprunts et dettes financières divers </w:t>
            </w:r>
            <w:r w:rsidRPr="00C73365">
              <w:rPr>
                <w:rFonts w:asciiTheme="minorHAnsi" w:hAnsiTheme="minorHAnsi" w:cstheme="minorHAnsi"/>
                <w:color w:val="7030A0"/>
                <w:szCs w:val="20"/>
                <w:lang w:val="fr-FR"/>
              </w:rPr>
              <w:t>(*)</w:t>
            </w:r>
          </w:p>
        </w:tc>
        <w:tc>
          <w:tcPr>
            <w:tcW w:w="1240" w:type="dxa"/>
            <w:tcBorders>
              <w:top w:val="nil"/>
              <w:left w:val="nil"/>
              <w:bottom w:val="nil"/>
              <w:right w:val="nil"/>
            </w:tcBorders>
            <w:shd w:val="clear" w:color="auto" w:fill="auto"/>
            <w:vAlign w:val="center"/>
            <w:hideMark/>
          </w:tcPr>
          <w:p w14:paraId="6FC19A3C" w14:textId="77777777"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40" w:type="dxa"/>
            <w:tcBorders>
              <w:top w:val="nil"/>
              <w:left w:val="nil"/>
              <w:bottom w:val="nil"/>
              <w:right w:val="nil"/>
            </w:tcBorders>
            <w:shd w:val="clear" w:color="auto" w:fill="auto"/>
            <w:vAlign w:val="center"/>
            <w:hideMark/>
          </w:tcPr>
          <w:p w14:paraId="7146D506" w14:textId="77777777"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40" w:type="dxa"/>
            <w:tcBorders>
              <w:top w:val="nil"/>
              <w:left w:val="nil"/>
              <w:bottom w:val="nil"/>
              <w:right w:val="nil"/>
            </w:tcBorders>
            <w:shd w:val="clear" w:color="auto" w:fill="auto"/>
            <w:vAlign w:val="center"/>
            <w:hideMark/>
          </w:tcPr>
          <w:p w14:paraId="4567304E" w14:textId="77777777"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14:paraId="22B4F42F" w14:textId="77777777" w:rsidR="00676ACD" w:rsidRPr="00C73365" w:rsidRDefault="00676ACD" w:rsidP="00A96CCA">
            <w:pPr>
              <w:spacing w:after="0"/>
              <w:jc w:val="right"/>
              <w:rPr>
                <w:rFonts w:asciiTheme="minorHAnsi" w:hAnsiTheme="minorHAnsi" w:cstheme="minorHAnsi"/>
                <w:szCs w:val="20"/>
              </w:rPr>
            </w:pPr>
          </w:p>
        </w:tc>
      </w:tr>
      <w:tr w:rsidR="00676ACD" w:rsidRPr="00C73365" w14:paraId="62968C3F" w14:textId="77777777" w:rsidTr="00676ACD">
        <w:trPr>
          <w:trHeight w:val="552"/>
        </w:trPr>
        <w:tc>
          <w:tcPr>
            <w:tcW w:w="3640" w:type="dxa"/>
            <w:tcBorders>
              <w:top w:val="nil"/>
              <w:left w:val="nil"/>
              <w:bottom w:val="nil"/>
              <w:right w:val="nil"/>
            </w:tcBorders>
            <w:shd w:val="clear" w:color="auto" w:fill="auto"/>
            <w:vAlign w:val="center"/>
            <w:hideMark/>
          </w:tcPr>
          <w:p w14:paraId="45321BF4" w14:textId="77777777" w:rsidR="00676ACD" w:rsidRPr="00C73365" w:rsidRDefault="00676AC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Dettes fournisseurs et comptes rattachés</w:t>
            </w:r>
          </w:p>
        </w:tc>
        <w:tc>
          <w:tcPr>
            <w:tcW w:w="1240" w:type="dxa"/>
            <w:tcBorders>
              <w:top w:val="nil"/>
              <w:left w:val="nil"/>
              <w:bottom w:val="nil"/>
              <w:right w:val="nil"/>
            </w:tcBorders>
            <w:shd w:val="clear" w:color="auto" w:fill="auto"/>
            <w:vAlign w:val="center"/>
            <w:hideMark/>
          </w:tcPr>
          <w:p w14:paraId="2E673642" w14:textId="77777777"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40" w:type="dxa"/>
            <w:tcBorders>
              <w:top w:val="nil"/>
              <w:left w:val="nil"/>
              <w:bottom w:val="nil"/>
              <w:right w:val="nil"/>
            </w:tcBorders>
            <w:shd w:val="clear" w:color="auto" w:fill="auto"/>
            <w:vAlign w:val="center"/>
            <w:hideMark/>
          </w:tcPr>
          <w:p w14:paraId="48995AEB" w14:textId="77777777"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40" w:type="dxa"/>
            <w:tcBorders>
              <w:top w:val="nil"/>
              <w:left w:val="nil"/>
              <w:bottom w:val="nil"/>
              <w:right w:val="nil"/>
            </w:tcBorders>
            <w:shd w:val="clear" w:color="auto" w:fill="auto"/>
            <w:vAlign w:val="center"/>
            <w:hideMark/>
          </w:tcPr>
          <w:p w14:paraId="3E41B426" w14:textId="77777777"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14:paraId="79A8FA48" w14:textId="77777777" w:rsidR="00676ACD" w:rsidRPr="00C73365" w:rsidRDefault="00676ACD" w:rsidP="00A96CCA">
            <w:pPr>
              <w:spacing w:after="0"/>
              <w:rPr>
                <w:rFonts w:asciiTheme="minorHAnsi" w:hAnsiTheme="minorHAnsi" w:cstheme="minorHAnsi"/>
                <w:szCs w:val="20"/>
              </w:rPr>
            </w:pPr>
          </w:p>
        </w:tc>
      </w:tr>
      <w:tr w:rsidR="00676ACD" w:rsidRPr="00C73365" w14:paraId="58F1AC18" w14:textId="77777777" w:rsidTr="00676ACD">
        <w:trPr>
          <w:trHeight w:val="288"/>
        </w:trPr>
        <w:tc>
          <w:tcPr>
            <w:tcW w:w="3640" w:type="dxa"/>
            <w:tcBorders>
              <w:top w:val="nil"/>
              <w:left w:val="nil"/>
              <w:bottom w:val="nil"/>
              <w:right w:val="nil"/>
            </w:tcBorders>
            <w:shd w:val="clear" w:color="auto" w:fill="auto"/>
            <w:vAlign w:val="center"/>
            <w:hideMark/>
          </w:tcPr>
          <w:p w14:paraId="448F42E6" w14:textId="77777777"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Dettes fiscales et sociales</w:t>
            </w:r>
          </w:p>
        </w:tc>
        <w:tc>
          <w:tcPr>
            <w:tcW w:w="1240" w:type="dxa"/>
            <w:tcBorders>
              <w:top w:val="nil"/>
              <w:left w:val="nil"/>
              <w:bottom w:val="nil"/>
              <w:right w:val="nil"/>
            </w:tcBorders>
            <w:shd w:val="clear" w:color="auto" w:fill="auto"/>
            <w:vAlign w:val="center"/>
            <w:hideMark/>
          </w:tcPr>
          <w:p w14:paraId="47064E9E" w14:textId="77777777"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40" w:type="dxa"/>
            <w:tcBorders>
              <w:top w:val="nil"/>
              <w:left w:val="nil"/>
              <w:bottom w:val="nil"/>
              <w:right w:val="nil"/>
            </w:tcBorders>
            <w:shd w:val="clear" w:color="auto" w:fill="auto"/>
            <w:vAlign w:val="center"/>
            <w:hideMark/>
          </w:tcPr>
          <w:p w14:paraId="5802CDCD" w14:textId="77777777"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40" w:type="dxa"/>
            <w:tcBorders>
              <w:top w:val="nil"/>
              <w:left w:val="nil"/>
              <w:bottom w:val="nil"/>
              <w:right w:val="nil"/>
            </w:tcBorders>
            <w:shd w:val="clear" w:color="auto" w:fill="auto"/>
            <w:vAlign w:val="center"/>
            <w:hideMark/>
          </w:tcPr>
          <w:p w14:paraId="7E9E1978" w14:textId="77777777"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14:paraId="1244154B" w14:textId="77777777" w:rsidR="00676ACD" w:rsidRPr="00C73365" w:rsidRDefault="00676ACD" w:rsidP="00A96CCA">
            <w:pPr>
              <w:spacing w:after="0"/>
              <w:rPr>
                <w:rFonts w:asciiTheme="minorHAnsi" w:hAnsiTheme="minorHAnsi" w:cstheme="minorHAnsi"/>
                <w:szCs w:val="20"/>
              </w:rPr>
            </w:pPr>
          </w:p>
        </w:tc>
      </w:tr>
      <w:tr w:rsidR="00676ACD" w:rsidRPr="00C73365" w14:paraId="7F75C9D4" w14:textId="77777777" w:rsidTr="00676ACD">
        <w:trPr>
          <w:trHeight w:val="300"/>
        </w:trPr>
        <w:tc>
          <w:tcPr>
            <w:tcW w:w="3640" w:type="dxa"/>
            <w:tcBorders>
              <w:top w:val="nil"/>
              <w:left w:val="nil"/>
              <w:bottom w:val="single" w:sz="8" w:space="0" w:color="7030A0"/>
              <w:right w:val="nil"/>
            </w:tcBorders>
            <w:shd w:val="clear" w:color="auto" w:fill="auto"/>
            <w:vAlign w:val="center"/>
            <w:hideMark/>
          </w:tcPr>
          <w:p w14:paraId="4A640A5B" w14:textId="77777777"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Autres dettes </w:t>
            </w:r>
            <w:r w:rsidRPr="00C73365">
              <w:rPr>
                <w:rFonts w:asciiTheme="minorHAnsi" w:hAnsiTheme="minorHAnsi" w:cstheme="minorHAnsi"/>
                <w:color w:val="7030A0"/>
                <w:szCs w:val="20"/>
              </w:rPr>
              <w:t>(**)</w:t>
            </w:r>
          </w:p>
        </w:tc>
        <w:tc>
          <w:tcPr>
            <w:tcW w:w="1240" w:type="dxa"/>
            <w:tcBorders>
              <w:top w:val="nil"/>
              <w:left w:val="nil"/>
              <w:bottom w:val="single" w:sz="8" w:space="0" w:color="7030A0"/>
              <w:right w:val="nil"/>
            </w:tcBorders>
            <w:shd w:val="clear" w:color="auto" w:fill="auto"/>
            <w:vAlign w:val="center"/>
            <w:hideMark/>
          </w:tcPr>
          <w:p w14:paraId="7AEE25A3" w14:textId="77777777"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40" w:type="dxa"/>
            <w:tcBorders>
              <w:top w:val="nil"/>
              <w:left w:val="nil"/>
              <w:bottom w:val="single" w:sz="8" w:space="0" w:color="7030A0"/>
              <w:right w:val="nil"/>
            </w:tcBorders>
            <w:shd w:val="clear" w:color="auto" w:fill="auto"/>
            <w:vAlign w:val="center"/>
            <w:hideMark/>
          </w:tcPr>
          <w:p w14:paraId="1D26E397" w14:textId="77777777"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40" w:type="dxa"/>
            <w:tcBorders>
              <w:top w:val="nil"/>
              <w:left w:val="nil"/>
              <w:bottom w:val="single" w:sz="8" w:space="0" w:color="7030A0"/>
              <w:right w:val="nil"/>
            </w:tcBorders>
            <w:shd w:val="clear" w:color="auto" w:fill="auto"/>
            <w:vAlign w:val="center"/>
            <w:hideMark/>
          </w:tcPr>
          <w:p w14:paraId="77F5D79E" w14:textId="77777777"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14:paraId="2D5DB858" w14:textId="77777777"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676ACD" w:rsidRPr="00C73365" w14:paraId="5DAAC2C5" w14:textId="77777777" w:rsidTr="00676ACD">
        <w:trPr>
          <w:trHeight w:val="300"/>
        </w:trPr>
        <w:tc>
          <w:tcPr>
            <w:tcW w:w="3640" w:type="dxa"/>
            <w:tcBorders>
              <w:top w:val="nil"/>
              <w:left w:val="nil"/>
              <w:bottom w:val="single" w:sz="8" w:space="0" w:color="7030A0"/>
              <w:right w:val="nil"/>
            </w:tcBorders>
            <w:shd w:val="clear" w:color="auto" w:fill="auto"/>
            <w:vAlign w:val="center"/>
            <w:hideMark/>
          </w:tcPr>
          <w:p w14:paraId="64CCBD41" w14:textId="77777777" w:rsidR="00676ACD" w:rsidRPr="00C73365" w:rsidRDefault="00676ACD"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14:paraId="1D854E8B" w14:textId="77777777"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5 513</w:t>
            </w:r>
          </w:p>
        </w:tc>
        <w:tc>
          <w:tcPr>
            <w:tcW w:w="1240" w:type="dxa"/>
            <w:tcBorders>
              <w:top w:val="nil"/>
              <w:left w:val="nil"/>
              <w:bottom w:val="single" w:sz="8" w:space="0" w:color="7030A0"/>
              <w:right w:val="nil"/>
            </w:tcBorders>
            <w:shd w:val="clear" w:color="auto" w:fill="auto"/>
            <w:vAlign w:val="center"/>
            <w:hideMark/>
          </w:tcPr>
          <w:p w14:paraId="1E22DB80" w14:textId="77777777"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5 513</w:t>
            </w:r>
          </w:p>
        </w:tc>
        <w:tc>
          <w:tcPr>
            <w:tcW w:w="1240" w:type="dxa"/>
            <w:tcBorders>
              <w:top w:val="nil"/>
              <w:left w:val="nil"/>
              <w:bottom w:val="single" w:sz="8" w:space="0" w:color="7030A0"/>
              <w:right w:val="nil"/>
            </w:tcBorders>
            <w:shd w:val="clear" w:color="auto" w:fill="auto"/>
            <w:vAlign w:val="center"/>
            <w:hideMark/>
          </w:tcPr>
          <w:p w14:paraId="3A4B8F66" w14:textId="77777777"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1240" w:type="dxa"/>
            <w:tcBorders>
              <w:top w:val="nil"/>
              <w:left w:val="nil"/>
              <w:bottom w:val="single" w:sz="8" w:space="0" w:color="7030A0"/>
              <w:right w:val="nil"/>
            </w:tcBorders>
            <w:shd w:val="clear" w:color="auto" w:fill="auto"/>
            <w:vAlign w:val="center"/>
            <w:hideMark/>
          </w:tcPr>
          <w:p w14:paraId="7FC903FB" w14:textId="77777777"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r>
      <w:tr w:rsidR="00676ACD" w:rsidRPr="00036317" w14:paraId="3E0D16E2" w14:textId="77777777" w:rsidTr="00676ACD">
        <w:trPr>
          <w:trHeight w:val="288"/>
        </w:trPr>
        <w:tc>
          <w:tcPr>
            <w:tcW w:w="3640" w:type="dxa"/>
            <w:tcBorders>
              <w:top w:val="nil"/>
              <w:left w:val="nil"/>
              <w:bottom w:val="nil"/>
              <w:right w:val="nil"/>
            </w:tcBorders>
            <w:shd w:val="clear" w:color="auto" w:fill="auto"/>
            <w:noWrap/>
            <w:vAlign w:val="center"/>
            <w:hideMark/>
          </w:tcPr>
          <w:p w14:paraId="7AFEF2E1" w14:textId="77777777" w:rsidR="00676ACD" w:rsidRPr="00C73365" w:rsidRDefault="00676ACD"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w:t>
            </w:r>
            <w:r w:rsidRPr="00C73365">
              <w:rPr>
                <w:rFonts w:asciiTheme="minorHAnsi" w:hAnsiTheme="minorHAnsi" w:cstheme="minorHAnsi"/>
                <w:color w:val="000000"/>
                <w:szCs w:val="20"/>
                <w:lang w:val="fr-FR"/>
              </w:rPr>
              <w:t xml:space="preserve"> Emprunts souscrits en cours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w:t>
            </w:r>
          </w:p>
        </w:tc>
        <w:tc>
          <w:tcPr>
            <w:tcW w:w="1240" w:type="dxa"/>
            <w:tcBorders>
              <w:top w:val="nil"/>
              <w:left w:val="nil"/>
              <w:bottom w:val="nil"/>
              <w:right w:val="nil"/>
            </w:tcBorders>
            <w:shd w:val="clear" w:color="auto" w:fill="auto"/>
            <w:noWrap/>
            <w:vAlign w:val="bottom"/>
            <w:hideMark/>
          </w:tcPr>
          <w:p w14:paraId="21B8907C" w14:textId="77777777" w:rsidR="00676ACD" w:rsidRPr="00C73365" w:rsidRDefault="00676ACD" w:rsidP="00A96CCA">
            <w:pPr>
              <w:spacing w:after="0"/>
              <w:rPr>
                <w:rFonts w:asciiTheme="minorHAnsi" w:hAnsiTheme="minorHAnsi" w:cstheme="minorHAnsi"/>
                <w:color w:val="7030A0"/>
                <w:szCs w:val="20"/>
                <w:lang w:val="fr-FR"/>
              </w:rPr>
            </w:pPr>
          </w:p>
        </w:tc>
        <w:tc>
          <w:tcPr>
            <w:tcW w:w="1240" w:type="dxa"/>
            <w:tcBorders>
              <w:top w:val="nil"/>
              <w:left w:val="nil"/>
              <w:bottom w:val="nil"/>
              <w:right w:val="nil"/>
            </w:tcBorders>
            <w:shd w:val="clear" w:color="auto" w:fill="auto"/>
            <w:noWrap/>
            <w:vAlign w:val="bottom"/>
            <w:hideMark/>
          </w:tcPr>
          <w:p w14:paraId="408BAA81" w14:textId="77777777" w:rsidR="00676ACD" w:rsidRPr="00C73365" w:rsidRDefault="00676ACD"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14:paraId="4918FF50" w14:textId="77777777" w:rsidR="00676ACD" w:rsidRPr="00C73365" w:rsidRDefault="00676ACD"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14:paraId="5F0781D8" w14:textId="77777777" w:rsidR="00676ACD" w:rsidRPr="00C73365" w:rsidRDefault="00676ACD" w:rsidP="00A96CCA">
            <w:pPr>
              <w:spacing w:after="0"/>
              <w:rPr>
                <w:rFonts w:asciiTheme="minorHAnsi" w:hAnsiTheme="minorHAnsi" w:cstheme="minorHAnsi"/>
                <w:szCs w:val="20"/>
                <w:lang w:val="fr-FR"/>
              </w:rPr>
            </w:pPr>
          </w:p>
        </w:tc>
      </w:tr>
      <w:tr w:rsidR="00676ACD" w:rsidRPr="00C73365" w14:paraId="7B291033" w14:textId="77777777" w:rsidTr="00676ACD">
        <w:trPr>
          <w:trHeight w:val="288"/>
        </w:trPr>
        <w:tc>
          <w:tcPr>
            <w:tcW w:w="3640" w:type="dxa"/>
            <w:tcBorders>
              <w:top w:val="nil"/>
              <w:left w:val="nil"/>
              <w:bottom w:val="nil"/>
              <w:right w:val="nil"/>
            </w:tcBorders>
            <w:shd w:val="clear" w:color="auto" w:fill="auto"/>
            <w:vAlign w:val="center"/>
            <w:hideMark/>
          </w:tcPr>
          <w:p w14:paraId="1733A6A8" w14:textId="77777777" w:rsidR="00676ACD" w:rsidRPr="00C73365" w:rsidRDefault="00676ACD"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w:t>
            </w:r>
            <w:r w:rsidRPr="00C73365">
              <w:rPr>
                <w:rFonts w:asciiTheme="minorHAnsi" w:hAnsiTheme="minorHAnsi" w:cstheme="minorHAnsi"/>
                <w:color w:val="000000"/>
                <w:szCs w:val="20"/>
              </w:rPr>
              <w:t xml:space="preserve"> Emprunts remboursés sur l</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exercice</w:t>
            </w:r>
          </w:p>
        </w:tc>
        <w:tc>
          <w:tcPr>
            <w:tcW w:w="1240" w:type="dxa"/>
            <w:tcBorders>
              <w:top w:val="nil"/>
              <w:left w:val="nil"/>
              <w:bottom w:val="nil"/>
              <w:right w:val="nil"/>
            </w:tcBorders>
            <w:shd w:val="clear" w:color="auto" w:fill="auto"/>
            <w:vAlign w:val="center"/>
            <w:hideMark/>
          </w:tcPr>
          <w:p w14:paraId="338D4A9B" w14:textId="77777777"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240" w:type="dxa"/>
            <w:tcBorders>
              <w:top w:val="nil"/>
              <w:left w:val="nil"/>
              <w:bottom w:val="nil"/>
              <w:right w:val="nil"/>
            </w:tcBorders>
            <w:shd w:val="clear" w:color="auto" w:fill="auto"/>
            <w:vAlign w:val="center"/>
            <w:hideMark/>
          </w:tcPr>
          <w:p w14:paraId="4E73F267" w14:textId="77777777"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14:paraId="512727F1" w14:textId="77777777" w:rsidR="00676ACD" w:rsidRPr="00C73365" w:rsidRDefault="00676ACD"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14:paraId="6634302D" w14:textId="77777777" w:rsidR="00676ACD" w:rsidRPr="00C73365" w:rsidRDefault="00676ACD" w:rsidP="00A96CCA">
            <w:pPr>
              <w:spacing w:after="0"/>
              <w:rPr>
                <w:rFonts w:asciiTheme="minorHAnsi" w:hAnsiTheme="minorHAnsi" w:cstheme="minorHAnsi"/>
                <w:szCs w:val="20"/>
              </w:rPr>
            </w:pPr>
          </w:p>
        </w:tc>
      </w:tr>
      <w:tr w:rsidR="00676ACD" w:rsidRPr="00036317" w14:paraId="744BB6EC" w14:textId="77777777" w:rsidTr="00676ACD">
        <w:trPr>
          <w:trHeight w:val="300"/>
        </w:trPr>
        <w:tc>
          <w:tcPr>
            <w:tcW w:w="3640" w:type="dxa"/>
            <w:tcBorders>
              <w:top w:val="nil"/>
              <w:left w:val="nil"/>
              <w:bottom w:val="single" w:sz="8" w:space="0" w:color="7030A0"/>
              <w:right w:val="nil"/>
            </w:tcBorders>
            <w:shd w:val="clear" w:color="auto" w:fill="auto"/>
            <w:vAlign w:val="center"/>
            <w:hideMark/>
          </w:tcPr>
          <w:p w14:paraId="715F7D45" w14:textId="77777777" w:rsidR="00676ACD" w:rsidRPr="00C73365" w:rsidRDefault="00676ACD"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w:t>
            </w:r>
            <w:r w:rsidRPr="00C73365">
              <w:rPr>
                <w:rFonts w:asciiTheme="minorHAnsi" w:hAnsiTheme="minorHAnsi" w:cstheme="minorHAnsi"/>
                <w:color w:val="000000"/>
                <w:szCs w:val="20"/>
                <w:lang w:val="fr-FR"/>
              </w:rPr>
              <w:t xml:space="preserve"> Dont envers les groupes et associés</w:t>
            </w:r>
          </w:p>
        </w:tc>
        <w:tc>
          <w:tcPr>
            <w:tcW w:w="1240" w:type="dxa"/>
            <w:tcBorders>
              <w:top w:val="nil"/>
              <w:left w:val="nil"/>
              <w:bottom w:val="single" w:sz="8" w:space="0" w:color="7030A0"/>
              <w:right w:val="nil"/>
            </w:tcBorders>
            <w:shd w:val="clear" w:color="auto" w:fill="auto"/>
            <w:vAlign w:val="center"/>
            <w:hideMark/>
          </w:tcPr>
          <w:p w14:paraId="7755ACEF" w14:textId="77777777"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14:paraId="2CD84A2E" w14:textId="77777777"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14:paraId="00A29C35" w14:textId="77777777"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14:paraId="794F5A64" w14:textId="77777777"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bl>
    <w:p w14:paraId="17B56636" w14:textId="77777777" w:rsidR="00F46C7B" w:rsidRPr="00C73365" w:rsidRDefault="00F46C7B" w:rsidP="00A96CCA">
      <w:pPr>
        <w:spacing w:after="0"/>
        <w:ind w:right="-2"/>
        <w:rPr>
          <w:rFonts w:asciiTheme="minorHAnsi" w:eastAsia="MS Mincho" w:hAnsiTheme="minorHAnsi" w:cstheme="minorHAnsi"/>
          <w:szCs w:val="20"/>
          <w:lang w:val="fr-FR" w:eastAsia="fr-FR"/>
        </w:rPr>
      </w:pPr>
    </w:p>
    <w:p w14:paraId="251EDD71" w14:textId="77777777" w:rsidR="00F46C7B" w:rsidRPr="00FE4BF9" w:rsidRDefault="00F46C7B" w:rsidP="004572A0">
      <w:pPr>
        <w:pStyle w:val="Corpsdetexte"/>
        <w:rPr>
          <w:rFonts w:asciiTheme="minorHAnsi" w:eastAsia="MS Mincho" w:hAnsiTheme="minorHAnsi" w:cstheme="minorHAnsi"/>
          <w:b/>
          <w:lang w:val="fr-FR" w:eastAsia="fr-FR"/>
        </w:rPr>
      </w:pPr>
      <w:r w:rsidRPr="00FE4BF9">
        <w:rPr>
          <w:rFonts w:asciiTheme="minorHAnsi" w:eastAsia="MS Mincho" w:hAnsiTheme="minorHAnsi" w:cstheme="minorHAnsi"/>
          <w:b/>
          <w:lang w:val="fr-FR" w:eastAsia="fr-FR"/>
        </w:rPr>
        <w:t>Charges à payer</w:t>
      </w:r>
    </w:p>
    <w:tbl>
      <w:tblPr>
        <w:tblW w:w="4340" w:type="dxa"/>
        <w:tblCellMar>
          <w:left w:w="70" w:type="dxa"/>
          <w:right w:w="70" w:type="dxa"/>
        </w:tblCellMar>
        <w:tblLook w:val="04A0" w:firstRow="1" w:lastRow="0" w:firstColumn="1" w:lastColumn="0" w:noHBand="0" w:noVBand="1"/>
      </w:tblPr>
      <w:tblGrid>
        <w:gridCol w:w="3240"/>
        <w:gridCol w:w="1100"/>
      </w:tblGrid>
      <w:tr w:rsidR="00F46C7B" w:rsidRPr="00FE4BF9" w14:paraId="777464D4" w14:textId="77777777" w:rsidTr="007C607C">
        <w:trPr>
          <w:trHeight w:val="312"/>
        </w:trPr>
        <w:tc>
          <w:tcPr>
            <w:tcW w:w="3240" w:type="dxa"/>
            <w:tcBorders>
              <w:top w:val="single" w:sz="12" w:space="0" w:color="7030A0"/>
              <w:left w:val="nil"/>
              <w:bottom w:val="single" w:sz="8" w:space="0" w:color="7030A0"/>
              <w:right w:val="nil"/>
            </w:tcBorders>
            <w:shd w:val="clear" w:color="auto" w:fill="auto"/>
            <w:vAlign w:val="center"/>
            <w:hideMark/>
          </w:tcPr>
          <w:p w14:paraId="2C21F7E4" w14:textId="77777777" w:rsidR="00F46C7B" w:rsidRPr="00FE4BF9" w:rsidRDefault="00F46C7B"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en milliers d</w:t>
            </w:r>
            <w:r w:rsidR="004572A0" w:rsidRPr="00FE4BF9">
              <w:rPr>
                <w:rFonts w:asciiTheme="minorHAnsi" w:hAnsiTheme="minorHAnsi" w:cstheme="minorHAnsi"/>
                <w:color w:val="000000"/>
                <w:szCs w:val="20"/>
                <w:lang w:val="fr-FR" w:eastAsia="fr-FR"/>
              </w:rPr>
              <w:t>’</w:t>
            </w:r>
            <w:r w:rsidRPr="00FE4BF9">
              <w:rPr>
                <w:rFonts w:asciiTheme="minorHAnsi" w:hAnsiTheme="minorHAnsi" w:cstheme="minorHAnsi"/>
                <w:color w:val="000000"/>
                <w:szCs w:val="20"/>
                <w:lang w:val="fr-FR" w:eastAsia="fr-FR"/>
              </w:rPr>
              <w:t>euros</w:t>
            </w:r>
          </w:p>
        </w:tc>
        <w:tc>
          <w:tcPr>
            <w:tcW w:w="1100" w:type="dxa"/>
            <w:tcBorders>
              <w:top w:val="single" w:sz="12" w:space="0" w:color="7030A0"/>
              <w:left w:val="nil"/>
              <w:bottom w:val="single" w:sz="8" w:space="0" w:color="7030A0"/>
              <w:right w:val="nil"/>
            </w:tcBorders>
            <w:shd w:val="clear" w:color="auto" w:fill="auto"/>
            <w:vAlign w:val="center"/>
            <w:hideMark/>
          </w:tcPr>
          <w:p w14:paraId="2E2FB661" w14:textId="77777777" w:rsidR="00F46C7B" w:rsidRPr="00FE4BF9" w:rsidRDefault="00F46C7B" w:rsidP="00A96CCA">
            <w:pPr>
              <w:spacing w:after="0"/>
              <w:jc w:val="right"/>
              <w:rPr>
                <w:rFonts w:asciiTheme="minorHAnsi" w:hAnsiTheme="minorHAnsi" w:cstheme="minorHAnsi"/>
                <w:b/>
                <w:bCs/>
                <w:color w:val="000000"/>
                <w:szCs w:val="20"/>
                <w:lang w:val="fr-FR" w:eastAsia="fr-FR"/>
              </w:rPr>
            </w:pPr>
            <w:r w:rsidRPr="00FE4BF9">
              <w:rPr>
                <w:rFonts w:asciiTheme="minorHAnsi" w:hAnsiTheme="minorHAnsi" w:cstheme="minorHAnsi"/>
                <w:b/>
                <w:bCs/>
                <w:color w:val="000000"/>
                <w:szCs w:val="20"/>
                <w:lang w:val="fr-FR" w:eastAsia="fr-FR"/>
              </w:rPr>
              <w:t>Montant</w:t>
            </w:r>
          </w:p>
        </w:tc>
      </w:tr>
      <w:tr w:rsidR="00676ACD" w:rsidRPr="00FE4BF9" w14:paraId="2868246C" w14:textId="77777777" w:rsidTr="007C607C">
        <w:trPr>
          <w:trHeight w:val="288"/>
        </w:trPr>
        <w:tc>
          <w:tcPr>
            <w:tcW w:w="3240" w:type="dxa"/>
            <w:tcBorders>
              <w:top w:val="nil"/>
              <w:left w:val="nil"/>
              <w:bottom w:val="nil"/>
              <w:right w:val="nil"/>
            </w:tcBorders>
            <w:shd w:val="clear" w:color="auto" w:fill="auto"/>
            <w:vAlign w:val="center"/>
            <w:hideMark/>
          </w:tcPr>
          <w:p w14:paraId="474CFEB1" w14:textId="77777777"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Fournisseurs - Fact. Non Parvenues</w:t>
            </w:r>
          </w:p>
        </w:tc>
        <w:tc>
          <w:tcPr>
            <w:tcW w:w="1100" w:type="dxa"/>
            <w:tcBorders>
              <w:top w:val="nil"/>
              <w:left w:val="nil"/>
              <w:bottom w:val="nil"/>
              <w:right w:val="nil"/>
            </w:tcBorders>
            <w:shd w:val="clear" w:color="auto" w:fill="auto"/>
            <w:noWrap/>
            <w:vAlign w:val="center"/>
            <w:hideMark/>
          </w:tcPr>
          <w:p w14:paraId="6FD3B8DF" w14:textId="77777777"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662</w:t>
            </w:r>
          </w:p>
        </w:tc>
      </w:tr>
      <w:tr w:rsidR="00676ACD" w:rsidRPr="00FE4BF9" w14:paraId="4389C056" w14:textId="77777777" w:rsidTr="007C607C">
        <w:trPr>
          <w:trHeight w:val="288"/>
        </w:trPr>
        <w:tc>
          <w:tcPr>
            <w:tcW w:w="3240" w:type="dxa"/>
            <w:tcBorders>
              <w:top w:val="nil"/>
              <w:left w:val="nil"/>
              <w:bottom w:val="nil"/>
              <w:right w:val="nil"/>
            </w:tcBorders>
            <w:shd w:val="clear" w:color="auto" w:fill="auto"/>
            <w:vAlign w:val="center"/>
            <w:hideMark/>
          </w:tcPr>
          <w:p w14:paraId="3E49FBCE" w14:textId="77777777"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Prov P/Congés Payés</w:t>
            </w:r>
          </w:p>
        </w:tc>
        <w:tc>
          <w:tcPr>
            <w:tcW w:w="1100" w:type="dxa"/>
            <w:tcBorders>
              <w:top w:val="nil"/>
              <w:left w:val="nil"/>
              <w:bottom w:val="nil"/>
              <w:right w:val="nil"/>
            </w:tcBorders>
            <w:shd w:val="clear" w:color="auto" w:fill="auto"/>
            <w:noWrap/>
            <w:vAlign w:val="center"/>
            <w:hideMark/>
          </w:tcPr>
          <w:p w14:paraId="374DECFF" w14:textId="77777777"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115</w:t>
            </w:r>
          </w:p>
        </w:tc>
      </w:tr>
      <w:tr w:rsidR="00676ACD" w:rsidRPr="00FE4BF9" w14:paraId="79E0C922" w14:textId="77777777" w:rsidTr="007C607C">
        <w:trPr>
          <w:trHeight w:val="288"/>
        </w:trPr>
        <w:tc>
          <w:tcPr>
            <w:tcW w:w="3240" w:type="dxa"/>
            <w:tcBorders>
              <w:top w:val="nil"/>
              <w:left w:val="nil"/>
              <w:bottom w:val="nil"/>
              <w:right w:val="nil"/>
            </w:tcBorders>
            <w:shd w:val="clear" w:color="auto" w:fill="auto"/>
            <w:vAlign w:val="center"/>
            <w:hideMark/>
          </w:tcPr>
          <w:p w14:paraId="16A48AF2" w14:textId="77777777"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Personnel - Charges à payer</w:t>
            </w:r>
          </w:p>
        </w:tc>
        <w:tc>
          <w:tcPr>
            <w:tcW w:w="1100" w:type="dxa"/>
            <w:tcBorders>
              <w:top w:val="nil"/>
              <w:left w:val="nil"/>
              <w:bottom w:val="nil"/>
              <w:right w:val="nil"/>
            </w:tcBorders>
            <w:shd w:val="clear" w:color="auto" w:fill="auto"/>
            <w:noWrap/>
            <w:vAlign w:val="center"/>
            <w:hideMark/>
          </w:tcPr>
          <w:p w14:paraId="41732860" w14:textId="77777777"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462</w:t>
            </w:r>
          </w:p>
        </w:tc>
      </w:tr>
      <w:tr w:rsidR="00676ACD" w:rsidRPr="00FE4BF9" w14:paraId="4AAE6702" w14:textId="77777777" w:rsidTr="007C607C">
        <w:trPr>
          <w:trHeight w:val="288"/>
        </w:trPr>
        <w:tc>
          <w:tcPr>
            <w:tcW w:w="3240" w:type="dxa"/>
            <w:tcBorders>
              <w:top w:val="nil"/>
              <w:left w:val="nil"/>
              <w:bottom w:val="nil"/>
              <w:right w:val="nil"/>
            </w:tcBorders>
            <w:shd w:val="clear" w:color="auto" w:fill="auto"/>
            <w:vAlign w:val="center"/>
            <w:hideMark/>
          </w:tcPr>
          <w:p w14:paraId="3F910A86" w14:textId="77777777"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Prov Chg Soc/Cp</w:t>
            </w:r>
          </w:p>
        </w:tc>
        <w:tc>
          <w:tcPr>
            <w:tcW w:w="1100" w:type="dxa"/>
            <w:tcBorders>
              <w:top w:val="nil"/>
              <w:left w:val="nil"/>
              <w:bottom w:val="nil"/>
              <w:right w:val="nil"/>
            </w:tcBorders>
            <w:shd w:val="clear" w:color="auto" w:fill="auto"/>
            <w:noWrap/>
            <w:vAlign w:val="center"/>
            <w:hideMark/>
          </w:tcPr>
          <w:p w14:paraId="3A4D832F" w14:textId="77777777"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52</w:t>
            </w:r>
          </w:p>
        </w:tc>
      </w:tr>
      <w:tr w:rsidR="00676ACD" w:rsidRPr="00FE4BF9" w14:paraId="1E170E9A" w14:textId="77777777" w:rsidTr="007C607C">
        <w:trPr>
          <w:trHeight w:val="288"/>
        </w:trPr>
        <w:tc>
          <w:tcPr>
            <w:tcW w:w="3240" w:type="dxa"/>
            <w:tcBorders>
              <w:top w:val="nil"/>
              <w:left w:val="nil"/>
              <w:bottom w:val="nil"/>
              <w:right w:val="nil"/>
            </w:tcBorders>
            <w:shd w:val="clear" w:color="auto" w:fill="auto"/>
            <w:vAlign w:val="center"/>
            <w:hideMark/>
          </w:tcPr>
          <w:p w14:paraId="1FB295C4" w14:textId="77777777"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Autres Chg Soc à payer</w:t>
            </w:r>
          </w:p>
        </w:tc>
        <w:tc>
          <w:tcPr>
            <w:tcW w:w="1100" w:type="dxa"/>
            <w:tcBorders>
              <w:top w:val="nil"/>
              <w:left w:val="nil"/>
              <w:bottom w:val="nil"/>
              <w:right w:val="nil"/>
            </w:tcBorders>
            <w:shd w:val="clear" w:color="auto" w:fill="auto"/>
            <w:noWrap/>
            <w:vAlign w:val="center"/>
            <w:hideMark/>
          </w:tcPr>
          <w:p w14:paraId="2128321C" w14:textId="77777777"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208</w:t>
            </w:r>
          </w:p>
        </w:tc>
      </w:tr>
      <w:tr w:rsidR="00676ACD" w:rsidRPr="00FE4BF9" w14:paraId="707FD713" w14:textId="77777777" w:rsidTr="007C607C">
        <w:trPr>
          <w:trHeight w:val="288"/>
        </w:trPr>
        <w:tc>
          <w:tcPr>
            <w:tcW w:w="3240" w:type="dxa"/>
            <w:tcBorders>
              <w:top w:val="nil"/>
              <w:left w:val="nil"/>
              <w:bottom w:val="nil"/>
              <w:right w:val="nil"/>
            </w:tcBorders>
            <w:shd w:val="clear" w:color="auto" w:fill="auto"/>
            <w:vAlign w:val="center"/>
            <w:hideMark/>
          </w:tcPr>
          <w:p w14:paraId="7597E6C9" w14:textId="77777777"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Etat - Autres charges à payer</w:t>
            </w:r>
          </w:p>
        </w:tc>
        <w:tc>
          <w:tcPr>
            <w:tcW w:w="1100" w:type="dxa"/>
            <w:tcBorders>
              <w:top w:val="nil"/>
              <w:left w:val="nil"/>
              <w:bottom w:val="nil"/>
              <w:right w:val="nil"/>
            </w:tcBorders>
            <w:shd w:val="clear" w:color="auto" w:fill="auto"/>
            <w:noWrap/>
            <w:vAlign w:val="center"/>
            <w:hideMark/>
          </w:tcPr>
          <w:p w14:paraId="5F7D99BD" w14:textId="77777777"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57</w:t>
            </w:r>
          </w:p>
        </w:tc>
      </w:tr>
      <w:tr w:rsidR="00676ACD" w:rsidRPr="00FE4BF9" w14:paraId="0A37FD51" w14:textId="77777777" w:rsidTr="007C607C">
        <w:trPr>
          <w:trHeight w:val="288"/>
        </w:trPr>
        <w:tc>
          <w:tcPr>
            <w:tcW w:w="3240" w:type="dxa"/>
            <w:tcBorders>
              <w:top w:val="nil"/>
              <w:left w:val="nil"/>
              <w:bottom w:val="nil"/>
              <w:right w:val="nil"/>
            </w:tcBorders>
            <w:shd w:val="clear" w:color="auto" w:fill="auto"/>
            <w:vAlign w:val="center"/>
            <w:hideMark/>
          </w:tcPr>
          <w:p w14:paraId="736AF7EC" w14:textId="77777777"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Taxe Apprentissage à payer</w:t>
            </w:r>
          </w:p>
        </w:tc>
        <w:tc>
          <w:tcPr>
            <w:tcW w:w="1100" w:type="dxa"/>
            <w:tcBorders>
              <w:top w:val="nil"/>
              <w:left w:val="nil"/>
              <w:bottom w:val="nil"/>
              <w:right w:val="nil"/>
            </w:tcBorders>
            <w:shd w:val="clear" w:color="auto" w:fill="auto"/>
            <w:noWrap/>
            <w:vAlign w:val="center"/>
            <w:hideMark/>
          </w:tcPr>
          <w:p w14:paraId="69B61B08" w14:textId="77777777"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22</w:t>
            </w:r>
          </w:p>
        </w:tc>
      </w:tr>
      <w:tr w:rsidR="00676ACD" w:rsidRPr="00FE4BF9" w14:paraId="04EB192D" w14:textId="77777777" w:rsidTr="007C607C">
        <w:trPr>
          <w:trHeight w:val="288"/>
        </w:trPr>
        <w:tc>
          <w:tcPr>
            <w:tcW w:w="3240" w:type="dxa"/>
            <w:tcBorders>
              <w:top w:val="nil"/>
              <w:left w:val="nil"/>
              <w:bottom w:val="nil"/>
              <w:right w:val="nil"/>
            </w:tcBorders>
            <w:shd w:val="clear" w:color="auto" w:fill="auto"/>
            <w:vAlign w:val="center"/>
            <w:hideMark/>
          </w:tcPr>
          <w:p w14:paraId="20FDC61F" w14:textId="77777777"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Formation Continue à payer</w:t>
            </w:r>
          </w:p>
        </w:tc>
        <w:tc>
          <w:tcPr>
            <w:tcW w:w="1100" w:type="dxa"/>
            <w:tcBorders>
              <w:top w:val="nil"/>
              <w:left w:val="nil"/>
              <w:bottom w:val="nil"/>
              <w:right w:val="nil"/>
            </w:tcBorders>
            <w:shd w:val="clear" w:color="auto" w:fill="auto"/>
            <w:noWrap/>
            <w:vAlign w:val="center"/>
            <w:hideMark/>
          </w:tcPr>
          <w:p w14:paraId="42A667DB" w14:textId="77777777"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19</w:t>
            </w:r>
          </w:p>
        </w:tc>
      </w:tr>
      <w:tr w:rsidR="00676ACD" w:rsidRPr="00FE4BF9" w14:paraId="505DF318" w14:textId="77777777" w:rsidTr="007C607C">
        <w:trPr>
          <w:trHeight w:val="300"/>
        </w:trPr>
        <w:tc>
          <w:tcPr>
            <w:tcW w:w="3240" w:type="dxa"/>
            <w:tcBorders>
              <w:top w:val="nil"/>
              <w:left w:val="nil"/>
              <w:bottom w:val="single" w:sz="8" w:space="0" w:color="7030A0"/>
              <w:right w:val="nil"/>
            </w:tcBorders>
            <w:shd w:val="clear" w:color="auto" w:fill="auto"/>
            <w:vAlign w:val="center"/>
            <w:hideMark/>
          </w:tcPr>
          <w:p w14:paraId="4A3173F1" w14:textId="77777777"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Taxe effort construction</w:t>
            </w:r>
          </w:p>
        </w:tc>
        <w:tc>
          <w:tcPr>
            <w:tcW w:w="1100" w:type="dxa"/>
            <w:tcBorders>
              <w:top w:val="nil"/>
              <w:left w:val="nil"/>
              <w:bottom w:val="single" w:sz="8" w:space="0" w:color="7030A0"/>
              <w:right w:val="nil"/>
            </w:tcBorders>
            <w:shd w:val="clear" w:color="auto" w:fill="auto"/>
            <w:vAlign w:val="center"/>
            <w:hideMark/>
          </w:tcPr>
          <w:p w14:paraId="6639BEEA" w14:textId="77777777"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41</w:t>
            </w:r>
          </w:p>
        </w:tc>
      </w:tr>
      <w:tr w:rsidR="00676ACD" w:rsidRPr="00C73365" w14:paraId="5DF8DDEB" w14:textId="77777777" w:rsidTr="007C607C">
        <w:trPr>
          <w:trHeight w:val="300"/>
        </w:trPr>
        <w:tc>
          <w:tcPr>
            <w:tcW w:w="3240" w:type="dxa"/>
            <w:tcBorders>
              <w:top w:val="nil"/>
              <w:left w:val="nil"/>
              <w:bottom w:val="single" w:sz="8" w:space="0" w:color="7030A0"/>
              <w:right w:val="nil"/>
            </w:tcBorders>
            <w:shd w:val="clear" w:color="auto" w:fill="auto"/>
            <w:vAlign w:val="center"/>
            <w:hideMark/>
          </w:tcPr>
          <w:p w14:paraId="3F43C2A0" w14:textId="77777777" w:rsidR="00676ACD" w:rsidRPr="00FE4BF9" w:rsidRDefault="00676ACD" w:rsidP="00A96CCA">
            <w:pPr>
              <w:spacing w:after="0"/>
              <w:rPr>
                <w:rFonts w:asciiTheme="minorHAnsi" w:hAnsiTheme="minorHAnsi" w:cstheme="minorHAnsi"/>
                <w:color w:val="7030A0"/>
                <w:szCs w:val="20"/>
                <w:lang w:val="fr-FR" w:eastAsia="fr-FR"/>
              </w:rPr>
            </w:pPr>
            <w:r w:rsidRPr="00FE4BF9">
              <w:rPr>
                <w:rFonts w:asciiTheme="minorHAnsi" w:hAnsiTheme="minorHAnsi" w:cstheme="minorHAnsi"/>
                <w:color w:val="7030A0"/>
                <w:szCs w:val="20"/>
                <w:lang w:val="fr-FR" w:eastAsia="fr-FR"/>
              </w:rPr>
              <w:t>Total</w:t>
            </w:r>
          </w:p>
        </w:tc>
        <w:tc>
          <w:tcPr>
            <w:tcW w:w="1100" w:type="dxa"/>
            <w:tcBorders>
              <w:top w:val="nil"/>
              <w:left w:val="nil"/>
              <w:bottom w:val="single" w:sz="8" w:space="0" w:color="7030A0"/>
              <w:right w:val="nil"/>
            </w:tcBorders>
            <w:shd w:val="clear" w:color="auto" w:fill="auto"/>
            <w:vAlign w:val="center"/>
            <w:hideMark/>
          </w:tcPr>
          <w:p w14:paraId="258E44F9" w14:textId="77777777" w:rsidR="00676ACD" w:rsidRPr="00C73365" w:rsidRDefault="00676ACD" w:rsidP="00A96CCA">
            <w:pPr>
              <w:spacing w:after="0"/>
              <w:jc w:val="right"/>
              <w:rPr>
                <w:rFonts w:asciiTheme="minorHAnsi" w:hAnsiTheme="minorHAnsi" w:cstheme="minorHAnsi"/>
                <w:color w:val="7030A0"/>
                <w:szCs w:val="20"/>
                <w:lang w:val="fr-FR" w:eastAsia="fr-FR"/>
              </w:rPr>
            </w:pPr>
            <w:r w:rsidRPr="00FE4BF9">
              <w:rPr>
                <w:rFonts w:asciiTheme="minorHAnsi" w:hAnsiTheme="minorHAnsi" w:cstheme="minorHAnsi"/>
                <w:color w:val="7030A0"/>
                <w:szCs w:val="20"/>
              </w:rPr>
              <w:t>1 637</w:t>
            </w:r>
          </w:p>
        </w:tc>
      </w:tr>
    </w:tbl>
    <w:p w14:paraId="2F667BEE" w14:textId="77777777" w:rsidR="00F46C7B" w:rsidRPr="00C73365" w:rsidRDefault="00F46C7B" w:rsidP="00A96CCA">
      <w:pPr>
        <w:spacing w:after="0"/>
        <w:ind w:right="-2"/>
        <w:rPr>
          <w:rFonts w:asciiTheme="minorHAnsi" w:eastAsia="MS Mincho" w:hAnsiTheme="minorHAnsi" w:cstheme="minorHAnsi"/>
          <w:b/>
          <w:szCs w:val="20"/>
          <w:lang w:val="fr-FR" w:eastAsia="fr-FR"/>
        </w:rPr>
      </w:pPr>
    </w:p>
    <w:p w14:paraId="09AD2119" w14:textId="77777777" w:rsidR="00F46C7B" w:rsidRPr="00C73365" w:rsidRDefault="00F46C7B" w:rsidP="00A96CCA">
      <w:pPr>
        <w:spacing w:after="0"/>
        <w:rPr>
          <w:rFonts w:asciiTheme="minorHAnsi" w:eastAsia="MS Mincho" w:hAnsiTheme="minorHAnsi" w:cstheme="minorHAnsi"/>
          <w:b/>
          <w:szCs w:val="20"/>
          <w:lang w:val="fr-FR" w:eastAsia="fr-FR"/>
        </w:rPr>
      </w:pPr>
      <w:r w:rsidRPr="00C73365">
        <w:rPr>
          <w:rFonts w:asciiTheme="minorHAnsi" w:eastAsia="MS Mincho" w:hAnsiTheme="minorHAnsi" w:cstheme="minorHAnsi"/>
          <w:b/>
          <w:szCs w:val="20"/>
          <w:lang w:val="fr-FR" w:eastAsia="fr-FR"/>
        </w:rPr>
        <w:br w:type="page"/>
      </w:r>
    </w:p>
    <w:p w14:paraId="51DB6212"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10 – FRAIS DE RECHERCHE ET DEVELOPPEMENT</w:t>
      </w:r>
    </w:p>
    <w:p w14:paraId="684E29E6"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19AA42D6" w14:textId="77777777" w:rsidR="00D22228" w:rsidRPr="00C73365" w:rsidRDefault="00D22228"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Comme mentionné dans les règles et méthodes comptables, la société a comptabilisé en charges de l’exercice ses frais de recherche et développement.</w:t>
      </w:r>
    </w:p>
    <w:p w14:paraId="33D2BCE5" w14:textId="77777777" w:rsidR="00D22228" w:rsidRPr="00C73365" w:rsidRDefault="00D22228"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total de ces dépenses s’est élevé à </w:t>
      </w:r>
      <w:r w:rsidR="00676ACD" w:rsidRPr="00C73365">
        <w:rPr>
          <w:rFonts w:asciiTheme="minorHAnsi" w:eastAsia="MS Mincho" w:hAnsiTheme="minorHAnsi" w:cstheme="minorHAnsi"/>
          <w:lang w:val="fr-FR" w:eastAsia="fr-FR"/>
        </w:rPr>
        <w:t>10 846</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contre 15 </w:t>
      </w:r>
      <w:r w:rsidR="00676ACD" w:rsidRPr="00C73365">
        <w:rPr>
          <w:rFonts w:asciiTheme="minorHAnsi" w:eastAsia="MS Mincho" w:hAnsiTheme="minorHAnsi" w:cstheme="minorHAnsi"/>
          <w:lang w:val="fr-FR" w:eastAsia="fr-FR"/>
        </w:rPr>
        <w:t xml:space="preserve">459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2016</w:t>
      </w:r>
      <w:r w:rsidRPr="00C73365">
        <w:rPr>
          <w:rFonts w:asciiTheme="minorHAnsi" w:eastAsia="MS Mincho" w:hAnsiTheme="minorHAnsi" w:cstheme="minorHAnsi"/>
          <w:lang w:val="fr-FR" w:eastAsia="fr-FR"/>
        </w:rPr>
        <w:t>.</w:t>
      </w:r>
    </w:p>
    <w:p w14:paraId="36A57D07" w14:textId="77777777" w:rsidR="00D22228" w:rsidRPr="00C73365" w:rsidRDefault="00D22228"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Parmi ces frais de recherche et développement, une partie a été sous-traitée à des partenaires. </w:t>
      </w:r>
    </w:p>
    <w:p w14:paraId="05BA353C" w14:textId="77777777" w:rsidR="00D22228" w:rsidRPr="00C73365" w:rsidRDefault="00D22228"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 ces frais sous-traités est de </w:t>
      </w:r>
      <w:r w:rsidR="00676ACD" w:rsidRPr="00C73365">
        <w:rPr>
          <w:rFonts w:asciiTheme="minorHAnsi" w:eastAsia="MS Mincho" w:hAnsiTheme="minorHAnsi" w:cstheme="minorHAnsi"/>
          <w:lang w:val="fr-FR" w:eastAsia="fr-FR"/>
        </w:rPr>
        <w:t>6 318</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contre 10 </w:t>
      </w:r>
      <w:r w:rsidR="00676ACD" w:rsidRPr="00C73365">
        <w:rPr>
          <w:rFonts w:asciiTheme="minorHAnsi" w:eastAsia="MS Mincho" w:hAnsiTheme="minorHAnsi" w:cstheme="minorHAnsi"/>
          <w:lang w:val="fr-FR" w:eastAsia="fr-FR"/>
        </w:rPr>
        <w:t xml:space="preserve">556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2016</w:t>
      </w:r>
      <w:r w:rsidRPr="00C73365">
        <w:rPr>
          <w:rFonts w:asciiTheme="minorHAnsi" w:eastAsia="MS Mincho" w:hAnsiTheme="minorHAnsi" w:cstheme="minorHAnsi"/>
          <w:lang w:val="fr-FR" w:eastAsia="fr-FR"/>
        </w:rPr>
        <w:t>.</w:t>
      </w:r>
    </w:p>
    <w:p w14:paraId="53990168"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14:paraId="2FD7DEFB" w14:textId="77777777" w:rsidR="00F46C7B" w:rsidRPr="00C73365" w:rsidRDefault="00F46C7B" w:rsidP="00A96CCA">
      <w:pPr>
        <w:spacing w:after="0"/>
        <w:ind w:right="-2"/>
        <w:rPr>
          <w:rFonts w:asciiTheme="minorHAnsi" w:eastAsia="MS Mincho" w:hAnsiTheme="minorHAnsi" w:cstheme="minorHAnsi"/>
          <w:b/>
          <w:color w:val="7030A0"/>
          <w:sz w:val="28"/>
          <w:szCs w:val="20"/>
          <w:highlight w:val="lightGray"/>
          <w:lang w:val="fr-FR" w:eastAsia="fr-FR"/>
        </w:rPr>
      </w:pPr>
    </w:p>
    <w:p w14:paraId="079201C1" w14:textId="77777777" w:rsidR="00F46C7B" w:rsidRPr="00C73365" w:rsidRDefault="00F46C7B" w:rsidP="00A96CCA">
      <w:pPr>
        <w:spacing w:after="0"/>
        <w:ind w:right="-2"/>
        <w:rPr>
          <w:rFonts w:asciiTheme="minorHAnsi" w:eastAsia="MS Mincho" w:hAnsiTheme="minorHAnsi" w:cstheme="minorHAnsi"/>
          <w:b/>
          <w:color w:val="7030A0"/>
          <w:sz w:val="28"/>
          <w:szCs w:val="20"/>
          <w:highlight w:val="lightGray"/>
          <w:lang w:val="fr-FR" w:eastAsia="fr-FR"/>
        </w:rPr>
      </w:pPr>
      <w:r w:rsidRPr="00C73365">
        <w:rPr>
          <w:rFonts w:asciiTheme="minorHAnsi" w:eastAsia="MS Mincho" w:hAnsiTheme="minorHAnsi" w:cstheme="minorHAnsi"/>
          <w:b/>
          <w:color w:val="7030A0"/>
          <w:sz w:val="28"/>
          <w:szCs w:val="20"/>
          <w:highlight w:val="lightGray"/>
          <w:lang w:val="fr-FR" w:eastAsia="fr-FR"/>
        </w:rPr>
        <w:br w:type="page"/>
      </w:r>
    </w:p>
    <w:p w14:paraId="0759EFEE"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11 – IMPOTS SUR LES SOCIETES</w:t>
      </w:r>
    </w:p>
    <w:p w14:paraId="20563463"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262472EA"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Crédit d’impôt recherche</w:t>
      </w:r>
    </w:p>
    <w:p w14:paraId="5F593048"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ayant une activité de recherche et développement, elle bénéficie du crédit d’impôt recherche.</w:t>
      </w:r>
    </w:p>
    <w:p w14:paraId="7B9E199D"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CIR 2014, d’un montant de 1 595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 été mobilisé au cours du premier semestre 2015. La société étant considérée comme une PME au sens communautaire du terme, elle en a demandé le remboursement lors du dépôt de sa liasse fiscale et de la déclaration de Crédit d’Impôt Recherche.</w:t>
      </w:r>
    </w:p>
    <w:p w14:paraId="7B49859B"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En 2015, la société avait fait préfinancer son CIR 2014. Du fait des garanties du préfinanceur, il existe encore des montants à recouvrer qui seront restitués si il n’y a pas de contestation pour un montant total de 122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14:paraId="4E9788F6" w14:textId="77777777" w:rsidR="00F46C7B" w:rsidRPr="00C73365" w:rsidRDefault="00AE00E9"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opérations n’ont pas d’impact sur les comptes annuels 2017.</w:t>
      </w:r>
    </w:p>
    <w:p w14:paraId="266E36BC" w14:textId="77777777" w:rsidR="00AE00E9" w:rsidRPr="00C73365" w:rsidRDefault="00AE00E9"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du Crédit d’impôt recherche pour l’année 2016 était de 3 519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Son remboursement a été obtenu au cours du second semestre 2017.</w:t>
      </w:r>
    </w:p>
    <w:p w14:paraId="6D369D51" w14:textId="77777777" w:rsidR="00AE00E9" w:rsidRPr="00C73365" w:rsidRDefault="00AE00E9"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L’activité de recherche et développement de la société au cours de l’année civile 2017 a permis de calculer un crédit d’impôt recherche de 2 632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14:paraId="633E1027" w14:textId="77777777" w:rsidR="00AE00E9" w:rsidRPr="00C73365" w:rsidRDefault="00AE00E9"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correspondant aux rémunérations éligibles de l’année civile 2016 a été constaté en autres créances pour un montant de 15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Conformément à la recommandation de l’Autorité des </w:t>
      </w:r>
      <w:r w:rsidRPr="00C73365">
        <w:rPr>
          <w:rFonts w:asciiTheme="minorHAnsi" w:eastAsia="MS Mincho" w:hAnsiTheme="minorHAnsi" w:cstheme="minorHAnsi"/>
          <w:lang w:val="fr-FR" w:eastAsia="fr-FR"/>
        </w:rPr>
        <w:t>Normes Comptables, le produit correspondant a été porté au crédit des charges sociales dans le compte de résultat et son remboursement a été obtenu au second semestre 2017.</w:t>
      </w:r>
    </w:p>
    <w:p w14:paraId="5EFE9F61" w14:textId="77777777" w:rsidR="00AE00E9" w:rsidRPr="00C73365" w:rsidRDefault="00AE00E9"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pour l’année civile 2017 est de 12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a été constaté en autres créances et au crédit des charges sociales sur la période.</w:t>
      </w:r>
    </w:p>
    <w:p w14:paraId="693525B3"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Impôts sur les sociétés</w:t>
      </w:r>
    </w:p>
    <w:p w14:paraId="36F43F96" w14:textId="77777777" w:rsidR="00AE00E9" w:rsidRPr="00C73365" w:rsidRDefault="00AE00E9"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étant déficitaire, elle ne supporte pas de charge d’impôt. Le montant comptabilisé en résultat sur la ligne « impôts sur les bénéfices » correspond au produit du crédit impôt recherche.</w:t>
      </w:r>
    </w:p>
    <w:p w14:paraId="5338251F" w14:textId="77777777" w:rsidR="00755C0C" w:rsidRPr="00C73365" w:rsidRDefault="00AE00E9"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fiscaux et amortissements reportables dont dispose la société s’établissent à </w:t>
      </w:r>
      <w:r w:rsidR="00755C0C" w:rsidRPr="00C73365">
        <w:rPr>
          <w:rFonts w:asciiTheme="minorHAnsi" w:hAnsiTheme="minorHAnsi" w:cstheme="minorHAnsi"/>
          <w:szCs w:val="22"/>
          <w:lang w:val="fr-FR"/>
        </w:rPr>
        <w:t xml:space="preserve">87 289 </w:t>
      </w:r>
      <w:r w:rsidR="00EF089C" w:rsidRPr="00C73365">
        <w:rPr>
          <w:rFonts w:asciiTheme="minorHAnsi" w:hAnsiTheme="minorHAnsi" w:cstheme="minorHAnsi"/>
          <w:szCs w:val="22"/>
          <w:lang w:val="fr-FR"/>
        </w:rPr>
        <w:t>K€</w:t>
      </w:r>
      <w:r w:rsidR="00755C0C" w:rsidRPr="00C73365">
        <w:rPr>
          <w:rFonts w:asciiTheme="minorHAnsi" w:hAnsiTheme="minorHAnsi" w:cstheme="minorHAnsi"/>
          <w:szCs w:val="22"/>
          <w:lang w:val="fr-FR"/>
        </w:rPr>
        <w:t xml:space="preserve"> </w:t>
      </w:r>
      <w:r w:rsidRPr="00C73365">
        <w:rPr>
          <w:rFonts w:asciiTheme="minorHAnsi" w:eastAsia="MS Mincho" w:hAnsiTheme="minorHAnsi" w:cstheme="minorHAnsi"/>
          <w:lang w:val="fr-FR" w:eastAsia="fr-FR"/>
        </w:rPr>
        <w:t>au 31 décembre 2017.</w:t>
      </w:r>
    </w:p>
    <w:p w14:paraId="2BF508FA" w14:textId="77777777" w:rsidR="00AE00E9" w:rsidRPr="00C73365" w:rsidRDefault="00AE00E9"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existants chez les trois sociétés confondues (SPLICOS, WITTYCELL et ZOPHIS), qui s’élevaient à 26 021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à la date de réalisation des opérations de dissolutions-confusions ont fait l’objet de demandes d’agrément auprès de l’administration fiscale post-opérations.  Le total des agréments obtenus s’élève à 22 531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72663C2E" w14:textId="77777777" w:rsidR="00F46C7B" w:rsidRPr="00C73365" w:rsidRDefault="00AE00E9" w:rsidP="004572A0">
      <w:pPr>
        <w:pStyle w:val="Corpsdetexte"/>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L’imputation de ces déficits est plafonnée à 50% du bénéfice imposable de l’exercice, cette limitation est applicable à la fraction des bénéfices qui excède 1 million d’euros. Le solde non utilisé du déficit reste reportable sur les exercices suivants, et est imputable dans les mêmes conditions sans limitation dans le temps.</w:t>
      </w:r>
      <w:r w:rsidR="00F46C7B" w:rsidRPr="00C73365">
        <w:rPr>
          <w:rFonts w:asciiTheme="minorHAnsi" w:eastAsia="MS Mincho" w:hAnsiTheme="minorHAnsi" w:cstheme="minorHAnsi"/>
          <w:highlight w:val="lightGray"/>
          <w:lang w:val="fr-FR" w:eastAsia="fr-FR"/>
        </w:rPr>
        <w:br w:type="page"/>
      </w:r>
    </w:p>
    <w:p w14:paraId="571F96FD"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14:paraId="71F03F80"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12 – ELEMENTS CONCERNANT LES PARTIES LIEES</w:t>
      </w:r>
    </w:p>
    <w:p w14:paraId="28C0F84E" w14:textId="77777777" w:rsidR="00F46C7B" w:rsidRPr="00C73365" w:rsidRDefault="00F46C7B" w:rsidP="004572A0">
      <w:pPr>
        <w:pStyle w:val="Corpsdetexte"/>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space="397"/>
          <w:docGrid w:linePitch="360"/>
        </w:sectPr>
      </w:pPr>
    </w:p>
    <w:p w14:paraId="0E0283E8"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Eléments du bilan</w:t>
      </w:r>
    </w:p>
    <w:tbl>
      <w:tblPr>
        <w:tblW w:w="4573" w:type="dxa"/>
        <w:tblCellMar>
          <w:left w:w="70" w:type="dxa"/>
          <w:right w:w="70" w:type="dxa"/>
        </w:tblCellMar>
        <w:tblLook w:val="04A0" w:firstRow="1" w:lastRow="0" w:firstColumn="1" w:lastColumn="0" w:noHBand="0" w:noVBand="1"/>
      </w:tblPr>
      <w:tblGrid>
        <w:gridCol w:w="1906"/>
        <w:gridCol w:w="148"/>
        <w:gridCol w:w="1163"/>
        <w:gridCol w:w="148"/>
        <w:gridCol w:w="12"/>
        <w:gridCol w:w="1196"/>
      </w:tblGrid>
      <w:tr w:rsidR="00F46C7B" w:rsidRPr="00036317" w14:paraId="0E7B303E" w14:textId="77777777" w:rsidTr="007C607C">
        <w:trPr>
          <w:trHeight w:val="554"/>
        </w:trPr>
        <w:tc>
          <w:tcPr>
            <w:tcW w:w="1906" w:type="dxa"/>
            <w:tcBorders>
              <w:top w:val="single" w:sz="12" w:space="0" w:color="7030A0"/>
              <w:left w:val="nil"/>
              <w:bottom w:val="single" w:sz="8" w:space="0" w:color="7030A0"/>
              <w:right w:val="nil"/>
            </w:tcBorders>
            <w:shd w:val="clear" w:color="auto" w:fill="auto"/>
            <w:vAlign w:val="center"/>
            <w:hideMark/>
          </w:tcPr>
          <w:p w14:paraId="118B1E45"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48" w:type="dxa"/>
            <w:tcBorders>
              <w:top w:val="nil"/>
              <w:left w:val="nil"/>
              <w:bottom w:val="nil"/>
              <w:right w:val="nil"/>
            </w:tcBorders>
            <w:shd w:val="clear" w:color="auto" w:fill="auto"/>
            <w:vAlign w:val="center"/>
            <w:hideMark/>
          </w:tcPr>
          <w:p w14:paraId="2114FF61"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163" w:type="dxa"/>
            <w:tcBorders>
              <w:top w:val="single" w:sz="12" w:space="0" w:color="7030A0"/>
              <w:left w:val="nil"/>
              <w:bottom w:val="single" w:sz="8" w:space="0" w:color="7030A0"/>
              <w:right w:val="nil"/>
            </w:tcBorders>
            <w:shd w:val="clear" w:color="auto" w:fill="auto"/>
            <w:vAlign w:val="center"/>
            <w:hideMark/>
          </w:tcPr>
          <w:p w14:paraId="3D95FC90"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Entreprises liées</w:t>
            </w:r>
          </w:p>
        </w:tc>
        <w:tc>
          <w:tcPr>
            <w:tcW w:w="148" w:type="dxa"/>
            <w:tcBorders>
              <w:top w:val="nil"/>
              <w:left w:val="nil"/>
              <w:bottom w:val="nil"/>
              <w:right w:val="nil"/>
            </w:tcBorders>
            <w:shd w:val="clear" w:color="auto" w:fill="auto"/>
            <w:vAlign w:val="center"/>
            <w:hideMark/>
          </w:tcPr>
          <w:p w14:paraId="3E06EF5D"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08" w:type="dxa"/>
            <w:gridSpan w:val="2"/>
            <w:tcBorders>
              <w:top w:val="single" w:sz="12" w:space="0" w:color="7030A0"/>
              <w:left w:val="nil"/>
              <w:bottom w:val="single" w:sz="8" w:space="0" w:color="7030A0"/>
              <w:right w:val="nil"/>
            </w:tcBorders>
            <w:shd w:val="clear" w:color="auto" w:fill="auto"/>
            <w:vAlign w:val="center"/>
            <w:hideMark/>
          </w:tcPr>
          <w:p w14:paraId="2B198E77"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Entreprises avec un lien de participation</w:t>
            </w:r>
          </w:p>
        </w:tc>
      </w:tr>
      <w:tr w:rsidR="00F46C7B" w:rsidRPr="00C73365" w14:paraId="4FCCBC10" w14:textId="77777777" w:rsidTr="007C607C">
        <w:trPr>
          <w:trHeight w:val="244"/>
        </w:trPr>
        <w:tc>
          <w:tcPr>
            <w:tcW w:w="1906" w:type="dxa"/>
            <w:tcBorders>
              <w:top w:val="nil"/>
              <w:left w:val="nil"/>
              <w:bottom w:val="single" w:sz="8" w:space="0" w:color="7030A0"/>
              <w:right w:val="nil"/>
            </w:tcBorders>
            <w:shd w:val="clear" w:color="auto" w:fill="auto"/>
            <w:vAlign w:val="center"/>
            <w:hideMark/>
          </w:tcPr>
          <w:p w14:paraId="26F6792A" w14:textId="77777777"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Total Immobilisations</w:t>
            </w:r>
          </w:p>
        </w:tc>
        <w:tc>
          <w:tcPr>
            <w:tcW w:w="148" w:type="dxa"/>
            <w:tcBorders>
              <w:top w:val="nil"/>
              <w:left w:val="nil"/>
              <w:bottom w:val="nil"/>
              <w:right w:val="nil"/>
            </w:tcBorders>
            <w:shd w:val="clear" w:color="auto" w:fill="auto"/>
            <w:vAlign w:val="center"/>
            <w:hideMark/>
          </w:tcPr>
          <w:p w14:paraId="58931467" w14:textId="77777777"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14:paraId="1D828C96" w14:textId="77777777"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385623" w:themeColor="accent6" w:themeShade="80"/>
              </w:rPr>
              <w:t> </w:t>
            </w:r>
          </w:p>
        </w:tc>
        <w:tc>
          <w:tcPr>
            <w:tcW w:w="160" w:type="dxa"/>
            <w:gridSpan w:val="2"/>
            <w:tcBorders>
              <w:top w:val="nil"/>
              <w:left w:val="nil"/>
              <w:bottom w:val="nil"/>
              <w:right w:val="nil"/>
            </w:tcBorders>
            <w:shd w:val="clear" w:color="auto" w:fill="auto"/>
            <w:vAlign w:val="center"/>
            <w:hideMark/>
          </w:tcPr>
          <w:p w14:paraId="34580FD0" w14:textId="77777777"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14:paraId="316376AE" w14:textId="77777777" w:rsidR="00F46C7B" w:rsidRPr="00C73365" w:rsidRDefault="00F46C7B" w:rsidP="00A96CCA">
            <w:pPr>
              <w:spacing w:after="0"/>
              <w:ind w:left="-447" w:firstLine="447"/>
              <w:jc w:val="right"/>
              <w:rPr>
                <w:rFonts w:asciiTheme="minorHAnsi" w:hAnsiTheme="minorHAnsi" w:cstheme="minorHAnsi"/>
                <w:color w:val="7030A0"/>
                <w:szCs w:val="20"/>
                <w:lang w:val="fr-FR" w:eastAsia="fr-FR"/>
              </w:rPr>
            </w:pPr>
            <w:r w:rsidRPr="00C73365">
              <w:rPr>
                <w:rFonts w:asciiTheme="minorHAnsi" w:hAnsiTheme="minorHAnsi" w:cstheme="minorHAnsi"/>
                <w:color w:val="385623" w:themeColor="accent6" w:themeShade="80"/>
              </w:rPr>
              <w:t> </w:t>
            </w:r>
          </w:p>
        </w:tc>
      </w:tr>
      <w:tr w:rsidR="00F46C7B" w:rsidRPr="00C73365" w14:paraId="10A49DD4" w14:textId="77777777" w:rsidTr="007C607C">
        <w:trPr>
          <w:trHeight w:val="244"/>
        </w:trPr>
        <w:tc>
          <w:tcPr>
            <w:tcW w:w="1906" w:type="dxa"/>
            <w:tcBorders>
              <w:top w:val="nil"/>
              <w:left w:val="nil"/>
              <w:bottom w:val="single" w:sz="8" w:space="0" w:color="7030A0"/>
              <w:right w:val="nil"/>
            </w:tcBorders>
            <w:shd w:val="clear" w:color="auto" w:fill="auto"/>
            <w:vAlign w:val="center"/>
            <w:hideMark/>
          </w:tcPr>
          <w:p w14:paraId="7C579D42" w14:textId="77777777"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rPr>
              <w:t>Avances et acomptes versés sur commandes</w:t>
            </w:r>
          </w:p>
        </w:tc>
        <w:tc>
          <w:tcPr>
            <w:tcW w:w="148" w:type="dxa"/>
            <w:tcBorders>
              <w:top w:val="nil"/>
              <w:left w:val="nil"/>
              <w:bottom w:val="nil"/>
              <w:right w:val="nil"/>
            </w:tcBorders>
            <w:shd w:val="clear" w:color="auto" w:fill="auto"/>
            <w:vAlign w:val="center"/>
            <w:hideMark/>
          </w:tcPr>
          <w:p w14:paraId="4838D8F3" w14:textId="77777777"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14:paraId="47E7B260" w14:textId="77777777"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000000"/>
              </w:rPr>
              <w:t>0</w:t>
            </w:r>
          </w:p>
        </w:tc>
        <w:tc>
          <w:tcPr>
            <w:tcW w:w="160" w:type="dxa"/>
            <w:gridSpan w:val="2"/>
            <w:tcBorders>
              <w:top w:val="nil"/>
              <w:left w:val="nil"/>
              <w:bottom w:val="nil"/>
              <w:right w:val="nil"/>
            </w:tcBorders>
            <w:shd w:val="clear" w:color="auto" w:fill="auto"/>
            <w:vAlign w:val="center"/>
            <w:hideMark/>
          </w:tcPr>
          <w:p w14:paraId="1EB2ED63" w14:textId="77777777"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14:paraId="5149A0A4" w14:textId="77777777" w:rsidR="00F46C7B" w:rsidRPr="00C73365" w:rsidRDefault="00F46C7B" w:rsidP="00A96CCA">
            <w:pPr>
              <w:spacing w:after="0"/>
              <w:ind w:left="-447" w:firstLine="447"/>
              <w:jc w:val="right"/>
              <w:rPr>
                <w:rFonts w:asciiTheme="minorHAnsi" w:hAnsiTheme="minorHAnsi" w:cstheme="minorHAnsi"/>
                <w:color w:val="7030A0"/>
                <w:szCs w:val="20"/>
                <w:lang w:val="fr-FR" w:eastAsia="fr-FR"/>
              </w:rPr>
            </w:pPr>
            <w:r w:rsidRPr="00C73365">
              <w:rPr>
                <w:rFonts w:asciiTheme="minorHAnsi" w:hAnsiTheme="minorHAnsi" w:cstheme="minorHAnsi"/>
                <w:color w:val="000000"/>
              </w:rPr>
              <w:t> </w:t>
            </w:r>
          </w:p>
        </w:tc>
      </w:tr>
      <w:tr w:rsidR="00F46C7B" w:rsidRPr="00C73365" w14:paraId="06232987" w14:textId="77777777" w:rsidTr="007C607C">
        <w:trPr>
          <w:trHeight w:val="244"/>
        </w:trPr>
        <w:tc>
          <w:tcPr>
            <w:tcW w:w="1906" w:type="dxa"/>
            <w:tcBorders>
              <w:top w:val="nil"/>
              <w:left w:val="nil"/>
              <w:bottom w:val="single" w:sz="8" w:space="0" w:color="7030A0"/>
              <w:right w:val="nil"/>
            </w:tcBorders>
            <w:shd w:val="clear" w:color="auto" w:fill="auto"/>
            <w:noWrap/>
            <w:vAlign w:val="center"/>
            <w:hideMark/>
          </w:tcPr>
          <w:p w14:paraId="16479739" w14:textId="77777777"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Total Créances</w:t>
            </w:r>
          </w:p>
        </w:tc>
        <w:tc>
          <w:tcPr>
            <w:tcW w:w="148" w:type="dxa"/>
            <w:tcBorders>
              <w:top w:val="nil"/>
              <w:left w:val="nil"/>
              <w:right w:val="nil"/>
            </w:tcBorders>
            <w:shd w:val="clear" w:color="auto" w:fill="auto"/>
            <w:noWrap/>
            <w:vAlign w:val="center"/>
            <w:hideMark/>
          </w:tcPr>
          <w:p w14:paraId="53812AF1" w14:textId="77777777"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14:paraId="1D593319" w14:textId="77777777"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rPr>
              <w:t>0</w:t>
            </w:r>
          </w:p>
        </w:tc>
        <w:tc>
          <w:tcPr>
            <w:tcW w:w="160" w:type="dxa"/>
            <w:gridSpan w:val="2"/>
            <w:tcBorders>
              <w:top w:val="nil"/>
              <w:left w:val="nil"/>
              <w:right w:val="nil"/>
            </w:tcBorders>
            <w:shd w:val="clear" w:color="auto" w:fill="auto"/>
            <w:vAlign w:val="center"/>
            <w:hideMark/>
          </w:tcPr>
          <w:p w14:paraId="020A0DDE" w14:textId="77777777"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14:paraId="56C2B193" w14:textId="77777777" w:rsidR="00F46C7B" w:rsidRPr="00C73365" w:rsidRDefault="00F46C7B" w:rsidP="00A96CCA">
            <w:pPr>
              <w:spacing w:after="0"/>
              <w:ind w:left="-447" w:firstLine="447"/>
              <w:rPr>
                <w:rFonts w:asciiTheme="minorHAnsi" w:hAnsiTheme="minorHAnsi" w:cstheme="minorHAnsi"/>
                <w:color w:val="000000"/>
                <w:szCs w:val="20"/>
                <w:lang w:val="fr-FR" w:eastAsia="fr-FR"/>
              </w:rPr>
            </w:pPr>
            <w:r w:rsidRPr="00C73365">
              <w:rPr>
                <w:rFonts w:asciiTheme="minorHAnsi" w:hAnsiTheme="minorHAnsi" w:cstheme="minorHAnsi"/>
                <w:color w:val="385623" w:themeColor="accent6" w:themeShade="80"/>
              </w:rPr>
              <w:t> </w:t>
            </w:r>
          </w:p>
        </w:tc>
      </w:tr>
      <w:tr w:rsidR="00F46C7B" w:rsidRPr="00C73365" w14:paraId="5191DED9" w14:textId="77777777" w:rsidTr="007C607C">
        <w:trPr>
          <w:trHeight w:val="322"/>
        </w:trPr>
        <w:tc>
          <w:tcPr>
            <w:tcW w:w="1906" w:type="dxa"/>
            <w:tcBorders>
              <w:top w:val="nil"/>
              <w:left w:val="nil"/>
              <w:bottom w:val="single" w:sz="8" w:space="0" w:color="7030A0"/>
              <w:right w:val="nil"/>
            </w:tcBorders>
            <w:shd w:val="clear" w:color="auto" w:fill="auto"/>
            <w:vAlign w:val="center"/>
            <w:hideMark/>
          </w:tcPr>
          <w:p w14:paraId="0DFCD159" w14:textId="77777777"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color w:val="000000"/>
                <w:szCs w:val="20"/>
                <w:lang w:val="fr-FR"/>
              </w:rPr>
              <w:t>Dettes fournisseurs et comptes rattachés</w:t>
            </w:r>
          </w:p>
        </w:tc>
        <w:tc>
          <w:tcPr>
            <w:tcW w:w="148" w:type="dxa"/>
            <w:tcBorders>
              <w:top w:val="nil"/>
              <w:left w:val="nil"/>
              <w:right w:val="nil"/>
            </w:tcBorders>
            <w:shd w:val="clear" w:color="auto" w:fill="auto"/>
            <w:vAlign w:val="center"/>
            <w:hideMark/>
          </w:tcPr>
          <w:p w14:paraId="36F80ABD" w14:textId="77777777" w:rsidR="00F46C7B" w:rsidRPr="00C73365" w:rsidRDefault="00F46C7B" w:rsidP="00A96CCA">
            <w:pPr>
              <w:spacing w:after="0"/>
              <w:rPr>
                <w:rFonts w:asciiTheme="minorHAnsi" w:hAnsiTheme="minorHAnsi" w:cstheme="minorHAnsi"/>
                <w:b/>
                <w:bCs/>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14:paraId="64C0D278"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Cs/>
                <w:color w:val="000000" w:themeColor="text1"/>
              </w:rPr>
              <w:t>0</w:t>
            </w:r>
          </w:p>
        </w:tc>
        <w:tc>
          <w:tcPr>
            <w:tcW w:w="160" w:type="dxa"/>
            <w:gridSpan w:val="2"/>
            <w:tcBorders>
              <w:top w:val="nil"/>
              <w:left w:val="nil"/>
              <w:right w:val="nil"/>
            </w:tcBorders>
            <w:shd w:val="clear" w:color="auto" w:fill="auto"/>
            <w:vAlign w:val="center"/>
            <w:hideMark/>
          </w:tcPr>
          <w:p w14:paraId="54572F51" w14:textId="77777777"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14:paraId="2FBF1B95" w14:textId="77777777" w:rsidR="00F46C7B" w:rsidRPr="00C73365" w:rsidRDefault="00F46C7B" w:rsidP="00A96CCA">
            <w:pPr>
              <w:spacing w:after="0"/>
              <w:ind w:left="-447" w:firstLine="447"/>
              <w:jc w:val="right"/>
              <w:rPr>
                <w:rFonts w:asciiTheme="minorHAnsi" w:hAnsiTheme="minorHAnsi" w:cstheme="minorHAnsi"/>
                <w:b/>
                <w:bCs/>
                <w:color w:val="7030A0"/>
                <w:szCs w:val="20"/>
                <w:lang w:val="fr-FR" w:eastAsia="fr-FR"/>
              </w:rPr>
            </w:pPr>
          </w:p>
        </w:tc>
      </w:tr>
      <w:tr w:rsidR="00F46C7B" w:rsidRPr="00C73365" w14:paraId="06E35E3F" w14:textId="77777777" w:rsidTr="007C607C">
        <w:trPr>
          <w:trHeight w:val="322"/>
        </w:trPr>
        <w:tc>
          <w:tcPr>
            <w:tcW w:w="1906" w:type="dxa"/>
            <w:tcBorders>
              <w:top w:val="single" w:sz="8" w:space="0" w:color="7030A0"/>
              <w:left w:val="nil"/>
              <w:bottom w:val="single" w:sz="8" w:space="0" w:color="7030A0"/>
              <w:right w:val="nil"/>
            </w:tcBorders>
            <w:shd w:val="clear" w:color="auto" w:fill="auto"/>
            <w:vAlign w:val="center"/>
          </w:tcPr>
          <w:p w14:paraId="641EFBC1" w14:textId="77777777" w:rsidR="00F46C7B" w:rsidRPr="00C73365" w:rsidRDefault="00F46C7B" w:rsidP="00A96CCA">
            <w:pPr>
              <w:spacing w:after="0"/>
              <w:rPr>
                <w:rFonts w:asciiTheme="minorHAnsi" w:hAnsiTheme="minorHAnsi" w:cstheme="minorHAnsi"/>
                <w:color w:val="000000"/>
                <w:szCs w:val="20"/>
              </w:rPr>
            </w:pPr>
            <w:r w:rsidRPr="00C73365">
              <w:rPr>
                <w:rFonts w:asciiTheme="minorHAnsi" w:hAnsiTheme="minorHAnsi" w:cstheme="minorHAnsi"/>
                <w:color w:val="7030A0"/>
                <w:szCs w:val="20"/>
              </w:rPr>
              <w:t>Total Dettes</w:t>
            </w:r>
          </w:p>
        </w:tc>
        <w:tc>
          <w:tcPr>
            <w:tcW w:w="148" w:type="dxa"/>
            <w:tcBorders>
              <w:left w:val="nil"/>
              <w:right w:val="nil"/>
            </w:tcBorders>
            <w:shd w:val="clear" w:color="auto" w:fill="auto"/>
            <w:vAlign w:val="center"/>
          </w:tcPr>
          <w:p w14:paraId="13ACFB8D" w14:textId="77777777" w:rsidR="00F46C7B" w:rsidRPr="00C73365" w:rsidRDefault="00F46C7B" w:rsidP="00A96CCA">
            <w:pPr>
              <w:spacing w:after="0"/>
              <w:rPr>
                <w:rFonts w:asciiTheme="minorHAnsi" w:hAnsiTheme="minorHAnsi" w:cstheme="minorHAnsi"/>
                <w:b/>
                <w:bCs/>
                <w:color w:val="7030A0"/>
                <w:szCs w:val="20"/>
                <w:lang w:val="fr-FR" w:eastAsia="fr-FR"/>
              </w:rPr>
            </w:pPr>
          </w:p>
        </w:tc>
        <w:tc>
          <w:tcPr>
            <w:tcW w:w="1163" w:type="dxa"/>
            <w:tcBorders>
              <w:top w:val="single" w:sz="8" w:space="0" w:color="7030A0"/>
              <w:left w:val="nil"/>
              <w:bottom w:val="single" w:sz="8" w:space="0" w:color="7030A0"/>
              <w:right w:val="nil"/>
            </w:tcBorders>
            <w:shd w:val="clear" w:color="auto" w:fill="auto"/>
            <w:vAlign w:val="center"/>
          </w:tcPr>
          <w:p w14:paraId="6E3AFAEE" w14:textId="77777777" w:rsidR="00F46C7B" w:rsidRPr="00C73365" w:rsidRDefault="00F46C7B" w:rsidP="00A96CCA">
            <w:pPr>
              <w:spacing w:after="0"/>
              <w:jc w:val="right"/>
              <w:rPr>
                <w:rFonts w:asciiTheme="minorHAnsi" w:hAnsiTheme="minorHAnsi" w:cstheme="minorHAnsi"/>
                <w:bCs/>
                <w:color w:val="000000" w:themeColor="text1"/>
              </w:rPr>
            </w:pPr>
            <w:r w:rsidRPr="00C73365">
              <w:rPr>
                <w:rFonts w:asciiTheme="minorHAnsi" w:hAnsiTheme="minorHAnsi" w:cstheme="minorHAnsi"/>
                <w:color w:val="7030A0"/>
              </w:rPr>
              <w:t>0</w:t>
            </w:r>
          </w:p>
        </w:tc>
        <w:tc>
          <w:tcPr>
            <w:tcW w:w="160" w:type="dxa"/>
            <w:gridSpan w:val="2"/>
            <w:tcBorders>
              <w:left w:val="nil"/>
              <w:right w:val="nil"/>
            </w:tcBorders>
            <w:shd w:val="clear" w:color="auto" w:fill="auto"/>
            <w:vAlign w:val="center"/>
          </w:tcPr>
          <w:p w14:paraId="67B96AD4" w14:textId="77777777"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196" w:type="dxa"/>
            <w:tcBorders>
              <w:top w:val="single" w:sz="8" w:space="0" w:color="7030A0"/>
              <w:left w:val="nil"/>
              <w:bottom w:val="single" w:sz="8" w:space="0" w:color="7030A0"/>
              <w:right w:val="nil"/>
            </w:tcBorders>
            <w:shd w:val="clear" w:color="auto" w:fill="auto"/>
            <w:vAlign w:val="center"/>
          </w:tcPr>
          <w:p w14:paraId="4F443649" w14:textId="77777777" w:rsidR="00F46C7B" w:rsidRPr="00C73365" w:rsidRDefault="00F46C7B" w:rsidP="00A96CCA">
            <w:pPr>
              <w:spacing w:after="0"/>
              <w:ind w:left="-447" w:firstLine="447"/>
              <w:jc w:val="right"/>
              <w:rPr>
                <w:rFonts w:asciiTheme="minorHAnsi" w:hAnsiTheme="minorHAnsi" w:cstheme="minorHAnsi"/>
                <w:b/>
                <w:bCs/>
                <w:color w:val="7030A0"/>
                <w:szCs w:val="20"/>
                <w:lang w:val="fr-FR" w:eastAsia="fr-FR"/>
              </w:rPr>
            </w:pPr>
            <w:r w:rsidRPr="00C73365">
              <w:rPr>
                <w:rFonts w:asciiTheme="minorHAnsi" w:hAnsiTheme="minorHAnsi" w:cstheme="minorHAnsi"/>
                <w:color w:val="385623" w:themeColor="accent6" w:themeShade="80"/>
              </w:rPr>
              <w:t> </w:t>
            </w:r>
          </w:p>
        </w:tc>
      </w:tr>
    </w:tbl>
    <w:p w14:paraId="5BA3548D" w14:textId="77777777" w:rsidR="00CD558B" w:rsidRPr="00C73365" w:rsidRDefault="00CD558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br w:type="column"/>
      </w:r>
      <w:r w:rsidRPr="00C73365">
        <w:rPr>
          <w:rFonts w:asciiTheme="minorHAnsi" w:eastAsia="MS Mincho" w:hAnsiTheme="minorHAnsi" w:cstheme="minorHAnsi"/>
          <w:lang w:val="fr-FR" w:eastAsia="fr-FR"/>
        </w:rPr>
        <w:t>Relations avec les entreprises liées : NEANT</w:t>
      </w:r>
      <w:r w:rsidR="00C73492" w:rsidRPr="00C73365">
        <w:rPr>
          <w:rFonts w:asciiTheme="minorHAnsi" w:eastAsia="MS Mincho" w:hAnsiTheme="minorHAnsi" w:cstheme="minorHAnsi"/>
          <w:lang w:val="fr-FR" w:eastAsia="fr-FR"/>
        </w:rPr>
        <w:t>.</w:t>
      </w:r>
    </w:p>
    <w:p w14:paraId="23EF91DF"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et produits financiers concernant les entreprises liées</w:t>
      </w:r>
    </w:p>
    <w:p w14:paraId="38BBDA06"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Montant compris dans les charges financières : </w:t>
      </w:r>
      <w:r w:rsidR="00C73492" w:rsidRPr="00C73365">
        <w:rPr>
          <w:rFonts w:asciiTheme="minorHAnsi" w:eastAsia="MS Mincho" w:hAnsiTheme="minorHAnsi" w:cstheme="minorHAnsi"/>
          <w:lang w:val="fr-FR" w:eastAsia="fr-FR"/>
        </w:rPr>
        <w:t>NEANT</w:t>
      </w:r>
      <w:r w:rsidRPr="00C73365">
        <w:rPr>
          <w:rFonts w:asciiTheme="minorHAnsi" w:eastAsia="MS Mincho" w:hAnsiTheme="minorHAnsi" w:cstheme="minorHAnsi"/>
          <w:lang w:val="fr-FR" w:eastAsia="fr-FR"/>
        </w:rPr>
        <w:t>.</w:t>
      </w:r>
    </w:p>
    <w:p w14:paraId="19A7F2FF" w14:textId="77777777" w:rsidR="00F46C7B" w:rsidRPr="00C73365" w:rsidRDefault="00F46C7B" w:rsidP="00A96CCA">
      <w:pPr>
        <w:spacing w:after="0"/>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14:paraId="5B21D9CE"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13 – ENGAGEMENTS FINANCIERS</w:t>
      </w:r>
    </w:p>
    <w:p w14:paraId="3CADA461"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donnés</w:t>
      </w:r>
    </w:p>
    <w:tbl>
      <w:tblPr>
        <w:tblW w:w="4540" w:type="dxa"/>
        <w:tblLook w:val="04A0" w:firstRow="1" w:lastRow="0" w:firstColumn="1" w:lastColumn="0" w:noHBand="0" w:noVBand="1"/>
      </w:tblPr>
      <w:tblGrid>
        <w:gridCol w:w="3300"/>
        <w:gridCol w:w="1240"/>
      </w:tblGrid>
      <w:tr w:rsidR="00585AFB" w:rsidRPr="00C73365" w14:paraId="652A156A" w14:textId="77777777" w:rsidTr="00585AFB">
        <w:trPr>
          <w:trHeight w:val="501"/>
        </w:trPr>
        <w:tc>
          <w:tcPr>
            <w:tcW w:w="3300" w:type="dxa"/>
            <w:tcBorders>
              <w:top w:val="single" w:sz="12" w:space="0" w:color="7030A0"/>
              <w:left w:val="nil"/>
              <w:bottom w:val="single" w:sz="8" w:space="0" w:color="7030A0"/>
              <w:right w:val="nil"/>
            </w:tcBorders>
            <w:shd w:val="clear" w:color="auto" w:fill="auto"/>
            <w:vAlign w:val="center"/>
            <w:hideMark/>
          </w:tcPr>
          <w:p w14:paraId="6C87F055" w14:textId="77777777"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14:paraId="361BD794" w14:textId="77777777" w:rsidR="00585AFB" w:rsidRPr="00C73365" w:rsidRDefault="00585AFB" w:rsidP="00A96CCA">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r>
      <w:tr w:rsidR="00585AFB" w:rsidRPr="00C73365" w14:paraId="4052DCF1" w14:textId="77777777" w:rsidTr="00585AFB">
        <w:trPr>
          <w:trHeight w:val="300"/>
        </w:trPr>
        <w:tc>
          <w:tcPr>
            <w:tcW w:w="3300" w:type="dxa"/>
            <w:tcBorders>
              <w:top w:val="nil"/>
              <w:left w:val="nil"/>
              <w:bottom w:val="nil"/>
              <w:right w:val="nil"/>
            </w:tcBorders>
            <w:shd w:val="clear" w:color="auto" w:fill="auto"/>
            <w:vAlign w:val="center"/>
            <w:hideMark/>
          </w:tcPr>
          <w:p w14:paraId="1A847CBF" w14:textId="77777777" w:rsidR="00585AFB" w:rsidRPr="00C73365" w:rsidRDefault="00585AF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Engagement en matière de pensions</w:t>
            </w:r>
          </w:p>
        </w:tc>
        <w:tc>
          <w:tcPr>
            <w:tcW w:w="1240" w:type="dxa"/>
            <w:tcBorders>
              <w:top w:val="nil"/>
              <w:left w:val="nil"/>
              <w:bottom w:val="nil"/>
              <w:right w:val="nil"/>
            </w:tcBorders>
            <w:shd w:val="clear" w:color="auto" w:fill="auto"/>
            <w:vAlign w:val="center"/>
            <w:hideMark/>
          </w:tcPr>
          <w:p w14:paraId="67B25AD0" w14:textId="77777777"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270</w:t>
            </w:r>
          </w:p>
        </w:tc>
      </w:tr>
      <w:tr w:rsidR="00585AFB" w:rsidRPr="00C73365" w14:paraId="29513E33" w14:textId="77777777" w:rsidTr="00585AFB">
        <w:trPr>
          <w:trHeight w:val="288"/>
        </w:trPr>
        <w:tc>
          <w:tcPr>
            <w:tcW w:w="3300" w:type="dxa"/>
            <w:tcBorders>
              <w:top w:val="nil"/>
              <w:left w:val="nil"/>
              <w:bottom w:val="nil"/>
              <w:right w:val="nil"/>
            </w:tcBorders>
            <w:shd w:val="clear" w:color="auto" w:fill="auto"/>
            <w:vAlign w:val="center"/>
            <w:hideMark/>
          </w:tcPr>
          <w:p w14:paraId="45F2DB4C" w14:textId="77777777" w:rsidR="00585AFB" w:rsidRPr="00C73365" w:rsidRDefault="00585AF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Engagement de crédit-bail mobilier</w:t>
            </w:r>
          </w:p>
        </w:tc>
        <w:tc>
          <w:tcPr>
            <w:tcW w:w="1240" w:type="dxa"/>
            <w:tcBorders>
              <w:top w:val="nil"/>
              <w:left w:val="nil"/>
              <w:bottom w:val="nil"/>
              <w:right w:val="nil"/>
            </w:tcBorders>
            <w:shd w:val="clear" w:color="auto" w:fill="auto"/>
            <w:vAlign w:val="center"/>
            <w:hideMark/>
          </w:tcPr>
          <w:p w14:paraId="10D3D2F8" w14:textId="77777777"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w:t>
            </w:r>
          </w:p>
        </w:tc>
      </w:tr>
      <w:tr w:rsidR="00585AFB" w:rsidRPr="00C73365" w14:paraId="6509AEAF" w14:textId="77777777" w:rsidTr="00585AFB">
        <w:trPr>
          <w:trHeight w:val="300"/>
        </w:trPr>
        <w:tc>
          <w:tcPr>
            <w:tcW w:w="3300" w:type="dxa"/>
            <w:tcBorders>
              <w:top w:val="nil"/>
              <w:left w:val="nil"/>
              <w:bottom w:val="nil"/>
              <w:right w:val="nil"/>
            </w:tcBorders>
            <w:shd w:val="clear" w:color="auto" w:fill="auto"/>
            <w:vAlign w:val="center"/>
            <w:hideMark/>
          </w:tcPr>
          <w:p w14:paraId="2CCBF6A8" w14:textId="77777777" w:rsidR="00585AFB" w:rsidRPr="00C73365" w:rsidRDefault="00585AFB"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Commandes fermes</w:t>
            </w:r>
          </w:p>
        </w:tc>
        <w:tc>
          <w:tcPr>
            <w:tcW w:w="1240" w:type="dxa"/>
            <w:tcBorders>
              <w:top w:val="nil"/>
              <w:left w:val="nil"/>
              <w:bottom w:val="nil"/>
              <w:right w:val="nil"/>
            </w:tcBorders>
            <w:shd w:val="clear" w:color="auto" w:fill="auto"/>
            <w:vAlign w:val="center"/>
            <w:hideMark/>
          </w:tcPr>
          <w:p w14:paraId="27C2537D" w14:textId="77777777"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12 624</w:t>
            </w:r>
          </w:p>
        </w:tc>
      </w:tr>
      <w:tr w:rsidR="00585AFB" w:rsidRPr="00C73365" w14:paraId="3E3B3426" w14:textId="77777777" w:rsidTr="00585AFB">
        <w:trPr>
          <w:trHeight w:val="300"/>
        </w:trPr>
        <w:tc>
          <w:tcPr>
            <w:tcW w:w="3300" w:type="dxa"/>
            <w:tcBorders>
              <w:top w:val="nil"/>
              <w:left w:val="nil"/>
              <w:bottom w:val="single" w:sz="8" w:space="0" w:color="7030A0"/>
              <w:right w:val="nil"/>
            </w:tcBorders>
            <w:shd w:val="clear" w:color="auto" w:fill="auto"/>
            <w:vAlign w:val="center"/>
            <w:hideMark/>
          </w:tcPr>
          <w:p w14:paraId="3F7F6C55" w14:textId="77777777"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engagements donnés</w:t>
            </w:r>
          </w:p>
        </w:tc>
        <w:tc>
          <w:tcPr>
            <w:tcW w:w="1240" w:type="dxa"/>
            <w:tcBorders>
              <w:top w:val="nil"/>
              <w:left w:val="nil"/>
              <w:bottom w:val="single" w:sz="8" w:space="0" w:color="7030A0"/>
              <w:right w:val="nil"/>
            </w:tcBorders>
            <w:shd w:val="clear" w:color="auto" w:fill="auto"/>
            <w:vAlign w:val="center"/>
            <w:hideMark/>
          </w:tcPr>
          <w:p w14:paraId="166BBCEB" w14:textId="77777777"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12 624</w:t>
            </w:r>
          </w:p>
        </w:tc>
      </w:tr>
      <w:tr w:rsidR="00585AFB" w:rsidRPr="00C73365" w14:paraId="3A4E8E8A" w14:textId="77777777" w:rsidTr="00585AFB">
        <w:trPr>
          <w:trHeight w:val="300"/>
        </w:trPr>
        <w:tc>
          <w:tcPr>
            <w:tcW w:w="3300" w:type="dxa"/>
            <w:tcBorders>
              <w:top w:val="nil"/>
              <w:left w:val="nil"/>
              <w:bottom w:val="single" w:sz="8" w:space="0" w:color="7030A0"/>
              <w:right w:val="nil"/>
            </w:tcBorders>
            <w:shd w:val="clear" w:color="auto" w:fill="auto"/>
            <w:vAlign w:val="center"/>
            <w:hideMark/>
          </w:tcPr>
          <w:p w14:paraId="004C792A" w14:textId="77777777" w:rsidR="00585AFB" w:rsidRPr="00C73365" w:rsidRDefault="00585AF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14:paraId="10D0EE31" w14:textId="77777777" w:rsidR="00585AFB" w:rsidRPr="00C73365" w:rsidRDefault="00585AF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12 929</w:t>
            </w:r>
          </w:p>
        </w:tc>
      </w:tr>
      <w:tr w:rsidR="00585AFB" w:rsidRPr="00C73365" w14:paraId="113C3675" w14:textId="77777777" w:rsidTr="00585AFB">
        <w:trPr>
          <w:trHeight w:val="300"/>
        </w:trPr>
        <w:tc>
          <w:tcPr>
            <w:tcW w:w="3300" w:type="dxa"/>
            <w:tcBorders>
              <w:top w:val="nil"/>
              <w:left w:val="nil"/>
              <w:bottom w:val="nil"/>
              <w:right w:val="nil"/>
            </w:tcBorders>
            <w:shd w:val="clear" w:color="auto" w:fill="auto"/>
            <w:noWrap/>
            <w:vAlign w:val="center"/>
            <w:hideMark/>
          </w:tcPr>
          <w:p w14:paraId="72BF29F0" w14:textId="77777777"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Dont concernant:</w:t>
            </w:r>
          </w:p>
        </w:tc>
        <w:tc>
          <w:tcPr>
            <w:tcW w:w="1240" w:type="dxa"/>
            <w:tcBorders>
              <w:top w:val="nil"/>
              <w:left w:val="nil"/>
              <w:bottom w:val="nil"/>
              <w:right w:val="nil"/>
            </w:tcBorders>
            <w:shd w:val="clear" w:color="auto" w:fill="auto"/>
            <w:noWrap/>
            <w:vAlign w:val="bottom"/>
            <w:hideMark/>
          </w:tcPr>
          <w:p w14:paraId="2AB8DE7D" w14:textId="77777777" w:rsidR="00585AFB" w:rsidRPr="00C73365" w:rsidRDefault="00585AFB" w:rsidP="00A96CCA">
            <w:pPr>
              <w:spacing w:after="0"/>
              <w:rPr>
                <w:rFonts w:asciiTheme="minorHAnsi" w:hAnsiTheme="minorHAnsi" w:cstheme="minorHAnsi"/>
                <w:color w:val="000000"/>
                <w:szCs w:val="20"/>
              </w:rPr>
            </w:pPr>
          </w:p>
        </w:tc>
      </w:tr>
      <w:tr w:rsidR="00585AFB" w:rsidRPr="00C73365" w14:paraId="3D5056E0" w14:textId="77777777" w:rsidTr="00585AFB">
        <w:trPr>
          <w:trHeight w:val="300"/>
        </w:trPr>
        <w:tc>
          <w:tcPr>
            <w:tcW w:w="3300" w:type="dxa"/>
            <w:tcBorders>
              <w:top w:val="nil"/>
              <w:left w:val="nil"/>
              <w:bottom w:val="single" w:sz="8" w:space="0" w:color="7030A0"/>
              <w:right w:val="nil"/>
            </w:tcBorders>
            <w:shd w:val="clear" w:color="auto" w:fill="auto"/>
            <w:noWrap/>
            <w:vAlign w:val="center"/>
            <w:hideMark/>
          </w:tcPr>
          <w:p w14:paraId="4E01E033" w14:textId="77777777"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Les dirigeants</w:t>
            </w:r>
          </w:p>
        </w:tc>
        <w:tc>
          <w:tcPr>
            <w:tcW w:w="1240" w:type="dxa"/>
            <w:tcBorders>
              <w:top w:val="nil"/>
              <w:left w:val="nil"/>
              <w:bottom w:val="single" w:sz="8" w:space="0" w:color="7030A0"/>
              <w:right w:val="nil"/>
            </w:tcBorders>
            <w:shd w:val="clear" w:color="auto" w:fill="auto"/>
            <w:noWrap/>
            <w:vAlign w:val="center"/>
            <w:hideMark/>
          </w:tcPr>
          <w:p w14:paraId="3902D91F" w14:textId="77777777"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w:t>
            </w:r>
          </w:p>
        </w:tc>
      </w:tr>
    </w:tbl>
    <w:p w14:paraId="4E219655" w14:textId="77777777" w:rsidR="00F46C7B" w:rsidRPr="00C73365" w:rsidRDefault="00F46C7B" w:rsidP="00A96CCA">
      <w:pPr>
        <w:spacing w:after="0"/>
        <w:ind w:right="567"/>
        <w:rPr>
          <w:rFonts w:asciiTheme="minorHAnsi" w:eastAsia="MS Mincho" w:hAnsiTheme="minorHAnsi" w:cstheme="minorHAnsi"/>
          <w:b/>
          <w:color w:val="7030A0"/>
          <w:szCs w:val="20"/>
          <w:lang w:val="fr-FR" w:eastAsia="fr-FR"/>
        </w:rPr>
      </w:pPr>
    </w:p>
    <w:p w14:paraId="7991153D"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pris dans le cadre de contrats de licence pour l’utilisation de brevets</w:t>
      </w:r>
    </w:p>
    <w:p w14:paraId="4DE8C79C" w14:textId="77777777" w:rsidR="00585AFB" w:rsidRPr="00C73365" w:rsidRDefault="00585AF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programme de développement de plusieurs des produits de la Société s’inscrit dans le cadre d’accords de licence à long terme avec des institutions académiques et des centres de recherche pour développer ses plateformes technologiques, ainsi qu’avec des partenaires propriétaires de brevets pour compléter le portefeuille de candidats-médicaments. </w:t>
      </w:r>
    </w:p>
    <w:p w14:paraId="763E8EA6" w14:textId="77777777" w:rsidR="00585AFB" w:rsidRPr="00C73365" w:rsidRDefault="00585AF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accords comportent des engagements financiers significatifs fixes et variables. Les engagements consistant en des versements forfaitaires fixes sont conditionnés au franchissement de diverses étapes clé précisées contractuellement. La charge correspondante sera enregistrée en comptabilité une fois toutes les conditions contractuelles remplies. Les engagements variables consistent en des versements futurs de redevances calculées sur la base des revenus qui seront dégagés lors de la commercialisation des produits développés ou lors de la concession de sous-licences à des tiers.</w:t>
      </w:r>
    </w:p>
    <w:p w14:paraId="58F3747C" w14:textId="77777777" w:rsidR="00585AFB" w:rsidRPr="00C73365" w:rsidRDefault="00585AF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principaux accords de licence concernant des produits portefeuille sont les suivants : </w:t>
      </w:r>
    </w:p>
    <w:p w14:paraId="0EC88E65" w14:textId="77777777" w:rsidR="00585AFB" w:rsidRPr="00C73365" w:rsidRDefault="00585AF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Une plateforme « Antivirale », basée sur des technologies mises au point conjointement avec le CNRS (Montpellier-France) et l’Institut Curie (Orsay-France). Cette plateforme a généré une chimiothèque de plus de 1 000 petites molécules conçues pour bloquer les mécanismes de réplication virale grâce à un mode d’action entièrement nouveau, comme la modulation de l’épissage de l’ARN. En plus d’ABX464 qui inhibe la réplication du VIH, cette plateforme a généré différentes molécules ciblant d’autres virus comme la dengue qui se trouve à l’heure actuelle au stade final d’identification</w:t>
      </w:r>
    </w:p>
    <w:p w14:paraId="3F0B67E6" w14:textId="77777777" w:rsidR="00585AFB" w:rsidRPr="00C73365" w:rsidRDefault="00585AF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Une plateforme « Stimulation Immunitaire » fondée sur une propriété intellectuelle licenciée auprès du Scripps Research Institute (La Jolla, Etats-Unis). Elle s’intéresse à des composés agonistes des « iNKT » qui ont montré qu’ils stimulaient la réponse immunitaire à la fois au </w:t>
      </w:r>
      <w:r w:rsidRPr="00C73365">
        <w:rPr>
          <w:rFonts w:asciiTheme="minorHAnsi" w:eastAsia="MS Mincho" w:hAnsiTheme="minorHAnsi" w:cstheme="minorHAnsi"/>
          <w:lang w:val="fr-FR" w:eastAsia="fr-FR"/>
        </w:rPr>
        <w:t>niveau humoral et cellulaire, et qui ont potentiellement des applications cliniques en oncologie et dans le domaine des maladies infectieuses (ABX196).</w:t>
      </w:r>
    </w:p>
    <w:p w14:paraId="339DA6AA" w14:textId="77777777" w:rsidR="00585AFB" w:rsidRPr="00C73365" w:rsidRDefault="00585AF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Des données précliniques positives ont été obtenues auprès de modèles animaux dans plusieurs types de cancers dont le carcinome hépatocellulaire et le cancer de la vessie, avec le composé immunostimulant, ABX196, qui a démontré sa capacité à transformer les tumeurs non-répondants aux inhibiteurs de points de contrôle (checkpoint inhibitors) en tumeurs répondantes. Puisqu’</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n’envisage pas de poursuivre son développement en oncologie, la société cherche actuellement un partenaire extérieur pour le développement de cette molécule.</w:t>
      </w:r>
    </w:p>
    <w:p w14:paraId="420FA5DE" w14:textId="77777777" w:rsidR="00585AFB" w:rsidRPr="00C73365" w:rsidRDefault="00585AF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Depuis 2013,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a établi un partenariat avec le Centre d’Ingénierie en Génétique et Biotechnologie (CIGB) de Cuba, avec lequel elle codéveloppe </w:t>
      </w:r>
      <w:r w:rsidR="00E32CFE" w:rsidRPr="00C73365">
        <w:rPr>
          <w:rFonts w:asciiTheme="minorHAnsi" w:eastAsia="MS Mincho" w:hAnsiTheme="minorHAnsi" w:cstheme="minorHAnsi"/>
          <w:lang w:val="fr-FR" w:eastAsia="fr-FR"/>
        </w:rPr>
        <w:t>ABX203</w:t>
      </w:r>
      <w:r w:rsidRPr="00C73365">
        <w:rPr>
          <w:rFonts w:asciiTheme="minorHAnsi" w:eastAsia="MS Mincho" w:hAnsiTheme="minorHAnsi" w:cstheme="minorHAnsi"/>
          <w:lang w:val="fr-FR" w:eastAsia="fr-FR"/>
        </w:rPr>
        <w:t>, candidat médicament contre l’Hépatite B Chronique, dont le développement est suspendu depuis le 2</w:t>
      </w:r>
      <w:r w:rsidRPr="00C73365">
        <w:rPr>
          <w:rFonts w:asciiTheme="minorHAnsi" w:eastAsia="MS Mincho" w:hAnsiTheme="minorHAnsi" w:cstheme="minorHAnsi"/>
          <w:vertAlign w:val="superscript"/>
          <w:lang w:val="fr-FR" w:eastAsia="fr-FR"/>
        </w:rPr>
        <w:t>nd</w:t>
      </w:r>
      <w:r w:rsidRPr="00C73365">
        <w:rPr>
          <w:rFonts w:asciiTheme="minorHAnsi" w:eastAsia="MS Mincho" w:hAnsiTheme="minorHAnsi" w:cstheme="minorHAnsi"/>
          <w:lang w:val="fr-FR" w:eastAsia="fr-FR"/>
        </w:rPr>
        <w:t xml:space="preserve"> semestre 2016.</w:t>
      </w:r>
    </w:p>
    <w:p w14:paraId="6D5B14E1"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Commandes fermes</w:t>
      </w:r>
    </w:p>
    <w:p w14:paraId="5A3CF6C5"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Pour conduire ses programmes de développement, la Société est fréquemment amenée à conclure des accords de collaboration avec des partenaires ou des sous-traitants, publics et privés. Du fait de la durée des programmes, ces accords peuvent être pluriannuels et comporter des engagements financiers significatifs.</w:t>
      </w:r>
    </w:p>
    <w:p w14:paraId="6FD3C74B"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commandes engagées mais non livrées (et donc non comptabilisées en factures à recevoir ou en fournisseurs) a été estimé à </w:t>
      </w:r>
      <w:r w:rsidR="00585AFB" w:rsidRPr="00C73365">
        <w:rPr>
          <w:rFonts w:asciiTheme="minorHAnsi" w:eastAsia="MS Mincho" w:hAnsiTheme="minorHAnsi" w:cstheme="minorHAnsi"/>
          <w:lang w:val="fr-FR" w:eastAsia="fr-FR"/>
        </w:rPr>
        <w:t>1</w:t>
      </w:r>
      <w:r w:rsidR="00C73492" w:rsidRPr="00C73365">
        <w:rPr>
          <w:rFonts w:asciiTheme="minorHAnsi" w:eastAsia="MS Mincho" w:hAnsiTheme="minorHAnsi" w:cstheme="minorHAnsi"/>
          <w:lang w:val="fr-FR" w:eastAsia="fr-FR"/>
        </w:rPr>
        <w:t>2</w:t>
      </w:r>
      <w:r w:rsidR="00585AFB" w:rsidRPr="00C73365">
        <w:rPr>
          <w:rFonts w:asciiTheme="minorHAnsi" w:eastAsia="MS Mincho" w:hAnsiTheme="minorHAnsi" w:cstheme="minorHAnsi"/>
          <w:lang w:val="fr-FR" w:eastAsia="fr-FR"/>
        </w:rPr>
        <w:t xml:space="preserve"> 624</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au 3</w:t>
      </w:r>
      <w:r w:rsidR="00984B04" w:rsidRPr="00C73365">
        <w:rPr>
          <w:rFonts w:asciiTheme="minorHAnsi" w:eastAsia="MS Mincho" w:hAnsiTheme="minorHAnsi" w:cstheme="minorHAnsi"/>
          <w:lang w:val="fr-FR" w:eastAsia="fr-FR"/>
        </w:rPr>
        <w:t>1</w:t>
      </w:r>
      <w:r w:rsidRPr="00C73365">
        <w:rPr>
          <w:rFonts w:asciiTheme="minorHAnsi" w:eastAsia="MS Mincho" w:hAnsiTheme="minorHAnsi" w:cstheme="minorHAnsi"/>
          <w:lang w:val="fr-FR" w:eastAsia="fr-FR"/>
        </w:rPr>
        <w:t xml:space="preserve"> </w:t>
      </w:r>
      <w:r w:rsidR="00984B04" w:rsidRPr="00C73365">
        <w:rPr>
          <w:rFonts w:asciiTheme="minorHAnsi" w:eastAsia="MS Mincho" w:hAnsiTheme="minorHAnsi" w:cstheme="minorHAnsi"/>
          <w:lang w:val="fr-FR" w:eastAsia="fr-FR"/>
        </w:rPr>
        <w:t xml:space="preserve">décembre </w:t>
      </w:r>
      <w:r w:rsidR="00585AFB"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w:t>
      </w:r>
    </w:p>
    <w:p w14:paraId="2A917F62"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reçus</w:t>
      </w:r>
    </w:p>
    <w:p w14:paraId="2AD0A540" w14:textId="77777777" w:rsidR="002D7FBE" w:rsidRPr="00C73365" w:rsidRDefault="00585AF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Dans le cadre des contrats d’aide à l’innovation « Carena » et « RNP-VIR » signés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les sommes maximales restant à recevoir par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postérieurement au 31 décembre 2017, sous réserve de justifier du montant de dépenses prévues, sont les suivantes. </w:t>
      </w:r>
    </w:p>
    <w:tbl>
      <w:tblPr>
        <w:tblW w:w="4540" w:type="dxa"/>
        <w:tblLook w:val="04A0" w:firstRow="1" w:lastRow="0" w:firstColumn="1" w:lastColumn="0" w:noHBand="0" w:noVBand="1"/>
      </w:tblPr>
      <w:tblGrid>
        <w:gridCol w:w="3300"/>
        <w:gridCol w:w="1240"/>
      </w:tblGrid>
      <w:tr w:rsidR="002D7FBE" w:rsidRPr="00C73365" w14:paraId="637DCE57" w14:textId="77777777" w:rsidTr="002D7FBE">
        <w:trPr>
          <w:trHeight w:val="312"/>
        </w:trPr>
        <w:tc>
          <w:tcPr>
            <w:tcW w:w="3300" w:type="dxa"/>
            <w:tcBorders>
              <w:top w:val="single" w:sz="12" w:space="0" w:color="7030A0"/>
              <w:left w:val="nil"/>
              <w:bottom w:val="single" w:sz="8" w:space="0" w:color="7030A0"/>
              <w:right w:val="nil"/>
            </w:tcBorders>
            <w:shd w:val="clear" w:color="auto" w:fill="auto"/>
            <w:vAlign w:val="center"/>
            <w:hideMark/>
          </w:tcPr>
          <w:p w14:paraId="21604924" w14:textId="77777777"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14:paraId="05E2A919" w14:textId="77777777" w:rsidR="002D7FBE" w:rsidRPr="00C73365" w:rsidRDefault="002D7FBE" w:rsidP="00A96CCA">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r>
      <w:tr w:rsidR="002D7FBE" w:rsidRPr="00C73365" w14:paraId="613CA09A" w14:textId="77777777" w:rsidTr="002D7FBE">
        <w:trPr>
          <w:trHeight w:val="288"/>
        </w:trPr>
        <w:tc>
          <w:tcPr>
            <w:tcW w:w="3300" w:type="dxa"/>
            <w:tcBorders>
              <w:top w:val="nil"/>
              <w:left w:val="nil"/>
              <w:bottom w:val="nil"/>
              <w:right w:val="nil"/>
            </w:tcBorders>
            <w:shd w:val="clear" w:color="auto" w:fill="auto"/>
            <w:vAlign w:val="center"/>
            <w:hideMark/>
          </w:tcPr>
          <w:p w14:paraId="6C61CA87" w14:textId="77777777"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Avance remboursable RNPVIR</w:t>
            </w:r>
          </w:p>
        </w:tc>
        <w:tc>
          <w:tcPr>
            <w:tcW w:w="1240" w:type="dxa"/>
            <w:tcBorders>
              <w:top w:val="nil"/>
              <w:left w:val="nil"/>
              <w:bottom w:val="nil"/>
              <w:right w:val="nil"/>
            </w:tcBorders>
            <w:shd w:val="clear" w:color="auto" w:fill="auto"/>
            <w:vAlign w:val="center"/>
            <w:hideMark/>
          </w:tcPr>
          <w:p w14:paraId="7EA37E99" w14:textId="77777777"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4 542</w:t>
            </w:r>
          </w:p>
        </w:tc>
      </w:tr>
      <w:tr w:rsidR="002D7FBE" w:rsidRPr="00C73365" w14:paraId="6572FCA8" w14:textId="77777777" w:rsidTr="002D7FBE">
        <w:trPr>
          <w:trHeight w:val="288"/>
        </w:trPr>
        <w:tc>
          <w:tcPr>
            <w:tcW w:w="3300" w:type="dxa"/>
            <w:tcBorders>
              <w:top w:val="nil"/>
              <w:left w:val="nil"/>
              <w:bottom w:val="nil"/>
              <w:right w:val="nil"/>
            </w:tcBorders>
            <w:shd w:val="clear" w:color="auto" w:fill="auto"/>
            <w:vAlign w:val="center"/>
            <w:hideMark/>
          </w:tcPr>
          <w:p w14:paraId="6DEA18DF" w14:textId="77777777"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Avance remboursable CaReNA</w:t>
            </w:r>
          </w:p>
        </w:tc>
        <w:tc>
          <w:tcPr>
            <w:tcW w:w="1240" w:type="dxa"/>
            <w:tcBorders>
              <w:top w:val="nil"/>
              <w:left w:val="nil"/>
              <w:bottom w:val="nil"/>
              <w:right w:val="nil"/>
            </w:tcBorders>
            <w:shd w:val="clear" w:color="auto" w:fill="auto"/>
            <w:vAlign w:val="center"/>
            <w:hideMark/>
          </w:tcPr>
          <w:p w14:paraId="48C9168D" w14:textId="77777777"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1 643</w:t>
            </w:r>
          </w:p>
        </w:tc>
      </w:tr>
      <w:tr w:rsidR="002D7FBE" w:rsidRPr="00C73365" w14:paraId="4A7FA2A5" w14:textId="77777777" w:rsidTr="002D7FBE">
        <w:trPr>
          <w:trHeight w:val="288"/>
        </w:trPr>
        <w:tc>
          <w:tcPr>
            <w:tcW w:w="3300" w:type="dxa"/>
            <w:tcBorders>
              <w:top w:val="nil"/>
              <w:left w:val="nil"/>
              <w:bottom w:val="nil"/>
              <w:right w:val="nil"/>
            </w:tcBorders>
            <w:shd w:val="clear" w:color="auto" w:fill="auto"/>
            <w:vAlign w:val="center"/>
            <w:hideMark/>
          </w:tcPr>
          <w:p w14:paraId="0753A648" w14:textId="77777777"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Subvention RNPVIR</w:t>
            </w:r>
          </w:p>
        </w:tc>
        <w:tc>
          <w:tcPr>
            <w:tcW w:w="1240" w:type="dxa"/>
            <w:tcBorders>
              <w:top w:val="nil"/>
              <w:left w:val="nil"/>
              <w:bottom w:val="nil"/>
              <w:right w:val="nil"/>
            </w:tcBorders>
            <w:shd w:val="clear" w:color="auto" w:fill="auto"/>
            <w:vAlign w:val="center"/>
            <w:hideMark/>
          </w:tcPr>
          <w:p w14:paraId="2F1EC531" w14:textId="77777777"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1 765</w:t>
            </w:r>
          </w:p>
        </w:tc>
      </w:tr>
      <w:tr w:rsidR="002D7FBE" w:rsidRPr="00C73365" w14:paraId="379E6239" w14:textId="77777777" w:rsidTr="002D7FBE">
        <w:trPr>
          <w:trHeight w:val="288"/>
        </w:trPr>
        <w:tc>
          <w:tcPr>
            <w:tcW w:w="3300" w:type="dxa"/>
            <w:tcBorders>
              <w:top w:val="nil"/>
              <w:left w:val="nil"/>
              <w:bottom w:val="nil"/>
              <w:right w:val="nil"/>
            </w:tcBorders>
            <w:shd w:val="clear" w:color="auto" w:fill="auto"/>
            <w:vAlign w:val="center"/>
            <w:hideMark/>
          </w:tcPr>
          <w:p w14:paraId="1D8F7679" w14:textId="77777777"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Subvention CaReNA</w:t>
            </w:r>
          </w:p>
        </w:tc>
        <w:tc>
          <w:tcPr>
            <w:tcW w:w="1240" w:type="dxa"/>
            <w:tcBorders>
              <w:top w:val="nil"/>
              <w:left w:val="nil"/>
              <w:bottom w:val="nil"/>
              <w:right w:val="nil"/>
            </w:tcBorders>
            <w:shd w:val="clear" w:color="auto" w:fill="auto"/>
            <w:vAlign w:val="center"/>
            <w:hideMark/>
          </w:tcPr>
          <w:p w14:paraId="23C0D454" w14:textId="77777777"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210</w:t>
            </w:r>
          </w:p>
        </w:tc>
      </w:tr>
      <w:tr w:rsidR="002D7FBE" w:rsidRPr="00C73365" w14:paraId="4409C84F"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522AF807" w14:textId="77777777"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engagements reçus</w:t>
            </w:r>
          </w:p>
        </w:tc>
        <w:tc>
          <w:tcPr>
            <w:tcW w:w="1240" w:type="dxa"/>
            <w:tcBorders>
              <w:top w:val="nil"/>
              <w:left w:val="nil"/>
              <w:bottom w:val="single" w:sz="8" w:space="0" w:color="7030A0"/>
              <w:right w:val="nil"/>
            </w:tcBorders>
            <w:shd w:val="clear" w:color="auto" w:fill="auto"/>
            <w:vAlign w:val="center"/>
            <w:hideMark/>
          </w:tcPr>
          <w:p w14:paraId="5579FDC8"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3 617</w:t>
            </w:r>
          </w:p>
        </w:tc>
      </w:tr>
      <w:tr w:rsidR="002D7FBE" w:rsidRPr="00C73365" w14:paraId="767FAFC0"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465652B2" w14:textId="77777777"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14:paraId="78AF41E4"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8 159</w:t>
            </w:r>
          </w:p>
        </w:tc>
      </w:tr>
      <w:tr w:rsidR="002D7FBE" w:rsidRPr="00C73365" w14:paraId="7B3E2BD1" w14:textId="77777777" w:rsidTr="002D7FBE">
        <w:trPr>
          <w:trHeight w:val="288"/>
        </w:trPr>
        <w:tc>
          <w:tcPr>
            <w:tcW w:w="3300" w:type="dxa"/>
            <w:tcBorders>
              <w:top w:val="nil"/>
              <w:left w:val="nil"/>
              <w:bottom w:val="nil"/>
              <w:right w:val="nil"/>
            </w:tcBorders>
            <w:shd w:val="clear" w:color="auto" w:fill="auto"/>
            <w:vAlign w:val="center"/>
            <w:hideMark/>
          </w:tcPr>
          <w:p w14:paraId="1B86568F" w14:textId="77777777"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Dont concernant: </w:t>
            </w:r>
          </w:p>
        </w:tc>
        <w:tc>
          <w:tcPr>
            <w:tcW w:w="1240" w:type="dxa"/>
            <w:vMerge w:val="restart"/>
            <w:tcBorders>
              <w:top w:val="nil"/>
              <w:left w:val="nil"/>
              <w:bottom w:val="single" w:sz="8" w:space="0" w:color="7030A0"/>
              <w:right w:val="nil"/>
            </w:tcBorders>
            <w:shd w:val="clear" w:color="auto" w:fill="auto"/>
            <w:vAlign w:val="center"/>
            <w:hideMark/>
          </w:tcPr>
          <w:p w14:paraId="0BB35E88"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Néant</w:t>
            </w:r>
          </w:p>
        </w:tc>
      </w:tr>
      <w:tr w:rsidR="002D7FBE" w:rsidRPr="00C73365" w14:paraId="65C2D920"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1B23FBC5" w14:textId="77777777"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Les dirigeants</w:t>
            </w:r>
          </w:p>
        </w:tc>
        <w:tc>
          <w:tcPr>
            <w:tcW w:w="1240" w:type="dxa"/>
            <w:vMerge/>
            <w:tcBorders>
              <w:top w:val="nil"/>
              <w:left w:val="nil"/>
              <w:bottom w:val="single" w:sz="8" w:space="0" w:color="7030A0"/>
              <w:right w:val="nil"/>
            </w:tcBorders>
            <w:vAlign w:val="center"/>
            <w:hideMark/>
          </w:tcPr>
          <w:p w14:paraId="4E7E7E5F" w14:textId="77777777" w:rsidR="002D7FBE" w:rsidRPr="00C73365" w:rsidRDefault="002D7FBE" w:rsidP="00A96CCA">
            <w:pPr>
              <w:spacing w:after="0"/>
              <w:rPr>
                <w:rFonts w:asciiTheme="minorHAnsi" w:hAnsiTheme="minorHAnsi" w:cstheme="minorHAnsi"/>
                <w:color w:val="000000"/>
                <w:szCs w:val="20"/>
              </w:rPr>
            </w:pPr>
          </w:p>
        </w:tc>
      </w:tr>
    </w:tbl>
    <w:p w14:paraId="7F109FED" w14:textId="77777777" w:rsidR="00F46C7B" w:rsidRPr="00C73365" w:rsidRDefault="00F46C7B" w:rsidP="004572A0">
      <w:pPr>
        <w:pStyle w:val="Corpsdetexte"/>
        <w:rPr>
          <w:rFonts w:asciiTheme="minorHAnsi"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14:paraId="3BD4383D"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577E60CA"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Crédit-Bail</w:t>
      </w:r>
    </w:p>
    <w:tbl>
      <w:tblPr>
        <w:tblW w:w="9960" w:type="dxa"/>
        <w:tblLook w:val="04A0" w:firstRow="1" w:lastRow="0" w:firstColumn="1" w:lastColumn="0" w:noHBand="0" w:noVBand="1"/>
      </w:tblPr>
      <w:tblGrid>
        <w:gridCol w:w="3300"/>
        <w:gridCol w:w="1240"/>
        <w:gridCol w:w="1282"/>
        <w:gridCol w:w="1700"/>
        <w:gridCol w:w="1240"/>
        <w:gridCol w:w="1240"/>
      </w:tblGrid>
      <w:tr w:rsidR="002D7FBE" w:rsidRPr="00C73365" w14:paraId="2AEEEA3A" w14:textId="77777777" w:rsidTr="002D7FBE">
        <w:trPr>
          <w:trHeight w:val="312"/>
        </w:trPr>
        <w:tc>
          <w:tcPr>
            <w:tcW w:w="3300" w:type="dxa"/>
            <w:tcBorders>
              <w:top w:val="single" w:sz="12" w:space="0" w:color="7030A0"/>
              <w:left w:val="nil"/>
              <w:bottom w:val="single" w:sz="8" w:space="0" w:color="7030A0"/>
              <w:right w:val="nil"/>
            </w:tcBorders>
            <w:shd w:val="clear" w:color="auto" w:fill="auto"/>
            <w:vAlign w:val="center"/>
            <w:hideMark/>
          </w:tcPr>
          <w:p w14:paraId="2653FD0D" w14:textId="77777777"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14:paraId="7F1FA320" w14:textId="77777777"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Terrains</w:t>
            </w:r>
          </w:p>
        </w:tc>
        <w:tc>
          <w:tcPr>
            <w:tcW w:w="1240" w:type="dxa"/>
            <w:tcBorders>
              <w:top w:val="single" w:sz="12" w:space="0" w:color="7030A0"/>
              <w:left w:val="nil"/>
              <w:bottom w:val="single" w:sz="8" w:space="0" w:color="7030A0"/>
              <w:right w:val="nil"/>
            </w:tcBorders>
            <w:shd w:val="clear" w:color="auto" w:fill="auto"/>
            <w:vAlign w:val="center"/>
            <w:hideMark/>
          </w:tcPr>
          <w:p w14:paraId="7BC206CC" w14:textId="77777777"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Construction</w:t>
            </w:r>
          </w:p>
        </w:tc>
        <w:tc>
          <w:tcPr>
            <w:tcW w:w="1700" w:type="dxa"/>
            <w:tcBorders>
              <w:top w:val="single" w:sz="12" w:space="0" w:color="7030A0"/>
              <w:left w:val="nil"/>
              <w:bottom w:val="single" w:sz="8" w:space="0" w:color="7030A0"/>
              <w:right w:val="nil"/>
            </w:tcBorders>
            <w:shd w:val="clear" w:color="auto" w:fill="auto"/>
            <w:noWrap/>
            <w:vAlign w:val="center"/>
            <w:hideMark/>
          </w:tcPr>
          <w:p w14:paraId="5D8BA9D5" w14:textId="77777777"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Matériel Outillage</w:t>
            </w:r>
          </w:p>
        </w:tc>
        <w:tc>
          <w:tcPr>
            <w:tcW w:w="1240" w:type="dxa"/>
            <w:tcBorders>
              <w:top w:val="single" w:sz="12" w:space="0" w:color="7030A0"/>
              <w:left w:val="nil"/>
              <w:bottom w:val="single" w:sz="8" w:space="0" w:color="7030A0"/>
              <w:right w:val="nil"/>
            </w:tcBorders>
            <w:shd w:val="clear" w:color="auto" w:fill="auto"/>
            <w:vAlign w:val="center"/>
            <w:hideMark/>
          </w:tcPr>
          <w:p w14:paraId="51FF359B" w14:textId="77777777"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Autres</w:t>
            </w:r>
          </w:p>
        </w:tc>
        <w:tc>
          <w:tcPr>
            <w:tcW w:w="1240" w:type="dxa"/>
            <w:tcBorders>
              <w:top w:val="single" w:sz="12" w:space="0" w:color="7030A0"/>
              <w:left w:val="nil"/>
              <w:bottom w:val="single" w:sz="8" w:space="0" w:color="7030A0"/>
              <w:right w:val="nil"/>
            </w:tcBorders>
            <w:shd w:val="clear" w:color="auto" w:fill="auto"/>
            <w:vAlign w:val="center"/>
            <w:hideMark/>
          </w:tcPr>
          <w:p w14:paraId="46B8645C" w14:textId="77777777"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2D7FBE" w:rsidRPr="00C73365" w14:paraId="75B09A5B"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2A9C6D84" w14:textId="77777777"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Valeur d</w:t>
            </w:r>
            <w:r w:rsidR="004572A0" w:rsidRPr="00C73365">
              <w:rPr>
                <w:rFonts w:asciiTheme="minorHAnsi" w:hAnsiTheme="minorHAnsi" w:cstheme="minorHAnsi"/>
                <w:color w:val="7030A0"/>
                <w:szCs w:val="20"/>
              </w:rPr>
              <w:t>’</w:t>
            </w:r>
            <w:r w:rsidRPr="00C73365">
              <w:rPr>
                <w:rFonts w:asciiTheme="minorHAnsi" w:hAnsiTheme="minorHAnsi" w:cstheme="minorHAnsi"/>
                <w:color w:val="7030A0"/>
                <w:szCs w:val="20"/>
              </w:rPr>
              <w:t>origine</w:t>
            </w:r>
          </w:p>
        </w:tc>
        <w:tc>
          <w:tcPr>
            <w:tcW w:w="1240" w:type="dxa"/>
            <w:tcBorders>
              <w:top w:val="nil"/>
              <w:left w:val="nil"/>
              <w:bottom w:val="single" w:sz="8" w:space="0" w:color="7030A0"/>
              <w:right w:val="nil"/>
            </w:tcBorders>
            <w:shd w:val="clear" w:color="auto" w:fill="auto"/>
            <w:vAlign w:val="center"/>
            <w:hideMark/>
          </w:tcPr>
          <w:p w14:paraId="4E222E81"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105EE4A1"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14:paraId="2375BF32"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w:t>
            </w:r>
          </w:p>
        </w:tc>
        <w:tc>
          <w:tcPr>
            <w:tcW w:w="1240" w:type="dxa"/>
            <w:tcBorders>
              <w:top w:val="nil"/>
              <w:left w:val="nil"/>
              <w:bottom w:val="single" w:sz="8" w:space="0" w:color="7030A0"/>
              <w:right w:val="nil"/>
            </w:tcBorders>
            <w:shd w:val="clear" w:color="auto" w:fill="auto"/>
            <w:vAlign w:val="center"/>
            <w:hideMark/>
          </w:tcPr>
          <w:p w14:paraId="7734984F"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37C402EA"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w:t>
            </w:r>
          </w:p>
        </w:tc>
      </w:tr>
      <w:tr w:rsidR="002D7FBE" w:rsidRPr="00C73365" w14:paraId="36069EC9" w14:textId="77777777" w:rsidTr="002D7FBE">
        <w:trPr>
          <w:trHeight w:val="288"/>
        </w:trPr>
        <w:tc>
          <w:tcPr>
            <w:tcW w:w="3300" w:type="dxa"/>
            <w:tcBorders>
              <w:top w:val="nil"/>
              <w:left w:val="nil"/>
              <w:bottom w:val="nil"/>
              <w:right w:val="nil"/>
            </w:tcBorders>
            <w:shd w:val="clear" w:color="auto" w:fill="auto"/>
            <w:vAlign w:val="center"/>
            <w:hideMark/>
          </w:tcPr>
          <w:p w14:paraId="131E7C9D" w14:textId="77777777"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Cumul exercices antérieurs</w:t>
            </w:r>
          </w:p>
        </w:tc>
        <w:tc>
          <w:tcPr>
            <w:tcW w:w="1240" w:type="dxa"/>
            <w:tcBorders>
              <w:top w:val="nil"/>
              <w:left w:val="nil"/>
              <w:bottom w:val="nil"/>
              <w:right w:val="nil"/>
            </w:tcBorders>
            <w:shd w:val="clear" w:color="auto" w:fill="auto"/>
            <w:vAlign w:val="center"/>
            <w:hideMark/>
          </w:tcPr>
          <w:p w14:paraId="139F47B6" w14:textId="77777777" w:rsidR="002D7FBE" w:rsidRPr="00C73365" w:rsidRDefault="002D7FBE"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14:paraId="608EDF31" w14:textId="77777777" w:rsidR="002D7FBE" w:rsidRPr="00C73365" w:rsidRDefault="002D7FBE" w:rsidP="00A96CCA">
            <w:pPr>
              <w:spacing w:after="0"/>
              <w:rPr>
                <w:rFonts w:asciiTheme="minorHAnsi" w:hAnsiTheme="minorHAnsi" w:cstheme="minorHAnsi"/>
                <w:szCs w:val="20"/>
              </w:rPr>
            </w:pPr>
          </w:p>
        </w:tc>
        <w:tc>
          <w:tcPr>
            <w:tcW w:w="1700" w:type="dxa"/>
            <w:tcBorders>
              <w:top w:val="nil"/>
              <w:left w:val="nil"/>
              <w:bottom w:val="nil"/>
              <w:right w:val="nil"/>
            </w:tcBorders>
            <w:shd w:val="clear" w:color="auto" w:fill="auto"/>
            <w:vAlign w:val="center"/>
            <w:hideMark/>
          </w:tcPr>
          <w:p w14:paraId="64153EFA"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w:t>
            </w:r>
          </w:p>
        </w:tc>
        <w:tc>
          <w:tcPr>
            <w:tcW w:w="1240" w:type="dxa"/>
            <w:tcBorders>
              <w:top w:val="nil"/>
              <w:left w:val="nil"/>
              <w:bottom w:val="nil"/>
              <w:right w:val="nil"/>
            </w:tcBorders>
            <w:shd w:val="clear" w:color="auto" w:fill="auto"/>
            <w:vAlign w:val="center"/>
            <w:hideMark/>
          </w:tcPr>
          <w:p w14:paraId="1E1DF768" w14:textId="77777777"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14:paraId="7EA90A8C"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w:t>
            </w:r>
          </w:p>
        </w:tc>
      </w:tr>
      <w:tr w:rsidR="002D7FBE" w:rsidRPr="00C73365" w14:paraId="1F850943"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37065DA9" w14:textId="77777777"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Dotations de l</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exercice</w:t>
            </w:r>
          </w:p>
        </w:tc>
        <w:tc>
          <w:tcPr>
            <w:tcW w:w="1240" w:type="dxa"/>
            <w:tcBorders>
              <w:top w:val="nil"/>
              <w:left w:val="nil"/>
              <w:bottom w:val="single" w:sz="8" w:space="0" w:color="7030A0"/>
              <w:right w:val="nil"/>
            </w:tcBorders>
            <w:shd w:val="clear" w:color="auto" w:fill="auto"/>
            <w:vAlign w:val="center"/>
            <w:hideMark/>
          </w:tcPr>
          <w:p w14:paraId="0A43F1AB"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6B9AD55B"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14:paraId="2DF7F2A7"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40" w:type="dxa"/>
            <w:tcBorders>
              <w:top w:val="nil"/>
              <w:left w:val="nil"/>
              <w:bottom w:val="single" w:sz="8" w:space="0" w:color="7030A0"/>
              <w:right w:val="nil"/>
            </w:tcBorders>
            <w:shd w:val="clear" w:color="auto" w:fill="auto"/>
            <w:vAlign w:val="center"/>
            <w:hideMark/>
          </w:tcPr>
          <w:p w14:paraId="1C24CE68"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4B0F282C"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w:t>
            </w:r>
          </w:p>
        </w:tc>
      </w:tr>
      <w:tr w:rsidR="002D7FBE" w:rsidRPr="00C73365" w14:paraId="527EEB4E"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4DC10AAF" w14:textId="77777777"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Amortissements</w:t>
            </w:r>
          </w:p>
        </w:tc>
        <w:tc>
          <w:tcPr>
            <w:tcW w:w="1240" w:type="dxa"/>
            <w:tcBorders>
              <w:top w:val="nil"/>
              <w:left w:val="nil"/>
              <w:bottom w:val="single" w:sz="8" w:space="0" w:color="7030A0"/>
              <w:right w:val="nil"/>
            </w:tcBorders>
            <w:shd w:val="clear" w:color="auto" w:fill="auto"/>
            <w:vAlign w:val="center"/>
            <w:hideMark/>
          </w:tcPr>
          <w:p w14:paraId="01C3B006"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4B447E7E"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14:paraId="1DB576FA"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w:t>
            </w:r>
          </w:p>
        </w:tc>
        <w:tc>
          <w:tcPr>
            <w:tcW w:w="1240" w:type="dxa"/>
            <w:tcBorders>
              <w:top w:val="nil"/>
              <w:left w:val="nil"/>
              <w:bottom w:val="single" w:sz="8" w:space="0" w:color="7030A0"/>
              <w:right w:val="nil"/>
            </w:tcBorders>
            <w:shd w:val="clear" w:color="auto" w:fill="auto"/>
            <w:vAlign w:val="center"/>
            <w:hideMark/>
          </w:tcPr>
          <w:p w14:paraId="55A21F13"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478EF5F7"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w:t>
            </w:r>
          </w:p>
        </w:tc>
      </w:tr>
      <w:tr w:rsidR="002D7FBE" w:rsidRPr="00C73365" w14:paraId="4870524F" w14:textId="77777777" w:rsidTr="002D7FBE">
        <w:trPr>
          <w:trHeight w:val="288"/>
        </w:trPr>
        <w:tc>
          <w:tcPr>
            <w:tcW w:w="3300" w:type="dxa"/>
            <w:tcBorders>
              <w:top w:val="nil"/>
              <w:left w:val="nil"/>
              <w:bottom w:val="nil"/>
              <w:right w:val="nil"/>
            </w:tcBorders>
            <w:shd w:val="clear" w:color="auto" w:fill="auto"/>
            <w:vAlign w:val="center"/>
            <w:hideMark/>
          </w:tcPr>
          <w:p w14:paraId="6A1602B9" w14:textId="77777777"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Cumul exercices antérieurs</w:t>
            </w:r>
          </w:p>
        </w:tc>
        <w:tc>
          <w:tcPr>
            <w:tcW w:w="1240" w:type="dxa"/>
            <w:tcBorders>
              <w:top w:val="nil"/>
              <w:left w:val="nil"/>
              <w:bottom w:val="nil"/>
              <w:right w:val="nil"/>
            </w:tcBorders>
            <w:shd w:val="clear" w:color="auto" w:fill="auto"/>
            <w:vAlign w:val="center"/>
            <w:hideMark/>
          </w:tcPr>
          <w:p w14:paraId="697368EB" w14:textId="77777777" w:rsidR="002D7FBE" w:rsidRPr="00C73365" w:rsidRDefault="002D7FBE"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14:paraId="0B8CE6ED" w14:textId="77777777" w:rsidR="002D7FBE" w:rsidRPr="00C73365" w:rsidRDefault="002D7FBE" w:rsidP="00A96CCA">
            <w:pPr>
              <w:spacing w:after="0"/>
              <w:rPr>
                <w:rFonts w:asciiTheme="minorHAnsi" w:hAnsiTheme="minorHAnsi" w:cstheme="minorHAnsi"/>
                <w:szCs w:val="20"/>
              </w:rPr>
            </w:pPr>
          </w:p>
        </w:tc>
        <w:tc>
          <w:tcPr>
            <w:tcW w:w="1700" w:type="dxa"/>
            <w:tcBorders>
              <w:top w:val="nil"/>
              <w:left w:val="nil"/>
              <w:bottom w:val="nil"/>
              <w:right w:val="nil"/>
            </w:tcBorders>
            <w:shd w:val="clear" w:color="auto" w:fill="auto"/>
            <w:vAlign w:val="center"/>
            <w:hideMark/>
          </w:tcPr>
          <w:p w14:paraId="3783C6A0"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29</w:t>
            </w:r>
          </w:p>
        </w:tc>
        <w:tc>
          <w:tcPr>
            <w:tcW w:w="1240" w:type="dxa"/>
            <w:tcBorders>
              <w:top w:val="nil"/>
              <w:left w:val="nil"/>
              <w:bottom w:val="nil"/>
              <w:right w:val="nil"/>
            </w:tcBorders>
            <w:shd w:val="clear" w:color="auto" w:fill="auto"/>
            <w:vAlign w:val="center"/>
            <w:hideMark/>
          </w:tcPr>
          <w:p w14:paraId="5567A843" w14:textId="77777777"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14:paraId="04AEFEC4"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29</w:t>
            </w:r>
          </w:p>
        </w:tc>
      </w:tr>
      <w:tr w:rsidR="002D7FBE" w:rsidRPr="00C73365" w14:paraId="3F50C6AE"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181287E1" w14:textId="77777777"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Exercice</w:t>
            </w:r>
          </w:p>
        </w:tc>
        <w:tc>
          <w:tcPr>
            <w:tcW w:w="1240" w:type="dxa"/>
            <w:tcBorders>
              <w:top w:val="nil"/>
              <w:left w:val="nil"/>
              <w:bottom w:val="single" w:sz="8" w:space="0" w:color="7030A0"/>
              <w:right w:val="nil"/>
            </w:tcBorders>
            <w:shd w:val="clear" w:color="auto" w:fill="auto"/>
            <w:vAlign w:val="center"/>
            <w:hideMark/>
          </w:tcPr>
          <w:p w14:paraId="19F37ACA"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2CBA45C4"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14:paraId="01133464"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w:t>
            </w:r>
          </w:p>
        </w:tc>
        <w:tc>
          <w:tcPr>
            <w:tcW w:w="1240" w:type="dxa"/>
            <w:tcBorders>
              <w:top w:val="nil"/>
              <w:left w:val="nil"/>
              <w:bottom w:val="single" w:sz="8" w:space="0" w:color="7030A0"/>
              <w:right w:val="nil"/>
            </w:tcBorders>
            <w:shd w:val="clear" w:color="auto" w:fill="auto"/>
            <w:vAlign w:val="center"/>
            <w:hideMark/>
          </w:tcPr>
          <w:p w14:paraId="58CD9F0B"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635B441C"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w:t>
            </w:r>
          </w:p>
        </w:tc>
      </w:tr>
      <w:tr w:rsidR="002D7FBE" w:rsidRPr="00C73365" w14:paraId="0BC3F8D0"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18E2D941" w14:textId="77777777"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Redevances payées</w:t>
            </w:r>
          </w:p>
        </w:tc>
        <w:tc>
          <w:tcPr>
            <w:tcW w:w="1240" w:type="dxa"/>
            <w:tcBorders>
              <w:top w:val="nil"/>
              <w:left w:val="nil"/>
              <w:bottom w:val="single" w:sz="8" w:space="0" w:color="7030A0"/>
              <w:right w:val="nil"/>
            </w:tcBorders>
            <w:shd w:val="clear" w:color="auto" w:fill="auto"/>
            <w:vAlign w:val="center"/>
            <w:hideMark/>
          </w:tcPr>
          <w:p w14:paraId="51B5567F"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34C435B5"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14:paraId="664D25FC"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w:t>
            </w:r>
          </w:p>
        </w:tc>
        <w:tc>
          <w:tcPr>
            <w:tcW w:w="1240" w:type="dxa"/>
            <w:tcBorders>
              <w:top w:val="nil"/>
              <w:left w:val="nil"/>
              <w:bottom w:val="single" w:sz="8" w:space="0" w:color="7030A0"/>
              <w:right w:val="nil"/>
            </w:tcBorders>
            <w:shd w:val="clear" w:color="auto" w:fill="auto"/>
            <w:vAlign w:val="center"/>
            <w:hideMark/>
          </w:tcPr>
          <w:p w14:paraId="38B72E75"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667E0648"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w:t>
            </w:r>
          </w:p>
        </w:tc>
      </w:tr>
      <w:tr w:rsidR="002D7FBE" w:rsidRPr="00C73365" w14:paraId="00F32624" w14:textId="77777777" w:rsidTr="002D7FBE">
        <w:trPr>
          <w:trHeight w:val="288"/>
        </w:trPr>
        <w:tc>
          <w:tcPr>
            <w:tcW w:w="3300" w:type="dxa"/>
            <w:tcBorders>
              <w:top w:val="nil"/>
              <w:left w:val="nil"/>
              <w:bottom w:val="nil"/>
              <w:right w:val="nil"/>
            </w:tcBorders>
            <w:shd w:val="clear" w:color="auto" w:fill="auto"/>
            <w:noWrap/>
            <w:vAlign w:val="center"/>
            <w:hideMark/>
          </w:tcPr>
          <w:p w14:paraId="782CF251" w14:textId="77777777"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un an au plus</w:t>
            </w:r>
          </w:p>
        </w:tc>
        <w:tc>
          <w:tcPr>
            <w:tcW w:w="1240" w:type="dxa"/>
            <w:tcBorders>
              <w:top w:val="nil"/>
              <w:left w:val="nil"/>
              <w:bottom w:val="nil"/>
              <w:right w:val="nil"/>
            </w:tcBorders>
            <w:shd w:val="clear" w:color="auto" w:fill="auto"/>
            <w:noWrap/>
            <w:vAlign w:val="bottom"/>
            <w:hideMark/>
          </w:tcPr>
          <w:p w14:paraId="6F58F473" w14:textId="77777777"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14:paraId="42A6D6B0" w14:textId="77777777"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vAlign w:val="center"/>
            <w:hideMark/>
          </w:tcPr>
          <w:p w14:paraId="158701F8"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w:t>
            </w:r>
          </w:p>
        </w:tc>
        <w:tc>
          <w:tcPr>
            <w:tcW w:w="1240" w:type="dxa"/>
            <w:tcBorders>
              <w:top w:val="nil"/>
              <w:left w:val="nil"/>
              <w:bottom w:val="nil"/>
              <w:right w:val="nil"/>
            </w:tcBorders>
            <w:shd w:val="clear" w:color="auto" w:fill="auto"/>
            <w:noWrap/>
            <w:vAlign w:val="bottom"/>
            <w:hideMark/>
          </w:tcPr>
          <w:p w14:paraId="77634D60" w14:textId="77777777"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14:paraId="379C4440"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w:t>
            </w:r>
          </w:p>
        </w:tc>
      </w:tr>
      <w:tr w:rsidR="002D7FBE" w:rsidRPr="00036317" w14:paraId="037DA134" w14:textId="77777777" w:rsidTr="002D7FBE">
        <w:trPr>
          <w:trHeight w:val="288"/>
        </w:trPr>
        <w:tc>
          <w:tcPr>
            <w:tcW w:w="3300" w:type="dxa"/>
            <w:tcBorders>
              <w:top w:val="nil"/>
              <w:left w:val="nil"/>
              <w:bottom w:val="nil"/>
              <w:right w:val="nil"/>
            </w:tcBorders>
            <w:shd w:val="clear" w:color="auto" w:fill="auto"/>
            <w:vAlign w:val="center"/>
            <w:hideMark/>
          </w:tcPr>
          <w:p w14:paraId="0B0AF338" w14:textId="77777777"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un an et cinq ans au plus</w:t>
            </w:r>
          </w:p>
        </w:tc>
        <w:tc>
          <w:tcPr>
            <w:tcW w:w="1240" w:type="dxa"/>
            <w:tcBorders>
              <w:top w:val="nil"/>
              <w:left w:val="nil"/>
              <w:bottom w:val="nil"/>
              <w:right w:val="nil"/>
            </w:tcBorders>
            <w:shd w:val="clear" w:color="auto" w:fill="auto"/>
            <w:vAlign w:val="center"/>
            <w:hideMark/>
          </w:tcPr>
          <w:p w14:paraId="3E217167" w14:textId="77777777"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vAlign w:val="center"/>
            <w:hideMark/>
          </w:tcPr>
          <w:p w14:paraId="24085B64" w14:textId="77777777"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vAlign w:val="center"/>
            <w:hideMark/>
          </w:tcPr>
          <w:p w14:paraId="6FA6DAC0" w14:textId="77777777" w:rsidR="002D7FBE" w:rsidRPr="00C73365" w:rsidRDefault="002D7FBE"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14:paraId="6F22E644" w14:textId="77777777" w:rsidR="002D7FBE" w:rsidRPr="00C73365" w:rsidRDefault="002D7FBE" w:rsidP="00A96CCA">
            <w:pPr>
              <w:spacing w:after="0"/>
              <w:jc w:val="right"/>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14:paraId="28E8BBE9" w14:textId="77777777" w:rsidR="002D7FBE" w:rsidRPr="00C73365" w:rsidRDefault="002D7FBE" w:rsidP="00A96CCA">
            <w:pPr>
              <w:spacing w:after="0"/>
              <w:rPr>
                <w:rFonts w:asciiTheme="minorHAnsi" w:hAnsiTheme="minorHAnsi" w:cstheme="minorHAnsi"/>
                <w:szCs w:val="20"/>
                <w:lang w:val="fr-FR"/>
              </w:rPr>
            </w:pPr>
          </w:p>
        </w:tc>
      </w:tr>
      <w:tr w:rsidR="002D7FBE" w:rsidRPr="00036317" w14:paraId="7CB25956"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059E0D47" w14:textId="77777777"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de cinq ans</w:t>
            </w:r>
          </w:p>
        </w:tc>
        <w:tc>
          <w:tcPr>
            <w:tcW w:w="1240" w:type="dxa"/>
            <w:tcBorders>
              <w:top w:val="nil"/>
              <w:left w:val="nil"/>
              <w:bottom w:val="single" w:sz="8" w:space="0" w:color="7030A0"/>
              <w:right w:val="nil"/>
            </w:tcBorders>
            <w:shd w:val="clear" w:color="auto" w:fill="auto"/>
            <w:vAlign w:val="center"/>
            <w:hideMark/>
          </w:tcPr>
          <w:p w14:paraId="1B7017EA" w14:textId="77777777"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14:paraId="36522B8C" w14:textId="77777777"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14:paraId="095D74E7" w14:textId="77777777"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14:paraId="615A69A1" w14:textId="77777777"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14:paraId="649329AA" w14:textId="77777777"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2D7FBE" w:rsidRPr="00C73365" w14:paraId="39F4E527"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611A3EBD" w14:textId="77777777"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Redevances restant à payer</w:t>
            </w:r>
          </w:p>
        </w:tc>
        <w:tc>
          <w:tcPr>
            <w:tcW w:w="1240" w:type="dxa"/>
            <w:tcBorders>
              <w:top w:val="nil"/>
              <w:left w:val="nil"/>
              <w:bottom w:val="single" w:sz="8" w:space="0" w:color="7030A0"/>
              <w:right w:val="nil"/>
            </w:tcBorders>
            <w:shd w:val="clear" w:color="auto" w:fill="auto"/>
            <w:vAlign w:val="center"/>
            <w:hideMark/>
          </w:tcPr>
          <w:p w14:paraId="46E5B44C"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7542A711"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14:paraId="191020C1"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w:t>
            </w:r>
          </w:p>
        </w:tc>
        <w:tc>
          <w:tcPr>
            <w:tcW w:w="1240" w:type="dxa"/>
            <w:tcBorders>
              <w:top w:val="nil"/>
              <w:left w:val="nil"/>
              <w:bottom w:val="single" w:sz="8" w:space="0" w:color="7030A0"/>
              <w:right w:val="nil"/>
            </w:tcBorders>
            <w:shd w:val="clear" w:color="auto" w:fill="auto"/>
            <w:vAlign w:val="center"/>
            <w:hideMark/>
          </w:tcPr>
          <w:p w14:paraId="1AC53D0B"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1BC399ED"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w:t>
            </w:r>
          </w:p>
        </w:tc>
      </w:tr>
      <w:tr w:rsidR="002D7FBE" w:rsidRPr="00C73365" w14:paraId="77CCE36B" w14:textId="77777777" w:rsidTr="002D7FBE">
        <w:trPr>
          <w:trHeight w:val="288"/>
        </w:trPr>
        <w:tc>
          <w:tcPr>
            <w:tcW w:w="3300" w:type="dxa"/>
            <w:tcBorders>
              <w:top w:val="nil"/>
              <w:left w:val="nil"/>
              <w:bottom w:val="nil"/>
              <w:right w:val="nil"/>
            </w:tcBorders>
            <w:shd w:val="clear" w:color="auto" w:fill="auto"/>
            <w:noWrap/>
            <w:vAlign w:val="center"/>
            <w:hideMark/>
          </w:tcPr>
          <w:p w14:paraId="0307CAA9" w14:textId="77777777"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un an au plus</w:t>
            </w:r>
          </w:p>
        </w:tc>
        <w:tc>
          <w:tcPr>
            <w:tcW w:w="1240" w:type="dxa"/>
            <w:tcBorders>
              <w:top w:val="nil"/>
              <w:left w:val="nil"/>
              <w:bottom w:val="nil"/>
              <w:right w:val="nil"/>
            </w:tcBorders>
            <w:shd w:val="clear" w:color="auto" w:fill="auto"/>
            <w:noWrap/>
            <w:vAlign w:val="bottom"/>
            <w:hideMark/>
          </w:tcPr>
          <w:p w14:paraId="5CF65F6E" w14:textId="77777777"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14:paraId="72B7D4FA" w14:textId="77777777"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noWrap/>
            <w:vAlign w:val="bottom"/>
            <w:hideMark/>
          </w:tcPr>
          <w:p w14:paraId="11727FBF" w14:textId="77777777" w:rsidR="002D7FBE" w:rsidRPr="00C73365" w:rsidRDefault="002D7FBE"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30</w:t>
            </w:r>
          </w:p>
        </w:tc>
        <w:tc>
          <w:tcPr>
            <w:tcW w:w="1240" w:type="dxa"/>
            <w:tcBorders>
              <w:top w:val="nil"/>
              <w:left w:val="nil"/>
              <w:bottom w:val="nil"/>
              <w:right w:val="nil"/>
            </w:tcBorders>
            <w:shd w:val="clear" w:color="auto" w:fill="auto"/>
            <w:noWrap/>
            <w:vAlign w:val="bottom"/>
            <w:hideMark/>
          </w:tcPr>
          <w:p w14:paraId="709B7EDA" w14:textId="77777777" w:rsidR="002D7FBE" w:rsidRPr="00C73365" w:rsidRDefault="002D7FBE" w:rsidP="00A96CCA">
            <w:pPr>
              <w:spacing w:after="0"/>
              <w:jc w:val="right"/>
              <w:rPr>
                <w:rFonts w:asciiTheme="minorHAnsi" w:hAnsiTheme="minorHAnsi" w:cstheme="minorHAnsi"/>
                <w:color w:val="000000"/>
                <w:sz w:val="22"/>
                <w:szCs w:val="22"/>
              </w:rPr>
            </w:pPr>
          </w:p>
        </w:tc>
        <w:tc>
          <w:tcPr>
            <w:tcW w:w="1240" w:type="dxa"/>
            <w:tcBorders>
              <w:top w:val="nil"/>
              <w:left w:val="nil"/>
              <w:bottom w:val="nil"/>
              <w:right w:val="nil"/>
            </w:tcBorders>
            <w:shd w:val="clear" w:color="auto" w:fill="auto"/>
            <w:noWrap/>
            <w:vAlign w:val="bottom"/>
            <w:hideMark/>
          </w:tcPr>
          <w:p w14:paraId="185E6171" w14:textId="77777777" w:rsidR="002D7FBE" w:rsidRPr="00C73365" w:rsidRDefault="002D7FBE" w:rsidP="00A96CCA">
            <w:pPr>
              <w:spacing w:after="0"/>
              <w:rPr>
                <w:rFonts w:asciiTheme="minorHAnsi" w:hAnsiTheme="minorHAnsi" w:cstheme="minorHAnsi"/>
                <w:szCs w:val="20"/>
              </w:rPr>
            </w:pPr>
          </w:p>
        </w:tc>
      </w:tr>
      <w:tr w:rsidR="002D7FBE" w:rsidRPr="00C73365" w14:paraId="0E16BC77" w14:textId="77777777" w:rsidTr="002D7FBE">
        <w:trPr>
          <w:trHeight w:val="288"/>
        </w:trPr>
        <w:tc>
          <w:tcPr>
            <w:tcW w:w="3300" w:type="dxa"/>
            <w:tcBorders>
              <w:top w:val="nil"/>
              <w:left w:val="nil"/>
              <w:bottom w:val="nil"/>
              <w:right w:val="nil"/>
            </w:tcBorders>
            <w:shd w:val="clear" w:color="auto" w:fill="auto"/>
            <w:noWrap/>
            <w:vAlign w:val="center"/>
            <w:hideMark/>
          </w:tcPr>
          <w:p w14:paraId="0A3D88FE" w14:textId="77777777"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un an et cinq ans au plus</w:t>
            </w:r>
          </w:p>
        </w:tc>
        <w:tc>
          <w:tcPr>
            <w:tcW w:w="1240" w:type="dxa"/>
            <w:tcBorders>
              <w:top w:val="nil"/>
              <w:left w:val="nil"/>
              <w:bottom w:val="nil"/>
              <w:right w:val="nil"/>
            </w:tcBorders>
            <w:shd w:val="clear" w:color="auto" w:fill="auto"/>
            <w:noWrap/>
            <w:vAlign w:val="bottom"/>
            <w:hideMark/>
          </w:tcPr>
          <w:p w14:paraId="75BD3B55" w14:textId="77777777"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14:paraId="779A1B85" w14:textId="77777777"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noWrap/>
            <w:vAlign w:val="center"/>
            <w:hideMark/>
          </w:tcPr>
          <w:p w14:paraId="6E1EB007" w14:textId="77777777" w:rsidR="002D7FBE" w:rsidRPr="00C73365" w:rsidRDefault="002D7FBE"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14:paraId="2A540058" w14:textId="77777777" w:rsidR="002D7FBE" w:rsidRPr="00C73365" w:rsidRDefault="002D7FBE" w:rsidP="00A96CCA">
            <w:pPr>
              <w:spacing w:after="0"/>
              <w:jc w:val="right"/>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center"/>
            <w:hideMark/>
          </w:tcPr>
          <w:p w14:paraId="739DF6EC" w14:textId="77777777"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2D7FBE" w:rsidRPr="00036317" w14:paraId="7166C2BB"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1948D71B" w14:textId="77777777"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de cinq ans</w:t>
            </w:r>
          </w:p>
        </w:tc>
        <w:tc>
          <w:tcPr>
            <w:tcW w:w="1240" w:type="dxa"/>
            <w:tcBorders>
              <w:top w:val="nil"/>
              <w:left w:val="nil"/>
              <w:bottom w:val="single" w:sz="8" w:space="0" w:color="7030A0"/>
              <w:right w:val="nil"/>
            </w:tcBorders>
            <w:shd w:val="clear" w:color="auto" w:fill="auto"/>
            <w:vAlign w:val="center"/>
            <w:hideMark/>
          </w:tcPr>
          <w:p w14:paraId="1A70F14A" w14:textId="77777777"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14:paraId="79E56C7C" w14:textId="77777777"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14:paraId="717FD19F" w14:textId="77777777"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14:paraId="4F99B546" w14:textId="77777777"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14:paraId="56CC29A7" w14:textId="77777777"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2D7FBE" w:rsidRPr="00C73365" w14:paraId="6073C3D2" w14:textId="77777777" w:rsidTr="002D7FBE">
        <w:trPr>
          <w:trHeight w:val="300"/>
        </w:trPr>
        <w:tc>
          <w:tcPr>
            <w:tcW w:w="3300" w:type="dxa"/>
            <w:tcBorders>
              <w:top w:val="nil"/>
              <w:left w:val="nil"/>
              <w:bottom w:val="single" w:sz="8" w:space="0" w:color="7030A0"/>
              <w:right w:val="nil"/>
            </w:tcBorders>
            <w:shd w:val="clear" w:color="auto" w:fill="auto"/>
            <w:vAlign w:val="center"/>
            <w:hideMark/>
          </w:tcPr>
          <w:p w14:paraId="0E4982B0" w14:textId="77777777"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Valeur résiduelle</w:t>
            </w:r>
          </w:p>
        </w:tc>
        <w:tc>
          <w:tcPr>
            <w:tcW w:w="1240" w:type="dxa"/>
            <w:tcBorders>
              <w:top w:val="nil"/>
              <w:left w:val="nil"/>
              <w:bottom w:val="single" w:sz="8" w:space="0" w:color="7030A0"/>
              <w:right w:val="nil"/>
            </w:tcBorders>
            <w:shd w:val="clear" w:color="auto" w:fill="auto"/>
            <w:vAlign w:val="center"/>
            <w:hideMark/>
          </w:tcPr>
          <w:p w14:paraId="35274C11"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3F9DEF82"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14:paraId="28FA2512"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w:t>
            </w:r>
          </w:p>
        </w:tc>
        <w:tc>
          <w:tcPr>
            <w:tcW w:w="1240" w:type="dxa"/>
            <w:tcBorders>
              <w:top w:val="nil"/>
              <w:left w:val="nil"/>
              <w:bottom w:val="single" w:sz="8" w:space="0" w:color="7030A0"/>
              <w:right w:val="nil"/>
            </w:tcBorders>
            <w:shd w:val="clear" w:color="auto" w:fill="auto"/>
            <w:vAlign w:val="center"/>
            <w:hideMark/>
          </w:tcPr>
          <w:p w14:paraId="1F6CEB06"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30810399"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w:t>
            </w:r>
          </w:p>
        </w:tc>
      </w:tr>
      <w:tr w:rsidR="002D7FBE" w:rsidRPr="00C73365" w14:paraId="705AD482" w14:textId="77777777" w:rsidTr="002D7FBE">
        <w:trPr>
          <w:trHeight w:val="564"/>
        </w:trPr>
        <w:tc>
          <w:tcPr>
            <w:tcW w:w="3300" w:type="dxa"/>
            <w:tcBorders>
              <w:top w:val="nil"/>
              <w:left w:val="nil"/>
              <w:bottom w:val="single" w:sz="8" w:space="0" w:color="7030A0"/>
              <w:right w:val="nil"/>
            </w:tcBorders>
            <w:shd w:val="clear" w:color="auto" w:fill="auto"/>
            <w:vAlign w:val="center"/>
            <w:hideMark/>
          </w:tcPr>
          <w:p w14:paraId="542C34D1" w14:textId="77777777" w:rsidR="002D7FBE" w:rsidRPr="00C73365" w:rsidRDefault="002D7FBE"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Montant pris en charge dans l</w:t>
            </w:r>
            <w:r w:rsidR="004572A0" w:rsidRPr="00C73365">
              <w:rPr>
                <w:rFonts w:asciiTheme="minorHAnsi" w:hAnsiTheme="minorHAnsi" w:cstheme="minorHAnsi"/>
                <w:color w:val="7030A0"/>
                <w:szCs w:val="20"/>
                <w:lang w:val="fr-FR"/>
              </w:rPr>
              <w:t>’</w:t>
            </w:r>
            <w:r w:rsidRPr="00C73365">
              <w:rPr>
                <w:rFonts w:asciiTheme="minorHAnsi" w:hAnsiTheme="minorHAnsi" w:cstheme="minorHAnsi"/>
                <w:color w:val="7030A0"/>
                <w:szCs w:val="20"/>
                <w:lang w:val="fr-FR"/>
              </w:rPr>
              <w:t>exercice</w:t>
            </w:r>
          </w:p>
        </w:tc>
        <w:tc>
          <w:tcPr>
            <w:tcW w:w="1240" w:type="dxa"/>
            <w:tcBorders>
              <w:top w:val="nil"/>
              <w:left w:val="nil"/>
              <w:bottom w:val="single" w:sz="8" w:space="0" w:color="7030A0"/>
              <w:right w:val="nil"/>
            </w:tcBorders>
            <w:shd w:val="clear" w:color="auto" w:fill="auto"/>
            <w:vAlign w:val="center"/>
            <w:hideMark/>
          </w:tcPr>
          <w:p w14:paraId="3EF3147C" w14:textId="77777777"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14:paraId="0E65BBBB" w14:textId="77777777"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14:paraId="6FDFB0E0"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w:t>
            </w:r>
          </w:p>
        </w:tc>
        <w:tc>
          <w:tcPr>
            <w:tcW w:w="1240" w:type="dxa"/>
            <w:tcBorders>
              <w:top w:val="nil"/>
              <w:left w:val="nil"/>
              <w:bottom w:val="single" w:sz="8" w:space="0" w:color="7030A0"/>
              <w:right w:val="nil"/>
            </w:tcBorders>
            <w:shd w:val="clear" w:color="auto" w:fill="auto"/>
            <w:vAlign w:val="center"/>
            <w:hideMark/>
          </w:tcPr>
          <w:p w14:paraId="73916733"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14:paraId="2C310A09" w14:textId="77777777"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w:t>
            </w:r>
          </w:p>
        </w:tc>
      </w:tr>
    </w:tbl>
    <w:p w14:paraId="679765E0" w14:textId="77777777" w:rsidR="00F46C7B" w:rsidRPr="00C73365" w:rsidRDefault="00F46C7B" w:rsidP="00A96CCA">
      <w:pPr>
        <w:spacing w:after="0"/>
        <w:ind w:right="568"/>
        <w:rPr>
          <w:rFonts w:asciiTheme="minorHAnsi" w:eastAsia="MS Mincho" w:hAnsiTheme="minorHAnsi" w:cstheme="minorHAnsi"/>
          <w:b/>
          <w:color w:val="7030A0"/>
          <w:sz w:val="24"/>
          <w:szCs w:val="20"/>
          <w:lang w:val="fr-FR" w:eastAsia="fr-FR"/>
        </w:rPr>
      </w:pPr>
    </w:p>
    <w:p w14:paraId="362C3CE2" w14:textId="77777777" w:rsidR="002D7FBE" w:rsidRPr="00C73365" w:rsidRDefault="002D7FBE" w:rsidP="00A96CCA">
      <w:pPr>
        <w:spacing w:after="0"/>
        <w:ind w:right="568"/>
        <w:rPr>
          <w:rFonts w:asciiTheme="minorHAnsi" w:eastAsia="MS Mincho" w:hAnsiTheme="minorHAnsi" w:cstheme="minorHAnsi"/>
          <w:b/>
          <w:color w:val="7030A0"/>
          <w:sz w:val="24"/>
          <w:szCs w:val="20"/>
          <w:lang w:val="fr-FR" w:eastAsia="fr-FR"/>
        </w:rPr>
      </w:pPr>
    </w:p>
    <w:p w14:paraId="5A288344"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14:paraId="5F40A763"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 retraite</w:t>
      </w:r>
    </w:p>
    <w:p w14:paraId="4E625914"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Montant des engagements pris en matière de pensions, compléments de retraite et indemnités assimilées: </w:t>
      </w:r>
      <w:r w:rsidR="002D7FBE" w:rsidRPr="00C73365">
        <w:rPr>
          <w:rFonts w:asciiTheme="minorHAnsi" w:eastAsia="MS Mincho" w:hAnsiTheme="minorHAnsi" w:cstheme="minorHAnsi"/>
          <w:lang w:val="fr-FR" w:eastAsia="fr-FR"/>
        </w:rPr>
        <w:t xml:space="preserve">270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2E00457C" w14:textId="77777777" w:rsidR="00F46C7B" w:rsidRPr="00C73365" w:rsidRDefault="00F46C7B" w:rsidP="004572A0">
      <w:pPr>
        <w:pStyle w:val="Corpsdetexte"/>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Pour un régime à prestations définies, il est fait application de la recommandation CNC 03-R-01 du 1</w:t>
      </w:r>
      <w:r w:rsidRPr="00C73365">
        <w:rPr>
          <w:rFonts w:asciiTheme="minorHAnsi" w:eastAsia="MS Mincho" w:hAnsiTheme="minorHAnsi" w:cstheme="minorHAnsi"/>
          <w:vertAlign w:val="superscript"/>
          <w:lang w:val="fr-FR" w:eastAsia="fr-FR"/>
        </w:rPr>
        <w:t>er</w:t>
      </w:r>
      <w:r w:rsidRPr="00C73365">
        <w:rPr>
          <w:rFonts w:asciiTheme="minorHAnsi" w:eastAsia="MS Mincho" w:hAnsiTheme="minorHAnsi" w:cstheme="minorHAnsi"/>
          <w:lang w:val="fr-FR" w:eastAsia="fr-FR"/>
        </w:rPr>
        <w:t xml:space="preserve"> avril 2003.</w:t>
      </w:r>
    </w:p>
    <w:p w14:paraId="5B766B21" w14:textId="77777777" w:rsidR="00F46C7B" w:rsidRPr="00C73365" w:rsidRDefault="00F46C7B" w:rsidP="004572A0">
      <w:pPr>
        <w:pStyle w:val="Corpsdetexte"/>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14:paraId="68F8BCF5" w14:textId="77777777" w:rsidR="00F46C7B" w:rsidRPr="00C73365" w:rsidRDefault="00F46C7B" w:rsidP="004572A0">
      <w:pPr>
        <w:pStyle w:val="Corpsdetexte"/>
        <w:rPr>
          <w:rFonts w:asciiTheme="minorHAnsi" w:eastAsia="MS Mincho" w:hAnsiTheme="minorHAnsi" w:cstheme="minorHAnsi"/>
          <w:b/>
          <w:lang w:val="fr-FR" w:eastAsia="fr-FR"/>
        </w:rPr>
      </w:pPr>
      <w:r w:rsidRPr="001479F8">
        <w:rPr>
          <w:rFonts w:asciiTheme="minorHAnsi" w:eastAsia="MS Mincho" w:hAnsiTheme="minorHAnsi" w:cstheme="minorHAnsi"/>
          <w:b/>
          <w:lang w:val="fr-FR" w:eastAsia="fr-FR"/>
        </w:rPr>
        <w:lastRenderedPageBreak/>
        <w:t>NOTE 14 – EFFECTIFS</w:t>
      </w:r>
    </w:p>
    <w:p w14:paraId="2975F964" w14:textId="77777777" w:rsidR="00F46C7B" w:rsidRPr="00C73365" w:rsidRDefault="00F46C7B" w:rsidP="004572A0">
      <w:pPr>
        <w:pStyle w:val="Corpsdetexte"/>
        <w:rPr>
          <w:rFonts w:asciiTheme="minorHAnsi" w:eastAsia="MS Mincho" w:hAnsiTheme="minorHAnsi" w:cstheme="minorHAnsi"/>
          <w:lang w:val="fr-FR" w:eastAsia="fr-FR"/>
        </w:rPr>
        <w:sectPr w:rsidR="00F46C7B" w:rsidRPr="00C73365" w:rsidSect="007C607C">
          <w:pgSz w:w="11900" w:h="16840"/>
          <w:pgMar w:top="1134" w:right="1134" w:bottom="1134" w:left="1134" w:header="720" w:footer="720" w:gutter="0"/>
          <w:cols w:space="720" w:equalWidth="0">
            <w:col w:w="9269"/>
          </w:cols>
          <w:noEndnote/>
          <w:docGrid w:linePitch="299"/>
        </w:sectPr>
      </w:pPr>
    </w:p>
    <w:p w14:paraId="2DED4ADE" w14:textId="77777777" w:rsidR="00F46C7B" w:rsidRPr="00C73365" w:rsidRDefault="00F46C7B"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 </w:t>
      </w:r>
      <w:r w:rsidR="00937F02" w:rsidRPr="00C73365">
        <w:rPr>
          <w:rFonts w:asciiTheme="minorHAnsi" w:eastAsia="MS Mincho" w:hAnsiTheme="minorHAnsi" w:cstheme="minorHAnsi"/>
          <w:lang w:val="fr-FR" w:eastAsia="fr-FR"/>
        </w:rPr>
        <w:t xml:space="preserve">au 31 décembre 2017, </w:t>
      </w:r>
      <w:r w:rsidRPr="00C73365">
        <w:rPr>
          <w:rFonts w:asciiTheme="minorHAnsi" w:eastAsia="MS Mincho" w:hAnsiTheme="minorHAnsi" w:cstheme="minorHAnsi"/>
          <w:lang w:val="fr-FR" w:eastAsia="fr-FR"/>
        </w:rPr>
        <w:t>l’effectif moyen de la Société est de 23,04 salariés.</w:t>
      </w:r>
    </w:p>
    <w:p w14:paraId="035E02D0" w14:textId="77777777" w:rsidR="00F46C7B" w:rsidRPr="00C73365" w:rsidRDefault="00F46C7B" w:rsidP="004572A0">
      <w:pPr>
        <w:pStyle w:val="Corpsdetexte"/>
        <w:rPr>
          <w:rFonts w:asciiTheme="minorHAnsi" w:hAnsiTheme="minorHAnsi" w:cstheme="minorHAnsi"/>
          <w:lang w:val="fr-FR" w:eastAsia="fr-FR"/>
        </w:rPr>
        <w:sectPr w:rsidR="00F46C7B" w:rsidRPr="00C73365" w:rsidSect="007C607C">
          <w:type w:val="continuous"/>
          <w:pgSz w:w="11900" w:h="16840"/>
          <w:pgMar w:top="1134" w:right="1134" w:bottom="1134" w:left="1134" w:header="720" w:footer="720" w:gutter="0"/>
          <w:cols w:num="2" w:space="720"/>
          <w:noEndnote/>
          <w:docGrid w:linePitch="299"/>
        </w:sectPr>
      </w:pPr>
    </w:p>
    <w:tbl>
      <w:tblPr>
        <w:tblW w:w="4455" w:type="dxa"/>
        <w:tblCellMar>
          <w:left w:w="70" w:type="dxa"/>
          <w:right w:w="70" w:type="dxa"/>
        </w:tblCellMar>
        <w:tblLook w:val="04A0" w:firstRow="1" w:lastRow="0" w:firstColumn="1" w:lastColumn="0" w:noHBand="0" w:noVBand="1"/>
      </w:tblPr>
      <w:tblGrid>
        <w:gridCol w:w="1701"/>
        <w:gridCol w:w="1196"/>
        <w:gridCol w:w="1558"/>
      </w:tblGrid>
      <w:tr w:rsidR="0005703A" w:rsidRPr="00C73365" w14:paraId="05DF1431" w14:textId="77777777" w:rsidTr="002A30AE">
        <w:trPr>
          <w:trHeight w:val="654"/>
        </w:trPr>
        <w:tc>
          <w:tcPr>
            <w:tcW w:w="1701" w:type="dxa"/>
            <w:tcBorders>
              <w:top w:val="single" w:sz="12" w:space="0" w:color="7030A0"/>
              <w:left w:val="nil"/>
              <w:bottom w:val="single" w:sz="8" w:space="0" w:color="7030A0"/>
              <w:right w:val="nil"/>
            </w:tcBorders>
            <w:shd w:val="clear" w:color="auto" w:fill="auto"/>
            <w:vAlign w:val="center"/>
            <w:hideMark/>
          </w:tcPr>
          <w:p w14:paraId="489EA913" w14:textId="77777777" w:rsidR="0005703A" w:rsidRPr="00C73365" w:rsidRDefault="0005703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196" w:type="dxa"/>
            <w:tcBorders>
              <w:top w:val="single" w:sz="12" w:space="0" w:color="7030A0"/>
              <w:left w:val="nil"/>
              <w:bottom w:val="single" w:sz="8" w:space="0" w:color="7030A0"/>
              <w:right w:val="nil"/>
            </w:tcBorders>
            <w:shd w:val="clear" w:color="auto" w:fill="auto"/>
            <w:vAlign w:val="center"/>
            <w:hideMark/>
          </w:tcPr>
          <w:p w14:paraId="09C90AA2" w14:textId="77777777"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8031AA" w:rsidRPr="00C73365">
              <w:rPr>
                <w:rFonts w:asciiTheme="minorHAnsi" w:hAnsiTheme="minorHAnsi" w:cstheme="minorHAnsi"/>
                <w:b/>
                <w:bCs/>
                <w:color w:val="7030A0"/>
                <w:szCs w:val="20"/>
                <w:lang w:val="fr-FR" w:eastAsia="fr-FR"/>
              </w:rPr>
              <w:t>2017</w:t>
            </w:r>
          </w:p>
        </w:tc>
        <w:tc>
          <w:tcPr>
            <w:tcW w:w="1558" w:type="dxa"/>
            <w:tcBorders>
              <w:top w:val="single" w:sz="12" w:space="0" w:color="7030A0"/>
              <w:left w:val="nil"/>
              <w:bottom w:val="single" w:sz="8" w:space="0" w:color="7030A0"/>
              <w:right w:val="nil"/>
            </w:tcBorders>
            <w:vAlign w:val="center"/>
          </w:tcPr>
          <w:p w14:paraId="00A99C55" w14:textId="77777777" w:rsidR="0005703A" w:rsidRPr="00C73365" w:rsidRDefault="0005703A" w:rsidP="00A96CCA">
            <w:pPr>
              <w:spacing w:after="0"/>
              <w:jc w:val="right"/>
              <w:rPr>
                <w:rFonts w:asciiTheme="minorHAnsi" w:hAnsiTheme="minorHAnsi" w:cstheme="minorHAnsi"/>
                <w:b/>
                <w:bCs/>
                <w:szCs w:val="20"/>
                <w:lang w:val="fr-FR" w:eastAsia="fr-FR"/>
              </w:rPr>
            </w:pPr>
            <w:r w:rsidRPr="00C73365">
              <w:rPr>
                <w:rFonts w:asciiTheme="minorHAnsi" w:hAnsiTheme="minorHAnsi" w:cstheme="minorHAnsi"/>
                <w:b/>
                <w:bCs/>
                <w:szCs w:val="20"/>
                <w:lang w:val="fr-FR" w:eastAsia="fr-FR"/>
              </w:rPr>
              <w:t>31/12/</w:t>
            </w:r>
            <w:r w:rsidR="008031AA" w:rsidRPr="00C73365">
              <w:rPr>
                <w:rFonts w:asciiTheme="minorHAnsi" w:hAnsiTheme="minorHAnsi" w:cstheme="minorHAnsi"/>
                <w:b/>
                <w:bCs/>
                <w:szCs w:val="20"/>
                <w:lang w:val="fr-FR" w:eastAsia="fr-FR"/>
              </w:rPr>
              <w:t>2016</w:t>
            </w:r>
          </w:p>
        </w:tc>
      </w:tr>
      <w:tr w:rsidR="008031AA" w:rsidRPr="00C73365" w14:paraId="369C5C54" w14:textId="77777777" w:rsidTr="002A30AE">
        <w:trPr>
          <w:trHeight w:val="288"/>
        </w:trPr>
        <w:tc>
          <w:tcPr>
            <w:tcW w:w="1701" w:type="dxa"/>
            <w:tcBorders>
              <w:top w:val="nil"/>
              <w:left w:val="nil"/>
              <w:bottom w:val="nil"/>
              <w:right w:val="nil"/>
            </w:tcBorders>
            <w:shd w:val="clear" w:color="auto" w:fill="auto"/>
            <w:vAlign w:val="center"/>
            <w:hideMark/>
          </w:tcPr>
          <w:p w14:paraId="5A164ED4" w14:textId="77777777"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Cadres </w:t>
            </w:r>
          </w:p>
        </w:tc>
        <w:tc>
          <w:tcPr>
            <w:tcW w:w="1196" w:type="dxa"/>
            <w:tcBorders>
              <w:top w:val="nil"/>
              <w:left w:val="nil"/>
              <w:bottom w:val="nil"/>
              <w:right w:val="nil"/>
            </w:tcBorders>
            <w:shd w:val="clear" w:color="auto" w:fill="auto"/>
            <w:vAlign w:val="center"/>
            <w:hideMark/>
          </w:tcPr>
          <w:p w14:paraId="24DAF4BD" w14:textId="77777777"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21,00</w:t>
            </w:r>
          </w:p>
        </w:tc>
        <w:tc>
          <w:tcPr>
            <w:tcW w:w="1558" w:type="dxa"/>
            <w:tcBorders>
              <w:top w:val="nil"/>
              <w:left w:val="nil"/>
              <w:bottom w:val="nil"/>
              <w:right w:val="nil"/>
            </w:tcBorders>
            <w:vAlign w:val="center"/>
          </w:tcPr>
          <w:p w14:paraId="7EEBC974" w14:textId="77777777"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19,79</w:t>
            </w:r>
          </w:p>
        </w:tc>
      </w:tr>
      <w:tr w:rsidR="008031AA" w:rsidRPr="00C73365" w14:paraId="2C3D6A4D" w14:textId="77777777" w:rsidTr="002A30AE">
        <w:trPr>
          <w:trHeight w:val="288"/>
        </w:trPr>
        <w:tc>
          <w:tcPr>
            <w:tcW w:w="1701" w:type="dxa"/>
            <w:tcBorders>
              <w:top w:val="nil"/>
              <w:left w:val="nil"/>
              <w:right w:val="nil"/>
            </w:tcBorders>
            <w:shd w:val="clear" w:color="auto" w:fill="auto"/>
            <w:vAlign w:val="center"/>
            <w:hideMark/>
          </w:tcPr>
          <w:p w14:paraId="278EDFA7" w14:textId="77777777"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196" w:type="dxa"/>
            <w:tcBorders>
              <w:top w:val="nil"/>
              <w:left w:val="nil"/>
              <w:right w:val="nil"/>
            </w:tcBorders>
            <w:shd w:val="clear" w:color="auto" w:fill="auto"/>
            <w:vAlign w:val="center"/>
            <w:hideMark/>
          </w:tcPr>
          <w:p w14:paraId="2F26DB0B" w14:textId="77777777"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2,25</w:t>
            </w:r>
          </w:p>
        </w:tc>
        <w:tc>
          <w:tcPr>
            <w:tcW w:w="1558" w:type="dxa"/>
            <w:tcBorders>
              <w:top w:val="nil"/>
              <w:left w:val="nil"/>
              <w:right w:val="nil"/>
            </w:tcBorders>
            <w:vAlign w:val="center"/>
          </w:tcPr>
          <w:p w14:paraId="00ADF284" w14:textId="77777777"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2,25</w:t>
            </w:r>
          </w:p>
        </w:tc>
      </w:tr>
      <w:tr w:rsidR="008031AA" w:rsidRPr="00C73365" w14:paraId="75111CC4" w14:textId="77777777" w:rsidTr="002A30AE">
        <w:trPr>
          <w:trHeight w:val="300"/>
        </w:trPr>
        <w:tc>
          <w:tcPr>
            <w:tcW w:w="1701" w:type="dxa"/>
            <w:tcBorders>
              <w:top w:val="nil"/>
              <w:left w:val="nil"/>
              <w:bottom w:val="single" w:sz="4" w:space="0" w:color="7030A0"/>
              <w:right w:val="nil"/>
            </w:tcBorders>
            <w:shd w:val="clear" w:color="auto" w:fill="auto"/>
            <w:vAlign w:val="center"/>
            <w:hideMark/>
          </w:tcPr>
          <w:p w14:paraId="4B23D63A" w14:textId="77777777"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w:t>
            </w:r>
            <w:r w:rsidR="002A30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social</w:t>
            </w:r>
          </w:p>
        </w:tc>
        <w:tc>
          <w:tcPr>
            <w:tcW w:w="1196" w:type="dxa"/>
            <w:tcBorders>
              <w:top w:val="nil"/>
              <w:left w:val="nil"/>
              <w:bottom w:val="single" w:sz="4" w:space="0" w:color="7030A0"/>
              <w:right w:val="nil"/>
            </w:tcBorders>
            <w:shd w:val="clear" w:color="auto" w:fill="auto"/>
            <w:vAlign w:val="center"/>
            <w:hideMark/>
          </w:tcPr>
          <w:p w14:paraId="38DE54A3" w14:textId="77777777"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c>
          <w:tcPr>
            <w:tcW w:w="1558" w:type="dxa"/>
            <w:tcBorders>
              <w:top w:val="nil"/>
              <w:left w:val="nil"/>
              <w:bottom w:val="single" w:sz="4" w:space="0" w:color="7030A0"/>
              <w:right w:val="nil"/>
            </w:tcBorders>
            <w:vAlign w:val="center"/>
          </w:tcPr>
          <w:p w14:paraId="4461C00A" w14:textId="77777777"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r>
      <w:tr w:rsidR="008031AA" w:rsidRPr="00C73365" w14:paraId="585BA180" w14:textId="77777777" w:rsidTr="002A30AE">
        <w:trPr>
          <w:trHeight w:val="397"/>
        </w:trPr>
        <w:tc>
          <w:tcPr>
            <w:tcW w:w="1701" w:type="dxa"/>
            <w:tcBorders>
              <w:top w:val="single" w:sz="4" w:space="0" w:color="7030A0"/>
              <w:left w:val="nil"/>
              <w:bottom w:val="single" w:sz="4" w:space="0" w:color="7030A0"/>
              <w:right w:val="nil"/>
            </w:tcBorders>
            <w:shd w:val="clear" w:color="auto" w:fill="auto"/>
            <w:vAlign w:val="center"/>
            <w:hideMark/>
          </w:tcPr>
          <w:p w14:paraId="2C8982F1" w14:textId="77777777" w:rsidR="008031AA" w:rsidRPr="00C73365" w:rsidRDefault="008031A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Total </w:t>
            </w:r>
          </w:p>
        </w:tc>
        <w:tc>
          <w:tcPr>
            <w:tcW w:w="1196" w:type="dxa"/>
            <w:tcBorders>
              <w:top w:val="single" w:sz="4" w:space="0" w:color="7030A0"/>
              <w:left w:val="nil"/>
              <w:bottom w:val="single" w:sz="4" w:space="0" w:color="7030A0"/>
              <w:right w:val="nil"/>
            </w:tcBorders>
            <w:shd w:val="clear" w:color="auto" w:fill="auto"/>
            <w:vAlign w:val="center"/>
            <w:hideMark/>
          </w:tcPr>
          <w:p w14:paraId="32711538" w14:textId="77777777" w:rsidR="008031AA" w:rsidRPr="00C73365" w:rsidRDefault="00937F02"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24,25</w:t>
            </w:r>
          </w:p>
        </w:tc>
        <w:tc>
          <w:tcPr>
            <w:tcW w:w="1558" w:type="dxa"/>
            <w:tcBorders>
              <w:top w:val="single" w:sz="4" w:space="0" w:color="7030A0"/>
              <w:left w:val="nil"/>
              <w:bottom w:val="single" w:sz="4" w:space="0" w:color="7030A0"/>
              <w:right w:val="nil"/>
            </w:tcBorders>
            <w:vAlign w:val="center"/>
          </w:tcPr>
          <w:p w14:paraId="3747CBA1" w14:textId="77777777" w:rsidR="008031AA" w:rsidRPr="00C73365" w:rsidRDefault="008031AA" w:rsidP="00A96CCA">
            <w:pPr>
              <w:spacing w:after="0"/>
              <w:jc w:val="right"/>
              <w:rPr>
                <w:rFonts w:asciiTheme="minorHAnsi" w:hAnsiTheme="minorHAnsi" w:cstheme="minorHAnsi"/>
                <w:b/>
                <w:bCs/>
                <w:szCs w:val="20"/>
                <w:lang w:val="fr-FR" w:eastAsia="fr-FR"/>
              </w:rPr>
            </w:pPr>
            <w:r w:rsidRPr="00C73365">
              <w:rPr>
                <w:rFonts w:asciiTheme="minorHAnsi" w:hAnsiTheme="minorHAnsi" w:cstheme="minorHAnsi"/>
                <w:b/>
                <w:bCs/>
                <w:szCs w:val="20"/>
                <w:lang w:val="fr-FR" w:eastAsia="fr-FR"/>
              </w:rPr>
              <w:t>23,04</w:t>
            </w:r>
          </w:p>
        </w:tc>
      </w:tr>
    </w:tbl>
    <w:p w14:paraId="4E4F8650" w14:textId="77777777" w:rsidR="00F46C7B" w:rsidRPr="00C73365" w:rsidRDefault="00F46C7B" w:rsidP="00A96CCA">
      <w:pPr>
        <w:spacing w:after="0"/>
        <w:rPr>
          <w:rFonts w:asciiTheme="minorHAnsi" w:eastAsia="MS Mincho" w:hAnsiTheme="minorHAnsi" w:cstheme="minorHAnsi"/>
          <w:b/>
          <w:color w:val="7030A0"/>
          <w:szCs w:val="20"/>
          <w:lang w:val="fr-FR" w:eastAsia="fr-FR" w:bidi="fr-FR"/>
        </w:rPr>
      </w:pPr>
    </w:p>
    <w:p w14:paraId="5BE08A98" w14:textId="77777777" w:rsidR="00F46C7B" w:rsidRPr="00C73365" w:rsidRDefault="00F46C7B" w:rsidP="004572A0">
      <w:pPr>
        <w:pStyle w:val="Corpsdetexte"/>
        <w:rPr>
          <w:rFonts w:asciiTheme="minorHAnsi" w:eastAsia="MS Mincho" w:hAnsiTheme="minorHAnsi" w:cstheme="minorHAnsi"/>
          <w:b/>
          <w:lang w:val="fr-FR" w:eastAsia="fr-FR" w:bidi="fr-FR"/>
        </w:rPr>
      </w:pPr>
      <w:r w:rsidRPr="00C73365">
        <w:rPr>
          <w:rFonts w:asciiTheme="minorHAnsi" w:eastAsia="MS Mincho" w:hAnsiTheme="minorHAnsi" w:cstheme="minorHAnsi"/>
          <w:b/>
          <w:lang w:val="fr-FR" w:eastAsia="fr-FR" w:bidi="fr-FR"/>
        </w:rPr>
        <w:t>Effectifs moyen par site</w:t>
      </w:r>
    </w:p>
    <w:tbl>
      <w:tblPr>
        <w:tblW w:w="4347" w:type="dxa"/>
        <w:tblCellMar>
          <w:left w:w="70" w:type="dxa"/>
          <w:right w:w="70" w:type="dxa"/>
        </w:tblCellMar>
        <w:tblLook w:val="04A0" w:firstRow="1" w:lastRow="0" w:firstColumn="1" w:lastColumn="0" w:noHBand="0" w:noVBand="1"/>
      </w:tblPr>
      <w:tblGrid>
        <w:gridCol w:w="1289"/>
        <w:gridCol w:w="1529"/>
        <w:gridCol w:w="1529"/>
      </w:tblGrid>
      <w:tr w:rsidR="0005703A" w:rsidRPr="00C73365" w14:paraId="2839B055" w14:textId="77777777" w:rsidTr="008031AA">
        <w:trPr>
          <w:trHeight w:val="655"/>
        </w:trPr>
        <w:tc>
          <w:tcPr>
            <w:tcW w:w="1289" w:type="dxa"/>
            <w:tcBorders>
              <w:top w:val="single" w:sz="12" w:space="0" w:color="7030A0"/>
              <w:left w:val="nil"/>
              <w:bottom w:val="single" w:sz="8" w:space="0" w:color="7030A0"/>
              <w:right w:val="nil"/>
            </w:tcBorders>
            <w:shd w:val="clear" w:color="auto" w:fill="auto"/>
            <w:vAlign w:val="center"/>
            <w:hideMark/>
          </w:tcPr>
          <w:p w14:paraId="5031D9C3" w14:textId="77777777" w:rsidR="0005703A" w:rsidRPr="00C73365" w:rsidRDefault="0005703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529" w:type="dxa"/>
            <w:tcBorders>
              <w:top w:val="single" w:sz="12" w:space="0" w:color="7030A0"/>
              <w:left w:val="nil"/>
              <w:bottom w:val="single" w:sz="8" w:space="0" w:color="7030A0"/>
              <w:right w:val="nil"/>
            </w:tcBorders>
            <w:shd w:val="clear" w:color="auto" w:fill="auto"/>
            <w:vAlign w:val="center"/>
            <w:hideMark/>
          </w:tcPr>
          <w:p w14:paraId="237BE0F0" w14:textId="77777777"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8031AA" w:rsidRPr="00C73365">
              <w:rPr>
                <w:rFonts w:asciiTheme="minorHAnsi" w:hAnsiTheme="minorHAnsi" w:cstheme="minorHAnsi"/>
                <w:b/>
                <w:bCs/>
                <w:color w:val="7030A0"/>
                <w:szCs w:val="20"/>
                <w:lang w:val="fr-FR" w:eastAsia="fr-FR"/>
              </w:rPr>
              <w:t>2017</w:t>
            </w:r>
          </w:p>
        </w:tc>
        <w:tc>
          <w:tcPr>
            <w:tcW w:w="1529" w:type="dxa"/>
            <w:tcBorders>
              <w:top w:val="single" w:sz="12" w:space="0" w:color="7030A0"/>
              <w:left w:val="nil"/>
              <w:bottom w:val="single" w:sz="8" w:space="0" w:color="7030A0"/>
              <w:right w:val="nil"/>
            </w:tcBorders>
            <w:vAlign w:val="center"/>
          </w:tcPr>
          <w:p w14:paraId="62711B85" w14:textId="77777777"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szCs w:val="20"/>
                <w:lang w:val="fr-FR" w:eastAsia="fr-FR"/>
              </w:rPr>
              <w:t>31/12/</w:t>
            </w:r>
            <w:r w:rsidR="008031AA" w:rsidRPr="00C73365">
              <w:rPr>
                <w:rFonts w:asciiTheme="minorHAnsi" w:hAnsiTheme="minorHAnsi" w:cstheme="minorHAnsi"/>
                <w:b/>
                <w:bCs/>
                <w:szCs w:val="20"/>
                <w:lang w:val="fr-FR" w:eastAsia="fr-FR"/>
              </w:rPr>
              <w:t>2016</w:t>
            </w:r>
          </w:p>
        </w:tc>
      </w:tr>
      <w:tr w:rsidR="008031AA" w:rsidRPr="00C73365" w14:paraId="0F447A57" w14:textId="77777777" w:rsidTr="008031AA">
        <w:trPr>
          <w:trHeight w:val="257"/>
        </w:trPr>
        <w:tc>
          <w:tcPr>
            <w:tcW w:w="1289" w:type="dxa"/>
            <w:tcBorders>
              <w:top w:val="nil"/>
              <w:left w:val="nil"/>
              <w:bottom w:val="nil"/>
              <w:right w:val="nil"/>
            </w:tcBorders>
            <w:shd w:val="clear" w:color="auto" w:fill="auto"/>
            <w:vAlign w:val="center"/>
            <w:hideMark/>
          </w:tcPr>
          <w:p w14:paraId="482E7FC0" w14:textId="77777777"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529" w:type="dxa"/>
            <w:tcBorders>
              <w:top w:val="nil"/>
              <w:left w:val="nil"/>
              <w:bottom w:val="nil"/>
              <w:right w:val="nil"/>
            </w:tcBorders>
            <w:shd w:val="clear" w:color="auto" w:fill="auto"/>
            <w:vAlign w:val="center"/>
            <w:hideMark/>
          </w:tcPr>
          <w:p w14:paraId="3AE7BE8B" w14:textId="77777777"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13,17</w:t>
            </w:r>
          </w:p>
        </w:tc>
        <w:tc>
          <w:tcPr>
            <w:tcW w:w="1529" w:type="dxa"/>
            <w:tcBorders>
              <w:top w:val="nil"/>
              <w:left w:val="nil"/>
              <w:bottom w:val="nil"/>
              <w:right w:val="nil"/>
            </w:tcBorders>
            <w:vAlign w:val="center"/>
          </w:tcPr>
          <w:p w14:paraId="6785B382" w14:textId="77777777"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10,29</w:t>
            </w:r>
          </w:p>
        </w:tc>
      </w:tr>
      <w:tr w:rsidR="008031AA" w:rsidRPr="00C73365" w14:paraId="30A230A7" w14:textId="77777777" w:rsidTr="008031AA">
        <w:trPr>
          <w:trHeight w:val="257"/>
        </w:trPr>
        <w:tc>
          <w:tcPr>
            <w:tcW w:w="1289" w:type="dxa"/>
            <w:tcBorders>
              <w:top w:val="nil"/>
              <w:left w:val="nil"/>
              <w:bottom w:val="nil"/>
              <w:right w:val="nil"/>
            </w:tcBorders>
            <w:shd w:val="clear" w:color="auto" w:fill="auto"/>
            <w:vAlign w:val="center"/>
            <w:hideMark/>
          </w:tcPr>
          <w:p w14:paraId="51161599" w14:textId="77777777"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529" w:type="dxa"/>
            <w:tcBorders>
              <w:top w:val="nil"/>
              <w:left w:val="nil"/>
              <w:bottom w:val="nil"/>
              <w:right w:val="nil"/>
            </w:tcBorders>
            <w:shd w:val="clear" w:color="auto" w:fill="auto"/>
            <w:vAlign w:val="center"/>
            <w:hideMark/>
          </w:tcPr>
          <w:p w14:paraId="57477F0C" w14:textId="77777777"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r w:rsidR="00937F02" w:rsidRPr="00C73365">
              <w:rPr>
                <w:rFonts w:asciiTheme="minorHAnsi" w:hAnsiTheme="minorHAnsi" w:cstheme="minorHAnsi"/>
                <w:color w:val="000000"/>
                <w:szCs w:val="20"/>
                <w:lang w:val="fr-FR" w:eastAsia="fr-FR"/>
              </w:rPr>
              <w:t>08</w:t>
            </w:r>
          </w:p>
        </w:tc>
        <w:tc>
          <w:tcPr>
            <w:tcW w:w="1529" w:type="dxa"/>
            <w:tcBorders>
              <w:top w:val="nil"/>
              <w:left w:val="nil"/>
              <w:bottom w:val="nil"/>
              <w:right w:val="nil"/>
            </w:tcBorders>
            <w:vAlign w:val="center"/>
          </w:tcPr>
          <w:p w14:paraId="6CE1E1D9" w14:textId="77777777"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11,75</w:t>
            </w:r>
          </w:p>
        </w:tc>
      </w:tr>
      <w:tr w:rsidR="008031AA" w:rsidRPr="00C73365" w14:paraId="3C86F9A4" w14:textId="77777777" w:rsidTr="008031AA">
        <w:trPr>
          <w:trHeight w:val="267"/>
        </w:trPr>
        <w:tc>
          <w:tcPr>
            <w:tcW w:w="1289" w:type="dxa"/>
            <w:tcBorders>
              <w:top w:val="nil"/>
              <w:left w:val="nil"/>
              <w:bottom w:val="single" w:sz="8" w:space="0" w:color="7030A0"/>
              <w:right w:val="nil"/>
            </w:tcBorders>
            <w:shd w:val="clear" w:color="auto" w:fill="auto"/>
            <w:vAlign w:val="center"/>
            <w:hideMark/>
          </w:tcPr>
          <w:p w14:paraId="59314305" w14:textId="77777777"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Evry</w:t>
            </w:r>
            <w:r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14:paraId="51E4F42D" w14:textId="77777777"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0,00</w:t>
            </w:r>
          </w:p>
        </w:tc>
        <w:tc>
          <w:tcPr>
            <w:tcW w:w="1529" w:type="dxa"/>
            <w:tcBorders>
              <w:top w:val="nil"/>
              <w:left w:val="nil"/>
              <w:bottom w:val="single" w:sz="8" w:space="0" w:color="7030A0"/>
              <w:right w:val="nil"/>
            </w:tcBorders>
            <w:vAlign w:val="center"/>
          </w:tcPr>
          <w:p w14:paraId="577848A0" w14:textId="77777777"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r>
      <w:tr w:rsidR="008031AA" w:rsidRPr="00C73365" w14:paraId="2ECE4FFD" w14:textId="77777777" w:rsidTr="008031AA">
        <w:trPr>
          <w:trHeight w:val="382"/>
        </w:trPr>
        <w:tc>
          <w:tcPr>
            <w:tcW w:w="1289" w:type="dxa"/>
            <w:tcBorders>
              <w:top w:val="nil"/>
              <w:left w:val="nil"/>
              <w:bottom w:val="single" w:sz="8" w:space="0" w:color="7030A0"/>
              <w:right w:val="nil"/>
            </w:tcBorders>
            <w:shd w:val="clear" w:color="auto" w:fill="auto"/>
            <w:vAlign w:val="center"/>
            <w:hideMark/>
          </w:tcPr>
          <w:p w14:paraId="2123E86A" w14:textId="77777777" w:rsidR="008031AA" w:rsidRPr="00C73365" w:rsidRDefault="008031A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vAlign w:val="center"/>
            <w:hideMark/>
          </w:tcPr>
          <w:p w14:paraId="7997EA32" w14:textId="77777777" w:rsidR="008031AA" w:rsidRPr="00C73365" w:rsidRDefault="00937F02"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24,25</w:t>
            </w:r>
          </w:p>
        </w:tc>
        <w:tc>
          <w:tcPr>
            <w:tcW w:w="1529" w:type="dxa"/>
            <w:tcBorders>
              <w:top w:val="nil"/>
              <w:left w:val="nil"/>
              <w:bottom w:val="single" w:sz="8" w:space="0" w:color="7030A0"/>
              <w:right w:val="nil"/>
            </w:tcBorders>
            <w:vAlign w:val="center"/>
          </w:tcPr>
          <w:p w14:paraId="54006923" w14:textId="77777777" w:rsidR="008031AA" w:rsidRPr="00C73365" w:rsidRDefault="008031A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szCs w:val="20"/>
                <w:lang w:val="fr-FR" w:eastAsia="fr-FR"/>
              </w:rPr>
              <w:t>23,04</w:t>
            </w:r>
          </w:p>
        </w:tc>
      </w:tr>
    </w:tbl>
    <w:p w14:paraId="3BDF6272" w14:textId="77777777" w:rsidR="00F46C7B" w:rsidRPr="00C73365" w:rsidRDefault="00F46C7B" w:rsidP="004572A0">
      <w:pPr>
        <w:pStyle w:val="Lgende"/>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 Site fermé au 30 Avril 2016</w:t>
      </w:r>
    </w:p>
    <w:p w14:paraId="03D07879" w14:textId="77777777" w:rsidR="00937F02" w:rsidRPr="00C73365" w:rsidRDefault="00937F02" w:rsidP="00A96CCA">
      <w:pPr>
        <w:spacing w:after="0"/>
        <w:rPr>
          <w:rFonts w:asciiTheme="minorHAnsi" w:eastAsia="MS Mincho" w:hAnsiTheme="minorHAnsi" w:cstheme="minorHAnsi"/>
          <w:b/>
          <w:color w:val="7030A0"/>
          <w:sz w:val="28"/>
          <w:szCs w:val="20"/>
          <w:highlight w:val="lightGray"/>
          <w:lang w:val="fr-FR" w:eastAsia="fr-FR"/>
        </w:rPr>
      </w:pPr>
    </w:p>
    <w:p w14:paraId="6FAA7140" w14:textId="77777777" w:rsidR="00F46C7B" w:rsidRPr="00C73365" w:rsidRDefault="00F46C7B" w:rsidP="004572A0">
      <w:pPr>
        <w:pStyle w:val="Corpsdetexte"/>
        <w:rPr>
          <w:rFonts w:asciiTheme="minorHAnsi" w:eastAsia="MS Mincho" w:hAnsiTheme="minorHAnsi" w:cstheme="minorHAnsi"/>
          <w:color w:val="7030A0"/>
          <w:highlight w:val="lightGray"/>
          <w:lang w:val="fr-FR" w:eastAsia="fr-FR"/>
        </w:rPr>
      </w:pPr>
      <w:r w:rsidRPr="00C73365">
        <w:rPr>
          <w:rFonts w:asciiTheme="minorHAnsi" w:eastAsia="MS Mincho" w:hAnsiTheme="minorHAnsi" w:cstheme="minorHAnsi"/>
          <w:color w:val="7030A0"/>
          <w:highlight w:val="lightGray"/>
          <w:lang w:val="fr-FR" w:eastAsia="fr-FR"/>
        </w:rPr>
        <w:br w:type="page"/>
      </w:r>
    </w:p>
    <w:p w14:paraId="78C7A666" w14:textId="77777777" w:rsidR="00F46C7B" w:rsidRPr="00C73365" w:rsidRDefault="00F46C7B" w:rsidP="004572A0">
      <w:pPr>
        <w:pStyle w:val="Corpsdetexte"/>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15 – HONORAIRES DU COMMISSAIRE AUX COMPTES</w:t>
      </w:r>
    </w:p>
    <w:tbl>
      <w:tblPr>
        <w:tblW w:w="6400" w:type="dxa"/>
        <w:jc w:val="center"/>
        <w:tblLook w:val="04A0" w:firstRow="1" w:lastRow="0" w:firstColumn="1" w:lastColumn="0" w:noHBand="0" w:noVBand="1"/>
      </w:tblPr>
      <w:tblGrid>
        <w:gridCol w:w="4060"/>
        <w:gridCol w:w="1199"/>
        <w:gridCol w:w="1220"/>
      </w:tblGrid>
      <w:tr w:rsidR="004444B9" w:rsidRPr="004444B9" w14:paraId="6F53BDD7" w14:textId="77777777"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14:paraId="159DE4EF" w14:textId="77777777" w:rsidR="004444B9" w:rsidRPr="004444B9" w:rsidRDefault="004444B9" w:rsidP="004444B9">
            <w:pPr>
              <w:spacing w:after="0"/>
              <w:rPr>
                <w:b/>
                <w:bCs/>
                <w:color w:val="000000"/>
                <w:szCs w:val="20"/>
              </w:rPr>
            </w:pPr>
            <w:r w:rsidRPr="004444B9">
              <w:rPr>
                <w:b/>
                <w:bCs/>
                <w:color w:val="000000"/>
                <w:szCs w:val="20"/>
                <w:lang w:eastAsia="fr-FR"/>
              </w:rPr>
              <w:t>En milliers d'euros</w:t>
            </w:r>
          </w:p>
        </w:tc>
        <w:tc>
          <w:tcPr>
            <w:tcW w:w="1120" w:type="dxa"/>
            <w:tcBorders>
              <w:top w:val="single" w:sz="8" w:space="0" w:color="7030A0"/>
              <w:left w:val="nil"/>
              <w:bottom w:val="single" w:sz="8" w:space="0" w:color="7030A0"/>
              <w:right w:val="nil"/>
            </w:tcBorders>
            <w:shd w:val="clear" w:color="auto" w:fill="auto"/>
            <w:vAlign w:val="center"/>
            <w:hideMark/>
          </w:tcPr>
          <w:p w14:paraId="656451C7" w14:textId="77777777" w:rsidR="004444B9" w:rsidRPr="004444B9" w:rsidRDefault="004444B9" w:rsidP="004444B9">
            <w:pPr>
              <w:spacing w:after="0"/>
              <w:jc w:val="center"/>
              <w:rPr>
                <w:b/>
                <w:bCs/>
                <w:color w:val="000000"/>
                <w:szCs w:val="20"/>
              </w:rPr>
            </w:pPr>
            <w:r w:rsidRPr="004444B9">
              <w:rPr>
                <w:b/>
                <w:bCs/>
                <w:color w:val="000000"/>
                <w:szCs w:val="20"/>
                <w:lang w:eastAsia="fr-FR"/>
              </w:rPr>
              <w:t>31/12/2017</w:t>
            </w:r>
          </w:p>
        </w:tc>
        <w:tc>
          <w:tcPr>
            <w:tcW w:w="1220" w:type="dxa"/>
            <w:tcBorders>
              <w:top w:val="single" w:sz="8" w:space="0" w:color="7030A0"/>
              <w:left w:val="nil"/>
              <w:bottom w:val="single" w:sz="8" w:space="0" w:color="7030A0"/>
              <w:right w:val="nil"/>
            </w:tcBorders>
            <w:shd w:val="clear" w:color="auto" w:fill="auto"/>
            <w:vAlign w:val="center"/>
            <w:hideMark/>
          </w:tcPr>
          <w:p w14:paraId="54A23EE5" w14:textId="77777777" w:rsidR="004444B9" w:rsidRPr="004444B9" w:rsidRDefault="004444B9" w:rsidP="004444B9">
            <w:pPr>
              <w:spacing w:after="0"/>
              <w:jc w:val="center"/>
              <w:rPr>
                <w:b/>
                <w:bCs/>
                <w:color w:val="000000"/>
                <w:szCs w:val="20"/>
              </w:rPr>
            </w:pPr>
            <w:r w:rsidRPr="004444B9">
              <w:rPr>
                <w:b/>
                <w:bCs/>
                <w:color w:val="000000"/>
                <w:szCs w:val="20"/>
                <w:lang w:eastAsia="fr-FR"/>
              </w:rPr>
              <w:t>31/12/2016</w:t>
            </w:r>
          </w:p>
        </w:tc>
      </w:tr>
      <w:tr w:rsidR="004444B9" w:rsidRPr="004444B9" w14:paraId="709B3429" w14:textId="77777777" w:rsidTr="00D43ABA">
        <w:trPr>
          <w:trHeight w:val="300"/>
          <w:jc w:val="center"/>
        </w:trPr>
        <w:tc>
          <w:tcPr>
            <w:tcW w:w="4060" w:type="dxa"/>
            <w:tcBorders>
              <w:top w:val="nil"/>
              <w:left w:val="nil"/>
              <w:bottom w:val="nil"/>
              <w:right w:val="nil"/>
            </w:tcBorders>
            <w:shd w:val="clear" w:color="000000" w:fill="F2F2F2"/>
            <w:noWrap/>
            <w:vAlign w:val="center"/>
            <w:hideMark/>
          </w:tcPr>
          <w:p w14:paraId="7AA6DB76" w14:textId="77777777" w:rsidR="004444B9" w:rsidRPr="004444B9" w:rsidRDefault="004444B9" w:rsidP="004444B9">
            <w:pPr>
              <w:spacing w:after="0"/>
              <w:rPr>
                <w:color w:val="000000"/>
                <w:szCs w:val="20"/>
              </w:rPr>
            </w:pPr>
            <w:r w:rsidRPr="004444B9">
              <w:rPr>
                <w:color w:val="000000"/>
                <w:szCs w:val="20"/>
                <w:lang w:eastAsia="fr-FR"/>
              </w:rPr>
              <w:t>Audit</w:t>
            </w:r>
          </w:p>
        </w:tc>
        <w:tc>
          <w:tcPr>
            <w:tcW w:w="1120" w:type="dxa"/>
            <w:tcBorders>
              <w:top w:val="nil"/>
              <w:left w:val="nil"/>
              <w:bottom w:val="nil"/>
              <w:right w:val="nil"/>
            </w:tcBorders>
            <w:shd w:val="clear" w:color="000000" w:fill="F2F2F2"/>
            <w:noWrap/>
            <w:vAlign w:val="center"/>
            <w:hideMark/>
          </w:tcPr>
          <w:p w14:paraId="6E3E2F88" w14:textId="77777777" w:rsidR="004444B9" w:rsidRPr="004444B9" w:rsidRDefault="004444B9" w:rsidP="004444B9">
            <w:pPr>
              <w:spacing w:after="0"/>
              <w:jc w:val="center"/>
              <w:rPr>
                <w:color w:val="000000"/>
                <w:szCs w:val="20"/>
              </w:rPr>
            </w:pPr>
            <w:r w:rsidRPr="004444B9">
              <w:rPr>
                <w:color w:val="000000"/>
                <w:szCs w:val="20"/>
                <w:lang w:eastAsia="fr-FR"/>
              </w:rPr>
              <w:t> </w:t>
            </w:r>
          </w:p>
        </w:tc>
        <w:tc>
          <w:tcPr>
            <w:tcW w:w="1220" w:type="dxa"/>
            <w:tcBorders>
              <w:top w:val="nil"/>
              <w:left w:val="nil"/>
              <w:bottom w:val="nil"/>
              <w:right w:val="nil"/>
            </w:tcBorders>
            <w:shd w:val="clear" w:color="000000" w:fill="F2F2F2"/>
            <w:noWrap/>
            <w:vAlign w:val="center"/>
            <w:hideMark/>
          </w:tcPr>
          <w:p w14:paraId="62B26360" w14:textId="77777777" w:rsidR="004444B9" w:rsidRPr="004444B9" w:rsidRDefault="004444B9" w:rsidP="004444B9">
            <w:pPr>
              <w:spacing w:after="0"/>
              <w:jc w:val="center"/>
              <w:rPr>
                <w:color w:val="000000"/>
                <w:szCs w:val="20"/>
              </w:rPr>
            </w:pPr>
            <w:r w:rsidRPr="004444B9">
              <w:rPr>
                <w:color w:val="000000"/>
                <w:szCs w:val="20"/>
                <w:lang w:eastAsia="fr-FR"/>
              </w:rPr>
              <w:t> </w:t>
            </w:r>
          </w:p>
        </w:tc>
      </w:tr>
      <w:tr w:rsidR="004444B9" w:rsidRPr="00036317" w14:paraId="22FD3451" w14:textId="77777777" w:rsidTr="00D43ABA">
        <w:trPr>
          <w:trHeight w:val="510"/>
          <w:jc w:val="center"/>
        </w:trPr>
        <w:tc>
          <w:tcPr>
            <w:tcW w:w="4060" w:type="dxa"/>
            <w:tcBorders>
              <w:top w:val="nil"/>
              <w:left w:val="nil"/>
              <w:bottom w:val="single" w:sz="4" w:space="0" w:color="808080"/>
              <w:right w:val="nil"/>
            </w:tcBorders>
            <w:shd w:val="clear" w:color="000000" w:fill="F2F2F2"/>
            <w:noWrap/>
            <w:vAlign w:val="center"/>
            <w:hideMark/>
          </w:tcPr>
          <w:p w14:paraId="0D2D0461" w14:textId="77777777" w:rsidR="004444B9" w:rsidRPr="004444B9" w:rsidRDefault="004444B9" w:rsidP="004444B9">
            <w:pPr>
              <w:spacing w:after="0"/>
              <w:rPr>
                <w:color w:val="000000"/>
                <w:szCs w:val="20"/>
                <w:lang w:val="fr-FR"/>
              </w:rPr>
            </w:pPr>
            <w:r w:rsidRPr="004444B9">
              <w:rPr>
                <w:color w:val="000000"/>
                <w:szCs w:val="20"/>
                <w:lang w:val="fr-FR"/>
              </w:rPr>
              <w:t>Commissariat aux comptes, certification des comptes individuels</w:t>
            </w:r>
          </w:p>
        </w:tc>
        <w:tc>
          <w:tcPr>
            <w:tcW w:w="1120" w:type="dxa"/>
            <w:tcBorders>
              <w:top w:val="nil"/>
              <w:left w:val="nil"/>
              <w:bottom w:val="single" w:sz="4" w:space="0" w:color="808080"/>
              <w:right w:val="nil"/>
            </w:tcBorders>
            <w:shd w:val="clear" w:color="000000" w:fill="F2F2F2"/>
            <w:noWrap/>
            <w:vAlign w:val="center"/>
            <w:hideMark/>
          </w:tcPr>
          <w:p w14:paraId="130DBDE8" w14:textId="77777777" w:rsidR="004444B9" w:rsidRPr="004444B9" w:rsidRDefault="004444B9" w:rsidP="004444B9">
            <w:pPr>
              <w:spacing w:after="0"/>
              <w:jc w:val="center"/>
              <w:rPr>
                <w:color w:val="000000"/>
                <w:szCs w:val="20"/>
                <w:lang w:val="fr-FR"/>
              </w:rPr>
            </w:pPr>
            <w:r w:rsidRPr="004444B9">
              <w:rPr>
                <w:color w:val="000000"/>
                <w:szCs w:val="20"/>
                <w:lang w:val="fr-FR"/>
              </w:rPr>
              <w:t> </w:t>
            </w:r>
          </w:p>
        </w:tc>
        <w:tc>
          <w:tcPr>
            <w:tcW w:w="1220" w:type="dxa"/>
            <w:tcBorders>
              <w:top w:val="nil"/>
              <w:left w:val="nil"/>
              <w:bottom w:val="single" w:sz="4" w:space="0" w:color="808080"/>
              <w:right w:val="nil"/>
            </w:tcBorders>
            <w:shd w:val="clear" w:color="000000" w:fill="F2F2F2"/>
            <w:noWrap/>
            <w:vAlign w:val="center"/>
            <w:hideMark/>
          </w:tcPr>
          <w:p w14:paraId="113B1765" w14:textId="77777777" w:rsidR="004444B9" w:rsidRPr="004444B9" w:rsidRDefault="004444B9" w:rsidP="004444B9">
            <w:pPr>
              <w:spacing w:after="0"/>
              <w:jc w:val="center"/>
              <w:rPr>
                <w:color w:val="000000"/>
                <w:szCs w:val="20"/>
                <w:lang w:val="fr-FR"/>
              </w:rPr>
            </w:pPr>
            <w:r w:rsidRPr="004444B9">
              <w:rPr>
                <w:color w:val="000000"/>
                <w:szCs w:val="20"/>
                <w:lang w:val="fr-FR"/>
              </w:rPr>
              <w:t> </w:t>
            </w:r>
          </w:p>
        </w:tc>
      </w:tr>
      <w:tr w:rsidR="004444B9" w:rsidRPr="004444B9" w14:paraId="6915154D" w14:textId="77777777" w:rsidTr="00D43ABA">
        <w:trPr>
          <w:trHeight w:val="300"/>
          <w:jc w:val="center"/>
        </w:trPr>
        <w:tc>
          <w:tcPr>
            <w:tcW w:w="4060" w:type="dxa"/>
            <w:tcBorders>
              <w:top w:val="nil"/>
              <w:left w:val="nil"/>
              <w:bottom w:val="nil"/>
              <w:right w:val="nil"/>
            </w:tcBorders>
            <w:shd w:val="clear" w:color="auto" w:fill="auto"/>
            <w:noWrap/>
            <w:vAlign w:val="center"/>
            <w:hideMark/>
          </w:tcPr>
          <w:p w14:paraId="66CCCADC" w14:textId="77777777" w:rsidR="004444B9" w:rsidRPr="004444B9" w:rsidRDefault="004444B9" w:rsidP="004444B9">
            <w:pPr>
              <w:spacing w:after="0"/>
              <w:rPr>
                <w:color w:val="000000"/>
                <w:szCs w:val="20"/>
              </w:rPr>
            </w:pPr>
            <w:r w:rsidRPr="004444B9">
              <w:rPr>
                <w:color w:val="000000"/>
                <w:szCs w:val="20"/>
                <w:lang w:eastAsia="fr-FR"/>
              </w:rPr>
              <w:t>Emetteur</w:t>
            </w:r>
          </w:p>
        </w:tc>
        <w:tc>
          <w:tcPr>
            <w:tcW w:w="1120" w:type="dxa"/>
            <w:tcBorders>
              <w:top w:val="nil"/>
              <w:left w:val="nil"/>
              <w:bottom w:val="nil"/>
              <w:right w:val="nil"/>
            </w:tcBorders>
            <w:shd w:val="clear" w:color="auto" w:fill="auto"/>
            <w:noWrap/>
            <w:vAlign w:val="center"/>
            <w:hideMark/>
          </w:tcPr>
          <w:p w14:paraId="598F460B" w14:textId="77777777" w:rsidR="004444B9" w:rsidRPr="004444B9" w:rsidRDefault="004444B9" w:rsidP="004444B9">
            <w:pPr>
              <w:spacing w:after="0"/>
              <w:jc w:val="center"/>
              <w:rPr>
                <w:color w:val="000000"/>
                <w:szCs w:val="20"/>
              </w:rPr>
            </w:pPr>
            <w:r w:rsidRPr="004444B9">
              <w:rPr>
                <w:color w:val="000000"/>
                <w:szCs w:val="20"/>
                <w:lang w:eastAsia="fr-FR"/>
              </w:rPr>
              <w:t>61</w:t>
            </w:r>
          </w:p>
        </w:tc>
        <w:tc>
          <w:tcPr>
            <w:tcW w:w="1220" w:type="dxa"/>
            <w:tcBorders>
              <w:top w:val="nil"/>
              <w:left w:val="nil"/>
              <w:bottom w:val="nil"/>
              <w:right w:val="nil"/>
            </w:tcBorders>
            <w:shd w:val="clear" w:color="auto" w:fill="auto"/>
            <w:noWrap/>
            <w:vAlign w:val="center"/>
            <w:hideMark/>
          </w:tcPr>
          <w:p w14:paraId="687EF1F4" w14:textId="77777777" w:rsidR="004444B9" w:rsidRPr="004444B9" w:rsidRDefault="004444B9" w:rsidP="004444B9">
            <w:pPr>
              <w:spacing w:after="0"/>
              <w:jc w:val="center"/>
              <w:rPr>
                <w:color w:val="000000"/>
                <w:szCs w:val="20"/>
              </w:rPr>
            </w:pPr>
            <w:r w:rsidRPr="004444B9">
              <w:rPr>
                <w:color w:val="000000"/>
                <w:szCs w:val="20"/>
                <w:lang w:eastAsia="fr-FR"/>
              </w:rPr>
              <w:t>76</w:t>
            </w:r>
          </w:p>
        </w:tc>
      </w:tr>
      <w:tr w:rsidR="004444B9" w:rsidRPr="004444B9" w14:paraId="5CF3ABFA" w14:textId="77777777" w:rsidTr="00D43ABA">
        <w:trPr>
          <w:trHeight w:val="300"/>
          <w:jc w:val="center"/>
        </w:trPr>
        <w:tc>
          <w:tcPr>
            <w:tcW w:w="4060" w:type="dxa"/>
            <w:tcBorders>
              <w:top w:val="nil"/>
              <w:left w:val="nil"/>
              <w:bottom w:val="nil"/>
              <w:right w:val="nil"/>
            </w:tcBorders>
            <w:shd w:val="clear" w:color="auto" w:fill="auto"/>
            <w:noWrap/>
            <w:vAlign w:val="center"/>
            <w:hideMark/>
          </w:tcPr>
          <w:p w14:paraId="68DF07E2" w14:textId="77777777" w:rsidR="004444B9" w:rsidRPr="004444B9" w:rsidRDefault="004444B9" w:rsidP="004444B9">
            <w:pPr>
              <w:spacing w:after="0"/>
              <w:rPr>
                <w:color w:val="000000"/>
                <w:szCs w:val="20"/>
              </w:rPr>
            </w:pPr>
            <w:r w:rsidRPr="004444B9">
              <w:rPr>
                <w:color w:val="000000"/>
                <w:szCs w:val="20"/>
                <w:lang w:eastAsia="fr-FR"/>
              </w:rPr>
              <w:t>Filiales intégrées globalement</w:t>
            </w:r>
          </w:p>
        </w:tc>
        <w:tc>
          <w:tcPr>
            <w:tcW w:w="1120" w:type="dxa"/>
            <w:tcBorders>
              <w:top w:val="nil"/>
              <w:left w:val="nil"/>
              <w:bottom w:val="nil"/>
              <w:right w:val="nil"/>
            </w:tcBorders>
            <w:shd w:val="clear" w:color="auto" w:fill="auto"/>
            <w:noWrap/>
            <w:vAlign w:val="center"/>
            <w:hideMark/>
          </w:tcPr>
          <w:p w14:paraId="4F3E4BEE" w14:textId="77777777"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14:paraId="23F3D9B5" w14:textId="77777777" w:rsidR="004444B9" w:rsidRPr="004444B9" w:rsidRDefault="004444B9" w:rsidP="004444B9">
            <w:pPr>
              <w:spacing w:after="0"/>
              <w:jc w:val="center"/>
              <w:rPr>
                <w:rFonts w:ascii="Times New Roman" w:hAnsi="Times New Roman"/>
                <w:szCs w:val="20"/>
              </w:rPr>
            </w:pPr>
          </w:p>
        </w:tc>
      </w:tr>
      <w:tr w:rsidR="004444B9" w:rsidRPr="00036317" w14:paraId="043A7452" w14:textId="77777777" w:rsidTr="00D43ABA">
        <w:trPr>
          <w:trHeight w:val="300"/>
          <w:jc w:val="center"/>
        </w:trPr>
        <w:tc>
          <w:tcPr>
            <w:tcW w:w="4060" w:type="dxa"/>
            <w:tcBorders>
              <w:top w:val="single" w:sz="4" w:space="0" w:color="808080"/>
              <w:left w:val="nil"/>
              <w:bottom w:val="single" w:sz="4" w:space="0" w:color="808080"/>
              <w:right w:val="nil"/>
            </w:tcBorders>
            <w:shd w:val="clear" w:color="000000" w:fill="F2F2F2"/>
            <w:noWrap/>
            <w:vAlign w:val="center"/>
            <w:hideMark/>
          </w:tcPr>
          <w:p w14:paraId="0B196AA5" w14:textId="77777777" w:rsidR="004444B9" w:rsidRPr="004444B9" w:rsidRDefault="004444B9" w:rsidP="004444B9">
            <w:pPr>
              <w:spacing w:after="0"/>
              <w:rPr>
                <w:color w:val="000000"/>
                <w:szCs w:val="20"/>
                <w:lang w:val="fr-FR"/>
              </w:rPr>
            </w:pPr>
            <w:r w:rsidRPr="004444B9">
              <w:rPr>
                <w:color w:val="000000"/>
                <w:szCs w:val="20"/>
                <w:lang w:val="fr-FR"/>
              </w:rPr>
              <w:t>Autres diligences prévues par la loi</w:t>
            </w:r>
          </w:p>
        </w:tc>
        <w:tc>
          <w:tcPr>
            <w:tcW w:w="1120" w:type="dxa"/>
            <w:tcBorders>
              <w:top w:val="single" w:sz="4" w:space="0" w:color="808080"/>
              <w:left w:val="nil"/>
              <w:bottom w:val="single" w:sz="4" w:space="0" w:color="808080"/>
              <w:right w:val="nil"/>
            </w:tcBorders>
            <w:shd w:val="clear" w:color="000000" w:fill="F2F2F2"/>
            <w:noWrap/>
            <w:vAlign w:val="center"/>
            <w:hideMark/>
          </w:tcPr>
          <w:p w14:paraId="691CE0BB" w14:textId="77777777" w:rsidR="004444B9" w:rsidRPr="004444B9" w:rsidRDefault="004444B9" w:rsidP="004444B9">
            <w:pPr>
              <w:spacing w:after="0"/>
              <w:jc w:val="center"/>
              <w:rPr>
                <w:color w:val="000000"/>
                <w:szCs w:val="20"/>
                <w:lang w:val="fr-FR"/>
              </w:rPr>
            </w:pPr>
            <w:r w:rsidRPr="004444B9">
              <w:rPr>
                <w:color w:val="000000"/>
                <w:szCs w:val="20"/>
                <w:lang w:val="fr-FR"/>
              </w:rPr>
              <w:t> </w:t>
            </w:r>
          </w:p>
        </w:tc>
        <w:tc>
          <w:tcPr>
            <w:tcW w:w="1220" w:type="dxa"/>
            <w:tcBorders>
              <w:top w:val="single" w:sz="4" w:space="0" w:color="808080"/>
              <w:left w:val="nil"/>
              <w:bottom w:val="single" w:sz="4" w:space="0" w:color="808080"/>
              <w:right w:val="nil"/>
            </w:tcBorders>
            <w:shd w:val="clear" w:color="000000" w:fill="F2F2F2"/>
            <w:noWrap/>
            <w:vAlign w:val="center"/>
            <w:hideMark/>
          </w:tcPr>
          <w:p w14:paraId="13E646E5" w14:textId="77777777" w:rsidR="004444B9" w:rsidRPr="004444B9" w:rsidRDefault="004444B9" w:rsidP="004444B9">
            <w:pPr>
              <w:spacing w:after="0"/>
              <w:jc w:val="center"/>
              <w:rPr>
                <w:color w:val="000000"/>
                <w:szCs w:val="20"/>
                <w:lang w:val="fr-FR"/>
              </w:rPr>
            </w:pPr>
            <w:r w:rsidRPr="004444B9">
              <w:rPr>
                <w:color w:val="000000"/>
                <w:szCs w:val="20"/>
                <w:lang w:val="fr-FR"/>
              </w:rPr>
              <w:t> </w:t>
            </w:r>
          </w:p>
        </w:tc>
      </w:tr>
      <w:tr w:rsidR="004444B9" w:rsidRPr="004444B9" w14:paraId="5CE13B6B" w14:textId="77777777" w:rsidTr="00D43ABA">
        <w:trPr>
          <w:trHeight w:val="300"/>
          <w:jc w:val="center"/>
        </w:trPr>
        <w:tc>
          <w:tcPr>
            <w:tcW w:w="4060" w:type="dxa"/>
            <w:tcBorders>
              <w:top w:val="nil"/>
              <w:left w:val="nil"/>
              <w:bottom w:val="nil"/>
              <w:right w:val="nil"/>
            </w:tcBorders>
            <w:shd w:val="clear" w:color="auto" w:fill="auto"/>
            <w:noWrap/>
            <w:vAlign w:val="center"/>
            <w:hideMark/>
          </w:tcPr>
          <w:p w14:paraId="518D18F2" w14:textId="77777777" w:rsidR="004444B9" w:rsidRPr="004444B9" w:rsidRDefault="004444B9" w:rsidP="004444B9">
            <w:pPr>
              <w:spacing w:after="0"/>
              <w:rPr>
                <w:color w:val="000000"/>
                <w:szCs w:val="20"/>
              </w:rPr>
            </w:pPr>
            <w:r w:rsidRPr="004444B9">
              <w:rPr>
                <w:color w:val="000000"/>
                <w:szCs w:val="20"/>
                <w:lang w:eastAsia="fr-FR"/>
              </w:rPr>
              <w:t>Emetteur</w:t>
            </w:r>
          </w:p>
        </w:tc>
        <w:tc>
          <w:tcPr>
            <w:tcW w:w="1120" w:type="dxa"/>
            <w:tcBorders>
              <w:top w:val="nil"/>
              <w:left w:val="nil"/>
              <w:bottom w:val="nil"/>
              <w:right w:val="nil"/>
            </w:tcBorders>
            <w:shd w:val="clear" w:color="auto" w:fill="auto"/>
            <w:noWrap/>
            <w:vAlign w:val="center"/>
            <w:hideMark/>
          </w:tcPr>
          <w:p w14:paraId="2D02EDBB" w14:textId="77777777" w:rsidR="004444B9" w:rsidRPr="004444B9" w:rsidRDefault="004444B9" w:rsidP="004444B9">
            <w:pPr>
              <w:spacing w:after="0"/>
              <w:jc w:val="center"/>
              <w:rPr>
                <w:color w:val="000000"/>
                <w:szCs w:val="20"/>
              </w:rPr>
            </w:pPr>
            <w:r w:rsidRPr="004444B9">
              <w:rPr>
                <w:color w:val="000000"/>
                <w:szCs w:val="20"/>
                <w:lang w:eastAsia="fr-FR"/>
              </w:rPr>
              <w:t> 28</w:t>
            </w:r>
          </w:p>
        </w:tc>
        <w:tc>
          <w:tcPr>
            <w:tcW w:w="1220" w:type="dxa"/>
            <w:tcBorders>
              <w:top w:val="nil"/>
              <w:left w:val="nil"/>
              <w:bottom w:val="nil"/>
              <w:right w:val="nil"/>
            </w:tcBorders>
            <w:shd w:val="clear" w:color="auto" w:fill="auto"/>
            <w:noWrap/>
            <w:vAlign w:val="center"/>
            <w:hideMark/>
          </w:tcPr>
          <w:p w14:paraId="6466F566" w14:textId="77777777" w:rsidR="004444B9" w:rsidRPr="004444B9" w:rsidRDefault="004444B9" w:rsidP="004444B9">
            <w:pPr>
              <w:spacing w:after="0"/>
              <w:jc w:val="center"/>
              <w:rPr>
                <w:color w:val="000000"/>
                <w:szCs w:val="20"/>
              </w:rPr>
            </w:pPr>
          </w:p>
        </w:tc>
      </w:tr>
      <w:tr w:rsidR="004444B9" w:rsidRPr="004444B9" w14:paraId="11FBE9AC" w14:textId="77777777" w:rsidTr="00D43ABA">
        <w:trPr>
          <w:trHeight w:val="315"/>
          <w:jc w:val="center"/>
        </w:trPr>
        <w:tc>
          <w:tcPr>
            <w:tcW w:w="4060" w:type="dxa"/>
            <w:tcBorders>
              <w:top w:val="nil"/>
              <w:left w:val="nil"/>
              <w:bottom w:val="nil"/>
              <w:right w:val="nil"/>
            </w:tcBorders>
            <w:shd w:val="clear" w:color="auto" w:fill="auto"/>
            <w:noWrap/>
            <w:vAlign w:val="center"/>
            <w:hideMark/>
          </w:tcPr>
          <w:p w14:paraId="47B17141" w14:textId="77777777" w:rsidR="004444B9" w:rsidRPr="004444B9" w:rsidRDefault="004444B9" w:rsidP="004444B9">
            <w:pPr>
              <w:spacing w:after="0"/>
              <w:rPr>
                <w:color w:val="000000"/>
                <w:szCs w:val="20"/>
              </w:rPr>
            </w:pPr>
            <w:r w:rsidRPr="004444B9">
              <w:rPr>
                <w:color w:val="000000"/>
                <w:szCs w:val="20"/>
                <w:lang w:eastAsia="fr-FR"/>
              </w:rPr>
              <w:t>Filiales intégrées globalement</w:t>
            </w:r>
          </w:p>
        </w:tc>
        <w:tc>
          <w:tcPr>
            <w:tcW w:w="1120" w:type="dxa"/>
            <w:tcBorders>
              <w:top w:val="nil"/>
              <w:left w:val="nil"/>
              <w:bottom w:val="nil"/>
              <w:right w:val="nil"/>
            </w:tcBorders>
            <w:shd w:val="clear" w:color="auto" w:fill="auto"/>
            <w:noWrap/>
            <w:vAlign w:val="center"/>
            <w:hideMark/>
          </w:tcPr>
          <w:p w14:paraId="7D52AE57" w14:textId="77777777"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14:paraId="67F736BD" w14:textId="77777777" w:rsidR="004444B9" w:rsidRPr="004444B9" w:rsidRDefault="004444B9" w:rsidP="004444B9">
            <w:pPr>
              <w:spacing w:after="0"/>
              <w:jc w:val="center"/>
              <w:rPr>
                <w:rFonts w:ascii="Times New Roman" w:hAnsi="Times New Roman"/>
                <w:szCs w:val="20"/>
              </w:rPr>
            </w:pPr>
          </w:p>
        </w:tc>
      </w:tr>
      <w:tr w:rsidR="004444B9" w:rsidRPr="004444B9" w14:paraId="72BC1AB2" w14:textId="77777777"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14:paraId="08402C60" w14:textId="77777777" w:rsidR="004444B9" w:rsidRPr="004444B9" w:rsidRDefault="004444B9" w:rsidP="004444B9">
            <w:pPr>
              <w:spacing w:after="0"/>
              <w:rPr>
                <w:b/>
                <w:bCs/>
                <w:color w:val="7030A0"/>
                <w:szCs w:val="20"/>
              </w:rPr>
            </w:pPr>
            <w:r w:rsidRPr="004444B9">
              <w:rPr>
                <w:b/>
                <w:bCs/>
                <w:color w:val="7030A0"/>
                <w:szCs w:val="20"/>
                <w:lang w:eastAsia="fr-FR"/>
              </w:rPr>
              <w:t>Sous-total</w:t>
            </w:r>
          </w:p>
        </w:tc>
        <w:tc>
          <w:tcPr>
            <w:tcW w:w="1120" w:type="dxa"/>
            <w:tcBorders>
              <w:top w:val="single" w:sz="8" w:space="0" w:color="7030A0"/>
              <w:left w:val="nil"/>
              <w:bottom w:val="single" w:sz="8" w:space="0" w:color="7030A0"/>
              <w:right w:val="nil"/>
            </w:tcBorders>
            <w:shd w:val="clear" w:color="auto" w:fill="auto"/>
            <w:vAlign w:val="center"/>
            <w:hideMark/>
          </w:tcPr>
          <w:p w14:paraId="20F31DE4" w14:textId="77777777" w:rsidR="004444B9" w:rsidRPr="004444B9" w:rsidRDefault="004444B9" w:rsidP="004444B9">
            <w:pPr>
              <w:spacing w:after="0"/>
              <w:jc w:val="center"/>
              <w:rPr>
                <w:b/>
                <w:bCs/>
                <w:color w:val="7030A0"/>
                <w:szCs w:val="20"/>
              </w:rPr>
            </w:pPr>
            <w:r w:rsidRPr="004444B9">
              <w:rPr>
                <w:b/>
                <w:bCs/>
                <w:color w:val="7030A0"/>
                <w:szCs w:val="20"/>
                <w:lang w:eastAsia="fr-FR"/>
              </w:rPr>
              <w:t>89</w:t>
            </w:r>
          </w:p>
        </w:tc>
        <w:tc>
          <w:tcPr>
            <w:tcW w:w="1220" w:type="dxa"/>
            <w:tcBorders>
              <w:top w:val="single" w:sz="8" w:space="0" w:color="7030A0"/>
              <w:left w:val="nil"/>
              <w:bottom w:val="single" w:sz="8" w:space="0" w:color="7030A0"/>
              <w:right w:val="nil"/>
            </w:tcBorders>
            <w:shd w:val="clear" w:color="auto" w:fill="auto"/>
            <w:vAlign w:val="center"/>
            <w:hideMark/>
          </w:tcPr>
          <w:p w14:paraId="29CE8474" w14:textId="77777777" w:rsidR="004444B9" w:rsidRPr="004444B9" w:rsidRDefault="004444B9" w:rsidP="004444B9">
            <w:pPr>
              <w:spacing w:after="0"/>
              <w:jc w:val="center"/>
              <w:rPr>
                <w:b/>
                <w:bCs/>
                <w:color w:val="7030A0"/>
                <w:szCs w:val="20"/>
              </w:rPr>
            </w:pPr>
            <w:r w:rsidRPr="004444B9">
              <w:rPr>
                <w:b/>
                <w:bCs/>
                <w:color w:val="7030A0"/>
                <w:szCs w:val="20"/>
                <w:lang w:eastAsia="fr-FR"/>
              </w:rPr>
              <w:t>76</w:t>
            </w:r>
          </w:p>
        </w:tc>
      </w:tr>
      <w:tr w:rsidR="004444B9" w:rsidRPr="00036317" w14:paraId="0A435E9B" w14:textId="77777777" w:rsidTr="00D43ABA">
        <w:trPr>
          <w:trHeight w:val="510"/>
          <w:jc w:val="center"/>
        </w:trPr>
        <w:tc>
          <w:tcPr>
            <w:tcW w:w="4060" w:type="dxa"/>
            <w:tcBorders>
              <w:top w:val="nil"/>
              <w:left w:val="nil"/>
              <w:bottom w:val="nil"/>
              <w:right w:val="nil"/>
            </w:tcBorders>
            <w:shd w:val="clear" w:color="auto" w:fill="auto"/>
            <w:noWrap/>
            <w:vAlign w:val="center"/>
            <w:hideMark/>
          </w:tcPr>
          <w:p w14:paraId="35592696" w14:textId="77777777" w:rsidR="004444B9" w:rsidRPr="004444B9" w:rsidRDefault="004444B9" w:rsidP="004444B9">
            <w:pPr>
              <w:spacing w:after="0"/>
              <w:rPr>
                <w:color w:val="000000"/>
                <w:szCs w:val="20"/>
                <w:lang w:val="fr-FR"/>
              </w:rPr>
            </w:pPr>
            <w:r w:rsidRPr="004444B9">
              <w:rPr>
                <w:color w:val="000000"/>
                <w:szCs w:val="20"/>
                <w:lang w:val="fr-FR"/>
              </w:rPr>
              <w:t>Autres prestations rendues par les réseaux aux filiales intégrées globalement</w:t>
            </w:r>
          </w:p>
        </w:tc>
        <w:tc>
          <w:tcPr>
            <w:tcW w:w="1120" w:type="dxa"/>
            <w:tcBorders>
              <w:top w:val="nil"/>
              <w:left w:val="nil"/>
              <w:bottom w:val="nil"/>
              <w:right w:val="nil"/>
            </w:tcBorders>
            <w:shd w:val="clear" w:color="auto" w:fill="auto"/>
            <w:noWrap/>
            <w:vAlign w:val="center"/>
            <w:hideMark/>
          </w:tcPr>
          <w:p w14:paraId="382A0F26" w14:textId="77777777" w:rsidR="004444B9" w:rsidRPr="004444B9" w:rsidRDefault="004444B9" w:rsidP="004444B9">
            <w:pPr>
              <w:spacing w:after="0"/>
              <w:rPr>
                <w:color w:val="000000"/>
                <w:szCs w:val="20"/>
                <w:lang w:val="fr-FR"/>
              </w:rPr>
            </w:pPr>
          </w:p>
        </w:tc>
        <w:tc>
          <w:tcPr>
            <w:tcW w:w="1220" w:type="dxa"/>
            <w:tcBorders>
              <w:top w:val="nil"/>
              <w:left w:val="nil"/>
              <w:bottom w:val="nil"/>
              <w:right w:val="nil"/>
            </w:tcBorders>
            <w:shd w:val="clear" w:color="auto" w:fill="auto"/>
            <w:noWrap/>
            <w:vAlign w:val="center"/>
            <w:hideMark/>
          </w:tcPr>
          <w:p w14:paraId="409409A9" w14:textId="77777777" w:rsidR="004444B9" w:rsidRPr="004444B9" w:rsidRDefault="004444B9" w:rsidP="004444B9">
            <w:pPr>
              <w:spacing w:after="0"/>
              <w:jc w:val="center"/>
              <w:rPr>
                <w:rFonts w:ascii="Times New Roman" w:hAnsi="Times New Roman"/>
                <w:szCs w:val="20"/>
                <w:lang w:val="fr-FR"/>
              </w:rPr>
            </w:pPr>
          </w:p>
        </w:tc>
      </w:tr>
      <w:tr w:rsidR="004444B9" w:rsidRPr="004444B9" w14:paraId="613E4B01" w14:textId="77777777" w:rsidTr="00D43ABA">
        <w:trPr>
          <w:trHeight w:val="300"/>
          <w:jc w:val="center"/>
        </w:trPr>
        <w:tc>
          <w:tcPr>
            <w:tcW w:w="4060" w:type="dxa"/>
            <w:tcBorders>
              <w:top w:val="nil"/>
              <w:left w:val="nil"/>
              <w:bottom w:val="nil"/>
              <w:right w:val="nil"/>
            </w:tcBorders>
            <w:shd w:val="clear" w:color="auto" w:fill="auto"/>
            <w:noWrap/>
            <w:vAlign w:val="center"/>
            <w:hideMark/>
          </w:tcPr>
          <w:p w14:paraId="55911B5A" w14:textId="77777777" w:rsidR="004444B9" w:rsidRPr="004444B9" w:rsidRDefault="004444B9" w:rsidP="004444B9">
            <w:pPr>
              <w:spacing w:after="0"/>
              <w:rPr>
                <w:color w:val="000000"/>
                <w:szCs w:val="20"/>
              </w:rPr>
            </w:pPr>
            <w:r w:rsidRPr="004444B9">
              <w:rPr>
                <w:color w:val="000000"/>
                <w:szCs w:val="20"/>
                <w:lang w:eastAsia="fr-FR"/>
              </w:rPr>
              <w:t>Juridique, fiscal, social</w:t>
            </w:r>
          </w:p>
        </w:tc>
        <w:tc>
          <w:tcPr>
            <w:tcW w:w="1120" w:type="dxa"/>
            <w:tcBorders>
              <w:top w:val="nil"/>
              <w:left w:val="nil"/>
              <w:bottom w:val="nil"/>
              <w:right w:val="nil"/>
            </w:tcBorders>
            <w:shd w:val="clear" w:color="auto" w:fill="auto"/>
            <w:noWrap/>
            <w:vAlign w:val="center"/>
            <w:hideMark/>
          </w:tcPr>
          <w:p w14:paraId="3AD32AA1" w14:textId="77777777"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14:paraId="521741A5" w14:textId="77777777" w:rsidR="004444B9" w:rsidRPr="004444B9" w:rsidRDefault="004444B9" w:rsidP="004444B9">
            <w:pPr>
              <w:spacing w:after="0"/>
              <w:jc w:val="center"/>
              <w:rPr>
                <w:rFonts w:ascii="Times New Roman" w:hAnsi="Times New Roman"/>
                <w:szCs w:val="20"/>
              </w:rPr>
            </w:pPr>
          </w:p>
        </w:tc>
      </w:tr>
      <w:tr w:rsidR="004444B9" w:rsidRPr="00036317" w14:paraId="56A10D20" w14:textId="77777777" w:rsidTr="00D43ABA">
        <w:trPr>
          <w:trHeight w:val="525"/>
          <w:jc w:val="center"/>
        </w:trPr>
        <w:tc>
          <w:tcPr>
            <w:tcW w:w="4060" w:type="dxa"/>
            <w:tcBorders>
              <w:top w:val="nil"/>
              <w:left w:val="nil"/>
              <w:bottom w:val="nil"/>
              <w:right w:val="nil"/>
            </w:tcBorders>
            <w:shd w:val="clear" w:color="auto" w:fill="auto"/>
            <w:noWrap/>
            <w:vAlign w:val="center"/>
            <w:hideMark/>
          </w:tcPr>
          <w:p w14:paraId="2DD04D11" w14:textId="77777777" w:rsidR="004444B9" w:rsidRPr="004444B9" w:rsidRDefault="004444B9" w:rsidP="004444B9">
            <w:pPr>
              <w:spacing w:after="0"/>
              <w:rPr>
                <w:color w:val="000000"/>
                <w:szCs w:val="20"/>
                <w:lang w:val="fr-FR"/>
              </w:rPr>
            </w:pPr>
            <w:r w:rsidRPr="004444B9">
              <w:rPr>
                <w:color w:val="000000"/>
                <w:szCs w:val="20"/>
                <w:lang w:val="fr-FR"/>
              </w:rPr>
              <w:t>Autres (à préciser si supérieur à 10% des honoraires d'audit)</w:t>
            </w:r>
          </w:p>
        </w:tc>
        <w:tc>
          <w:tcPr>
            <w:tcW w:w="1120" w:type="dxa"/>
            <w:tcBorders>
              <w:top w:val="nil"/>
              <w:left w:val="nil"/>
              <w:bottom w:val="nil"/>
              <w:right w:val="nil"/>
            </w:tcBorders>
            <w:shd w:val="clear" w:color="auto" w:fill="auto"/>
            <w:noWrap/>
            <w:vAlign w:val="center"/>
            <w:hideMark/>
          </w:tcPr>
          <w:p w14:paraId="2B2947A4" w14:textId="77777777" w:rsidR="004444B9" w:rsidRPr="004444B9" w:rsidRDefault="004444B9" w:rsidP="004444B9">
            <w:pPr>
              <w:spacing w:after="0"/>
              <w:rPr>
                <w:color w:val="000000"/>
                <w:szCs w:val="20"/>
                <w:lang w:val="fr-FR"/>
              </w:rPr>
            </w:pPr>
          </w:p>
        </w:tc>
        <w:tc>
          <w:tcPr>
            <w:tcW w:w="1220" w:type="dxa"/>
            <w:tcBorders>
              <w:top w:val="nil"/>
              <w:left w:val="nil"/>
              <w:bottom w:val="nil"/>
              <w:right w:val="nil"/>
            </w:tcBorders>
            <w:shd w:val="clear" w:color="auto" w:fill="auto"/>
            <w:noWrap/>
            <w:vAlign w:val="center"/>
            <w:hideMark/>
          </w:tcPr>
          <w:p w14:paraId="69AE1679" w14:textId="77777777" w:rsidR="004444B9" w:rsidRPr="004444B9" w:rsidRDefault="004444B9" w:rsidP="004444B9">
            <w:pPr>
              <w:spacing w:after="0"/>
              <w:jc w:val="center"/>
              <w:rPr>
                <w:rFonts w:ascii="Times New Roman" w:hAnsi="Times New Roman"/>
                <w:szCs w:val="20"/>
                <w:lang w:val="fr-FR"/>
              </w:rPr>
            </w:pPr>
          </w:p>
        </w:tc>
      </w:tr>
      <w:tr w:rsidR="004444B9" w:rsidRPr="004444B9" w14:paraId="0BDD3F52" w14:textId="77777777"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14:paraId="7B817769" w14:textId="77777777" w:rsidR="004444B9" w:rsidRPr="004444B9" w:rsidRDefault="004444B9" w:rsidP="004444B9">
            <w:pPr>
              <w:spacing w:after="0"/>
              <w:rPr>
                <w:b/>
                <w:bCs/>
                <w:color w:val="7030A0"/>
                <w:szCs w:val="20"/>
              </w:rPr>
            </w:pPr>
            <w:r w:rsidRPr="004444B9">
              <w:rPr>
                <w:b/>
                <w:bCs/>
                <w:color w:val="7030A0"/>
                <w:szCs w:val="20"/>
                <w:lang w:eastAsia="fr-FR"/>
              </w:rPr>
              <w:t>Sous-total</w:t>
            </w:r>
          </w:p>
        </w:tc>
        <w:tc>
          <w:tcPr>
            <w:tcW w:w="1120" w:type="dxa"/>
            <w:tcBorders>
              <w:top w:val="single" w:sz="8" w:space="0" w:color="7030A0"/>
              <w:left w:val="nil"/>
              <w:bottom w:val="single" w:sz="8" w:space="0" w:color="7030A0"/>
              <w:right w:val="nil"/>
            </w:tcBorders>
            <w:shd w:val="clear" w:color="auto" w:fill="auto"/>
            <w:vAlign w:val="center"/>
            <w:hideMark/>
          </w:tcPr>
          <w:p w14:paraId="30CF01D7" w14:textId="77777777" w:rsidR="004444B9" w:rsidRPr="004444B9" w:rsidRDefault="004444B9" w:rsidP="004444B9">
            <w:pPr>
              <w:spacing w:after="0"/>
              <w:jc w:val="center"/>
              <w:rPr>
                <w:b/>
                <w:bCs/>
                <w:color w:val="7030A0"/>
                <w:szCs w:val="20"/>
              </w:rPr>
            </w:pPr>
            <w:r w:rsidRPr="004444B9">
              <w:rPr>
                <w:b/>
                <w:bCs/>
                <w:color w:val="7030A0"/>
                <w:szCs w:val="20"/>
                <w:lang w:eastAsia="fr-FR"/>
              </w:rPr>
              <w:t>0</w:t>
            </w:r>
          </w:p>
        </w:tc>
        <w:tc>
          <w:tcPr>
            <w:tcW w:w="1220" w:type="dxa"/>
            <w:tcBorders>
              <w:top w:val="single" w:sz="8" w:space="0" w:color="7030A0"/>
              <w:left w:val="nil"/>
              <w:bottom w:val="single" w:sz="8" w:space="0" w:color="7030A0"/>
              <w:right w:val="nil"/>
            </w:tcBorders>
            <w:shd w:val="clear" w:color="auto" w:fill="auto"/>
            <w:vAlign w:val="center"/>
            <w:hideMark/>
          </w:tcPr>
          <w:p w14:paraId="108650FA" w14:textId="77777777" w:rsidR="004444B9" w:rsidRPr="004444B9" w:rsidRDefault="004444B9" w:rsidP="004444B9">
            <w:pPr>
              <w:spacing w:after="0"/>
              <w:jc w:val="center"/>
              <w:rPr>
                <w:b/>
                <w:bCs/>
                <w:color w:val="7030A0"/>
                <w:szCs w:val="20"/>
              </w:rPr>
            </w:pPr>
            <w:r w:rsidRPr="004444B9">
              <w:rPr>
                <w:b/>
                <w:bCs/>
                <w:color w:val="7030A0"/>
                <w:szCs w:val="20"/>
                <w:lang w:eastAsia="fr-FR"/>
              </w:rPr>
              <w:t>0</w:t>
            </w:r>
          </w:p>
        </w:tc>
      </w:tr>
      <w:tr w:rsidR="004444B9" w:rsidRPr="004444B9" w14:paraId="1DFDD878" w14:textId="77777777" w:rsidTr="00D43ABA">
        <w:trPr>
          <w:trHeight w:val="315"/>
          <w:jc w:val="center"/>
        </w:trPr>
        <w:tc>
          <w:tcPr>
            <w:tcW w:w="4060" w:type="dxa"/>
            <w:tcBorders>
              <w:top w:val="nil"/>
              <w:left w:val="nil"/>
              <w:bottom w:val="single" w:sz="8" w:space="0" w:color="7030A0"/>
              <w:right w:val="nil"/>
            </w:tcBorders>
            <w:shd w:val="clear" w:color="auto" w:fill="auto"/>
            <w:noWrap/>
            <w:vAlign w:val="center"/>
            <w:hideMark/>
          </w:tcPr>
          <w:p w14:paraId="41D2DE9E" w14:textId="77777777" w:rsidR="004444B9" w:rsidRPr="004444B9" w:rsidRDefault="004444B9" w:rsidP="004444B9">
            <w:pPr>
              <w:spacing w:after="0"/>
              <w:rPr>
                <w:b/>
                <w:bCs/>
                <w:color w:val="7030A0"/>
                <w:szCs w:val="20"/>
              </w:rPr>
            </w:pPr>
            <w:r w:rsidRPr="004444B9">
              <w:rPr>
                <w:b/>
                <w:bCs/>
                <w:color w:val="7030A0"/>
                <w:szCs w:val="20"/>
                <w:lang w:eastAsia="fr-FR"/>
              </w:rPr>
              <w:t>TOTAL GENERAL</w:t>
            </w:r>
          </w:p>
        </w:tc>
        <w:tc>
          <w:tcPr>
            <w:tcW w:w="1120" w:type="dxa"/>
            <w:tcBorders>
              <w:top w:val="nil"/>
              <w:left w:val="nil"/>
              <w:bottom w:val="single" w:sz="8" w:space="0" w:color="7030A0"/>
              <w:right w:val="nil"/>
            </w:tcBorders>
            <w:shd w:val="clear" w:color="auto" w:fill="auto"/>
            <w:vAlign w:val="center"/>
            <w:hideMark/>
          </w:tcPr>
          <w:p w14:paraId="51B32538" w14:textId="77777777" w:rsidR="004444B9" w:rsidRPr="004444B9" w:rsidRDefault="004444B9" w:rsidP="004444B9">
            <w:pPr>
              <w:spacing w:after="0"/>
              <w:jc w:val="center"/>
              <w:rPr>
                <w:b/>
                <w:bCs/>
                <w:color w:val="7030A0"/>
                <w:szCs w:val="20"/>
              </w:rPr>
            </w:pPr>
            <w:r w:rsidRPr="004444B9">
              <w:rPr>
                <w:b/>
                <w:bCs/>
                <w:color w:val="7030A0"/>
                <w:szCs w:val="20"/>
                <w:lang w:eastAsia="fr-FR"/>
              </w:rPr>
              <w:t>89</w:t>
            </w:r>
          </w:p>
        </w:tc>
        <w:tc>
          <w:tcPr>
            <w:tcW w:w="1220" w:type="dxa"/>
            <w:tcBorders>
              <w:top w:val="nil"/>
              <w:left w:val="nil"/>
              <w:bottom w:val="single" w:sz="8" w:space="0" w:color="7030A0"/>
              <w:right w:val="nil"/>
            </w:tcBorders>
            <w:shd w:val="clear" w:color="auto" w:fill="auto"/>
            <w:noWrap/>
            <w:vAlign w:val="center"/>
            <w:hideMark/>
          </w:tcPr>
          <w:p w14:paraId="60A7BCAB" w14:textId="77777777" w:rsidR="004444B9" w:rsidRPr="004444B9" w:rsidRDefault="004444B9" w:rsidP="004444B9">
            <w:pPr>
              <w:spacing w:after="0"/>
              <w:jc w:val="center"/>
              <w:rPr>
                <w:b/>
                <w:bCs/>
                <w:color w:val="7030A0"/>
                <w:szCs w:val="20"/>
              </w:rPr>
            </w:pPr>
            <w:r w:rsidRPr="004444B9">
              <w:rPr>
                <w:b/>
                <w:bCs/>
                <w:color w:val="7030A0"/>
                <w:szCs w:val="20"/>
                <w:lang w:eastAsia="fr-FR"/>
              </w:rPr>
              <w:t>76</w:t>
            </w:r>
          </w:p>
        </w:tc>
      </w:tr>
    </w:tbl>
    <w:p w14:paraId="1A2D4AFA" w14:textId="77777777" w:rsidR="00F46C7B" w:rsidRPr="00C73365" w:rsidRDefault="00F46C7B" w:rsidP="00A96CCA">
      <w:pPr>
        <w:spacing w:after="0"/>
        <w:ind w:right="-2"/>
        <w:rPr>
          <w:rFonts w:asciiTheme="minorHAnsi" w:eastAsia="MS Mincho" w:hAnsiTheme="minorHAnsi" w:cstheme="minorHAnsi"/>
          <w:szCs w:val="20"/>
          <w:highlight w:val="lightGray"/>
          <w:lang w:val="fr-FR" w:eastAsia="fr-FR"/>
        </w:rPr>
      </w:pPr>
    </w:p>
    <w:p w14:paraId="56A2197B" w14:textId="77777777" w:rsidR="00F46C7B" w:rsidRPr="00C73365" w:rsidRDefault="00F46C7B" w:rsidP="00A96CCA">
      <w:pPr>
        <w:spacing w:after="0"/>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14:paraId="23B87A86" w14:textId="77777777"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les exercices clos le </w:t>
      </w:r>
      <w:r w:rsidR="00EB6C9B" w:rsidRPr="00C73365">
        <w:rPr>
          <w:rFonts w:asciiTheme="minorHAnsi" w:hAnsiTheme="minorHAnsi" w:cstheme="minorHAnsi"/>
          <w:b/>
          <w:color w:val="7030A0"/>
          <w:lang w:val="fr-FR"/>
        </w:rPr>
        <w:t xml:space="preserve">31 décembre 2016, </w:t>
      </w:r>
      <w:r w:rsidR="000074C0" w:rsidRPr="00C73365">
        <w:rPr>
          <w:rFonts w:asciiTheme="minorHAnsi" w:hAnsiTheme="minorHAnsi" w:cstheme="minorHAnsi"/>
          <w:b/>
          <w:color w:val="7030A0"/>
          <w:lang w:val="fr-FR"/>
        </w:rPr>
        <w:t xml:space="preserve">31 décembre 2015, </w:t>
      </w:r>
      <w:r w:rsidRPr="00C73365">
        <w:rPr>
          <w:rFonts w:asciiTheme="minorHAnsi" w:hAnsiTheme="minorHAnsi" w:cstheme="minorHAnsi"/>
          <w:b/>
          <w:color w:val="7030A0"/>
          <w:lang w:val="fr-FR"/>
        </w:rPr>
        <w:t xml:space="preserve">31 décembre 2014 </w:t>
      </w:r>
    </w:p>
    <w:p w14:paraId="77411D4D" w14:textId="77777777" w:rsidR="00F46C7B" w:rsidRPr="00C73365" w:rsidRDefault="00F46C7B">
      <w:pPr>
        <w:pStyle w:val="ConmainL2"/>
        <w:numPr>
          <w:ilvl w:val="0"/>
          <w:numId w:val="0"/>
        </w:numPr>
        <w:spacing w:after="0"/>
        <w:outlineLvl w:val="9"/>
        <w:rPr>
          <w:rFonts w:asciiTheme="minorHAnsi" w:hAnsiTheme="minorHAnsi" w:cstheme="minorHAnsi"/>
          <w:b w:val="0"/>
          <w:lang w:val="fr-FR"/>
        </w:rPr>
      </w:pPr>
    </w:p>
    <w:p w14:paraId="180DFCC6" w14:textId="77777777" w:rsidR="00F46C7B" w:rsidRPr="00C73365" w:rsidRDefault="00F46C7B">
      <w:pPr>
        <w:pStyle w:val="ConmainL2"/>
        <w:numPr>
          <w:ilvl w:val="0"/>
          <w:numId w:val="0"/>
        </w:numPr>
        <w:spacing w:after="0"/>
        <w:outlineLvl w:val="9"/>
        <w:rPr>
          <w:rFonts w:asciiTheme="minorHAnsi" w:hAnsiTheme="minorHAnsi" w:cstheme="minorHAnsi"/>
          <w:b w:val="0"/>
          <w:lang w:val="fr-FR"/>
        </w:rPr>
      </w:pPr>
      <w:r w:rsidRPr="00C73365">
        <w:rPr>
          <w:rFonts w:asciiTheme="minorHAnsi" w:hAnsiTheme="minorHAnsi" w:cstheme="minorHAnsi"/>
          <w:b w:val="0"/>
          <w:lang w:val="fr-FR"/>
        </w:rPr>
        <w:t>En application de l’article 28 du Règlement (CE) n° 809/2004 de la Commission du 29 avril 2004, les éléments suivants sont incorporés par référence:</w:t>
      </w:r>
    </w:p>
    <w:p w14:paraId="6BA6FDB0" w14:textId="77777777" w:rsidR="00EB6C9B" w:rsidRPr="00C73365" w:rsidRDefault="00EB6C9B" w:rsidP="00434C49">
      <w:pPr>
        <w:pStyle w:val="Paragraphedeliste"/>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2016 ainsi que le rapport des commissaires aux comptes y afférent présentés respectivement aux pages 176 à 202 Document de Référence n° R. 17-043 déposé auprès de l’Autorité des marchés financiers le 11 mai 2017.</w:t>
      </w:r>
    </w:p>
    <w:p w14:paraId="005F26E7" w14:textId="77777777" w:rsidR="000074C0" w:rsidRPr="00C73365" w:rsidRDefault="000074C0" w:rsidP="00434C49">
      <w:pPr>
        <w:pStyle w:val="Paragraphedeliste"/>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2015 ainsi que le rapport des commissaires aux comptes y afférent présentés respectivement aux pages 180 à 206 et 210 à 211 du Document de Référence n° R. 16-0081 déposé auprès de l’Autorité des marchés financiers le 16 décembre 2016.</w:t>
      </w:r>
    </w:p>
    <w:p w14:paraId="5D641700" w14:textId="77777777" w:rsidR="000074C0" w:rsidRPr="001479F8" w:rsidRDefault="000074C0" w:rsidP="00434C49">
      <w:pPr>
        <w:pStyle w:val="Paragraphedeliste"/>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2014 ainsi que le rapport des commissaires aux comptes y afférent présentés respectivement aux pages 186 à 216 et 271 à 272 du Document de Base n° I. 15-0040 déposé auprès de l’Autorité des marchés financiers le 19 mai 2015.</w:t>
      </w:r>
    </w:p>
    <w:p w14:paraId="63D345D9" w14:textId="77777777" w:rsidR="000074C0" w:rsidRPr="00C73365" w:rsidRDefault="000074C0" w:rsidP="00434C49">
      <w:pPr>
        <w:pStyle w:val="Paragraphedeliste"/>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informations financières pro forma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les exercices clos le 31 décembre 2014 et le 31 décembre 2013 ainsi que le rapport des commissaires aux comptes y afférent présentés respectivement aux pages 266 à 270 et 281 à 282 du Document de Base n° I. 15-0040 déposé auprès de l’Autorité des marchés financiers le 19 mai 2015.</w:t>
      </w:r>
    </w:p>
    <w:p w14:paraId="3B2B7ECF" w14:textId="77777777" w:rsidR="00F46C7B" w:rsidRPr="00C73365" w:rsidRDefault="00F46C7B" w:rsidP="00A96CCA">
      <w:pPr>
        <w:spacing w:after="0"/>
        <w:rPr>
          <w:rFonts w:asciiTheme="minorHAnsi" w:hAnsiTheme="minorHAnsi" w:cstheme="minorHAnsi"/>
          <w:b/>
          <w:szCs w:val="20"/>
          <w:highlight w:val="yellow"/>
          <w:lang w:val="fr-FR"/>
        </w:rPr>
      </w:pPr>
      <w:r w:rsidRPr="00C73365">
        <w:rPr>
          <w:rFonts w:asciiTheme="minorHAnsi" w:hAnsiTheme="minorHAnsi" w:cstheme="minorHAnsi"/>
          <w:highlight w:val="yellow"/>
          <w:lang w:val="fr-FR"/>
        </w:rPr>
        <w:br w:type="page"/>
      </w:r>
    </w:p>
    <w:p w14:paraId="0EAC9109" w14:textId="77777777" w:rsidR="00F46C7B" w:rsidRPr="00C73365" w:rsidRDefault="00F46C7B" w:rsidP="00B13DC0">
      <w:pPr>
        <w:pStyle w:val="ConmainL2"/>
        <w:numPr>
          <w:ilvl w:val="1"/>
          <w:numId w:val="9"/>
        </w:numPr>
        <w:rPr>
          <w:rFonts w:asciiTheme="minorHAnsi" w:hAnsiTheme="minorHAnsi" w:cstheme="minorHAnsi"/>
          <w:sz w:val="22"/>
          <w:lang w:val="fr-FR"/>
        </w:rPr>
      </w:pPr>
      <w:bookmarkStart w:id="1455" w:name="_Toc402884189"/>
      <w:bookmarkStart w:id="1456" w:name="_Toc462673298"/>
      <w:bookmarkStart w:id="1457" w:name="_Toc467835647"/>
      <w:bookmarkStart w:id="1458" w:name="_Toc510548477"/>
      <w:r w:rsidRPr="00C73365">
        <w:rPr>
          <w:rFonts w:asciiTheme="minorHAnsi" w:hAnsiTheme="minorHAnsi" w:cstheme="minorHAnsi"/>
          <w:sz w:val="22"/>
          <w:lang w:val="fr-FR"/>
        </w:rPr>
        <w:lastRenderedPageBreak/>
        <w:t>Vérification des informations financières historiques annuelles</w:t>
      </w:r>
      <w:bookmarkEnd w:id="1455"/>
      <w:bookmarkEnd w:id="1456"/>
      <w:bookmarkEnd w:id="1457"/>
      <w:bookmarkEnd w:id="1458"/>
    </w:p>
    <w:p w14:paraId="0D44C4D7" w14:textId="12D561EA"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Rapport d’audit des commissaires aux comptes sur les 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l’exercice clos le 31 Décembre </w:t>
      </w:r>
      <w:r w:rsidR="009E2C85" w:rsidRPr="00C73365">
        <w:rPr>
          <w:rFonts w:asciiTheme="minorHAnsi" w:hAnsiTheme="minorHAnsi" w:cstheme="minorHAnsi"/>
          <w:b/>
          <w:color w:val="7030A0"/>
          <w:lang w:val="fr-FR"/>
        </w:rPr>
        <w:t>2017</w:t>
      </w:r>
      <w:r w:rsidR="00CA6ACA">
        <w:rPr>
          <w:rFonts w:asciiTheme="minorHAnsi" w:hAnsiTheme="minorHAnsi" w:cstheme="minorHAnsi"/>
          <w:b/>
          <w:color w:val="7030A0"/>
          <w:lang w:val="fr-FR"/>
        </w:rPr>
        <w:t xml:space="preserve"> [</w:t>
      </w:r>
      <w:r w:rsidR="00CA6ACA" w:rsidRPr="00CA6ACA">
        <w:rPr>
          <w:rFonts w:asciiTheme="minorHAnsi" w:hAnsiTheme="minorHAnsi" w:cstheme="minorHAnsi"/>
          <w:b/>
          <w:i/>
          <w:color w:val="7030A0"/>
          <w:highlight w:val="yellow"/>
          <w:lang w:val="fr-FR"/>
        </w:rPr>
        <w:t>A insérer</w:t>
      </w:r>
      <w:r w:rsidR="00CA6ACA">
        <w:rPr>
          <w:rFonts w:asciiTheme="minorHAnsi" w:hAnsiTheme="minorHAnsi" w:cstheme="minorHAnsi"/>
          <w:b/>
          <w:color w:val="7030A0"/>
          <w:lang w:val="fr-FR"/>
        </w:rPr>
        <w:t>]</w:t>
      </w:r>
    </w:p>
    <w:p w14:paraId="224012EC" w14:textId="77777777" w:rsidR="00F46C7B" w:rsidRPr="00C73365" w:rsidRDefault="00F46C7B" w:rsidP="00A96CCA">
      <w:pPr>
        <w:spacing w:after="0"/>
        <w:ind w:right="10460"/>
        <w:rPr>
          <w:rFonts w:asciiTheme="minorHAnsi" w:hAnsiTheme="minorHAnsi" w:cstheme="minorHAnsi"/>
          <w:lang w:val="fr-FR"/>
        </w:rPr>
      </w:pPr>
    </w:p>
    <w:p w14:paraId="3E2D7257" w14:textId="77777777" w:rsidR="00C55B3A" w:rsidRPr="00C73365" w:rsidRDefault="00C55B3A" w:rsidP="00A96CCA">
      <w:pPr>
        <w:spacing w:after="0"/>
        <w:ind w:right="10460"/>
        <w:jc w:val="center"/>
        <w:rPr>
          <w:rFonts w:asciiTheme="minorHAnsi" w:hAnsiTheme="minorHAnsi" w:cstheme="minorHAnsi"/>
          <w:lang w:val="fr-FR"/>
        </w:rPr>
      </w:pPr>
    </w:p>
    <w:p w14:paraId="70884F3D" w14:textId="77777777" w:rsidR="00F46C7B" w:rsidRPr="00C73365" w:rsidRDefault="00F46C7B" w:rsidP="00A96CCA">
      <w:pPr>
        <w:spacing w:after="0"/>
        <w:ind w:right="10460"/>
        <w:rPr>
          <w:rFonts w:asciiTheme="minorHAnsi" w:hAnsiTheme="minorHAnsi" w:cstheme="minorHAnsi"/>
          <w:lang w:val="fr-FR"/>
        </w:rPr>
      </w:pPr>
    </w:p>
    <w:p w14:paraId="3854DCFC" w14:textId="77777777"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Lorsque des informations financières figurant dans le document d’enregistrement ne sont pas tirées des états financiers vérifiés de l’émetteur, en indiquer la source et préciser qu’elles n’ont pas été vérifiées</w:t>
      </w:r>
    </w:p>
    <w:p w14:paraId="2AAE72E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Néant</w:t>
      </w:r>
    </w:p>
    <w:p w14:paraId="017B1370" w14:textId="77777777" w:rsidR="00F46C7B" w:rsidRPr="00C73365" w:rsidRDefault="00F46C7B" w:rsidP="00B13DC0">
      <w:pPr>
        <w:pStyle w:val="ConmainL2"/>
        <w:numPr>
          <w:ilvl w:val="1"/>
          <w:numId w:val="9"/>
        </w:numPr>
        <w:rPr>
          <w:rFonts w:asciiTheme="minorHAnsi" w:hAnsiTheme="minorHAnsi" w:cstheme="minorHAnsi"/>
          <w:sz w:val="22"/>
          <w:lang w:val="fr-FR"/>
        </w:rPr>
      </w:pPr>
      <w:bookmarkStart w:id="1459" w:name="_Toc402884190"/>
      <w:bookmarkStart w:id="1460" w:name="_Toc462673299"/>
      <w:bookmarkStart w:id="1461" w:name="_Toc467835648"/>
      <w:bookmarkStart w:id="1462" w:name="_Toc510548478"/>
      <w:bookmarkStart w:id="1463" w:name="_Toc148342701"/>
      <w:r w:rsidRPr="00C73365">
        <w:rPr>
          <w:rFonts w:asciiTheme="minorHAnsi" w:hAnsiTheme="minorHAnsi" w:cstheme="minorHAnsi"/>
          <w:sz w:val="22"/>
          <w:lang w:val="fr-FR"/>
        </w:rPr>
        <w:t>Date des dernières informations financières</w:t>
      </w:r>
      <w:bookmarkEnd w:id="1459"/>
      <w:bookmarkEnd w:id="1460"/>
      <w:bookmarkEnd w:id="1461"/>
      <w:bookmarkEnd w:id="1462"/>
    </w:p>
    <w:p w14:paraId="69A56B67" w14:textId="77777777" w:rsidR="00F46C7B" w:rsidRPr="00C73365" w:rsidRDefault="00D14BEC" w:rsidP="004572A0">
      <w:pPr>
        <w:pStyle w:val="Date"/>
        <w:rPr>
          <w:rFonts w:asciiTheme="minorHAnsi" w:hAnsiTheme="minorHAnsi" w:cstheme="minorHAnsi"/>
          <w:lang w:val="fr-FR"/>
        </w:rPr>
      </w:pPr>
      <w:r w:rsidRPr="00C73365">
        <w:rPr>
          <w:rFonts w:asciiTheme="minorHAnsi" w:hAnsiTheme="minorHAnsi" w:cstheme="minorHAnsi"/>
          <w:lang w:val="fr-FR"/>
        </w:rPr>
        <w:t>31 décembre</w:t>
      </w:r>
      <w:r w:rsidR="00F46C7B" w:rsidRPr="00C73365">
        <w:rPr>
          <w:rFonts w:asciiTheme="minorHAnsi" w:hAnsiTheme="minorHAnsi" w:cstheme="minorHAnsi"/>
          <w:lang w:val="fr-FR"/>
        </w:rPr>
        <w:t xml:space="preserve"> </w:t>
      </w:r>
      <w:r w:rsidR="009E2C85" w:rsidRPr="00C73365">
        <w:rPr>
          <w:rFonts w:asciiTheme="minorHAnsi" w:hAnsiTheme="minorHAnsi" w:cstheme="minorHAnsi"/>
          <w:lang w:val="fr-FR"/>
        </w:rPr>
        <w:t>2017</w:t>
      </w:r>
    </w:p>
    <w:p w14:paraId="0A1645B5" w14:textId="77777777" w:rsidR="00F46C7B" w:rsidRPr="00C73365" w:rsidRDefault="00F46C7B" w:rsidP="00A96CCA">
      <w:pPr>
        <w:spacing w:after="0"/>
        <w:rPr>
          <w:rFonts w:asciiTheme="minorHAnsi" w:hAnsiTheme="minorHAnsi" w:cstheme="minorHAnsi"/>
          <w:szCs w:val="20"/>
          <w:lang w:val="fr-FR"/>
        </w:rPr>
      </w:pPr>
    </w:p>
    <w:p w14:paraId="137CF64A" w14:textId="23C1EFE5" w:rsidR="00F46C7B" w:rsidRPr="00C73365" w:rsidRDefault="00F46C7B" w:rsidP="008D252A">
      <w:pPr>
        <w:pStyle w:val="ConmainL2"/>
        <w:numPr>
          <w:ilvl w:val="1"/>
          <w:numId w:val="9"/>
        </w:numPr>
        <w:rPr>
          <w:rFonts w:asciiTheme="minorHAnsi" w:hAnsiTheme="minorHAnsi" w:cstheme="minorHAnsi"/>
          <w:sz w:val="22"/>
          <w:lang w:val="fr-FR"/>
        </w:rPr>
      </w:pPr>
      <w:bookmarkStart w:id="1464" w:name="_Toc402884191"/>
      <w:bookmarkStart w:id="1465" w:name="_Toc462673300"/>
      <w:bookmarkStart w:id="1466" w:name="_Toc467835649"/>
      <w:bookmarkStart w:id="1467" w:name="_Toc510548479"/>
      <w:r w:rsidRPr="00C73365">
        <w:rPr>
          <w:rFonts w:asciiTheme="minorHAnsi" w:hAnsiTheme="minorHAnsi" w:cstheme="minorHAnsi"/>
          <w:sz w:val="22"/>
          <w:lang w:val="fr-FR"/>
        </w:rPr>
        <w:t>Politique de distribution des dividendes</w:t>
      </w:r>
      <w:bookmarkEnd w:id="1463"/>
      <w:bookmarkEnd w:id="1464"/>
      <w:bookmarkEnd w:id="1465"/>
      <w:bookmarkEnd w:id="1466"/>
      <w:bookmarkEnd w:id="1467"/>
    </w:p>
    <w:p w14:paraId="3C013DF0" w14:textId="77777777" w:rsidR="00F46C7B" w:rsidRPr="00C73365" w:rsidRDefault="00F46C7B" w:rsidP="009E5FDD">
      <w:pPr>
        <w:pStyle w:val="ConmainL3"/>
        <w:numPr>
          <w:ilvl w:val="2"/>
          <w:numId w:val="9"/>
        </w:numPr>
        <w:spacing w:after="0"/>
        <w:ind w:left="1440"/>
        <w:rPr>
          <w:rFonts w:asciiTheme="minorHAnsi" w:hAnsiTheme="minorHAnsi" w:cstheme="minorHAnsi"/>
          <w:b/>
          <w:color w:val="7030A0"/>
          <w:szCs w:val="20"/>
          <w:lang w:val="fr-FR"/>
        </w:rPr>
      </w:pPr>
      <w:r w:rsidRPr="00C73365">
        <w:rPr>
          <w:rFonts w:asciiTheme="minorHAnsi" w:hAnsiTheme="minorHAnsi" w:cstheme="minorHAnsi"/>
          <w:b/>
          <w:color w:val="7030A0"/>
          <w:lang w:val="fr-FR"/>
        </w:rPr>
        <w:t>Dividendes versés au cours des trois derniers exercices</w:t>
      </w:r>
      <w:r w:rsidRPr="00C73365">
        <w:rPr>
          <w:rFonts w:asciiTheme="minorHAnsi" w:hAnsiTheme="minorHAnsi" w:cstheme="minorHAnsi"/>
          <w:b/>
          <w:color w:val="7030A0"/>
          <w:szCs w:val="20"/>
          <w:lang w:val="fr-FR"/>
        </w:rPr>
        <w:t xml:space="preserve"> </w:t>
      </w:r>
      <w:r w:rsidRPr="00C73365">
        <w:rPr>
          <w:rFonts w:asciiTheme="minorHAnsi" w:hAnsiTheme="minorHAnsi" w:cstheme="minorHAnsi"/>
          <w:b/>
          <w:color w:val="7030A0"/>
          <w:szCs w:val="20"/>
          <w:lang w:val="fr-FR"/>
        </w:rPr>
        <w:tab/>
      </w:r>
    </w:p>
    <w:p w14:paraId="16B1FDD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Néant</w:t>
      </w:r>
    </w:p>
    <w:p w14:paraId="4564499F" w14:textId="77777777"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Politique de distribution des dividendes</w:t>
      </w:r>
    </w:p>
    <w:p w14:paraId="33691FCB" w14:textId="77777777" w:rsidR="00F46C7B" w:rsidRPr="00C73365" w:rsidRDefault="00F46C7B" w:rsidP="004572A0">
      <w:pPr>
        <w:pStyle w:val="Retraitcorpsdetexte"/>
        <w:rPr>
          <w:rFonts w:asciiTheme="minorHAnsi" w:hAnsiTheme="minorHAnsi" w:cstheme="minorHAnsi"/>
          <w:lang w:val="fr-FR"/>
        </w:rPr>
        <w:sectPr w:rsidR="00F46C7B" w:rsidRPr="00C73365" w:rsidSect="007C607C">
          <w:type w:val="continuous"/>
          <w:pgSz w:w="11900" w:h="16840"/>
          <w:pgMar w:top="1134" w:right="1134" w:bottom="1134" w:left="1134" w:header="720" w:footer="720" w:gutter="0"/>
          <w:cols w:space="720" w:equalWidth="0">
            <w:col w:w="9269"/>
          </w:cols>
          <w:noEndnote/>
          <w:docGrid w:linePitch="299"/>
        </w:sectPr>
      </w:pPr>
    </w:p>
    <w:p w14:paraId="62F59013"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La Société se positionne en tant que valeur de croissance et n’entend pas, à la date d’enregistrement du présent document de référence, adopter une politique de versement de dividendes réguliers.</w:t>
      </w:r>
    </w:p>
    <w:p w14:paraId="01A5273C" w14:textId="77777777" w:rsidR="00F46C7B" w:rsidRPr="00C73365" w:rsidRDefault="00F46C7B" w:rsidP="004572A0">
      <w:pPr>
        <w:pStyle w:val="Corpsdetexte"/>
        <w:rPr>
          <w:rFonts w:asciiTheme="minorHAnsi" w:hAnsiTheme="minorHAnsi" w:cstheme="minorHAnsi"/>
          <w:lang w:val="fr-FR"/>
        </w:rPr>
        <w:sectPr w:rsidR="00F46C7B" w:rsidRPr="00C73365" w:rsidSect="007C607C">
          <w:type w:val="continuous"/>
          <w:pgSz w:w="11900" w:h="16840"/>
          <w:pgMar w:top="1134" w:right="1134" w:bottom="1134" w:left="1134" w:header="720" w:footer="720" w:gutter="0"/>
          <w:cols w:space="567"/>
          <w:noEndnote/>
          <w:docGrid w:linePitch="299"/>
        </w:sectPr>
      </w:pPr>
    </w:p>
    <w:p w14:paraId="37DEE5B7" w14:textId="77777777" w:rsidR="00F46C7B" w:rsidRPr="00C73365" w:rsidRDefault="00F46C7B" w:rsidP="00A96CCA">
      <w:pPr>
        <w:autoSpaceDE w:val="0"/>
        <w:autoSpaceDN w:val="0"/>
        <w:adjustRightInd w:val="0"/>
        <w:spacing w:after="0"/>
        <w:rPr>
          <w:rFonts w:asciiTheme="minorHAnsi" w:hAnsiTheme="minorHAnsi" w:cstheme="minorHAnsi"/>
          <w:szCs w:val="20"/>
          <w:lang w:val="fr-FR"/>
        </w:rPr>
      </w:pPr>
    </w:p>
    <w:p w14:paraId="7D1F6ACE" w14:textId="77777777" w:rsidR="002C5B2A" w:rsidRPr="00C73365" w:rsidRDefault="002C5B2A" w:rsidP="008D252A">
      <w:pPr>
        <w:pStyle w:val="ConmainL2"/>
        <w:numPr>
          <w:ilvl w:val="1"/>
          <w:numId w:val="9"/>
        </w:numPr>
        <w:rPr>
          <w:rFonts w:asciiTheme="minorHAnsi" w:hAnsiTheme="minorHAnsi" w:cstheme="minorHAnsi"/>
          <w:sz w:val="22"/>
          <w:lang w:val="fr-FR"/>
        </w:rPr>
      </w:pPr>
      <w:bookmarkStart w:id="1468" w:name="_Toc475457076"/>
      <w:bookmarkStart w:id="1469" w:name="_Toc510548480"/>
      <w:r w:rsidRPr="00C73365">
        <w:rPr>
          <w:rFonts w:asciiTheme="minorHAnsi" w:hAnsiTheme="minorHAnsi" w:cstheme="minorHAnsi"/>
          <w:sz w:val="22"/>
          <w:lang w:val="fr-FR"/>
        </w:rPr>
        <w:t>Tableau des résultats des exercices clos depuis la constitution de la société</w:t>
      </w:r>
      <w:bookmarkEnd w:id="1468"/>
      <w:bookmarkEnd w:id="1469"/>
      <w:r w:rsidRPr="00C73365">
        <w:rPr>
          <w:rFonts w:asciiTheme="minorHAnsi" w:hAnsiTheme="minorHAnsi" w:cstheme="minorHAnsi"/>
          <w:sz w:val="22"/>
          <w:lang w:val="fr-FR"/>
        </w:rPr>
        <w:t xml:space="preserve"> </w:t>
      </w:r>
    </w:p>
    <w:tbl>
      <w:tblPr>
        <w:tblW w:w="9699" w:type="dxa"/>
        <w:tblLook w:val="04A0" w:firstRow="1" w:lastRow="0" w:firstColumn="1" w:lastColumn="0" w:noHBand="0" w:noVBand="1"/>
      </w:tblPr>
      <w:tblGrid>
        <w:gridCol w:w="2097"/>
        <w:gridCol w:w="1486"/>
        <w:gridCol w:w="1486"/>
        <w:gridCol w:w="1486"/>
        <w:gridCol w:w="1486"/>
        <w:gridCol w:w="1658"/>
      </w:tblGrid>
      <w:tr w:rsidR="002D50CE" w:rsidRPr="00C73365" w14:paraId="1E9997E1" w14:textId="77777777" w:rsidTr="0032557C">
        <w:trPr>
          <w:trHeight w:val="857"/>
        </w:trPr>
        <w:tc>
          <w:tcPr>
            <w:tcW w:w="0" w:type="auto"/>
            <w:tcBorders>
              <w:top w:val="nil"/>
              <w:left w:val="nil"/>
              <w:bottom w:val="single" w:sz="8" w:space="0" w:color="7030A0"/>
              <w:right w:val="nil"/>
            </w:tcBorders>
            <w:shd w:val="clear" w:color="000000" w:fill="FFFFFF"/>
            <w:vAlign w:val="center"/>
            <w:hideMark/>
          </w:tcPr>
          <w:p w14:paraId="39515786" w14:textId="77777777" w:rsidR="009E2C85" w:rsidRPr="00C73365" w:rsidRDefault="009E2C85"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Nature des indications</w:t>
            </w:r>
          </w:p>
        </w:tc>
        <w:tc>
          <w:tcPr>
            <w:tcW w:w="0" w:type="auto"/>
            <w:tcBorders>
              <w:top w:val="nil"/>
              <w:left w:val="nil"/>
              <w:bottom w:val="single" w:sz="8" w:space="0" w:color="7030A0"/>
              <w:right w:val="nil"/>
            </w:tcBorders>
            <w:shd w:val="clear" w:color="000000" w:fill="FFFFFF"/>
            <w:vAlign w:val="center"/>
            <w:hideMark/>
          </w:tcPr>
          <w:p w14:paraId="00977EBC" w14:textId="77777777"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2013</w:t>
            </w:r>
          </w:p>
        </w:tc>
        <w:tc>
          <w:tcPr>
            <w:tcW w:w="0" w:type="auto"/>
            <w:tcBorders>
              <w:top w:val="nil"/>
              <w:left w:val="nil"/>
              <w:bottom w:val="single" w:sz="8" w:space="0" w:color="7030A0"/>
              <w:right w:val="nil"/>
            </w:tcBorders>
            <w:shd w:val="clear" w:color="000000" w:fill="FFFFFF"/>
            <w:vAlign w:val="center"/>
            <w:hideMark/>
          </w:tcPr>
          <w:p w14:paraId="4EE5979C" w14:textId="77777777"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2014</w:t>
            </w:r>
          </w:p>
        </w:tc>
        <w:tc>
          <w:tcPr>
            <w:tcW w:w="0" w:type="auto"/>
            <w:tcBorders>
              <w:top w:val="nil"/>
              <w:left w:val="nil"/>
              <w:bottom w:val="single" w:sz="8" w:space="0" w:color="7030A0"/>
              <w:right w:val="nil"/>
            </w:tcBorders>
            <w:shd w:val="clear" w:color="000000" w:fill="FFFFFF"/>
            <w:vAlign w:val="center"/>
            <w:hideMark/>
          </w:tcPr>
          <w:p w14:paraId="58F6270B" w14:textId="77777777"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2015</w:t>
            </w:r>
          </w:p>
        </w:tc>
        <w:tc>
          <w:tcPr>
            <w:tcW w:w="0" w:type="auto"/>
            <w:tcBorders>
              <w:top w:val="nil"/>
              <w:left w:val="nil"/>
              <w:bottom w:val="single" w:sz="8" w:space="0" w:color="7030A0"/>
              <w:right w:val="nil"/>
            </w:tcBorders>
            <w:shd w:val="clear" w:color="000000" w:fill="FFFFFF"/>
            <w:vAlign w:val="center"/>
            <w:hideMark/>
          </w:tcPr>
          <w:p w14:paraId="7644C176" w14:textId="77777777"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2016</w:t>
            </w:r>
          </w:p>
        </w:tc>
        <w:tc>
          <w:tcPr>
            <w:tcW w:w="0" w:type="auto"/>
            <w:tcBorders>
              <w:top w:val="nil"/>
              <w:left w:val="nil"/>
              <w:bottom w:val="single" w:sz="8" w:space="0" w:color="7030A0"/>
              <w:right w:val="nil"/>
            </w:tcBorders>
            <w:shd w:val="clear" w:color="000000" w:fill="FFFFFF"/>
            <w:vAlign w:val="center"/>
            <w:hideMark/>
          </w:tcPr>
          <w:p w14:paraId="46BEBE5C" w14:textId="77777777"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2017</w:t>
            </w:r>
          </w:p>
        </w:tc>
      </w:tr>
      <w:tr w:rsidR="002D50CE" w:rsidRPr="00036317" w14:paraId="1E17C690" w14:textId="77777777" w:rsidTr="00F13A44">
        <w:trPr>
          <w:trHeight w:val="857"/>
        </w:trPr>
        <w:tc>
          <w:tcPr>
            <w:tcW w:w="0" w:type="auto"/>
            <w:tcBorders>
              <w:top w:val="nil"/>
              <w:left w:val="nil"/>
              <w:bottom w:val="single" w:sz="8" w:space="0" w:color="7030A0"/>
              <w:right w:val="nil"/>
            </w:tcBorders>
            <w:shd w:val="clear" w:color="000000" w:fill="FFFFFF"/>
            <w:vAlign w:val="center"/>
            <w:hideMark/>
          </w:tcPr>
          <w:p w14:paraId="05645F05" w14:textId="77777777" w:rsidR="009E2C85" w:rsidRPr="00C73365" w:rsidRDefault="009E2C85"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 SITUATION FINANCIÈRE EN FIN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w:t>
            </w:r>
          </w:p>
        </w:tc>
        <w:tc>
          <w:tcPr>
            <w:tcW w:w="0" w:type="auto"/>
            <w:tcBorders>
              <w:top w:val="nil"/>
              <w:left w:val="nil"/>
              <w:bottom w:val="single" w:sz="8" w:space="0" w:color="7030A0"/>
              <w:right w:val="nil"/>
            </w:tcBorders>
            <w:shd w:val="clear" w:color="000000" w:fill="FFFFFF"/>
            <w:vAlign w:val="center"/>
          </w:tcPr>
          <w:p w14:paraId="769DF2D8" w14:textId="31D9E031"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14:paraId="247A32DE" w14:textId="722C8AE8"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14:paraId="7EFE45C9" w14:textId="7FF196A1"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14:paraId="7BC839BC" w14:textId="7AEA0C94"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14:paraId="4B5BDC1B" w14:textId="1609395B" w:rsidR="009E2C85" w:rsidRPr="0030056F" w:rsidRDefault="009E2C85" w:rsidP="00A96CCA">
            <w:pPr>
              <w:spacing w:after="0"/>
              <w:jc w:val="right"/>
              <w:rPr>
                <w:rFonts w:asciiTheme="minorHAnsi" w:hAnsiTheme="minorHAnsi" w:cstheme="minorHAnsi"/>
                <w:color w:val="000000"/>
                <w:szCs w:val="20"/>
                <w:lang w:val="fr-FR"/>
              </w:rPr>
            </w:pPr>
          </w:p>
        </w:tc>
      </w:tr>
      <w:tr w:rsidR="00F13A44" w:rsidRPr="00C73365" w14:paraId="2F86A168" w14:textId="77777777" w:rsidTr="00F13A44">
        <w:trPr>
          <w:trHeight w:val="433"/>
        </w:trPr>
        <w:tc>
          <w:tcPr>
            <w:tcW w:w="0" w:type="auto"/>
            <w:tcBorders>
              <w:top w:val="nil"/>
              <w:left w:val="nil"/>
              <w:bottom w:val="single" w:sz="8" w:space="0" w:color="7030A0"/>
              <w:right w:val="nil"/>
            </w:tcBorders>
            <w:shd w:val="clear" w:color="000000" w:fill="FFFFFF"/>
            <w:vAlign w:val="center"/>
            <w:hideMark/>
          </w:tcPr>
          <w:p w14:paraId="1129321F" w14:textId="77777777" w:rsidR="00F13A44" w:rsidRPr="00C73365" w:rsidRDefault="00F13A44" w:rsidP="00F13A44">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a)  Capital social</w:t>
            </w:r>
          </w:p>
        </w:tc>
        <w:tc>
          <w:tcPr>
            <w:tcW w:w="0" w:type="auto"/>
            <w:tcBorders>
              <w:top w:val="nil"/>
              <w:left w:val="nil"/>
              <w:bottom w:val="single" w:sz="8" w:space="0" w:color="7030A0"/>
              <w:right w:val="nil"/>
            </w:tcBorders>
            <w:shd w:val="clear" w:color="000000" w:fill="FFFFFF"/>
            <w:vAlign w:val="center"/>
          </w:tcPr>
          <w:p w14:paraId="74747E64" w14:textId="0FF545E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40 000,00</w:t>
            </w:r>
          </w:p>
        </w:tc>
        <w:tc>
          <w:tcPr>
            <w:tcW w:w="0" w:type="auto"/>
            <w:tcBorders>
              <w:top w:val="nil"/>
              <w:left w:val="nil"/>
              <w:bottom w:val="single" w:sz="8" w:space="0" w:color="7030A0"/>
              <w:right w:val="nil"/>
            </w:tcBorders>
            <w:shd w:val="clear" w:color="000000" w:fill="FFFFFF"/>
            <w:vAlign w:val="center"/>
          </w:tcPr>
          <w:p w14:paraId="3421A5D5" w14:textId="4F875F3F"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69 150,00</w:t>
            </w:r>
          </w:p>
        </w:tc>
        <w:tc>
          <w:tcPr>
            <w:tcW w:w="0" w:type="auto"/>
            <w:tcBorders>
              <w:top w:val="nil"/>
              <w:left w:val="nil"/>
              <w:bottom w:val="single" w:sz="8" w:space="0" w:color="7030A0"/>
              <w:right w:val="nil"/>
            </w:tcBorders>
            <w:shd w:val="clear" w:color="000000" w:fill="FFFFFF"/>
            <w:vAlign w:val="center"/>
          </w:tcPr>
          <w:p w14:paraId="09E3BE9D" w14:textId="175DD3CC"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96 969,00</w:t>
            </w:r>
          </w:p>
        </w:tc>
        <w:tc>
          <w:tcPr>
            <w:tcW w:w="0" w:type="auto"/>
            <w:tcBorders>
              <w:top w:val="nil"/>
              <w:left w:val="nil"/>
              <w:bottom w:val="single" w:sz="8" w:space="0" w:color="7030A0"/>
              <w:right w:val="nil"/>
            </w:tcBorders>
            <w:shd w:val="clear" w:color="000000" w:fill="FFFFFF"/>
            <w:vAlign w:val="center"/>
          </w:tcPr>
          <w:p w14:paraId="01144589" w14:textId="0592FFC5"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97 020,89</w:t>
            </w:r>
          </w:p>
        </w:tc>
        <w:tc>
          <w:tcPr>
            <w:tcW w:w="0" w:type="auto"/>
            <w:tcBorders>
              <w:top w:val="nil"/>
              <w:left w:val="nil"/>
              <w:bottom w:val="single" w:sz="8" w:space="0" w:color="7030A0"/>
              <w:right w:val="nil"/>
            </w:tcBorders>
            <w:shd w:val="clear" w:color="000000" w:fill="FFFFFF"/>
            <w:vAlign w:val="center"/>
          </w:tcPr>
          <w:p w14:paraId="01BC4A9A" w14:textId="736AE70E"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97 020,89</w:t>
            </w:r>
          </w:p>
        </w:tc>
      </w:tr>
      <w:tr w:rsidR="00F13A44" w:rsidRPr="00C73365" w14:paraId="6E56879B" w14:textId="77777777" w:rsidTr="00F13A44">
        <w:trPr>
          <w:trHeight w:val="646"/>
        </w:trPr>
        <w:tc>
          <w:tcPr>
            <w:tcW w:w="0" w:type="auto"/>
            <w:tcBorders>
              <w:top w:val="nil"/>
              <w:left w:val="nil"/>
              <w:bottom w:val="single" w:sz="8" w:space="0" w:color="7030A0"/>
              <w:right w:val="nil"/>
            </w:tcBorders>
            <w:shd w:val="clear" w:color="000000" w:fill="FFFFFF"/>
            <w:vAlign w:val="center"/>
            <w:hideMark/>
          </w:tcPr>
          <w:p w14:paraId="5AEADF3E" w14:textId="77777777" w:rsidR="00F13A44" w:rsidRPr="00C73365" w:rsidRDefault="00F13A44" w:rsidP="00F13A44">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b)  Nombre d’actions émises.</w:t>
            </w:r>
          </w:p>
        </w:tc>
        <w:tc>
          <w:tcPr>
            <w:tcW w:w="0" w:type="auto"/>
            <w:tcBorders>
              <w:top w:val="nil"/>
              <w:left w:val="nil"/>
              <w:bottom w:val="single" w:sz="8" w:space="0" w:color="7030A0"/>
              <w:right w:val="nil"/>
            </w:tcBorders>
            <w:shd w:val="clear" w:color="000000" w:fill="FFFFFF"/>
            <w:vAlign w:val="center"/>
          </w:tcPr>
          <w:p w14:paraId="7F833183" w14:textId="672EF0A8"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 xml:space="preserve"> Aucune </w:t>
            </w:r>
          </w:p>
        </w:tc>
        <w:tc>
          <w:tcPr>
            <w:tcW w:w="0" w:type="auto"/>
            <w:tcBorders>
              <w:top w:val="nil"/>
              <w:left w:val="nil"/>
              <w:bottom w:val="single" w:sz="8" w:space="0" w:color="7030A0"/>
              <w:right w:val="nil"/>
            </w:tcBorders>
            <w:shd w:val="clear" w:color="000000" w:fill="FFFFFF"/>
            <w:vAlign w:val="center"/>
          </w:tcPr>
          <w:p w14:paraId="670F6AF8" w14:textId="0ED33E84"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 xml:space="preserve">29 150 </w:t>
            </w:r>
          </w:p>
        </w:tc>
        <w:tc>
          <w:tcPr>
            <w:tcW w:w="0" w:type="auto"/>
            <w:tcBorders>
              <w:top w:val="nil"/>
              <w:left w:val="nil"/>
              <w:bottom w:val="single" w:sz="8" w:space="0" w:color="7030A0"/>
              <w:right w:val="nil"/>
            </w:tcBorders>
            <w:shd w:val="clear" w:color="000000" w:fill="FFFFFF"/>
            <w:vAlign w:val="center"/>
          </w:tcPr>
          <w:p w14:paraId="55879A03" w14:textId="59120D7E"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9 696 889,00</w:t>
            </w:r>
          </w:p>
        </w:tc>
        <w:tc>
          <w:tcPr>
            <w:tcW w:w="0" w:type="auto"/>
            <w:tcBorders>
              <w:top w:val="nil"/>
              <w:left w:val="nil"/>
              <w:bottom w:val="single" w:sz="8" w:space="0" w:color="7030A0"/>
              <w:right w:val="nil"/>
            </w:tcBorders>
            <w:shd w:val="clear" w:color="000000" w:fill="FFFFFF"/>
            <w:vAlign w:val="center"/>
          </w:tcPr>
          <w:p w14:paraId="4E2C50D6" w14:textId="249C75D0"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5 200,00</w:t>
            </w:r>
          </w:p>
        </w:tc>
        <w:tc>
          <w:tcPr>
            <w:tcW w:w="0" w:type="auto"/>
            <w:tcBorders>
              <w:top w:val="nil"/>
              <w:left w:val="nil"/>
              <w:bottom w:val="single" w:sz="8" w:space="0" w:color="7030A0"/>
              <w:right w:val="nil"/>
            </w:tcBorders>
            <w:shd w:val="clear" w:color="000000" w:fill="FFFFFF"/>
            <w:vAlign w:val="center"/>
          </w:tcPr>
          <w:p w14:paraId="1526033A" w14:textId="21607AA4"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202 140 </w:t>
            </w:r>
          </w:p>
        </w:tc>
      </w:tr>
      <w:tr w:rsidR="00F13A44" w:rsidRPr="00BE69CB" w14:paraId="466A876B" w14:textId="77777777" w:rsidTr="0032557C">
        <w:trPr>
          <w:trHeight w:val="857"/>
        </w:trPr>
        <w:tc>
          <w:tcPr>
            <w:tcW w:w="0" w:type="auto"/>
            <w:tcBorders>
              <w:top w:val="nil"/>
              <w:left w:val="nil"/>
              <w:bottom w:val="single" w:sz="8" w:space="0" w:color="7030A0"/>
              <w:right w:val="nil"/>
            </w:tcBorders>
            <w:shd w:val="clear" w:color="000000" w:fill="FFFFFF"/>
            <w:vAlign w:val="center"/>
            <w:hideMark/>
          </w:tcPr>
          <w:p w14:paraId="089D46B7" w14:textId="77777777"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  Nombre d’obligations convertibles en actions.</w:t>
            </w:r>
          </w:p>
        </w:tc>
        <w:tc>
          <w:tcPr>
            <w:tcW w:w="0" w:type="auto"/>
            <w:tcBorders>
              <w:top w:val="nil"/>
              <w:left w:val="nil"/>
              <w:bottom w:val="single" w:sz="8" w:space="0" w:color="7030A0"/>
              <w:right w:val="nil"/>
            </w:tcBorders>
            <w:shd w:val="clear" w:color="000000" w:fill="FFFFFF"/>
            <w:vAlign w:val="center"/>
            <w:hideMark/>
          </w:tcPr>
          <w:p w14:paraId="14AE8245" w14:textId="76822DE8"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14:paraId="05C855DB" w14:textId="4DF164EE"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14:paraId="71925C4A" w14:textId="358649D1"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14:paraId="16EB89C2" w14:textId="28E96C84"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14:paraId="65108927" w14:textId="53F39D2E"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r>
      <w:tr w:rsidR="00F13A44" w:rsidRPr="00036317" w14:paraId="04CE7CBC" w14:textId="77777777" w:rsidTr="0032557C">
        <w:trPr>
          <w:trHeight w:val="857"/>
        </w:trPr>
        <w:tc>
          <w:tcPr>
            <w:tcW w:w="0" w:type="auto"/>
            <w:tcBorders>
              <w:top w:val="nil"/>
              <w:left w:val="nil"/>
              <w:bottom w:val="single" w:sz="8" w:space="0" w:color="7030A0"/>
              <w:right w:val="nil"/>
            </w:tcBorders>
            <w:shd w:val="clear" w:color="000000" w:fill="FFFFFF"/>
            <w:vAlign w:val="center"/>
            <w:hideMark/>
          </w:tcPr>
          <w:p w14:paraId="7FD9DD13" w14:textId="77777777"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II. RÉSULTAT GLOBAL DES OPÉRATIONS EFFECTIVES:</w:t>
            </w:r>
          </w:p>
        </w:tc>
        <w:tc>
          <w:tcPr>
            <w:tcW w:w="0" w:type="auto"/>
            <w:tcBorders>
              <w:top w:val="nil"/>
              <w:left w:val="nil"/>
              <w:bottom w:val="single" w:sz="8" w:space="0" w:color="7030A0"/>
              <w:right w:val="nil"/>
            </w:tcBorders>
            <w:shd w:val="clear" w:color="000000" w:fill="FFFFFF"/>
            <w:vAlign w:val="center"/>
            <w:hideMark/>
          </w:tcPr>
          <w:p w14:paraId="64030D7F" w14:textId="77777777"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14:paraId="6429BB0B" w14:textId="77777777"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14:paraId="2FF98324" w14:textId="77777777"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14:paraId="1228D65F" w14:textId="77777777"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14:paraId="43B4A944" w14:textId="77777777"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F13A44" w:rsidRPr="00C73365" w14:paraId="0F2E0A4D" w14:textId="77777777" w:rsidTr="0032557C">
        <w:trPr>
          <w:trHeight w:val="646"/>
        </w:trPr>
        <w:tc>
          <w:tcPr>
            <w:tcW w:w="0" w:type="auto"/>
            <w:tcBorders>
              <w:top w:val="nil"/>
              <w:left w:val="nil"/>
              <w:bottom w:val="single" w:sz="8" w:space="0" w:color="7030A0"/>
              <w:right w:val="nil"/>
            </w:tcBorders>
            <w:shd w:val="clear" w:color="000000" w:fill="FFFFFF"/>
            <w:vAlign w:val="center"/>
            <w:hideMark/>
          </w:tcPr>
          <w:p w14:paraId="0093E269" w14:textId="77777777"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Chiffre d’affaires hors taxe.</w:t>
            </w:r>
          </w:p>
        </w:tc>
        <w:tc>
          <w:tcPr>
            <w:tcW w:w="0" w:type="auto"/>
            <w:tcBorders>
              <w:top w:val="nil"/>
              <w:left w:val="nil"/>
              <w:bottom w:val="single" w:sz="8" w:space="0" w:color="7030A0"/>
              <w:right w:val="nil"/>
            </w:tcBorders>
            <w:shd w:val="clear" w:color="000000" w:fill="FFFFFF"/>
            <w:vAlign w:val="center"/>
            <w:hideMark/>
          </w:tcPr>
          <w:p w14:paraId="44618CC4"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14:paraId="6D622500"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14 488,00</w:t>
            </w:r>
          </w:p>
        </w:tc>
        <w:tc>
          <w:tcPr>
            <w:tcW w:w="0" w:type="auto"/>
            <w:tcBorders>
              <w:top w:val="nil"/>
              <w:left w:val="nil"/>
              <w:bottom w:val="single" w:sz="8" w:space="0" w:color="7030A0"/>
              <w:right w:val="nil"/>
            </w:tcBorders>
            <w:shd w:val="clear" w:color="000000" w:fill="FFFFFF"/>
            <w:vAlign w:val="center"/>
            <w:hideMark/>
          </w:tcPr>
          <w:p w14:paraId="69326895"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14:paraId="4DE3186F"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14:paraId="1C2D4147"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r>
      <w:tr w:rsidR="00F13A44" w:rsidRPr="00C73365" w14:paraId="34844108" w14:textId="77777777" w:rsidTr="0032557C">
        <w:trPr>
          <w:trHeight w:val="1070"/>
        </w:trPr>
        <w:tc>
          <w:tcPr>
            <w:tcW w:w="0" w:type="auto"/>
            <w:tcBorders>
              <w:top w:val="nil"/>
              <w:left w:val="nil"/>
              <w:bottom w:val="single" w:sz="8" w:space="0" w:color="7030A0"/>
              <w:right w:val="nil"/>
            </w:tcBorders>
            <w:shd w:val="clear" w:color="000000" w:fill="FFFFFF"/>
            <w:vAlign w:val="center"/>
            <w:hideMark/>
          </w:tcPr>
          <w:p w14:paraId="744DE6B7" w14:textId="77777777"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b)  Bénéfices avant impôt, amortissements et provisions</w:t>
            </w:r>
          </w:p>
        </w:tc>
        <w:tc>
          <w:tcPr>
            <w:tcW w:w="0" w:type="auto"/>
            <w:tcBorders>
              <w:top w:val="nil"/>
              <w:left w:val="nil"/>
              <w:bottom w:val="single" w:sz="8" w:space="0" w:color="7030A0"/>
              <w:right w:val="nil"/>
            </w:tcBorders>
            <w:shd w:val="clear" w:color="000000" w:fill="FFFFFF"/>
            <w:vAlign w:val="center"/>
            <w:hideMark/>
          </w:tcPr>
          <w:p w14:paraId="6B98E3E7"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-10 374,00</w:t>
            </w:r>
          </w:p>
        </w:tc>
        <w:tc>
          <w:tcPr>
            <w:tcW w:w="0" w:type="auto"/>
            <w:tcBorders>
              <w:top w:val="nil"/>
              <w:left w:val="nil"/>
              <w:bottom w:val="single" w:sz="8" w:space="0" w:color="7030A0"/>
              <w:right w:val="nil"/>
            </w:tcBorders>
            <w:shd w:val="clear" w:color="000000" w:fill="FFFFFF"/>
            <w:vAlign w:val="center"/>
            <w:hideMark/>
          </w:tcPr>
          <w:p w14:paraId="636C04A2"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-5 070 511,65</w:t>
            </w:r>
          </w:p>
        </w:tc>
        <w:tc>
          <w:tcPr>
            <w:tcW w:w="0" w:type="auto"/>
            <w:tcBorders>
              <w:top w:val="nil"/>
              <w:left w:val="nil"/>
              <w:bottom w:val="single" w:sz="8" w:space="0" w:color="7030A0"/>
              <w:right w:val="nil"/>
            </w:tcBorders>
            <w:shd w:val="clear" w:color="000000" w:fill="FFFFFF"/>
            <w:vAlign w:val="center"/>
            <w:hideMark/>
          </w:tcPr>
          <w:p w14:paraId="41FAB476"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-18 255 705,00</w:t>
            </w:r>
          </w:p>
        </w:tc>
        <w:tc>
          <w:tcPr>
            <w:tcW w:w="0" w:type="auto"/>
            <w:tcBorders>
              <w:top w:val="nil"/>
              <w:left w:val="nil"/>
              <w:bottom w:val="single" w:sz="8" w:space="0" w:color="7030A0"/>
              <w:right w:val="nil"/>
            </w:tcBorders>
            <w:shd w:val="clear" w:color="000000" w:fill="FFFFFF"/>
            <w:vAlign w:val="center"/>
            <w:hideMark/>
          </w:tcPr>
          <w:p w14:paraId="49E9E523"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-18 236 300,00</w:t>
            </w:r>
          </w:p>
        </w:tc>
        <w:tc>
          <w:tcPr>
            <w:tcW w:w="0" w:type="auto"/>
            <w:tcBorders>
              <w:top w:val="nil"/>
              <w:left w:val="nil"/>
              <w:bottom w:val="single" w:sz="8" w:space="0" w:color="7030A0"/>
              <w:right w:val="nil"/>
            </w:tcBorders>
            <w:shd w:val="clear" w:color="000000" w:fill="FFFFFF"/>
            <w:vAlign w:val="center"/>
            <w:hideMark/>
          </w:tcPr>
          <w:p w14:paraId="2D085A7D" w14:textId="77777777" w:rsidR="00F13A44" w:rsidRPr="00C73365" w:rsidRDefault="00F13A44" w:rsidP="00F13A44">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-14 149 986,49</w:t>
            </w:r>
          </w:p>
        </w:tc>
      </w:tr>
      <w:tr w:rsidR="00F13A44" w:rsidRPr="00C73365" w14:paraId="04B1B50B" w14:textId="77777777" w:rsidTr="0032557C">
        <w:trPr>
          <w:trHeight w:val="433"/>
        </w:trPr>
        <w:tc>
          <w:tcPr>
            <w:tcW w:w="0" w:type="auto"/>
            <w:tcBorders>
              <w:top w:val="nil"/>
              <w:left w:val="nil"/>
              <w:bottom w:val="single" w:sz="8" w:space="0" w:color="7030A0"/>
              <w:right w:val="nil"/>
            </w:tcBorders>
            <w:shd w:val="clear" w:color="000000" w:fill="FFFFFF"/>
            <w:vAlign w:val="center"/>
            <w:hideMark/>
          </w:tcPr>
          <w:p w14:paraId="50BF9EA8" w14:textId="77777777"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  Impôts sur les bénéfices.</w:t>
            </w:r>
          </w:p>
        </w:tc>
        <w:tc>
          <w:tcPr>
            <w:tcW w:w="0" w:type="auto"/>
            <w:tcBorders>
              <w:top w:val="nil"/>
              <w:left w:val="nil"/>
              <w:bottom w:val="single" w:sz="8" w:space="0" w:color="7030A0"/>
              <w:right w:val="nil"/>
            </w:tcBorders>
            <w:shd w:val="clear" w:color="000000" w:fill="FFFFFF"/>
            <w:vAlign w:val="center"/>
            <w:hideMark/>
          </w:tcPr>
          <w:p w14:paraId="62366932"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14:paraId="5C6E9F05"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778 732,00</w:t>
            </w:r>
          </w:p>
        </w:tc>
        <w:tc>
          <w:tcPr>
            <w:tcW w:w="0" w:type="auto"/>
            <w:tcBorders>
              <w:top w:val="nil"/>
              <w:left w:val="nil"/>
              <w:bottom w:val="single" w:sz="8" w:space="0" w:color="7030A0"/>
              <w:right w:val="nil"/>
            </w:tcBorders>
            <w:shd w:val="clear" w:color="000000" w:fill="FFFFFF"/>
            <w:vAlign w:val="center"/>
            <w:hideMark/>
          </w:tcPr>
          <w:p w14:paraId="1AD76653"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2 834 015,00</w:t>
            </w:r>
          </w:p>
        </w:tc>
        <w:tc>
          <w:tcPr>
            <w:tcW w:w="0" w:type="auto"/>
            <w:tcBorders>
              <w:top w:val="nil"/>
              <w:left w:val="nil"/>
              <w:bottom w:val="single" w:sz="8" w:space="0" w:color="7030A0"/>
              <w:right w:val="nil"/>
            </w:tcBorders>
            <w:shd w:val="clear" w:color="000000" w:fill="FFFFFF"/>
            <w:vAlign w:val="center"/>
            <w:hideMark/>
          </w:tcPr>
          <w:p w14:paraId="547D3A05"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3 518 771,00</w:t>
            </w:r>
          </w:p>
        </w:tc>
        <w:tc>
          <w:tcPr>
            <w:tcW w:w="0" w:type="auto"/>
            <w:tcBorders>
              <w:top w:val="nil"/>
              <w:left w:val="nil"/>
              <w:bottom w:val="single" w:sz="8" w:space="0" w:color="7030A0"/>
              <w:right w:val="nil"/>
            </w:tcBorders>
            <w:shd w:val="clear" w:color="000000" w:fill="FFFFFF"/>
            <w:vAlign w:val="center"/>
            <w:hideMark/>
          </w:tcPr>
          <w:p w14:paraId="6327B0AC" w14:textId="77777777"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2 691 529,00</w:t>
            </w:r>
          </w:p>
        </w:tc>
      </w:tr>
      <w:tr w:rsidR="00F13A44" w:rsidRPr="00C73365" w14:paraId="06D5FBF9" w14:textId="77777777" w:rsidTr="0032557C">
        <w:trPr>
          <w:trHeight w:val="1070"/>
        </w:trPr>
        <w:tc>
          <w:tcPr>
            <w:tcW w:w="0" w:type="auto"/>
            <w:tcBorders>
              <w:top w:val="nil"/>
              <w:left w:val="nil"/>
              <w:bottom w:val="single" w:sz="8" w:space="0" w:color="7030A0"/>
              <w:right w:val="nil"/>
            </w:tcBorders>
            <w:shd w:val="clear" w:color="000000" w:fill="FFFFFF"/>
            <w:vAlign w:val="center"/>
            <w:hideMark/>
          </w:tcPr>
          <w:p w14:paraId="307B1275" w14:textId="77777777"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d)  Bénéfices après impôt, amortissements et provisions</w:t>
            </w:r>
          </w:p>
        </w:tc>
        <w:tc>
          <w:tcPr>
            <w:tcW w:w="0" w:type="auto"/>
            <w:tcBorders>
              <w:top w:val="nil"/>
              <w:left w:val="nil"/>
              <w:bottom w:val="single" w:sz="8" w:space="0" w:color="7030A0"/>
              <w:right w:val="nil"/>
            </w:tcBorders>
            <w:shd w:val="clear" w:color="000000" w:fill="FFFFFF"/>
            <w:vAlign w:val="center"/>
            <w:hideMark/>
          </w:tcPr>
          <w:p w14:paraId="7C7FD377"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-10 374,00</w:t>
            </w:r>
          </w:p>
        </w:tc>
        <w:tc>
          <w:tcPr>
            <w:tcW w:w="0" w:type="auto"/>
            <w:tcBorders>
              <w:top w:val="nil"/>
              <w:left w:val="nil"/>
              <w:bottom w:val="single" w:sz="8" w:space="0" w:color="7030A0"/>
              <w:right w:val="nil"/>
            </w:tcBorders>
            <w:shd w:val="clear" w:color="000000" w:fill="FFFFFF"/>
            <w:vAlign w:val="center"/>
            <w:hideMark/>
          </w:tcPr>
          <w:p w14:paraId="4EE06894"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-5 080 225,05</w:t>
            </w:r>
          </w:p>
        </w:tc>
        <w:tc>
          <w:tcPr>
            <w:tcW w:w="0" w:type="auto"/>
            <w:tcBorders>
              <w:top w:val="nil"/>
              <w:left w:val="nil"/>
              <w:bottom w:val="single" w:sz="8" w:space="0" w:color="7030A0"/>
              <w:right w:val="nil"/>
            </w:tcBorders>
            <w:shd w:val="clear" w:color="000000" w:fill="FFFFFF"/>
            <w:vAlign w:val="center"/>
            <w:hideMark/>
          </w:tcPr>
          <w:p w14:paraId="1218C26C"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-15 954 354,00</w:t>
            </w:r>
          </w:p>
        </w:tc>
        <w:tc>
          <w:tcPr>
            <w:tcW w:w="0" w:type="auto"/>
            <w:tcBorders>
              <w:top w:val="nil"/>
              <w:left w:val="nil"/>
              <w:bottom w:val="single" w:sz="8" w:space="0" w:color="7030A0"/>
              <w:right w:val="nil"/>
            </w:tcBorders>
            <w:shd w:val="clear" w:color="000000" w:fill="FFFFFF"/>
            <w:vAlign w:val="center"/>
            <w:hideMark/>
          </w:tcPr>
          <w:p w14:paraId="5AE755BE"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-14 307 513,00</w:t>
            </w:r>
          </w:p>
        </w:tc>
        <w:tc>
          <w:tcPr>
            <w:tcW w:w="0" w:type="auto"/>
            <w:tcBorders>
              <w:top w:val="nil"/>
              <w:left w:val="nil"/>
              <w:bottom w:val="single" w:sz="8" w:space="0" w:color="7030A0"/>
              <w:right w:val="nil"/>
            </w:tcBorders>
            <w:shd w:val="clear" w:color="000000" w:fill="FFFFFF"/>
            <w:vAlign w:val="center"/>
            <w:hideMark/>
          </w:tcPr>
          <w:p w14:paraId="77D12FD0" w14:textId="77777777" w:rsidR="00F13A44" w:rsidRPr="00C73365" w:rsidRDefault="00F13A44" w:rsidP="00F13A44">
            <w:pPr>
              <w:spacing w:after="0"/>
              <w:jc w:val="right"/>
              <w:rPr>
                <w:rFonts w:asciiTheme="minorHAnsi" w:hAnsiTheme="minorHAnsi" w:cstheme="minorHAnsi"/>
                <w:b/>
                <w:bCs/>
                <w:color w:val="7030A0"/>
                <w:szCs w:val="20"/>
              </w:rPr>
            </w:pPr>
          </w:p>
          <w:p w14:paraId="2F243DF1" w14:textId="77777777" w:rsidR="00F13A44" w:rsidRPr="00C73365" w:rsidRDefault="00F13A44" w:rsidP="00F13A44">
            <w:pPr>
              <w:spacing w:after="0"/>
              <w:jc w:val="right"/>
              <w:rPr>
                <w:rFonts w:asciiTheme="minorHAnsi" w:hAnsiTheme="minorHAnsi" w:cstheme="minorHAnsi"/>
                <w:bCs/>
                <w:color w:val="7030A0"/>
                <w:szCs w:val="20"/>
              </w:rPr>
            </w:pPr>
            <w:r w:rsidRPr="00C73365">
              <w:rPr>
                <w:rFonts w:asciiTheme="minorHAnsi" w:hAnsiTheme="minorHAnsi" w:cstheme="minorHAnsi"/>
                <w:bCs/>
                <w:color w:val="7030A0"/>
                <w:szCs w:val="20"/>
              </w:rPr>
              <w:t>-11 222 635,00</w:t>
            </w:r>
          </w:p>
          <w:p w14:paraId="1C69184D" w14:textId="77777777" w:rsidR="00F13A44" w:rsidRPr="00C73365" w:rsidRDefault="00F13A44" w:rsidP="00F13A44">
            <w:pPr>
              <w:spacing w:after="0"/>
              <w:rPr>
                <w:rFonts w:asciiTheme="minorHAnsi" w:hAnsiTheme="minorHAnsi" w:cstheme="minorHAnsi"/>
                <w:color w:val="000000"/>
                <w:szCs w:val="20"/>
              </w:rPr>
            </w:pPr>
          </w:p>
        </w:tc>
      </w:tr>
      <w:tr w:rsidR="00F13A44" w:rsidRPr="00C73365" w14:paraId="739C6514" w14:textId="77777777" w:rsidTr="0032557C">
        <w:trPr>
          <w:trHeight w:val="857"/>
        </w:trPr>
        <w:tc>
          <w:tcPr>
            <w:tcW w:w="0" w:type="auto"/>
            <w:tcBorders>
              <w:top w:val="nil"/>
              <w:left w:val="nil"/>
              <w:bottom w:val="single" w:sz="8" w:space="0" w:color="7030A0"/>
              <w:right w:val="nil"/>
            </w:tcBorders>
            <w:shd w:val="clear" w:color="000000" w:fill="FFFFFF"/>
            <w:vAlign w:val="center"/>
            <w:hideMark/>
          </w:tcPr>
          <w:p w14:paraId="5A302332" w14:textId="77777777"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  Montant des bénéfices distribués (1),</w:t>
            </w:r>
          </w:p>
        </w:tc>
        <w:tc>
          <w:tcPr>
            <w:tcW w:w="0" w:type="auto"/>
            <w:tcBorders>
              <w:top w:val="nil"/>
              <w:left w:val="nil"/>
              <w:bottom w:val="single" w:sz="8" w:space="0" w:color="7030A0"/>
              <w:right w:val="nil"/>
            </w:tcBorders>
            <w:shd w:val="clear" w:color="000000" w:fill="FFFFFF"/>
            <w:vAlign w:val="center"/>
            <w:hideMark/>
          </w:tcPr>
          <w:p w14:paraId="03C327A9"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14:paraId="70D5207C"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14:paraId="3B4C27B0"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14:paraId="739B617A"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14:paraId="2AF77DA8" w14:textId="77777777"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r>
    </w:tbl>
    <w:p w14:paraId="51DEA24E" w14:textId="77777777" w:rsidR="003A42BB" w:rsidRPr="00C73365" w:rsidRDefault="003A42BB" w:rsidP="00A96CCA">
      <w:pPr>
        <w:spacing w:after="0"/>
        <w:rPr>
          <w:rFonts w:asciiTheme="minorHAnsi" w:hAnsiTheme="minorHAnsi" w:cstheme="minorHAnsi"/>
        </w:rPr>
      </w:pPr>
    </w:p>
    <w:p w14:paraId="650575DB" w14:textId="77777777" w:rsidR="009E2C85" w:rsidRPr="00C73365" w:rsidRDefault="009E2C85" w:rsidP="00A96CCA">
      <w:pPr>
        <w:spacing w:after="0"/>
        <w:rPr>
          <w:rFonts w:asciiTheme="minorHAnsi" w:hAnsiTheme="minorHAnsi" w:cstheme="minorHAnsi"/>
        </w:rPr>
      </w:pPr>
    </w:p>
    <w:p w14:paraId="1D874580" w14:textId="77777777" w:rsidR="00130C23" w:rsidRPr="00C73365" w:rsidRDefault="00130C23" w:rsidP="00A96CCA">
      <w:pPr>
        <w:spacing w:after="0"/>
        <w:rPr>
          <w:rFonts w:asciiTheme="minorHAnsi" w:hAnsiTheme="minorHAnsi" w:cstheme="minorHAnsi"/>
        </w:rPr>
      </w:pPr>
    </w:p>
    <w:tbl>
      <w:tblPr>
        <w:tblW w:w="10195" w:type="dxa"/>
        <w:tblCellMar>
          <w:left w:w="70" w:type="dxa"/>
          <w:right w:w="70" w:type="dxa"/>
        </w:tblCellMar>
        <w:tblLook w:val="04A0" w:firstRow="1" w:lastRow="0" w:firstColumn="1" w:lastColumn="0" w:noHBand="0" w:noVBand="1"/>
      </w:tblPr>
      <w:tblGrid>
        <w:gridCol w:w="2919"/>
        <w:gridCol w:w="1364"/>
        <w:gridCol w:w="1354"/>
        <w:gridCol w:w="1184"/>
        <w:gridCol w:w="549"/>
        <w:gridCol w:w="488"/>
        <w:gridCol w:w="1214"/>
        <w:gridCol w:w="1123"/>
      </w:tblGrid>
      <w:tr w:rsidR="00DF49CE" w:rsidRPr="00C73365" w14:paraId="3F3D9503" w14:textId="77777777" w:rsidTr="00F8472A">
        <w:trPr>
          <w:trHeight w:val="690"/>
        </w:trPr>
        <w:tc>
          <w:tcPr>
            <w:tcW w:w="0" w:type="auto"/>
            <w:gridSpan w:val="2"/>
            <w:tcBorders>
              <w:top w:val="single" w:sz="12" w:space="0" w:color="7030A0"/>
              <w:left w:val="nil"/>
              <w:bottom w:val="single" w:sz="8" w:space="0" w:color="7030A0"/>
              <w:right w:val="nil"/>
            </w:tcBorders>
            <w:shd w:val="clear" w:color="000000" w:fill="FFFFFF"/>
            <w:vAlign w:val="center"/>
            <w:hideMark/>
          </w:tcPr>
          <w:p w14:paraId="69820B66" w14:textId="77777777" w:rsidR="009E2C85" w:rsidRPr="00C73365" w:rsidRDefault="009E2C8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Nature des indications</w:t>
            </w:r>
          </w:p>
        </w:tc>
        <w:tc>
          <w:tcPr>
            <w:tcW w:w="0" w:type="auto"/>
            <w:tcBorders>
              <w:top w:val="single" w:sz="12" w:space="0" w:color="7030A0"/>
              <w:left w:val="nil"/>
              <w:bottom w:val="single" w:sz="8" w:space="0" w:color="7030A0"/>
              <w:right w:val="nil"/>
            </w:tcBorders>
            <w:shd w:val="clear" w:color="000000" w:fill="FFFFFF"/>
            <w:vAlign w:val="center"/>
            <w:hideMark/>
          </w:tcPr>
          <w:p w14:paraId="3CFC4855" w14:textId="77777777"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2013</w:t>
            </w:r>
          </w:p>
        </w:tc>
        <w:tc>
          <w:tcPr>
            <w:tcW w:w="0" w:type="auto"/>
            <w:tcBorders>
              <w:top w:val="single" w:sz="12" w:space="0" w:color="7030A0"/>
              <w:left w:val="nil"/>
              <w:bottom w:val="single" w:sz="8" w:space="0" w:color="7030A0"/>
              <w:right w:val="nil"/>
            </w:tcBorders>
            <w:shd w:val="clear" w:color="000000" w:fill="FFFFFF"/>
            <w:vAlign w:val="center"/>
            <w:hideMark/>
          </w:tcPr>
          <w:p w14:paraId="356FBD85" w14:textId="77777777"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w:t>
            </w:r>
            <w:r w:rsidRPr="00C73365">
              <w:rPr>
                <w:rFonts w:asciiTheme="minorHAnsi" w:hAnsiTheme="minorHAnsi" w:cstheme="minorHAnsi"/>
                <w:b/>
                <w:bCs/>
                <w:color w:val="000000"/>
                <w:szCs w:val="20"/>
                <w:lang w:val="fr-FR" w:eastAsia="fr-FR"/>
              </w:rPr>
              <w:t xml:space="preserve"> </w:t>
            </w:r>
            <w:r w:rsidRPr="00C73365">
              <w:rPr>
                <w:rFonts w:asciiTheme="minorHAnsi" w:hAnsiTheme="minorHAnsi" w:cstheme="minorHAnsi"/>
                <w:color w:val="000000"/>
                <w:szCs w:val="20"/>
                <w:lang w:val="fr-FR" w:eastAsia="fr-FR"/>
              </w:rPr>
              <w:t>31 décembre 2014</w:t>
            </w:r>
          </w:p>
        </w:tc>
        <w:tc>
          <w:tcPr>
            <w:tcW w:w="0" w:type="auto"/>
            <w:gridSpan w:val="2"/>
            <w:tcBorders>
              <w:top w:val="single" w:sz="12" w:space="0" w:color="7030A0"/>
              <w:left w:val="nil"/>
              <w:bottom w:val="single" w:sz="8" w:space="0" w:color="7030A0"/>
              <w:right w:val="nil"/>
            </w:tcBorders>
            <w:shd w:val="clear" w:color="000000" w:fill="FFFFFF"/>
            <w:vAlign w:val="center"/>
            <w:hideMark/>
          </w:tcPr>
          <w:p w14:paraId="1AC66C96" w14:textId="77777777"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2015</w:t>
            </w:r>
          </w:p>
        </w:tc>
        <w:tc>
          <w:tcPr>
            <w:tcW w:w="1214" w:type="dxa"/>
            <w:tcBorders>
              <w:top w:val="single" w:sz="12" w:space="0" w:color="7030A0"/>
              <w:left w:val="nil"/>
              <w:bottom w:val="single" w:sz="8" w:space="0" w:color="7030A0"/>
              <w:right w:val="nil"/>
            </w:tcBorders>
            <w:shd w:val="clear" w:color="000000" w:fill="FFFFFF"/>
            <w:vAlign w:val="center"/>
            <w:hideMark/>
          </w:tcPr>
          <w:p w14:paraId="49408517" w14:textId="77777777"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2016</w:t>
            </w:r>
          </w:p>
        </w:tc>
        <w:tc>
          <w:tcPr>
            <w:tcW w:w="1123" w:type="dxa"/>
            <w:tcBorders>
              <w:top w:val="single" w:sz="12" w:space="0" w:color="7030A0"/>
              <w:left w:val="nil"/>
              <w:bottom w:val="single" w:sz="8" w:space="0" w:color="7030A0"/>
              <w:right w:val="nil"/>
            </w:tcBorders>
            <w:shd w:val="clear" w:color="000000" w:fill="FFFFFF"/>
            <w:vAlign w:val="center"/>
          </w:tcPr>
          <w:p w14:paraId="4B3EB1F3" w14:textId="77777777"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2017</w:t>
            </w:r>
          </w:p>
        </w:tc>
      </w:tr>
      <w:tr w:rsidR="00DF49CE" w:rsidRPr="00036317" w14:paraId="25F476DF" w14:textId="77777777" w:rsidTr="00F8472A">
        <w:trPr>
          <w:trHeight w:val="447"/>
        </w:trPr>
        <w:tc>
          <w:tcPr>
            <w:tcW w:w="0" w:type="auto"/>
            <w:gridSpan w:val="2"/>
            <w:tcBorders>
              <w:top w:val="nil"/>
              <w:left w:val="nil"/>
              <w:bottom w:val="nil"/>
              <w:right w:val="nil"/>
            </w:tcBorders>
            <w:shd w:val="clear" w:color="000000" w:fill="FFFFFF"/>
            <w:vAlign w:val="center"/>
            <w:hideMark/>
          </w:tcPr>
          <w:p w14:paraId="388A76D9" w14:textId="77777777" w:rsidR="009E2C85" w:rsidRPr="00C73365" w:rsidRDefault="009E2C85"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II. RÉSULTAT DES OPÉRATIONS RÉDUIT À UNE SEULE ACTION(2):</w:t>
            </w:r>
          </w:p>
        </w:tc>
        <w:tc>
          <w:tcPr>
            <w:tcW w:w="0" w:type="auto"/>
            <w:tcBorders>
              <w:top w:val="nil"/>
              <w:left w:val="nil"/>
              <w:bottom w:val="nil"/>
              <w:right w:val="nil"/>
            </w:tcBorders>
            <w:shd w:val="clear" w:color="000000" w:fill="FFFFFF"/>
            <w:vAlign w:val="center"/>
            <w:hideMark/>
          </w:tcPr>
          <w:p w14:paraId="32FE25BE" w14:textId="77777777"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nil"/>
              <w:right w:val="nil"/>
            </w:tcBorders>
            <w:shd w:val="clear" w:color="000000" w:fill="FFFFFF"/>
            <w:vAlign w:val="center"/>
            <w:hideMark/>
          </w:tcPr>
          <w:p w14:paraId="5AFACBBB" w14:textId="77777777"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nil"/>
              <w:right w:val="nil"/>
            </w:tcBorders>
            <w:shd w:val="clear" w:color="000000" w:fill="FFFFFF"/>
            <w:vAlign w:val="center"/>
            <w:hideMark/>
          </w:tcPr>
          <w:p w14:paraId="62669960" w14:textId="77777777"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214" w:type="dxa"/>
            <w:tcBorders>
              <w:top w:val="nil"/>
              <w:left w:val="nil"/>
              <w:bottom w:val="nil"/>
              <w:right w:val="nil"/>
            </w:tcBorders>
            <w:shd w:val="clear" w:color="000000" w:fill="FFFFFF"/>
            <w:vAlign w:val="center"/>
            <w:hideMark/>
          </w:tcPr>
          <w:p w14:paraId="1516ECEA" w14:textId="77777777" w:rsidR="009E2C85" w:rsidRPr="00C73365" w:rsidRDefault="009E2C85" w:rsidP="00A96CCA">
            <w:pPr>
              <w:spacing w:after="0"/>
              <w:jc w:val="right"/>
              <w:rPr>
                <w:rFonts w:asciiTheme="minorHAnsi" w:hAnsiTheme="minorHAnsi" w:cstheme="minorHAnsi"/>
                <w:color w:val="000000"/>
                <w:sz w:val="22"/>
                <w:szCs w:val="22"/>
                <w:lang w:val="fr-FR" w:eastAsia="fr-FR"/>
              </w:rPr>
            </w:pPr>
            <w:r w:rsidRPr="00C73365">
              <w:rPr>
                <w:rFonts w:asciiTheme="minorHAnsi" w:hAnsiTheme="minorHAnsi" w:cstheme="minorHAnsi"/>
                <w:color w:val="000000"/>
                <w:sz w:val="22"/>
                <w:szCs w:val="22"/>
                <w:lang w:val="fr-FR" w:eastAsia="fr-FR"/>
              </w:rPr>
              <w:t> </w:t>
            </w:r>
          </w:p>
        </w:tc>
        <w:tc>
          <w:tcPr>
            <w:tcW w:w="1123" w:type="dxa"/>
            <w:tcBorders>
              <w:top w:val="nil"/>
              <w:left w:val="nil"/>
              <w:bottom w:val="nil"/>
              <w:right w:val="nil"/>
            </w:tcBorders>
            <w:shd w:val="clear" w:color="000000" w:fill="FFFFFF"/>
            <w:vAlign w:val="center"/>
          </w:tcPr>
          <w:p w14:paraId="2B8B9C35" w14:textId="77777777" w:rsidR="009E2C85" w:rsidRPr="00C73365" w:rsidRDefault="009E2C85" w:rsidP="00A96CCA">
            <w:pPr>
              <w:spacing w:after="0"/>
              <w:jc w:val="right"/>
              <w:rPr>
                <w:rFonts w:asciiTheme="minorHAnsi" w:hAnsiTheme="minorHAnsi" w:cstheme="minorHAnsi"/>
                <w:color w:val="000000"/>
                <w:sz w:val="22"/>
                <w:szCs w:val="22"/>
                <w:lang w:val="fr-FR" w:eastAsia="fr-FR"/>
              </w:rPr>
            </w:pPr>
            <w:r w:rsidRPr="00C73365">
              <w:rPr>
                <w:rFonts w:asciiTheme="minorHAnsi" w:hAnsiTheme="minorHAnsi" w:cstheme="minorHAnsi"/>
                <w:color w:val="000000"/>
                <w:sz w:val="22"/>
                <w:szCs w:val="22"/>
                <w:lang w:val="fr-FR" w:eastAsia="fr-FR"/>
              </w:rPr>
              <w:t> </w:t>
            </w:r>
          </w:p>
        </w:tc>
      </w:tr>
      <w:tr w:rsidR="00F8472A" w:rsidRPr="00C73365" w14:paraId="6A8F539A" w14:textId="77777777" w:rsidTr="00F8472A">
        <w:trPr>
          <w:trHeight w:val="447"/>
        </w:trPr>
        <w:tc>
          <w:tcPr>
            <w:tcW w:w="0" w:type="auto"/>
            <w:gridSpan w:val="2"/>
            <w:tcBorders>
              <w:top w:val="nil"/>
              <w:left w:val="nil"/>
              <w:bottom w:val="nil"/>
              <w:right w:val="nil"/>
            </w:tcBorders>
            <w:shd w:val="clear" w:color="000000" w:fill="FFFFFF"/>
            <w:vAlign w:val="center"/>
            <w:hideMark/>
          </w:tcPr>
          <w:p w14:paraId="2E8105C8" w14:textId="77777777" w:rsidR="00F8472A" w:rsidRPr="00C73365" w:rsidRDefault="00F8472A" w:rsidP="00A96CCA">
            <w:pPr>
              <w:spacing w:after="0"/>
              <w:ind w:firstLineChars="200" w:firstLine="40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  Bénéfice après impôt, mais avant amortissements et provisions</w:t>
            </w:r>
          </w:p>
        </w:tc>
        <w:tc>
          <w:tcPr>
            <w:tcW w:w="0" w:type="auto"/>
            <w:tcBorders>
              <w:top w:val="nil"/>
              <w:left w:val="nil"/>
              <w:bottom w:val="nil"/>
              <w:right w:val="nil"/>
            </w:tcBorders>
            <w:shd w:val="clear" w:color="000000" w:fill="FFFFFF"/>
            <w:vAlign w:val="center"/>
            <w:hideMark/>
          </w:tcPr>
          <w:p w14:paraId="26C7890C" w14:textId="77777777"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-0,26 €</w:t>
            </w:r>
          </w:p>
        </w:tc>
        <w:tc>
          <w:tcPr>
            <w:tcW w:w="0" w:type="auto"/>
            <w:tcBorders>
              <w:top w:val="nil"/>
              <w:left w:val="nil"/>
              <w:bottom w:val="nil"/>
              <w:right w:val="nil"/>
            </w:tcBorders>
            <w:shd w:val="clear" w:color="000000" w:fill="FFFFFF"/>
            <w:vAlign w:val="center"/>
            <w:hideMark/>
          </w:tcPr>
          <w:p w14:paraId="4FE15E76" w14:textId="77777777"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-62,06 €</w:t>
            </w:r>
          </w:p>
        </w:tc>
        <w:tc>
          <w:tcPr>
            <w:tcW w:w="0" w:type="auto"/>
            <w:gridSpan w:val="2"/>
            <w:tcBorders>
              <w:top w:val="nil"/>
              <w:left w:val="nil"/>
              <w:bottom w:val="nil"/>
              <w:right w:val="nil"/>
            </w:tcBorders>
            <w:shd w:val="clear" w:color="000000" w:fill="FFFFFF"/>
            <w:vAlign w:val="center"/>
            <w:hideMark/>
          </w:tcPr>
          <w:p w14:paraId="13F1AB30" w14:textId="77777777"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-1,07 €</w:t>
            </w:r>
          </w:p>
        </w:tc>
        <w:tc>
          <w:tcPr>
            <w:tcW w:w="1214" w:type="dxa"/>
            <w:tcBorders>
              <w:top w:val="nil"/>
              <w:left w:val="nil"/>
              <w:bottom w:val="nil"/>
              <w:right w:val="nil"/>
            </w:tcBorders>
            <w:shd w:val="clear" w:color="000000" w:fill="FFFFFF"/>
            <w:vAlign w:val="center"/>
            <w:hideMark/>
          </w:tcPr>
          <w:p w14:paraId="39410D81" w14:textId="77777777"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-1,52 € </w:t>
            </w:r>
          </w:p>
        </w:tc>
        <w:tc>
          <w:tcPr>
            <w:tcW w:w="1123" w:type="dxa"/>
            <w:tcBorders>
              <w:top w:val="nil"/>
              <w:left w:val="nil"/>
              <w:bottom w:val="nil"/>
              <w:right w:val="nil"/>
            </w:tcBorders>
            <w:shd w:val="clear" w:color="000000" w:fill="FFFFFF"/>
            <w:vAlign w:val="center"/>
          </w:tcPr>
          <w:p w14:paraId="0FAFE921" w14:textId="77777777"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-1,16 € </w:t>
            </w:r>
          </w:p>
        </w:tc>
      </w:tr>
      <w:tr w:rsidR="00F8472A" w:rsidRPr="00C73365" w14:paraId="5FA46AC9" w14:textId="77777777" w:rsidTr="00F8472A">
        <w:trPr>
          <w:trHeight w:val="232"/>
        </w:trPr>
        <w:tc>
          <w:tcPr>
            <w:tcW w:w="0" w:type="auto"/>
            <w:gridSpan w:val="2"/>
            <w:tcBorders>
              <w:top w:val="nil"/>
              <w:left w:val="nil"/>
              <w:bottom w:val="nil"/>
              <w:right w:val="nil"/>
            </w:tcBorders>
            <w:shd w:val="clear" w:color="000000" w:fill="FFFFFF"/>
            <w:vAlign w:val="center"/>
            <w:hideMark/>
          </w:tcPr>
          <w:p w14:paraId="17873921" w14:textId="77777777" w:rsidR="00F8472A" w:rsidRPr="00C73365" w:rsidRDefault="00F8472A" w:rsidP="00A96CCA">
            <w:pPr>
              <w:spacing w:after="0"/>
              <w:ind w:firstLineChars="200" w:firstLine="40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  Bénéfice après impôt, amortissements et provisions</w:t>
            </w:r>
          </w:p>
        </w:tc>
        <w:tc>
          <w:tcPr>
            <w:tcW w:w="0" w:type="auto"/>
            <w:tcBorders>
              <w:top w:val="nil"/>
              <w:left w:val="nil"/>
              <w:bottom w:val="nil"/>
              <w:right w:val="nil"/>
            </w:tcBorders>
            <w:shd w:val="clear" w:color="000000" w:fill="FFFFFF"/>
            <w:vAlign w:val="center"/>
            <w:hideMark/>
          </w:tcPr>
          <w:p w14:paraId="39A755F8" w14:textId="77777777"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-0,26 €</w:t>
            </w:r>
          </w:p>
        </w:tc>
        <w:tc>
          <w:tcPr>
            <w:tcW w:w="0" w:type="auto"/>
            <w:tcBorders>
              <w:top w:val="nil"/>
              <w:left w:val="nil"/>
              <w:bottom w:val="nil"/>
              <w:right w:val="nil"/>
            </w:tcBorders>
            <w:shd w:val="clear" w:color="000000" w:fill="FFFFFF"/>
            <w:vAlign w:val="center"/>
            <w:hideMark/>
          </w:tcPr>
          <w:p w14:paraId="6399E0A9" w14:textId="77777777"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-73,47 €</w:t>
            </w:r>
          </w:p>
        </w:tc>
        <w:tc>
          <w:tcPr>
            <w:tcW w:w="0" w:type="auto"/>
            <w:gridSpan w:val="2"/>
            <w:tcBorders>
              <w:top w:val="nil"/>
              <w:left w:val="nil"/>
              <w:bottom w:val="nil"/>
              <w:right w:val="nil"/>
            </w:tcBorders>
            <w:shd w:val="clear" w:color="000000" w:fill="FFFFFF"/>
            <w:vAlign w:val="center"/>
            <w:hideMark/>
          </w:tcPr>
          <w:p w14:paraId="214C9DDF" w14:textId="77777777"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-1,64 €</w:t>
            </w:r>
          </w:p>
        </w:tc>
        <w:tc>
          <w:tcPr>
            <w:tcW w:w="1214" w:type="dxa"/>
            <w:tcBorders>
              <w:top w:val="nil"/>
              <w:left w:val="nil"/>
              <w:bottom w:val="nil"/>
              <w:right w:val="nil"/>
            </w:tcBorders>
            <w:shd w:val="clear" w:color="000000" w:fill="FFFFFF"/>
            <w:vAlign w:val="center"/>
            <w:hideMark/>
          </w:tcPr>
          <w:p w14:paraId="13512BC3" w14:textId="77777777"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-1,47 €</w:t>
            </w:r>
          </w:p>
        </w:tc>
        <w:tc>
          <w:tcPr>
            <w:tcW w:w="1123" w:type="dxa"/>
            <w:tcBorders>
              <w:top w:val="nil"/>
              <w:left w:val="nil"/>
              <w:bottom w:val="nil"/>
              <w:right w:val="nil"/>
            </w:tcBorders>
            <w:shd w:val="clear" w:color="000000" w:fill="FFFFFF"/>
            <w:vAlign w:val="center"/>
          </w:tcPr>
          <w:p w14:paraId="2C0890B6" w14:textId="77777777"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-1,13 €</w:t>
            </w:r>
          </w:p>
        </w:tc>
      </w:tr>
      <w:tr w:rsidR="00F8472A" w:rsidRPr="00C73365" w14:paraId="708CAC16" w14:textId="77777777" w:rsidTr="00F8472A">
        <w:trPr>
          <w:trHeight w:val="447"/>
        </w:trPr>
        <w:tc>
          <w:tcPr>
            <w:tcW w:w="0" w:type="auto"/>
            <w:gridSpan w:val="2"/>
            <w:tcBorders>
              <w:top w:val="nil"/>
              <w:left w:val="nil"/>
              <w:bottom w:val="nil"/>
              <w:right w:val="nil"/>
            </w:tcBorders>
            <w:shd w:val="clear" w:color="000000" w:fill="FFFFFF"/>
            <w:vAlign w:val="center"/>
            <w:hideMark/>
          </w:tcPr>
          <w:p w14:paraId="41A18499" w14:textId="77777777" w:rsidR="00F8472A" w:rsidRPr="00C73365" w:rsidRDefault="00F8472A" w:rsidP="00A96CCA">
            <w:pPr>
              <w:spacing w:after="0"/>
              <w:ind w:firstLineChars="200" w:firstLine="40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  Dividende versé à chaque action (1)</w:t>
            </w:r>
          </w:p>
        </w:tc>
        <w:tc>
          <w:tcPr>
            <w:tcW w:w="0" w:type="auto"/>
            <w:tcBorders>
              <w:top w:val="nil"/>
              <w:left w:val="nil"/>
              <w:bottom w:val="nil"/>
              <w:right w:val="nil"/>
            </w:tcBorders>
            <w:shd w:val="clear" w:color="000000" w:fill="FFFFFF"/>
            <w:vAlign w:val="center"/>
            <w:hideMark/>
          </w:tcPr>
          <w:p w14:paraId="6C68CAC7" w14:textId="77777777"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0" w:type="auto"/>
            <w:tcBorders>
              <w:top w:val="nil"/>
              <w:left w:val="nil"/>
              <w:bottom w:val="nil"/>
              <w:right w:val="nil"/>
            </w:tcBorders>
            <w:shd w:val="clear" w:color="000000" w:fill="FFFFFF"/>
            <w:vAlign w:val="center"/>
            <w:hideMark/>
          </w:tcPr>
          <w:p w14:paraId="0B383566" w14:textId="77777777"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0" w:type="auto"/>
            <w:gridSpan w:val="2"/>
            <w:tcBorders>
              <w:top w:val="nil"/>
              <w:left w:val="nil"/>
              <w:bottom w:val="nil"/>
              <w:right w:val="nil"/>
            </w:tcBorders>
            <w:shd w:val="clear" w:color="000000" w:fill="FFFFFF"/>
            <w:vAlign w:val="center"/>
            <w:hideMark/>
          </w:tcPr>
          <w:p w14:paraId="06653C56" w14:textId="77777777"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Aucun dividende versé</w:t>
            </w:r>
          </w:p>
        </w:tc>
        <w:tc>
          <w:tcPr>
            <w:tcW w:w="1214" w:type="dxa"/>
            <w:tcBorders>
              <w:top w:val="nil"/>
              <w:left w:val="nil"/>
              <w:bottom w:val="nil"/>
              <w:right w:val="nil"/>
            </w:tcBorders>
            <w:shd w:val="clear" w:color="000000" w:fill="FFFFFF"/>
            <w:vAlign w:val="center"/>
            <w:hideMark/>
          </w:tcPr>
          <w:p w14:paraId="74C85E25" w14:textId="77777777"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1123" w:type="dxa"/>
            <w:tcBorders>
              <w:top w:val="nil"/>
              <w:left w:val="nil"/>
              <w:bottom w:val="nil"/>
              <w:right w:val="nil"/>
            </w:tcBorders>
            <w:shd w:val="clear" w:color="000000" w:fill="FFFFFF"/>
            <w:vAlign w:val="center"/>
          </w:tcPr>
          <w:p w14:paraId="45D0A668" w14:textId="77777777"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r>
      <w:tr w:rsidR="00F8472A" w:rsidRPr="00C73365" w14:paraId="2E2BBC85" w14:textId="77777777" w:rsidTr="00F8472A">
        <w:trPr>
          <w:trHeight w:val="242"/>
        </w:trPr>
        <w:tc>
          <w:tcPr>
            <w:tcW w:w="0" w:type="auto"/>
            <w:gridSpan w:val="2"/>
            <w:tcBorders>
              <w:top w:val="nil"/>
              <w:left w:val="nil"/>
              <w:bottom w:val="single" w:sz="8" w:space="0" w:color="7030A0"/>
              <w:right w:val="nil"/>
            </w:tcBorders>
            <w:shd w:val="clear" w:color="000000" w:fill="FFFFFF"/>
            <w:vAlign w:val="center"/>
            <w:hideMark/>
          </w:tcPr>
          <w:p w14:paraId="5FB2ACB2" w14:textId="77777777"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000000" w:fill="FFFFFF"/>
            <w:vAlign w:val="center"/>
            <w:hideMark/>
          </w:tcPr>
          <w:p w14:paraId="6498074C" w14:textId="77777777"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000000" w:fill="FFFFFF"/>
            <w:vAlign w:val="center"/>
            <w:hideMark/>
          </w:tcPr>
          <w:p w14:paraId="375CD842" w14:textId="77777777"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14:paraId="7FE13A28" w14:textId="77777777"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214" w:type="dxa"/>
            <w:tcBorders>
              <w:top w:val="nil"/>
              <w:left w:val="nil"/>
              <w:bottom w:val="single" w:sz="8" w:space="0" w:color="7030A0"/>
              <w:right w:val="nil"/>
            </w:tcBorders>
            <w:shd w:val="clear" w:color="000000" w:fill="FFFFFF"/>
            <w:vAlign w:val="center"/>
            <w:hideMark/>
          </w:tcPr>
          <w:p w14:paraId="7E811D18" w14:textId="77777777"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123" w:type="dxa"/>
            <w:tcBorders>
              <w:top w:val="nil"/>
              <w:left w:val="nil"/>
              <w:bottom w:val="single" w:sz="8" w:space="0" w:color="7030A0"/>
              <w:right w:val="nil"/>
            </w:tcBorders>
            <w:shd w:val="clear" w:color="000000" w:fill="FFFFFF"/>
          </w:tcPr>
          <w:p w14:paraId="3A4618A1" w14:textId="77777777" w:rsidR="00F8472A" w:rsidRPr="00C73365" w:rsidRDefault="00F8472A" w:rsidP="00A96CCA">
            <w:pPr>
              <w:spacing w:after="0"/>
              <w:jc w:val="right"/>
              <w:rPr>
                <w:rFonts w:asciiTheme="minorHAnsi" w:hAnsiTheme="minorHAnsi" w:cstheme="minorHAnsi"/>
                <w:color w:val="000000"/>
                <w:szCs w:val="20"/>
                <w:lang w:val="fr-FR" w:eastAsia="fr-FR"/>
              </w:rPr>
            </w:pPr>
          </w:p>
        </w:tc>
      </w:tr>
      <w:tr w:rsidR="00F8472A" w:rsidRPr="00036317" w14:paraId="0C1FF2D2" w14:textId="77777777" w:rsidTr="00BB083E">
        <w:trPr>
          <w:trHeight w:val="232"/>
        </w:trPr>
        <w:tc>
          <w:tcPr>
            <w:tcW w:w="9072" w:type="dxa"/>
            <w:gridSpan w:val="7"/>
            <w:tcBorders>
              <w:top w:val="single" w:sz="8" w:space="0" w:color="7030A0"/>
              <w:left w:val="nil"/>
              <w:bottom w:val="nil"/>
              <w:right w:val="nil"/>
            </w:tcBorders>
            <w:shd w:val="clear" w:color="000000" w:fill="FFFFFF"/>
            <w:vAlign w:val="center"/>
            <w:hideMark/>
          </w:tcPr>
          <w:p w14:paraId="5EEC0099" w14:textId="77777777" w:rsidR="00F8472A" w:rsidRPr="00C73365" w:rsidRDefault="00F8472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INFORMATIONS SUR LES DÉLAIS DE PAIEMENT</w:t>
            </w:r>
          </w:p>
        </w:tc>
        <w:tc>
          <w:tcPr>
            <w:tcW w:w="1123" w:type="dxa"/>
            <w:tcBorders>
              <w:top w:val="single" w:sz="8" w:space="0" w:color="7030A0"/>
              <w:left w:val="nil"/>
              <w:bottom w:val="nil"/>
              <w:right w:val="nil"/>
            </w:tcBorders>
            <w:shd w:val="clear" w:color="000000" w:fill="FFFFFF"/>
          </w:tcPr>
          <w:p w14:paraId="1EDFD5F6" w14:textId="77777777" w:rsidR="00F8472A" w:rsidRPr="00C73365" w:rsidRDefault="00F8472A" w:rsidP="00A96CCA">
            <w:pPr>
              <w:spacing w:after="0"/>
              <w:rPr>
                <w:rFonts w:asciiTheme="minorHAnsi" w:hAnsiTheme="minorHAnsi" w:cstheme="minorHAnsi"/>
                <w:b/>
                <w:bCs/>
                <w:color w:val="000000"/>
                <w:szCs w:val="20"/>
                <w:lang w:val="fr-FR" w:eastAsia="fr-FR"/>
              </w:rPr>
            </w:pPr>
          </w:p>
        </w:tc>
      </w:tr>
      <w:tr w:rsidR="00F8472A" w:rsidRPr="00036317" w14:paraId="27A5C775" w14:textId="77777777" w:rsidTr="00BB083E">
        <w:trPr>
          <w:trHeight w:val="447"/>
        </w:trPr>
        <w:tc>
          <w:tcPr>
            <w:tcW w:w="9072" w:type="dxa"/>
            <w:gridSpan w:val="7"/>
            <w:tcBorders>
              <w:top w:val="nil"/>
              <w:left w:val="nil"/>
              <w:bottom w:val="single" w:sz="12" w:space="0" w:color="7030A0"/>
              <w:right w:val="nil"/>
            </w:tcBorders>
            <w:shd w:val="clear" w:color="000000" w:fill="FFFFFF"/>
            <w:vAlign w:val="center"/>
            <w:hideMark/>
          </w:tcPr>
          <w:p w14:paraId="40B31B76" w14:textId="77777777"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Décomposition, à la clôture des deux derniers exercices du solde des dettes à l’égard des fournisseurs, par date d’échéance</w:t>
            </w:r>
          </w:p>
        </w:tc>
        <w:tc>
          <w:tcPr>
            <w:tcW w:w="1123" w:type="dxa"/>
            <w:tcBorders>
              <w:top w:val="nil"/>
              <w:left w:val="nil"/>
              <w:bottom w:val="single" w:sz="12" w:space="0" w:color="7030A0"/>
              <w:right w:val="nil"/>
            </w:tcBorders>
            <w:shd w:val="clear" w:color="000000" w:fill="FFFFFF"/>
          </w:tcPr>
          <w:p w14:paraId="3231480C" w14:textId="77777777" w:rsidR="00F8472A" w:rsidRPr="00C73365" w:rsidRDefault="00F8472A" w:rsidP="00A96CCA">
            <w:pPr>
              <w:spacing w:after="0"/>
              <w:rPr>
                <w:rFonts w:asciiTheme="minorHAnsi" w:hAnsiTheme="minorHAnsi" w:cstheme="minorHAnsi"/>
                <w:color w:val="000000"/>
                <w:szCs w:val="20"/>
                <w:lang w:val="fr-FR" w:eastAsia="fr-FR"/>
              </w:rPr>
            </w:pPr>
          </w:p>
        </w:tc>
      </w:tr>
      <w:tr w:rsidR="00F8472A" w:rsidRPr="00036317" w14:paraId="1E4DE11C" w14:textId="77777777" w:rsidTr="00F8472A">
        <w:trPr>
          <w:gridAfter w:val="1"/>
          <w:wAfter w:w="1123" w:type="dxa"/>
          <w:trHeight w:hRule="exact" w:val="967"/>
        </w:trPr>
        <w:tc>
          <w:tcPr>
            <w:tcW w:w="0" w:type="auto"/>
            <w:tcBorders>
              <w:top w:val="single" w:sz="12" w:space="0" w:color="7030A0"/>
              <w:left w:val="nil"/>
              <w:bottom w:val="single" w:sz="8" w:space="0" w:color="7030A0"/>
              <w:right w:val="nil"/>
            </w:tcBorders>
            <w:shd w:val="clear" w:color="000000" w:fill="FFFFFF"/>
            <w:noWrap/>
            <w:vAlign w:val="center"/>
            <w:hideMark/>
          </w:tcPr>
          <w:p w14:paraId="1DE197D7" w14:textId="77777777"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Echéances</w:t>
            </w:r>
          </w:p>
        </w:tc>
        <w:tc>
          <w:tcPr>
            <w:tcW w:w="0" w:type="auto"/>
            <w:tcBorders>
              <w:top w:val="single" w:sz="12" w:space="0" w:color="7030A0"/>
              <w:left w:val="nil"/>
              <w:bottom w:val="single" w:sz="8" w:space="0" w:color="7030A0"/>
              <w:right w:val="nil"/>
            </w:tcBorders>
            <w:shd w:val="clear" w:color="000000" w:fill="FFFFFF"/>
            <w:vAlign w:val="center"/>
            <w:hideMark/>
          </w:tcPr>
          <w:p w14:paraId="728ADFC1"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Montant des dettes au 31 décembre 2014</w:t>
            </w:r>
          </w:p>
        </w:tc>
        <w:tc>
          <w:tcPr>
            <w:tcW w:w="0" w:type="auto"/>
            <w:tcBorders>
              <w:top w:val="single" w:sz="12" w:space="0" w:color="7030A0"/>
              <w:left w:val="nil"/>
              <w:bottom w:val="single" w:sz="8" w:space="0" w:color="7030A0"/>
              <w:right w:val="nil"/>
            </w:tcBorders>
            <w:shd w:val="clear" w:color="000000" w:fill="FFFFFF"/>
            <w:vAlign w:val="center"/>
            <w:hideMark/>
          </w:tcPr>
          <w:p w14:paraId="54B6E859"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Montant des dettes au 31 décembre 2015</w:t>
            </w:r>
          </w:p>
        </w:tc>
        <w:tc>
          <w:tcPr>
            <w:tcW w:w="1715" w:type="dxa"/>
            <w:gridSpan w:val="2"/>
            <w:tcBorders>
              <w:top w:val="single" w:sz="12" w:space="0" w:color="7030A0"/>
              <w:left w:val="nil"/>
              <w:bottom w:val="single" w:sz="8" w:space="0" w:color="7030A0"/>
              <w:right w:val="nil"/>
            </w:tcBorders>
            <w:shd w:val="clear" w:color="000000" w:fill="FFFFFF"/>
            <w:vAlign w:val="center"/>
            <w:hideMark/>
          </w:tcPr>
          <w:p w14:paraId="07FC7447"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Montant des dettes au 31 décembre 2016</w:t>
            </w:r>
          </w:p>
        </w:tc>
        <w:tc>
          <w:tcPr>
            <w:tcW w:w="1705" w:type="dxa"/>
            <w:gridSpan w:val="2"/>
            <w:tcBorders>
              <w:top w:val="single" w:sz="12" w:space="0" w:color="7030A0"/>
              <w:left w:val="nil"/>
              <w:bottom w:val="single" w:sz="8" w:space="0" w:color="7030A0"/>
              <w:right w:val="nil"/>
            </w:tcBorders>
            <w:shd w:val="clear" w:color="000000" w:fill="FFFFFF"/>
            <w:vAlign w:val="center"/>
          </w:tcPr>
          <w:p w14:paraId="7B058861"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Montant des dettes au 31 décembre 2017</w:t>
            </w:r>
          </w:p>
        </w:tc>
      </w:tr>
      <w:tr w:rsidR="00F8472A" w:rsidRPr="00C73365" w14:paraId="6A0B0D83" w14:textId="77777777" w:rsidTr="00F8472A">
        <w:trPr>
          <w:gridAfter w:val="1"/>
          <w:wAfter w:w="1123" w:type="dxa"/>
          <w:trHeight w:val="246"/>
        </w:trPr>
        <w:tc>
          <w:tcPr>
            <w:tcW w:w="0" w:type="auto"/>
            <w:tcBorders>
              <w:top w:val="nil"/>
              <w:left w:val="nil"/>
              <w:bottom w:val="nil"/>
              <w:right w:val="nil"/>
            </w:tcBorders>
            <w:shd w:val="clear" w:color="auto" w:fill="auto"/>
            <w:noWrap/>
            <w:vAlign w:val="center"/>
            <w:hideMark/>
          </w:tcPr>
          <w:p w14:paraId="2CC1A9FE" w14:textId="77777777"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Provision factures non parvenues</w:t>
            </w:r>
          </w:p>
        </w:tc>
        <w:tc>
          <w:tcPr>
            <w:tcW w:w="0" w:type="auto"/>
            <w:tcBorders>
              <w:top w:val="nil"/>
              <w:left w:val="nil"/>
              <w:bottom w:val="nil"/>
              <w:right w:val="nil"/>
            </w:tcBorders>
            <w:shd w:val="clear" w:color="auto" w:fill="auto"/>
            <w:noWrap/>
            <w:vAlign w:val="center"/>
            <w:hideMark/>
          </w:tcPr>
          <w:p w14:paraId="1CA33F4E"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544.579,69 €</w:t>
            </w:r>
          </w:p>
        </w:tc>
        <w:tc>
          <w:tcPr>
            <w:tcW w:w="0" w:type="auto"/>
            <w:tcBorders>
              <w:top w:val="nil"/>
              <w:left w:val="nil"/>
              <w:bottom w:val="nil"/>
              <w:right w:val="nil"/>
            </w:tcBorders>
            <w:shd w:val="clear" w:color="auto" w:fill="auto"/>
            <w:noWrap/>
            <w:vAlign w:val="center"/>
            <w:hideMark/>
          </w:tcPr>
          <w:p w14:paraId="3DC0587F"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1 059 411,68 €</w:t>
            </w:r>
          </w:p>
        </w:tc>
        <w:tc>
          <w:tcPr>
            <w:tcW w:w="1715" w:type="dxa"/>
            <w:gridSpan w:val="2"/>
            <w:tcBorders>
              <w:top w:val="nil"/>
              <w:left w:val="nil"/>
              <w:bottom w:val="nil"/>
              <w:right w:val="nil"/>
            </w:tcBorders>
            <w:shd w:val="clear" w:color="auto" w:fill="auto"/>
            <w:noWrap/>
            <w:vAlign w:val="center"/>
            <w:hideMark/>
          </w:tcPr>
          <w:p w14:paraId="170FCCB7"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331 517,29 €</w:t>
            </w:r>
          </w:p>
        </w:tc>
        <w:tc>
          <w:tcPr>
            <w:tcW w:w="1705" w:type="dxa"/>
            <w:gridSpan w:val="2"/>
            <w:tcBorders>
              <w:top w:val="nil"/>
              <w:left w:val="nil"/>
              <w:bottom w:val="nil"/>
              <w:right w:val="nil"/>
            </w:tcBorders>
            <w:vAlign w:val="center"/>
          </w:tcPr>
          <w:p w14:paraId="542D5462"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 w:val="22"/>
                <w:szCs w:val="22"/>
              </w:rPr>
              <w:t>661 896,97 €</w:t>
            </w:r>
          </w:p>
        </w:tc>
      </w:tr>
      <w:tr w:rsidR="00F8472A" w:rsidRPr="00C73365" w14:paraId="72E63232" w14:textId="77777777" w:rsidTr="00F8472A">
        <w:trPr>
          <w:gridAfter w:val="1"/>
          <w:wAfter w:w="1123" w:type="dxa"/>
          <w:trHeight w:val="246"/>
        </w:trPr>
        <w:tc>
          <w:tcPr>
            <w:tcW w:w="0" w:type="auto"/>
            <w:tcBorders>
              <w:top w:val="nil"/>
              <w:left w:val="nil"/>
              <w:bottom w:val="nil"/>
              <w:right w:val="nil"/>
            </w:tcBorders>
            <w:shd w:val="clear" w:color="auto" w:fill="auto"/>
            <w:noWrap/>
            <w:vAlign w:val="center"/>
            <w:hideMark/>
          </w:tcPr>
          <w:p w14:paraId="45125998" w14:textId="77777777"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Factures non échues</w:t>
            </w:r>
          </w:p>
        </w:tc>
        <w:tc>
          <w:tcPr>
            <w:tcW w:w="0" w:type="auto"/>
            <w:tcBorders>
              <w:top w:val="nil"/>
              <w:left w:val="nil"/>
              <w:bottom w:val="nil"/>
              <w:right w:val="nil"/>
            </w:tcBorders>
            <w:shd w:val="clear" w:color="auto" w:fill="auto"/>
            <w:noWrap/>
            <w:vAlign w:val="center"/>
            <w:hideMark/>
          </w:tcPr>
          <w:p w14:paraId="6C03F17C"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423.678,18 €</w:t>
            </w:r>
          </w:p>
        </w:tc>
        <w:tc>
          <w:tcPr>
            <w:tcW w:w="0" w:type="auto"/>
            <w:tcBorders>
              <w:top w:val="nil"/>
              <w:left w:val="nil"/>
              <w:bottom w:val="nil"/>
              <w:right w:val="nil"/>
            </w:tcBorders>
            <w:shd w:val="clear" w:color="auto" w:fill="auto"/>
            <w:noWrap/>
            <w:vAlign w:val="center"/>
            <w:hideMark/>
          </w:tcPr>
          <w:p w14:paraId="6E541702"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1 072 473,04 €</w:t>
            </w:r>
          </w:p>
        </w:tc>
        <w:tc>
          <w:tcPr>
            <w:tcW w:w="1715" w:type="dxa"/>
            <w:gridSpan w:val="2"/>
            <w:tcBorders>
              <w:top w:val="nil"/>
              <w:left w:val="nil"/>
              <w:bottom w:val="nil"/>
              <w:right w:val="nil"/>
            </w:tcBorders>
            <w:shd w:val="clear" w:color="auto" w:fill="auto"/>
            <w:noWrap/>
            <w:vAlign w:val="center"/>
            <w:hideMark/>
          </w:tcPr>
          <w:p w14:paraId="2B039666"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1 412 472,63 €</w:t>
            </w:r>
          </w:p>
        </w:tc>
        <w:tc>
          <w:tcPr>
            <w:tcW w:w="1705" w:type="dxa"/>
            <w:gridSpan w:val="2"/>
            <w:tcBorders>
              <w:top w:val="nil"/>
              <w:left w:val="nil"/>
              <w:bottom w:val="nil"/>
              <w:right w:val="nil"/>
            </w:tcBorders>
            <w:vAlign w:val="center"/>
          </w:tcPr>
          <w:p w14:paraId="43AD8578"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 w:val="22"/>
                <w:szCs w:val="22"/>
              </w:rPr>
              <w:t>2 681 788,87 €</w:t>
            </w:r>
          </w:p>
        </w:tc>
      </w:tr>
      <w:tr w:rsidR="00F8472A" w:rsidRPr="00C73365" w14:paraId="2E197CA3" w14:textId="77777777" w:rsidTr="00F8472A">
        <w:trPr>
          <w:gridAfter w:val="1"/>
          <w:wAfter w:w="1123" w:type="dxa"/>
          <w:trHeight w:val="246"/>
        </w:trPr>
        <w:tc>
          <w:tcPr>
            <w:tcW w:w="0" w:type="auto"/>
            <w:tcBorders>
              <w:top w:val="nil"/>
              <w:left w:val="nil"/>
              <w:bottom w:val="nil"/>
              <w:right w:val="nil"/>
            </w:tcBorders>
            <w:shd w:val="clear" w:color="auto" w:fill="auto"/>
            <w:noWrap/>
            <w:vAlign w:val="center"/>
            <w:hideMark/>
          </w:tcPr>
          <w:p w14:paraId="04208DB2" w14:textId="77777777"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Factures échues de 1 à 30 jours</w:t>
            </w:r>
          </w:p>
        </w:tc>
        <w:tc>
          <w:tcPr>
            <w:tcW w:w="0" w:type="auto"/>
            <w:tcBorders>
              <w:top w:val="nil"/>
              <w:left w:val="nil"/>
              <w:bottom w:val="nil"/>
              <w:right w:val="nil"/>
            </w:tcBorders>
            <w:shd w:val="clear" w:color="auto" w:fill="auto"/>
            <w:noWrap/>
            <w:vAlign w:val="center"/>
            <w:hideMark/>
          </w:tcPr>
          <w:p w14:paraId="6FE89DEF"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34.351,67 €</w:t>
            </w:r>
          </w:p>
        </w:tc>
        <w:tc>
          <w:tcPr>
            <w:tcW w:w="0" w:type="auto"/>
            <w:tcBorders>
              <w:top w:val="nil"/>
              <w:left w:val="nil"/>
              <w:bottom w:val="nil"/>
              <w:right w:val="nil"/>
            </w:tcBorders>
            <w:shd w:val="clear" w:color="auto" w:fill="auto"/>
            <w:noWrap/>
            <w:vAlign w:val="center"/>
            <w:hideMark/>
          </w:tcPr>
          <w:p w14:paraId="49FFC379"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224 307,82 €</w:t>
            </w:r>
          </w:p>
        </w:tc>
        <w:tc>
          <w:tcPr>
            <w:tcW w:w="1715" w:type="dxa"/>
            <w:gridSpan w:val="2"/>
            <w:tcBorders>
              <w:top w:val="nil"/>
              <w:left w:val="nil"/>
              <w:bottom w:val="nil"/>
              <w:right w:val="nil"/>
            </w:tcBorders>
            <w:shd w:val="clear" w:color="auto" w:fill="auto"/>
            <w:noWrap/>
            <w:vAlign w:val="center"/>
            <w:hideMark/>
          </w:tcPr>
          <w:p w14:paraId="73FAD74A"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288 026,45 €</w:t>
            </w:r>
          </w:p>
        </w:tc>
        <w:tc>
          <w:tcPr>
            <w:tcW w:w="1705" w:type="dxa"/>
            <w:gridSpan w:val="2"/>
            <w:tcBorders>
              <w:top w:val="nil"/>
              <w:left w:val="nil"/>
              <w:bottom w:val="nil"/>
              <w:right w:val="nil"/>
            </w:tcBorders>
            <w:vAlign w:val="center"/>
          </w:tcPr>
          <w:p w14:paraId="79222605"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 w:val="22"/>
                <w:szCs w:val="22"/>
              </w:rPr>
              <w:t>450 672,71 €</w:t>
            </w:r>
          </w:p>
        </w:tc>
      </w:tr>
      <w:tr w:rsidR="00F8472A" w:rsidRPr="00C73365" w14:paraId="71E715CE" w14:textId="77777777" w:rsidTr="00F8472A">
        <w:trPr>
          <w:gridAfter w:val="1"/>
          <w:wAfter w:w="1123" w:type="dxa"/>
          <w:trHeight w:val="246"/>
        </w:trPr>
        <w:tc>
          <w:tcPr>
            <w:tcW w:w="0" w:type="auto"/>
            <w:tcBorders>
              <w:top w:val="nil"/>
              <w:left w:val="nil"/>
              <w:bottom w:val="nil"/>
              <w:right w:val="nil"/>
            </w:tcBorders>
            <w:shd w:val="clear" w:color="auto" w:fill="auto"/>
            <w:noWrap/>
            <w:vAlign w:val="center"/>
            <w:hideMark/>
          </w:tcPr>
          <w:p w14:paraId="22CF4592" w14:textId="77777777"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Factures échues de 31 à 60 jours</w:t>
            </w:r>
          </w:p>
        </w:tc>
        <w:tc>
          <w:tcPr>
            <w:tcW w:w="0" w:type="auto"/>
            <w:tcBorders>
              <w:top w:val="nil"/>
              <w:left w:val="nil"/>
              <w:bottom w:val="nil"/>
              <w:right w:val="nil"/>
            </w:tcBorders>
            <w:shd w:val="clear" w:color="auto" w:fill="auto"/>
            <w:noWrap/>
            <w:vAlign w:val="center"/>
            <w:hideMark/>
          </w:tcPr>
          <w:p w14:paraId="04ACA90A"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11.601,72 €</w:t>
            </w:r>
          </w:p>
        </w:tc>
        <w:tc>
          <w:tcPr>
            <w:tcW w:w="0" w:type="auto"/>
            <w:tcBorders>
              <w:top w:val="nil"/>
              <w:left w:val="nil"/>
              <w:bottom w:val="nil"/>
              <w:right w:val="nil"/>
            </w:tcBorders>
            <w:shd w:val="clear" w:color="auto" w:fill="auto"/>
            <w:noWrap/>
            <w:vAlign w:val="center"/>
            <w:hideMark/>
          </w:tcPr>
          <w:p w14:paraId="6EDDA48B"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122 680,38 €</w:t>
            </w:r>
          </w:p>
        </w:tc>
        <w:tc>
          <w:tcPr>
            <w:tcW w:w="1715" w:type="dxa"/>
            <w:gridSpan w:val="2"/>
            <w:tcBorders>
              <w:top w:val="nil"/>
              <w:left w:val="nil"/>
              <w:bottom w:val="nil"/>
              <w:right w:val="nil"/>
            </w:tcBorders>
            <w:shd w:val="clear" w:color="auto" w:fill="auto"/>
            <w:noWrap/>
            <w:vAlign w:val="center"/>
            <w:hideMark/>
          </w:tcPr>
          <w:p w14:paraId="47FE6660"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404 626,76 €</w:t>
            </w:r>
          </w:p>
        </w:tc>
        <w:tc>
          <w:tcPr>
            <w:tcW w:w="1705" w:type="dxa"/>
            <w:gridSpan w:val="2"/>
            <w:tcBorders>
              <w:top w:val="nil"/>
              <w:left w:val="nil"/>
              <w:bottom w:val="nil"/>
              <w:right w:val="nil"/>
            </w:tcBorders>
            <w:vAlign w:val="center"/>
          </w:tcPr>
          <w:p w14:paraId="05AA50B6"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 w:val="22"/>
                <w:szCs w:val="22"/>
              </w:rPr>
              <w:t>330 385,14 €</w:t>
            </w:r>
          </w:p>
        </w:tc>
      </w:tr>
      <w:tr w:rsidR="00F8472A" w:rsidRPr="00C73365" w14:paraId="03FDA8CA" w14:textId="77777777" w:rsidTr="00F8472A">
        <w:trPr>
          <w:gridAfter w:val="1"/>
          <w:wAfter w:w="1123" w:type="dxa"/>
          <w:trHeight w:val="246"/>
        </w:trPr>
        <w:tc>
          <w:tcPr>
            <w:tcW w:w="0" w:type="auto"/>
            <w:tcBorders>
              <w:top w:val="nil"/>
              <w:left w:val="nil"/>
              <w:bottom w:val="nil"/>
              <w:right w:val="nil"/>
            </w:tcBorders>
            <w:shd w:val="clear" w:color="auto" w:fill="auto"/>
            <w:noWrap/>
            <w:vAlign w:val="center"/>
            <w:hideMark/>
          </w:tcPr>
          <w:p w14:paraId="493C68CF" w14:textId="77777777"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Factures échues de 61 à 90 jours</w:t>
            </w:r>
          </w:p>
        </w:tc>
        <w:tc>
          <w:tcPr>
            <w:tcW w:w="0" w:type="auto"/>
            <w:tcBorders>
              <w:top w:val="nil"/>
              <w:left w:val="nil"/>
              <w:bottom w:val="nil"/>
              <w:right w:val="nil"/>
            </w:tcBorders>
            <w:shd w:val="clear" w:color="auto" w:fill="auto"/>
            <w:noWrap/>
            <w:vAlign w:val="center"/>
            <w:hideMark/>
          </w:tcPr>
          <w:p w14:paraId="2D8DB979"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262,80 €</w:t>
            </w:r>
          </w:p>
        </w:tc>
        <w:tc>
          <w:tcPr>
            <w:tcW w:w="0" w:type="auto"/>
            <w:tcBorders>
              <w:top w:val="nil"/>
              <w:left w:val="nil"/>
              <w:bottom w:val="nil"/>
              <w:right w:val="nil"/>
            </w:tcBorders>
            <w:shd w:val="clear" w:color="auto" w:fill="auto"/>
            <w:noWrap/>
            <w:vAlign w:val="center"/>
            <w:hideMark/>
          </w:tcPr>
          <w:p w14:paraId="31111C7E"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6 578,00 €</w:t>
            </w:r>
          </w:p>
        </w:tc>
        <w:tc>
          <w:tcPr>
            <w:tcW w:w="1715" w:type="dxa"/>
            <w:gridSpan w:val="2"/>
            <w:tcBorders>
              <w:top w:val="nil"/>
              <w:left w:val="nil"/>
              <w:bottom w:val="nil"/>
              <w:right w:val="nil"/>
            </w:tcBorders>
            <w:shd w:val="clear" w:color="auto" w:fill="auto"/>
            <w:noWrap/>
            <w:vAlign w:val="center"/>
            <w:hideMark/>
          </w:tcPr>
          <w:p w14:paraId="787ED6D3" w14:textId="77777777" w:rsidR="00F8472A" w:rsidRPr="00C73365" w:rsidRDefault="00F8472A" w:rsidP="00A96CCA">
            <w:pPr>
              <w:spacing w:after="0"/>
              <w:jc w:val="center"/>
              <w:rPr>
                <w:rFonts w:asciiTheme="minorHAnsi" w:hAnsiTheme="minorHAnsi" w:cstheme="minorHAnsi"/>
                <w:color w:val="000000"/>
                <w:szCs w:val="20"/>
                <w:lang w:val="fr-FR" w:eastAsia="fr-FR"/>
              </w:rPr>
            </w:pPr>
          </w:p>
        </w:tc>
        <w:tc>
          <w:tcPr>
            <w:tcW w:w="1705" w:type="dxa"/>
            <w:gridSpan w:val="2"/>
            <w:tcBorders>
              <w:top w:val="nil"/>
              <w:left w:val="nil"/>
              <w:bottom w:val="nil"/>
              <w:right w:val="nil"/>
            </w:tcBorders>
            <w:vAlign w:val="center"/>
          </w:tcPr>
          <w:p w14:paraId="350460AD" w14:textId="77777777" w:rsidR="00F8472A" w:rsidRPr="00C73365" w:rsidRDefault="00F8472A" w:rsidP="00A96CCA">
            <w:pPr>
              <w:spacing w:after="0"/>
              <w:jc w:val="center"/>
              <w:rPr>
                <w:rFonts w:asciiTheme="minorHAnsi" w:hAnsiTheme="minorHAnsi" w:cstheme="minorHAnsi"/>
                <w:color w:val="000000"/>
                <w:szCs w:val="20"/>
                <w:lang w:val="fr-FR" w:eastAsia="fr-FR"/>
              </w:rPr>
            </w:pPr>
          </w:p>
        </w:tc>
      </w:tr>
      <w:tr w:rsidR="00F8472A" w:rsidRPr="00C73365" w14:paraId="76BC53C1" w14:textId="77777777" w:rsidTr="00F8472A">
        <w:trPr>
          <w:gridAfter w:val="1"/>
          <w:wAfter w:w="1123" w:type="dxa"/>
          <w:trHeight w:val="257"/>
        </w:trPr>
        <w:tc>
          <w:tcPr>
            <w:tcW w:w="0" w:type="auto"/>
            <w:tcBorders>
              <w:top w:val="nil"/>
              <w:left w:val="nil"/>
              <w:bottom w:val="nil"/>
              <w:right w:val="nil"/>
            </w:tcBorders>
            <w:shd w:val="clear" w:color="auto" w:fill="auto"/>
            <w:noWrap/>
            <w:vAlign w:val="center"/>
            <w:hideMark/>
          </w:tcPr>
          <w:p w14:paraId="3540FBFD" w14:textId="77777777"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Factures échues à plus de 90 jours</w:t>
            </w:r>
          </w:p>
        </w:tc>
        <w:tc>
          <w:tcPr>
            <w:tcW w:w="0" w:type="auto"/>
            <w:tcBorders>
              <w:top w:val="nil"/>
              <w:left w:val="nil"/>
              <w:bottom w:val="nil"/>
              <w:right w:val="nil"/>
            </w:tcBorders>
            <w:shd w:val="clear" w:color="auto" w:fill="auto"/>
            <w:noWrap/>
            <w:vAlign w:val="center"/>
            <w:hideMark/>
          </w:tcPr>
          <w:p w14:paraId="190FF201"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35.200,00 €</w:t>
            </w:r>
          </w:p>
        </w:tc>
        <w:tc>
          <w:tcPr>
            <w:tcW w:w="0" w:type="auto"/>
            <w:tcBorders>
              <w:top w:val="nil"/>
              <w:left w:val="nil"/>
              <w:bottom w:val="nil"/>
              <w:right w:val="nil"/>
            </w:tcBorders>
            <w:shd w:val="clear" w:color="auto" w:fill="auto"/>
            <w:noWrap/>
            <w:vAlign w:val="center"/>
            <w:hideMark/>
          </w:tcPr>
          <w:p w14:paraId="13C3C2B8"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322 819,78 €</w:t>
            </w:r>
          </w:p>
        </w:tc>
        <w:tc>
          <w:tcPr>
            <w:tcW w:w="1715" w:type="dxa"/>
            <w:gridSpan w:val="2"/>
            <w:tcBorders>
              <w:top w:val="nil"/>
              <w:left w:val="nil"/>
              <w:bottom w:val="nil"/>
              <w:right w:val="nil"/>
            </w:tcBorders>
            <w:shd w:val="clear" w:color="auto" w:fill="auto"/>
            <w:noWrap/>
            <w:vAlign w:val="center"/>
            <w:hideMark/>
          </w:tcPr>
          <w:p w14:paraId="5811C2B7"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134 650,26 €</w:t>
            </w:r>
          </w:p>
        </w:tc>
        <w:tc>
          <w:tcPr>
            <w:tcW w:w="1705" w:type="dxa"/>
            <w:gridSpan w:val="2"/>
            <w:tcBorders>
              <w:top w:val="nil"/>
              <w:left w:val="nil"/>
              <w:bottom w:val="nil"/>
              <w:right w:val="nil"/>
            </w:tcBorders>
            <w:vAlign w:val="center"/>
          </w:tcPr>
          <w:p w14:paraId="3C67D753"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 w:val="22"/>
                <w:szCs w:val="22"/>
              </w:rPr>
              <w:t>94 007,67 €</w:t>
            </w:r>
          </w:p>
        </w:tc>
      </w:tr>
      <w:tr w:rsidR="00F8472A" w:rsidRPr="00C73365" w14:paraId="2198A187" w14:textId="77777777" w:rsidTr="00F8472A">
        <w:trPr>
          <w:gridAfter w:val="1"/>
          <w:wAfter w:w="1123" w:type="dxa"/>
          <w:trHeight w:hRule="exact" w:val="257"/>
        </w:trPr>
        <w:tc>
          <w:tcPr>
            <w:tcW w:w="0" w:type="auto"/>
            <w:tcBorders>
              <w:top w:val="single" w:sz="8" w:space="0" w:color="7030A0"/>
              <w:left w:val="nil"/>
              <w:bottom w:val="single" w:sz="8" w:space="0" w:color="7030A0"/>
              <w:right w:val="nil"/>
            </w:tcBorders>
            <w:shd w:val="clear" w:color="auto" w:fill="auto"/>
            <w:noWrap/>
            <w:vAlign w:val="center"/>
            <w:hideMark/>
          </w:tcPr>
          <w:p w14:paraId="31E613B1" w14:textId="77777777" w:rsidR="00F8472A" w:rsidRPr="00C73365" w:rsidRDefault="00F8472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0" w:type="auto"/>
            <w:tcBorders>
              <w:top w:val="single" w:sz="8" w:space="0" w:color="7030A0"/>
              <w:left w:val="nil"/>
              <w:bottom w:val="single" w:sz="8" w:space="0" w:color="7030A0"/>
              <w:right w:val="nil"/>
            </w:tcBorders>
            <w:shd w:val="clear" w:color="auto" w:fill="auto"/>
            <w:noWrap/>
            <w:vAlign w:val="center"/>
            <w:hideMark/>
          </w:tcPr>
          <w:p w14:paraId="628E3B73"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1.049.674,06 €</w:t>
            </w:r>
          </w:p>
        </w:tc>
        <w:tc>
          <w:tcPr>
            <w:tcW w:w="0" w:type="auto"/>
            <w:tcBorders>
              <w:top w:val="single" w:sz="8" w:space="0" w:color="7030A0"/>
              <w:left w:val="nil"/>
              <w:bottom w:val="single" w:sz="8" w:space="0" w:color="7030A0"/>
              <w:right w:val="nil"/>
            </w:tcBorders>
            <w:shd w:val="clear" w:color="auto" w:fill="auto"/>
            <w:noWrap/>
            <w:vAlign w:val="center"/>
            <w:hideMark/>
          </w:tcPr>
          <w:p w14:paraId="058B95EE"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2 808 270,70 €</w:t>
            </w:r>
          </w:p>
        </w:tc>
        <w:tc>
          <w:tcPr>
            <w:tcW w:w="1715" w:type="dxa"/>
            <w:gridSpan w:val="2"/>
            <w:tcBorders>
              <w:top w:val="single" w:sz="8" w:space="0" w:color="7030A0"/>
              <w:left w:val="nil"/>
              <w:bottom w:val="single" w:sz="8" w:space="0" w:color="7030A0"/>
              <w:right w:val="nil"/>
            </w:tcBorders>
            <w:shd w:val="clear" w:color="auto" w:fill="auto"/>
            <w:noWrap/>
            <w:vAlign w:val="center"/>
            <w:hideMark/>
          </w:tcPr>
          <w:p w14:paraId="57037532"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2 571 293,39 €</w:t>
            </w:r>
          </w:p>
        </w:tc>
        <w:tc>
          <w:tcPr>
            <w:tcW w:w="1705" w:type="dxa"/>
            <w:gridSpan w:val="2"/>
            <w:tcBorders>
              <w:top w:val="single" w:sz="8" w:space="0" w:color="7030A0"/>
              <w:left w:val="nil"/>
              <w:bottom w:val="single" w:sz="8" w:space="0" w:color="7030A0"/>
              <w:right w:val="nil"/>
            </w:tcBorders>
            <w:vAlign w:val="center"/>
          </w:tcPr>
          <w:p w14:paraId="3AB3DFAC" w14:textId="77777777" w:rsidR="00F8472A" w:rsidRPr="00C73365" w:rsidRDefault="00F8472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 w:val="22"/>
                <w:szCs w:val="22"/>
              </w:rPr>
              <w:t>4 218 751,36 €</w:t>
            </w:r>
          </w:p>
        </w:tc>
      </w:tr>
    </w:tbl>
    <w:p w14:paraId="77797BED" w14:textId="77777777" w:rsidR="00631786" w:rsidRPr="00C73365" w:rsidRDefault="00631786" w:rsidP="00A96CCA">
      <w:pPr>
        <w:pStyle w:val="ConmainL2"/>
        <w:numPr>
          <w:ilvl w:val="0"/>
          <w:numId w:val="0"/>
        </w:numPr>
        <w:spacing w:after="0"/>
        <w:ind w:left="360" w:hanging="360"/>
        <w:outlineLvl w:val="9"/>
        <w:rPr>
          <w:rFonts w:asciiTheme="minorHAnsi" w:hAnsiTheme="minorHAnsi" w:cstheme="minorHAnsi"/>
          <w:lang w:val="fr-FR"/>
        </w:rPr>
      </w:pPr>
    </w:p>
    <w:p w14:paraId="0A9422AB" w14:textId="77777777" w:rsidR="00123919" w:rsidRPr="00C73365" w:rsidRDefault="00123919" w:rsidP="008D252A">
      <w:pPr>
        <w:pStyle w:val="ConmainL2"/>
        <w:numPr>
          <w:ilvl w:val="1"/>
          <w:numId w:val="9"/>
        </w:numPr>
        <w:rPr>
          <w:rFonts w:asciiTheme="minorHAnsi" w:hAnsiTheme="minorHAnsi" w:cstheme="minorHAnsi"/>
          <w:sz w:val="22"/>
          <w:lang w:val="fr-FR"/>
        </w:rPr>
      </w:pPr>
      <w:bookmarkStart w:id="1470" w:name="_Toc148342702"/>
      <w:bookmarkStart w:id="1471" w:name="_Toc402884192"/>
      <w:bookmarkStart w:id="1472" w:name="_Toc462673301"/>
      <w:bookmarkStart w:id="1473" w:name="_Toc467835650"/>
      <w:bookmarkStart w:id="1474" w:name="_Toc510548481"/>
      <w:r w:rsidRPr="00C73365">
        <w:rPr>
          <w:rFonts w:asciiTheme="minorHAnsi" w:hAnsiTheme="minorHAnsi" w:cstheme="minorHAnsi"/>
          <w:sz w:val="22"/>
          <w:lang w:val="fr-FR"/>
        </w:rPr>
        <w:t>Procédures judiciaires et d’arbitrage</w:t>
      </w:r>
      <w:bookmarkEnd w:id="1470"/>
      <w:bookmarkEnd w:id="1471"/>
      <w:bookmarkEnd w:id="1472"/>
      <w:bookmarkEnd w:id="1473"/>
      <w:bookmarkEnd w:id="1474"/>
    </w:p>
    <w:p w14:paraId="7002BF6D" w14:textId="77777777" w:rsidR="007F1850" w:rsidRPr="001479F8" w:rsidRDefault="007F1850" w:rsidP="001479F8">
      <w:pPr>
        <w:rPr>
          <w:szCs w:val="20"/>
          <w:lang w:val="fr-FR"/>
        </w:rPr>
      </w:pPr>
      <w:bookmarkStart w:id="1475" w:name="_Hlk510193372"/>
      <w:bookmarkStart w:id="1476" w:name="_Toc148342703"/>
      <w:r w:rsidRPr="001479F8">
        <w:rPr>
          <w:szCs w:val="20"/>
          <w:lang w:val="fr-FR"/>
        </w:rPr>
        <w:t>La Société n’a été impliquée au cours de l’exercice 2017 dans aucune procédure gouvernementale, judiciaire ou d’arbitrage (y compris toute procédure dont l’émetteur a connaissance, qui est en suspens ou dont il est menacé) qui pourrait avoir ou a eu récemment des effets significatifs sur la situation financière ou la rentabilité de la Société.</w:t>
      </w:r>
    </w:p>
    <w:bookmarkEnd w:id="1475"/>
    <w:p w14:paraId="3476B97A" w14:textId="77777777" w:rsidR="007F1850" w:rsidRPr="00C73365" w:rsidRDefault="007F1850" w:rsidP="004572A0">
      <w:pPr>
        <w:pStyle w:val="Listecontinue"/>
        <w:rPr>
          <w:rFonts w:asciiTheme="minorHAnsi" w:hAnsiTheme="minorHAnsi" w:cstheme="minorHAnsi"/>
          <w:lang w:val="fr-FR"/>
        </w:rPr>
        <w:sectPr w:rsidR="007F1850" w:rsidRPr="00C73365" w:rsidSect="007C607C">
          <w:type w:val="continuous"/>
          <w:pgSz w:w="11900" w:h="16840"/>
          <w:pgMar w:top="1134" w:right="1134" w:bottom="1134" w:left="1134" w:header="720" w:footer="720" w:gutter="0"/>
          <w:cols w:space="720" w:equalWidth="0">
            <w:col w:w="9269"/>
          </w:cols>
          <w:noEndnote/>
          <w:docGrid w:linePitch="299"/>
        </w:sectPr>
      </w:pPr>
    </w:p>
    <w:p w14:paraId="49B640FB" w14:textId="77777777" w:rsidR="00A15CBF" w:rsidRPr="00C73365" w:rsidRDefault="00A15CBF" w:rsidP="00A96CCA">
      <w:pPr>
        <w:spacing w:after="0"/>
        <w:rPr>
          <w:rFonts w:asciiTheme="minorHAnsi" w:hAnsiTheme="minorHAnsi" w:cstheme="minorHAnsi"/>
          <w:color w:val="7030A0"/>
          <w:sz w:val="18"/>
          <w:szCs w:val="18"/>
          <w:lang w:val="fr-FR"/>
        </w:rPr>
      </w:pPr>
    </w:p>
    <w:p w14:paraId="6FE7B7D8" w14:textId="5269FF0C" w:rsidR="003A42BB" w:rsidRPr="001479F8" w:rsidRDefault="00123919" w:rsidP="001479F8">
      <w:pPr>
        <w:pStyle w:val="ConmainL2"/>
        <w:numPr>
          <w:ilvl w:val="1"/>
          <w:numId w:val="9"/>
        </w:numPr>
        <w:rPr>
          <w:rFonts w:asciiTheme="minorHAnsi" w:hAnsiTheme="minorHAnsi" w:cstheme="minorHAnsi"/>
          <w:sz w:val="22"/>
          <w:lang w:val="fr-FR"/>
        </w:rPr>
      </w:pPr>
      <w:bookmarkStart w:id="1477" w:name="_Toc476153050"/>
      <w:bookmarkStart w:id="1478" w:name="_Toc476153169"/>
      <w:bookmarkStart w:id="1479" w:name="_Toc476153288"/>
      <w:bookmarkStart w:id="1480" w:name="_Toc476153411"/>
      <w:bookmarkStart w:id="1481" w:name="_Toc476153529"/>
      <w:bookmarkStart w:id="1482" w:name="_Toc402884193"/>
      <w:bookmarkStart w:id="1483" w:name="_Toc462673302"/>
      <w:bookmarkStart w:id="1484" w:name="_Toc467835651"/>
      <w:bookmarkStart w:id="1485" w:name="_Toc510548482"/>
      <w:bookmarkEnd w:id="1477"/>
      <w:bookmarkEnd w:id="1478"/>
      <w:bookmarkEnd w:id="1479"/>
      <w:bookmarkEnd w:id="1480"/>
      <w:bookmarkEnd w:id="1481"/>
      <w:r w:rsidRPr="00C73365">
        <w:rPr>
          <w:rFonts w:asciiTheme="minorHAnsi" w:hAnsiTheme="minorHAnsi" w:cstheme="minorHAnsi"/>
          <w:sz w:val="22"/>
          <w:lang w:val="fr-FR"/>
        </w:rPr>
        <w:t>Changement significatif de la situation financière ou commerciale</w:t>
      </w:r>
      <w:bookmarkEnd w:id="1476"/>
      <w:bookmarkEnd w:id="1482"/>
      <w:bookmarkEnd w:id="1483"/>
      <w:bookmarkEnd w:id="1484"/>
      <w:bookmarkEnd w:id="1485"/>
    </w:p>
    <w:p w14:paraId="2784D16E" w14:textId="77777777" w:rsidR="00123919" w:rsidRDefault="00123919" w:rsidP="001D15EF">
      <w:pPr>
        <w:pStyle w:val="Listecontinue"/>
        <w:ind w:left="0"/>
        <w:rPr>
          <w:rFonts w:asciiTheme="minorHAnsi" w:hAnsiTheme="minorHAnsi" w:cstheme="minorHAnsi"/>
          <w:lang w:val="fr-FR"/>
        </w:rPr>
      </w:pPr>
      <w:r w:rsidRPr="00C73365">
        <w:rPr>
          <w:rFonts w:asciiTheme="minorHAnsi" w:hAnsiTheme="minorHAnsi" w:cstheme="minorHAnsi"/>
          <w:lang w:val="fr-FR"/>
        </w:rPr>
        <w:t>Il n’y a pas eu d’événement susceptible d’impacter la situation financière ou commerciale depuis la clôture des comptes jusqu’à la date du présent document.</w:t>
      </w:r>
    </w:p>
    <w:p w14:paraId="2D633B75" w14:textId="77777777" w:rsidR="001479F8" w:rsidRPr="00C73365" w:rsidRDefault="001479F8" w:rsidP="004572A0">
      <w:pPr>
        <w:pStyle w:val="Listecontinue"/>
        <w:rPr>
          <w:rFonts w:asciiTheme="minorHAnsi" w:hAnsiTheme="minorHAnsi" w:cstheme="minorHAnsi"/>
          <w:lang w:val="fr-FR"/>
        </w:rPr>
      </w:pPr>
    </w:p>
    <w:p w14:paraId="52ECD0D1" w14:textId="77777777" w:rsidR="00123919" w:rsidRPr="001D15EF" w:rsidRDefault="00123919" w:rsidP="008D252A">
      <w:pPr>
        <w:pStyle w:val="ConmainL2"/>
        <w:numPr>
          <w:ilvl w:val="1"/>
          <w:numId w:val="9"/>
        </w:numPr>
        <w:rPr>
          <w:rFonts w:asciiTheme="minorHAnsi" w:hAnsiTheme="minorHAnsi" w:cstheme="minorHAnsi"/>
          <w:sz w:val="22"/>
          <w:lang w:val="fr-FR"/>
        </w:rPr>
      </w:pPr>
      <w:bookmarkStart w:id="1486" w:name="_Toc475457074"/>
      <w:bookmarkStart w:id="1487" w:name="_Toc510548483"/>
      <w:r w:rsidRPr="001D15EF">
        <w:rPr>
          <w:rFonts w:asciiTheme="minorHAnsi" w:hAnsiTheme="minorHAnsi" w:cstheme="minorHAnsi"/>
          <w:sz w:val="22"/>
          <w:lang w:val="fr-FR"/>
        </w:rPr>
        <w:t>Ev</w:t>
      </w:r>
      <w:r w:rsidR="001D15EF">
        <w:rPr>
          <w:rFonts w:asciiTheme="minorHAnsi" w:hAnsiTheme="minorHAnsi" w:cstheme="minorHAnsi"/>
          <w:sz w:val="22"/>
          <w:lang w:val="fr-FR"/>
        </w:rPr>
        <w:t>é</w:t>
      </w:r>
      <w:r w:rsidRPr="001D15EF">
        <w:rPr>
          <w:rFonts w:asciiTheme="minorHAnsi" w:hAnsiTheme="minorHAnsi" w:cstheme="minorHAnsi"/>
          <w:sz w:val="22"/>
          <w:lang w:val="fr-FR"/>
        </w:rPr>
        <w:t>nements postérieurs à la clôture</w:t>
      </w:r>
      <w:bookmarkEnd w:id="1486"/>
      <w:bookmarkEnd w:id="1487"/>
    </w:p>
    <w:p w14:paraId="6213CF8B" w14:textId="2B7DC961" w:rsidR="001D15EF" w:rsidRPr="001D15EF" w:rsidRDefault="001D15EF" w:rsidP="001D15EF">
      <w:pPr>
        <w:rPr>
          <w:lang w:val="fr-FR"/>
        </w:rPr>
      </w:pPr>
      <w:r w:rsidRPr="001D15EF">
        <w:rPr>
          <w:lang w:val="fr-FR"/>
        </w:rPr>
        <w:t>Néant</w:t>
      </w:r>
      <w:r w:rsidR="00EC7E72">
        <w:rPr>
          <w:lang w:val="fr-FR"/>
        </w:rPr>
        <w:t>.</w:t>
      </w:r>
    </w:p>
    <w:p w14:paraId="2D0DFDBC" w14:textId="77777777" w:rsidR="00B740A8" w:rsidRPr="00C73365" w:rsidRDefault="00B740A8" w:rsidP="00B740A8">
      <w:pPr>
        <w:pStyle w:val="ConmainL1"/>
        <w:numPr>
          <w:ilvl w:val="0"/>
          <w:numId w:val="9"/>
        </w:numPr>
        <w:rPr>
          <w:rFonts w:asciiTheme="minorHAnsi" w:hAnsiTheme="minorHAnsi" w:cstheme="minorHAnsi"/>
          <w:sz w:val="22"/>
          <w:lang w:val="fr-FR"/>
        </w:rPr>
      </w:pPr>
      <w:bookmarkStart w:id="1488" w:name="_Toc401594143"/>
      <w:bookmarkStart w:id="1489" w:name="_Toc462673303"/>
      <w:bookmarkStart w:id="1490" w:name="_Toc467835652"/>
      <w:bookmarkStart w:id="1491" w:name="_Toc482695328"/>
      <w:bookmarkStart w:id="1492" w:name="_Toc510548484"/>
      <w:r w:rsidRPr="00C73365">
        <w:rPr>
          <w:rFonts w:asciiTheme="minorHAnsi" w:hAnsiTheme="minorHAnsi" w:cstheme="minorHAnsi"/>
          <w:sz w:val="22"/>
          <w:lang w:val="fr-FR"/>
        </w:rPr>
        <w:lastRenderedPageBreak/>
        <w:t>INFORMATIONS COMPLEMENTAIRES</w:t>
      </w:r>
      <w:bookmarkEnd w:id="1488"/>
      <w:bookmarkEnd w:id="1489"/>
      <w:bookmarkEnd w:id="1490"/>
      <w:bookmarkEnd w:id="1491"/>
      <w:bookmarkEnd w:id="1492"/>
    </w:p>
    <w:p w14:paraId="0CCBE0E7" w14:textId="77777777" w:rsidR="00B740A8" w:rsidRPr="00C73365" w:rsidRDefault="00B740A8" w:rsidP="001D15EF">
      <w:pPr>
        <w:rPr>
          <w:lang w:val="fr-FR"/>
        </w:rPr>
      </w:pPr>
      <w:r w:rsidRPr="00C73365">
        <w:rPr>
          <w:lang w:val="fr-FR"/>
        </w:rPr>
        <w:t>Le descriptif ci-dessous tient compte des modifications statutaires décidées par l’assemblée générale mixte du 20 février 2015, dont certaines sont sous condition suspensive de la première cotation des actions de la Société sur le marché Euronext Paris.</w:t>
      </w:r>
    </w:p>
    <w:p w14:paraId="047FBBF6" w14:textId="77777777" w:rsidR="00B740A8" w:rsidRPr="00C73365" w:rsidRDefault="00B740A8" w:rsidP="00434C49">
      <w:pPr>
        <w:pStyle w:val="ConmainL2"/>
        <w:numPr>
          <w:ilvl w:val="1"/>
          <w:numId w:val="102"/>
        </w:numPr>
        <w:rPr>
          <w:rFonts w:asciiTheme="minorHAnsi" w:hAnsiTheme="minorHAnsi" w:cstheme="minorHAnsi"/>
          <w:sz w:val="22"/>
          <w:lang w:val="fr-FR"/>
        </w:rPr>
      </w:pPr>
      <w:bookmarkStart w:id="1493" w:name="_Toc401594144"/>
      <w:bookmarkStart w:id="1494" w:name="_Toc462673304"/>
      <w:bookmarkStart w:id="1495" w:name="_Toc467835653"/>
      <w:bookmarkStart w:id="1496" w:name="_Toc482695329"/>
      <w:bookmarkStart w:id="1497" w:name="_Toc510548485"/>
      <w:r w:rsidRPr="00C73365">
        <w:rPr>
          <w:rFonts w:asciiTheme="minorHAnsi" w:hAnsiTheme="minorHAnsi" w:cstheme="minorHAnsi"/>
          <w:sz w:val="22"/>
          <w:lang w:val="fr-FR"/>
        </w:rPr>
        <w:t>Capital social</w:t>
      </w:r>
      <w:bookmarkEnd w:id="1493"/>
      <w:bookmarkEnd w:id="1494"/>
      <w:bookmarkEnd w:id="1495"/>
      <w:bookmarkEnd w:id="1496"/>
      <w:bookmarkEnd w:id="1497"/>
      <w:r w:rsidRPr="00C73365">
        <w:rPr>
          <w:rFonts w:asciiTheme="minorHAnsi" w:hAnsiTheme="minorHAnsi" w:cstheme="minorHAnsi"/>
          <w:sz w:val="22"/>
          <w:lang w:val="fr-FR"/>
        </w:rPr>
        <w:t xml:space="preserve"> </w:t>
      </w:r>
    </w:p>
    <w:p w14:paraId="335A8F21"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498" w:name="_Toc290245453"/>
      <w:bookmarkStart w:id="1499" w:name="_Toc290293376"/>
      <w:bookmarkStart w:id="1500" w:name="_Toc290295010"/>
      <w:bookmarkStart w:id="1501" w:name="_Toc291712778"/>
      <w:bookmarkStart w:id="1502" w:name="_Toc292267616"/>
      <w:bookmarkStart w:id="1503" w:name="_Toc292876536"/>
      <w:bookmarkStart w:id="1504" w:name="_Toc293328372"/>
      <w:bookmarkStart w:id="1505" w:name="_Toc299090768"/>
      <w:bookmarkStart w:id="1506" w:name="_Toc299093067"/>
      <w:bookmarkStart w:id="1507" w:name="_Toc299094552"/>
      <w:r w:rsidRPr="00C73365">
        <w:rPr>
          <w:rFonts w:asciiTheme="minorHAnsi" w:hAnsiTheme="minorHAnsi" w:cstheme="minorHAnsi"/>
          <w:b/>
          <w:color w:val="7030A0"/>
          <w:lang w:val="fr-FR"/>
        </w:rPr>
        <w:t>Montant du capital social</w:t>
      </w:r>
      <w:bookmarkEnd w:id="1498"/>
      <w:bookmarkEnd w:id="1499"/>
      <w:bookmarkEnd w:id="1500"/>
      <w:bookmarkEnd w:id="1501"/>
      <w:bookmarkEnd w:id="1502"/>
      <w:bookmarkEnd w:id="1503"/>
      <w:bookmarkEnd w:id="1504"/>
      <w:bookmarkEnd w:id="1505"/>
      <w:bookmarkEnd w:id="1506"/>
      <w:bookmarkEnd w:id="1507"/>
    </w:p>
    <w:p w14:paraId="3431B8C2" w14:textId="77777777" w:rsidR="00B740A8" w:rsidRPr="00C73365" w:rsidRDefault="00B740A8" w:rsidP="001D15EF">
      <w:pPr>
        <w:rPr>
          <w:lang w:val="fr-FR"/>
        </w:rPr>
      </w:pPr>
      <w:bookmarkStart w:id="1508" w:name="_Toc290245454"/>
      <w:bookmarkStart w:id="1509" w:name="_Toc290293377"/>
      <w:bookmarkStart w:id="1510" w:name="_Toc290295011"/>
      <w:bookmarkStart w:id="1511" w:name="_Toc291712779"/>
      <w:bookmarkStart w:id="1512" w:name="_Toc292267617"/>
      <w:bookmarkStart w:id="1513" w:name="_Toc292876537"/>
      <w:bookmarkStart w:id="1514" w:name="_Toc293328373"/>
      <w:bookmarkStart w:id="1515" w:name="_Toc299090769"/>
      <w:bookmarkStart w:id="1516" w:name="_Toc299093068"/>
      <w:bookmarkStart w:id="1517" w:name="_Toc299094553"/>
      <w:r w:rsidRPr="00C73365">
        <w:rPr>
          <w:lang w:val="fr-FR"/>
        </w:rPr>
        <w:t>Au 31 mars 2018, le capital social s’élève à quatre-vingt-dix-neuf mille quatre cent quarante-deux et trente et un cents (99.442,31 €).</w:t>
      </w:r>
    </w:p>
    <w:p w14:paraId="7289C729" w14:textId="77777777" w:rsidR="00B740A8" w:rsidRPr="00C73365" w:rsidRDefault="00B740A8" w:rsidP="001D15EF">
      <w:pPr>
        <w:rPr>
          <w:lang w:val="fr-FR"/>
        </w:rPr>
      </w:pPr>
      <w:r w:rsidRPr="00C73365">
        <w:rPr>
          <w:lang w:val="fr-FR"/>
        </w:rPr>
        <w:t>Il est divisé en neuf millions neuf cent quarante-quatre mille deux cent trente et un (9.944.231) actions de un (1) centime d’euro (0,01 €) de valeur nominale chacune, entièrement libérées, toute de même catégorie.</w:t>
      </w:r>
    </w:p>
    <w:p w14:paraId="2AAA642F" w14:textId="77777777"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Titres non représentatifs du capital</w:t>
      </w:r>
      <w:bookmarkEnd w:id="1508"/>
      <w:bookmarkEnd w:id="1509"/>
      <w:bookmarkEnd w:id="1510"/>
      <w:bookmarkEnd w:id="1511"/>
      <w:bookmarkEnd w:id="1512"/>
      <w:bookmarkEnd w:id="1513"/>
      <w:bookmarkEnd w:id="1514"/>
      <w:bookmarkEnd w:id="1515"/>
      <w:bookmarkEnd w:id="1516"/>
      <w:bookmarkEnd w:id="1517"/>
    </w:p>
    <w:p w14:paraId="65D23551" w14:textId="77777777" w:rsidR="00B740A8" w:rsidRPr="00C73365" w:rsidRDefault="00B740A8" w:rsidP="00B740A8">
      <w:pPr>
        <w:pStyle w:val="NormalWeb"/>
        <w:spacing w:before="0" w:beforeAutospacing="0" w:after="0" w:afterAutospacing="0"/>
        <w:rPr>
          <w:rFonts w:asciiTheme="minorHAnsi" w:hAnsiTheme="minorHAnsi" w:cstheme="minorHAnsi"/>
          <w:lang w:val="fr-FR"/>
        </w:rPr>
      </w:pPr>
    </w:p>
    <w:p w14:paraId="4C5440E3" w14:textId="77777777" w:rsidR="00B740A8" w:rsidRPr="00C73365" w:rsidRDefault="00B740A8" w:rsidP="001D15EF">
      <w:pPr>
        <w:rPr>
          <w:lang w:val="fr-FR"/>
        </w:rPr>
      </w:pPr>
      <w:r w:rsidRPr="00C73365">
        <w:rPr>
          <w:lang w:val="fr-FR"/>
        </w:rPr>
        <w:t>A la date d’enregistrement du présent document de référence, il n’existe pas de titres non représentatifs du capital.</w:t>
      </w:r>
    </w:p>
    <w:p w14:paraId="574A23D9" w14:textId="77777777" w:rsidR="00B740A8" w:rsidRPr="00C73365" w:rsidRDefault="00B740A8" w:rsidP="00434C49">
      <w:pPr>
        <w:pStyle w:val="ConmainL3"/>
        <w:keepLines/>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Etat des nantissements, garanties et sûretés pesant sur les actions de la Société</w:t>
      </w:r>
    </w:p>
    <w:p w14:paraId="524E1E70" w14:textId="77777777" w:rsidR="00B740A8" w:rsidRPr="00C73365" w:rsidRDefault="00B740A8" w:rsidP="00B740A8">
      <w:pPr>
        <w:keepNext/>
        <w:keepLines/>
        <w:rPr>
          <w:rFonts w:asciiTheme="minorHAnsi" w:hAnsiTheme="minorHAnsi" w:cstheme="minorHAnsi"/>
          <w:szCs w:val="22"/>
          <w:lang w:val="fr-FR"/>
        </w:rPr>
      </w:pPr>
    </w:p>
    <w:p w14:paraId="19F28A07" w14:textId="77777777" w:rsidR="00B740A8" w:rsidRPr="00C73365" w:rsidRDefault="00B740A8" w:rsidP="001D15EF">
      <w:pPr>
        <w:rPr>
          <w:lang w:val="fr-FR"/>
        </w:rPr>
      </w:pPr>
      <w:r w:rsidRPr="00C73365">
        <w:rPr>
          <w:lang w:val="fr-FR"/>
        </w:rPr>
        <w:t>A la date d’enregistrement du présent document de référence, la Société n’a consenti aucun nantissement, ni aucune autre garantie ou sûreté quelle qu’elle soit, sur les titres composant son capital social ou sur ses actifs sociaux.</w:t>
      </w:r>
    </w:p>
    <w:p w14:paraId="08A5F222" w14:textId="77777777"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bookmarkStart w:id="1518" w:name="_Toc290245455"/>
      <w:bookmarkStart w:id="1519" w:name="_Toc290293378"/>
      <w:bookmarkStart w:id="1520" w:name="_Toc290295012"/>
      <w:bookmarkStart w:id="1521" w:name="_Toc291712780"/>
      <w:bookmarkStart w:id="1522" w:name="_Toc292267618"/>
      <w:bookmarkStart w:id="1523" w:name="_Toc292876538"/>
      <w:bookmarkStart w:id="1524" w:name="_Toc293328374"/>
      <w:bookmarkStart w:id="1525" w:name="_Toc299090770"/>
      <w:bookmarkStart w:id="1526" w:name="_Toc299093069"/>
      <w:bookmarkStart w:id="1527" w:name="_Toc299094554"/>
      <w:r w:rsidRPr="00C73365">
        <w:rPr>
          <w:rFonts w:asciiTheme="minorHAnsi" w:hAnsiTheme="minorHAnsi" w:cstheme="minorHAnsi"/>
          <w:b/>
          <w:color w:val="7030A0"/>
          <w:lang w:val="fr-FR"/>
        </w:rPr>
        <w:t>Acquisition par la Société de ses propres actions</w:t>
      </w:r>
      <w:bookmarkEnd w:id="1518"/>
      <w:bookmarkEnd w:id="1519"/>
      <w:bookmarkEnd w:id="1520"/>
      <w:bookmarkEnd w:id="1521"/>
      <w:bookmarkEnd w:id="1522"/>
      <w:bookmarkEnd w:id="1523"/>
      <w:bookmarkEnd w:id="1524"/>
      <w:bookmarkEnd w:id="1525"/>
      <w:bookmarkEnd w:id="1526"/>
      <w:bookmarkEnd w:id="1527"/>
    </w:p>
    <w:p w14:paraId="6146AFAE" w14:textId="77777777" w:rsidR="00B740A8" w:rsidRPr="00C73365" w:rsidRDefault="00B740A8" w:rsidP="001D15EF">
      <w:pPr>
        <w:rPr>
          <w:lang w:val="fr-FR"/>
        </w:rPr>
      </w:pPr>
      <w:bookmarkStart w:id="1528" w:name="_Toc290245456"/>
      <w:bookmarkStart w:id="1529" w:name="_Toc290293379"/>
      <w:bookmarkStart w:id="1530" w:name="_Toc290295013"/>
      <w:bookmarkStart w:id="1531" w:name="_Toc291712781"/>
      <w:bookmarkStart w:id="1532" w:name="_Toc292267619"/>
      <w:bookmarkStart w:id="1533" w:name="_Toc292876539"/>
      <w:bookmarkStart w:id="1534" w:name="_Toc293328375"/>
      <w:bookmarkStart w:id="1535" w:name="_Toc299090771"/>
      <w:bookmarkStart w:id="1536" w:name="_Toc299093070"/>
      <w:bookmarkStart w:id="1537" w:name="_Toc299094555"/>
    </w:p>
    <w:p w14:paraId="6FCEA24A" w14:textId="77777777" w:rsidR="00B740A8" w:rsidRPr="00C73365" w:rsidRDefault="00B740A8" w:rsidP="001D15EF">
      <w:pPr>
        <w:rPr>
          <w:color w:val="000000"/>
          <w:lang w:val="fr-FR"/>
        </w:rPr>
      </w:pPr>
      <w:r w:rsidRPr="00C73365">
        <w:rPr>
          <w:lang w:val="fr-FR"/>
        </w:rPr>
        <w:t xml:space="preserve">Au 31 décembre 2017, la Société détenait 34.050 de ses propres actions, soit 0,34% du capital social, acquises pour un prix de revient unitaire compris entre 9,33 et 3,91 euros </w:t>
      </w:r>
      <w:r w:rsidRPr="00C73365">
        <w:rPr>
          <w:color w:val="000000"/>
          <w:lang w:val="fr-FR"/>
        </w:rPr>
        <w:t>entre le 26 juin 2015 et le 31 décembre 2016</w:t>
      </w:r>
      <w:r w:rsidRPr="00C73365">
        <w:rPr>
          <w:lang w:val="fr-FR"/>
        </w:rPr>
        <w:t xml:space="preserve"> dans le cadre d’un contrat de liquidité avec Tradition Securities and Futures</w:t>
      </w:r>
      <w:r w:rsidRPr="00C73365">
        <w:rPr>
          <w:lang w:val="fr-FR" w:eastAsia="fr-FR"/>
        </w:rPr>
        <w:t xml:space="preserve"> </w:t>
      </w:r>
      <w:r w:rsidRPr="00C73365">
        <w:rPr>
          <w:lang w:val="fr-FR"/>
        </w:rPr>
        <w:t>conforme à la Charte de déontologie modifiée par l’Association des Marchés financiers le 8 mars 2011 et à la décision de l’Association des Marchés financiers du 21 mars 2011 relative aux contrats de liquidité.</w:t>
      </w:r>
      <w:r w:rsidRPr="00C73365">
        <w:rPr>
          <w:color w:val="000000"/>
          <w:lang w:val="fr-FR"/>
        </w:rPr>
        <w:t xml:space="preserve"> </w:t>
      </w:r>
    </w:p>
    <w:p w14:paraId="6534E94A" w14:textId="77777777" w:rsidR="00B740A8" w:rsidRPr="00C73365" w:rsidRDefault="00B740A8" w:rsidP="001D15EF">
      <w:pPr>
        <w:rPr>
          <w:lang w:val="fr-FR"/>
        </w:rPr>
      </w:pPr>
      <w:r w:rsidRPr="00C73365">
        <w:rPr>
          <w:szCs w:val="22"/>
          <w:lang w:val="fr-FR"/>
        </w:rPr>
        <w:t>L’assemblée générale</w:t>
      </w:r>
      <w:r w:rsidRPr="00C73365">
        <w:rPr>
          <w:lang w:val="fr-FR"/>
        </w:rPr>
        <w:t xml:space="preserve"> mixte de la Société réunie le </w:t>
      </w:r>
      <w:r w:rsidRPr="00C73365">
        <w:rPr>
          <w:szCs w:val="22"/>
          <w:lang w:val="fr-FR"/>
        </w:rPr>
        <w:t>23 juin 2017</w:t>
      </w:r>
      <w:r w:rsidRPr="00C73365">
        <w:rPr>
          <w:lang w:val="fr-FR"/>
        </w:rPr>
        <w:t xml:space="preserve"> a consenti une nouvelle délégation au conseil d’administration, pour une durée de 18 mois à compter de </w:t>
      </w:r>
      <w:r w:rsidRPr="00C73365">
        <w:rPr>
          <w:szCs w:val="22"/>
          <w:lang w:val="fr-FR"/>
        </w:rPr>
        <w:t>l’assemblée</w:t>
      </w:r>
      <w:r w:rsidRPr="00C73365">
        <w:rPr>
          <w:lang w:val="fr-FR"/>
        </w:rPr>
        <w:t xml:space="preserve"> à l’effet de mettre en œuvre un programme de rachat des actions de la Société dans le cadre des dispositions de l’article L. 225-209 du Code de commerce et conformément au Règlement Général de l’Autorité des marchés financiers (AMF) dans les conditions décrites ci-dessous :</w:t>
      </w:r>
    </w:p>
    <w:p w14:paraId="39E6B831"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b/>
          <w:lang w:val="fr-FR"/>
        </w:rPr>
        <w:t>Nombre maximum d’actions pouvant être achetées</w:t>
      </w:r>
      <w:r w:rsidRPr="00C73365">
        <w:rPr>
          <w:rFonts w:asciiTheme="minorHAnsi" w:hAnsiTheme="minorHAnsi" w:cstheme="minorHAnsi"/>
          <w:lang w:val="fr-FR"/>
        </w:rPr>
        <w:t> : 10% du capital social à la date du rachat des actions. Lorsque les actions sont acquises dans le but de favoriser l’animation et la liquidité des titres, le nombre d’actions pris en compte pour le calcul de la limite de 10 % prévue ci-dessus correspond au nombre d’actions achetées, déduction faite du nombre d’actions revendues pendant la durée de l’autorisation.</w:t>
      </w:r>
    </w:p>
    <w:p w14:paraId="6334F063"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Objectifs des rachats d’actions :</w:t>
      </w:r>
    </w:p>
    <w:p w14:paraId="00F6F5D6" w14:textId="77777777" w:rsidR="00B740A8" w:rsidRPr="00C73365" w:rsidRDefault="00B740A8" w:rsidP="00B740A8">
      <w:pPr>
        <w:pStyle w:val="Paragraphedeliste"/>
        <w:numPr>
          <w:ilvl w:val="0"/>
          <w:numId w:val="51"/>
        </w:numPr>
        <w:spacing w:after="0"/>
        <w:rPr>
          <w:rFonts w:asciiTheme="minorHAnsi" w:hAnsiTheme="minorHAnsi" w:cstheme="minorHAnsi"/>
          <w:szCs w:val="20"/>
          <w:lang w:val="fr-FR"/>
        </w:rPr>
      </w:pPr>
      <w:r w:rsidRPr="00C73365">
        <w:rPr>
          <w:rFonts w:asciiTheme="minorHAnsi" w:hAnsiTheme="minorHAnsi" w:cstheme="minorHAnsi"/>
          <w:szCs w:val="20"/>
          <w:lang w:val="fr-FR"/>
        </w:rPr>
        <w:t>favoriser l’animation et la liquidité des titres de la Société dans le cadre d’un contrat de liquidité à conclure avec un prestataire de services d’investissement indépendant, conforme à la charte de déontologie reconnue par l’AMF ;</w:t>
      </w:r>
    </w:p>
    <w:p w14:paraId="1D41CD7D" w14:textId="77777777" w:rsidR="00B740A8" w:rsidRPr="00C73365" w:rsidRDefault="00B740A8" w:rsidP="00B740A8">
      <w:pPr>
        <w:pStyle w:val="Paragraphedeliste"/>
        <w:numPr>
          <w:ilvl w:val="0"/>
          <w:numId w:val="51"/>
        </w:numPr>
        <w:spacing w:after="0"/>
        <w:rPr>
          <w:rFonts w:asciiTheme="minorHAnsi" w:hAnsiTheme="minorHAnsi" w:cstheme="minorHAnsi"/>
          <w:szCs w:val="20"/>
          <w:lang w:val="fr-FR"/>
        </w:rPr>
      </w:pPr>
      <w:r w:rsidRPr="00C73365">
        <w:rPr>
          <w:rFonts w:asciiTheme="minorHAnsi" w:hAnsiTheme="minorHAnsi" w:cstheme="minorHAnsi"/>
          <w:szCs w:val="20"/>
          <w:lang w:val="fr-FR"/>
        </w:rPr>
        <w:t>permettre d’honorer des obligations liées à des programmes d’options sur actions, d’attribution d’actions gratuites, d’épargne salariale ou autres allocations d’actions aux salariés de la Société ou d’une entreprise associée ;</w:t>
      </w:r>
    </w:p>
    <w:p w14:paraId="0074F77A" w14:textId="77777777" w:rsidR="00B740A8" w:rsidRPr="00C73365" w:rsidRDefault="00B740A8" w:rsidP="00434C49">
      <w:pPr>
        <w:pStyle w:val="Paragraphedeliste"/>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remettre des actions à l’occasion de l’exercice de droits attachés à des valeurs mobilières donnant accès au capital ;  </w:t>
      </w:r>
    </w:p>
    <w:p w14:paraId="2246B1BE" w14:textId="77777777" w:rsidR="00B740A8" w:rsidRPr="00C73365" w:rsidRDefault="00B740A8" w:rsidP="00434C49">
      <w:pPr>
        <w:pStyle w:val="Paragraphedeliste"/>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acheter des actions pour conservation et remise ultérieure à l’échange ou en paiement dans le cadre d’opérations éventuelles de croissance externe ; ou</w:t>
      </w:r>
    </w:p>
    <w:p w14:paraId="0D1D7A84" w14:textId="77777777" w:rsidR="00B740A8" w:rsidRPr="00C73365" w:rsidRDefault="00B740A8" w:rsidP="00434C49">
      <w:pPr>
        <w:pStyle w:val="Paragraphedeliste"/>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annuler tout ou partie des titres ainsi rachetés ; ou</w:t>
      </w:r>
    </w:p>
    <w:p w14:paraId="3EF1CEEE" w14:textId="77777777" w:rsidR="00B740A8" w:rsidRPr="00C73365" w:rsidRDefault="00B740A8" w:rsidP="00434C49">
      <w:pPr>
        <w:pStyle w:val="Paragraphedeliste"/>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plus, généralement, opérer dans tout but qui viendrait à être autorisé par la loi ou toute pratique de marché qui viendrait à être admise par les autorités de marché, étant précisé que, dans une telle hypothèse, la Société informerait ses actionnaires par voie de communiqué.  </w:t>
      </w:r>
    </w:p>
    <w:p w14:paraId="5D9C440B" w14:textId="77777777" w:rsidR="00B740A8" w:rsidRPr="00C73365" w:rsidRDefault="00B740A8" w:rsidP="00B740A8">
      <w:pPr>
        <w:autoSpaceDE w:val="0"/>
        <w:autoSpaceDN w:val="0"/>
        <w:adjustRightInd w:val="0"/>
        <w:rPr>
          <w:rFonts w:asciiTheme="minorHAnsi" w:hAnsiTheme="minorHAnsi" w:cstheme="minorHAnsi"/>
          <w:lang w:val="fr-FR"/>
        </w:rPr>
      </w:pPr>
    </w:p>
    <w:p w14:paraId="4EEB540E"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b/>
          <w:lang w:val="fr-FR"/>
        </w:rPr>
        <w:t>Prix d’achat maximum </w:t>
      </w:r>
      <w:r w:rsidRPr="00C73365">
        <w:rPr>
          <w:rFonts w:asciiTheme="minorHAnsi" w:hAnsiTheme="minorHAnsi" w:cstheme="minorHAnsi"/>
          <w:lang w:val="fr-FR"/>
        </w:rPr>
        <w:t>:</w:t>
      </w:r>
      <w:r w:rsidRPr="00C73365">
        <w:rPr>
          <w:rFonts w:asciiTheme="minorHAnsi" w:hAnsiTheme="minorHAnsi" w:cstheme="minorHAnsi"/>
          <w:b/>
          <w:lang w:val="fr-FR"/>
        </w:rPr>
        <w:t xml:space="preserve"> </w:t>
      </w:r>
      <w:r w:rsidRPr="00C73365">
        <w:rPr>
          <w:rFonts w:asciiTheme="minorHAnsi" w:hAnsiTheme="minorHAnsi" w:cstheme="minorHAnsi"/>
          <w:szCs w:val="22"/>
          <w:lang w:val="fr-FR"/>
        </w:rPr>
        <w:t>42 euros</w:t>
      </w:r>
      <w:r w:rsidRPr="00C73365">
        <w:rPr>
          <w:rFonts w:asciiTheme="minorHAnsi" w:hAnsiTheme="minorHAnsi" w:cstheme="minorHAnsi"/>
          <w:lang w:val="fr-FR"/>
        </w:rPr>
        <w:t xml:space="preserve"> par action hors frais et commissions et ajustements éventuels afin de tenir compte d’opérations sur le capital.</w:t>
      </w:r>
    </w:p>
    <w:p w14:paraId="350472CE"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Il est précisé que le nombre d’actions acquises par la Société en vue de leur conservation et de leur remise ultérieure en paiement ou en échange dans le cadre d’une opération de fusion, de scission ou d’apport ne peut excéder </w:t>
      </w:r>
      <w:r w:rsidRPr="00C73365">
        <w:rPr>
          <w:rFonts w:asciiTheme="minorHAnsi" w:hAnsiTheme="minorHAnsi" w:cstheme="minorHAnsi"/>
          <w:szCs w:val="22"/>
          <w:lang w:val="fr-FR"/>
        </w:rPr>
        <w:t>5</w:t>
      </w:r>
      <w:r w:rsidRPr="00C73365">
        <w:rPr>
          <w:rFonts w:asciiTheme="minorHAnsi" w:hAnsiTheme="minorHAnsi" w:cstheme="minorHAnsi"/>
          <w:lang w:val="fr-FR"/>
        </w:rPr>
        <w:t>% de son capital.</w:t>
      </w:r>
    </w:p>
    <w:p w14:paraId="06B51AE3"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Montant maximum des fonds pouvant être consacrés au rachat d’actions : </w:t>
      </w:r>
      <w:r w:rsidRPr="00C73365">
        <w:rPr>
          <w:rFonts w:asciiTheme="minorHAnsi" w:hAnsiTheme="minorHAnsi" w:cstheme="minorHAnsi"/>
          <w:szCs w:val="22"/>
          <w:lang w:val="fr-FR"/>
        </w:rPr>
        <w:t>5.000.000</w:t>
      </w:r>
      <w:r w:rsidRPr="00C73365">
        <w:rPr>
          <w:rFonts w:asciiTheme="minorHAnsi" w:hAnsiTheme="minorHAnsi" w:cstheme="minorHAnsi"/>
          <w:lang w:val="fr-FR"/>
        </w:rPr>
        <w:t xml:space="preserve"> euros</w:t>
      </w:r>
    </w:p>
    <w:p w14:paraId="6CD525F8" w14:textId="77777777" w:rsidR="00B740A8" w:rsidRPr="00C73365" w:rsidRDefault="00B740A8" w:rsidP="00B740A8">
      <w:pPr>
        <w:pStyle w:val="NormalWeb"/>
        <w:widowControl w:val="0"/>
        <w:spacing w:after="0" w:afterAutospacing="0"/>
        <w:rPr>
          <w:rFonts w:asciiTheme="minorHAnsi" w:hAnsiTheme="minorHAnsi" w:cstheme="minorHAnsi"/>
          <w:lang w:val="fr-FR"/>
        </w:rPr>
      </w:pPr>
      <w:r w:rsidRPr="00C73365">
        <w:rPr>
          <w:rFonts w:asciiTheme="minorHAnsi" w:hAnsiTheme="minorHAnsi" w:cstheme="minorHAnsi"/>
          <w:lang w:val="fr-FR"/>
        </w:rPr>
        <w:t>Les actions ainsi rachetées pourront être annulées.</w:t>
      </w:r>
    </w:p>
    <w:p w14:paraId="481E7B14" w14:textId="77777777" w:rsidR="00B740A8" w:rsidRPr="00C73365" w:rsidRDefault="00B740A8" w:rsidP="00B740A8">
      <w:pPr>
        <w:pStyle w:val="NormalWeb"/>
        <w:widowControl w:val="0"/>
        <w:rPr>
          <w:rFonts w:asciiTheme="minorHAnsi" w:hAnsiTheme="minorHAnsi" w:cstheme="minorHAnsi"/>
          <w:lang w:val="fr-FR"/>
        </w:rPr>
      </w:pPr>
      <w:r w:rsidRPr="00C73365">
        <w:rPr>
          <w:rFonts w:asciiTheme="minorHAnsi" w:hAnsiTheme="minorHAnsi" w:cstheme="minorHAnsi"/>
          <w:lang w:val="fr-FR"/>
        </w:rPr>
        <w:t xml:space="preserve">Il est rappelé que la Société est tenue aux obligations de communication suivantes en matière de rachat d’actions : </w:t>
      </w:r>
    </w:p>
    <w:p w14:paraId="54647BF7" w14:textId="77777777" w:rsidR="00B740A8" w:rsidRPr="00C73365" w:rsidRDefault="00B740A8" w:rsidP="00B740A8">
      <w:pPr>
        <w:pStyle w:val="NormalWeb"/>
        <w:keepNext/>
        <w:keepLines/>
        <w:rPr>
          <w:rFonts w:asciiTheme="minorHAnsi" w:hAnsiTheme="minorHAnsi" w:cstheme="minorHAnsi"/>
          <w:i/>
          <w:lang w:val="fr-FR"/>
        </w:rPr>
      </w:pPr>
      <w:r w:rsidRPr="00C73365">
        <w:rPr>
          <w:rFonts w:asciiTheme="minorHAnsi" w:hAnsiTheme="minorHAnsi" w:cstheme="minorHAnsi"/>
          <w:i/>
          <w:lang w:val="fr-FR"/>
        </w:rPr>
        <w:t xml:space="preserve">Préalablement à la mise en œuvre du programme de rachat : </w:t>
      </w:r>
    </w:p>
    <w:p w14:paraId="2DF49A6F" w14:textId="77777777" w:rsidR="00B740A8" w:rsidRPr="001D15EF" w:rsidRDefault="00B740A8" w:rsidP="00434C49">
      <w:pPr>
        <w:pStyle w:val="Paragraphedeliste"/>
        <w:numPr>
          <w:ilvl w:val="0"/>
          <w:numId w:val="107"/>
        </w:numPr>
        <w:rPr>
          <w:lang w:val="fr-FR"/>
        </w:rPr>
      </w:pPr>
      <w:r w:rsidRPr="001D15EF">
        <w:rPr>
          <w:lang w:val="fr-FR"/>
        </w:rPr>
        <w:t xml:space="preserve">Publication d’un descriptif du programme de rachat d’actions (diffusion effective et intégrale par voie électronique par un diffuseur professionnel et mise en ligne sur le site Internet de la Société) sauf lorsque le rapport financier annuel ou le document de référence comprend l’intégralité des informations devant figurer dans le descriptif. </w:t>
      </w:r>
    </w:p>
    <w:p w14:paraId="1BD556CA" w14:textId="77777777" w:rsidR="00B740A8" w:rsidRPr="00C73365" w:rsidRDefault="00B740A8" w:rsidP="00B740A8">
      <w:pPr>
        <w:pStyle w:val="NormalWeb"/>
        <w:widowControl w:val="0"/>
        <w:rPr>
          <w:rFonts w:asciiTheme="minorHAnsi" w:hAnsiTheme="minorHAnsi" w:cstheme="minorHAnsi"/>
          <w:i/>
          <w:lang w:val="fr-FR"/>
        </w:rPr>
      </w:pPr>
      <w:r w:rsidRPr="00C73365">
        <w:rPr>
          <w:rFonts w:asciiTheme="minorHAnsi" w:hAnsiTheme="minorHAnsi" w:cstheme="minorHAnsi"/>
          <w:i/>
          <w:lang w:val="fr-FR"/>
        </w:rPr>
        <w:t>Pendant la réalisation du programme de rachat :</w:t>
      </w:r>
    </w:p>
    <w:p w14:paraId="626F3B47" w14:textId="77777777" w:rsidR="00B740A8" w:rsidRPr="001D15EF" w:rsidRDefault="00B740A8" w:rsidP="00434C49">
      <w:pPr>
        <w:pStyle w:val="Paragraphedeliste"/>
        <w:numPr>
          <w:ilvl w:val="0"/>
          <w:numId w:val="107"/>
        </w:numPr>
        <w:rPr>
          <w:lang w:val="fr-FR"/>
        </w:rPr>
      </w:pPr>
      <w:r w:rsidRPr="001D15EF">
        <w:rPr>
          <w:lang w:val="fr-FR"/>
        </w:rPr>
        <w:t>Publication des transactions à J+7 par mise en ligne sur le site Internet de la Société (hors transactions réalisées dans le cadre d’un contrat de liquidité) ; et</w:t>
      </w:r>
    </w:p>
    <w:p w14:paraId="6041FFF6" w14:textId="77777777" w:rsidR="00B740A8" w:rsidRPr="001D15EF" w:rsidRDefault="00B740A8" w:rsidP="00434C49">
      <w:pPr>
        <w:pStyle w:val="Paragraphedeliste"/>
        <w:numPr>
          <w:ilvl w:val="0"/>
          <w:numId w:val="107"/>
        </w:numPr>
        <w:rPr>
          <w:lang w:val="fr-FR"/>
        </w:rPr>
      </w:pPr>
      <w:r w:rsidRPr="001D15EF">
        <w:rPr>
          <w:lang w:val="fr-FR"/>
        </w:rPr>
        <w:t>Déclarations mensuelles de la Société à l’AMF.</w:t>
      </w:r>
    </w:p>
    <w:p w14:paraId="5F057328" w14:textId="77777777" w:rsidR="00B740A8" w:rsidRPr="00C73365" w:rsidRDefault="00B740A8" w:rsidP="00B740A8">
      <w:pPr>
        <w:pStyle w:val="NormalWeb"/>
        <w:widowControl w:val="0"/>
        <w:rPr>
          <w:rFonts w:asciiTheme="minorHAnsi" w:hAnsiTheme="minorHAnsi" w:cstheme="minorHAnsi"/>
          <w:i/>
          <w:lang w:val="fr-FR"/>
        </w:rPr>
      </w:pPr>
      <w:r w:rsidRPr="00C73365">
        <w:rPr>
          <w:rFonts w:asciiTheme="minorHAnsi" w:hAnsiTheme="minorHAnsi" w:cstheme="minorHAnsi"/>
          <w:i/>
          <w:lang w:val="fr-FR"/>
        </w:rPr>
        <w:t>Chaque année :</w:t>
      </w:r>
    </w:p>
    <w:p w14:paraId="6F1FA9DC" w14:textId="77777777" w:rsidR="00B740A8" w:rsidRPr="001D15EF" w:rsidRDefault="00B740A8" w:rsidP="00434C49">
      <w:pPr>
        <w:pStyle w:val="Paragraphedeliste"/>
        <w:numPr>
          <w:ilvl w:val="0"/>
          <w:numId w:val="108"/>
        </w:numPr>
        <w:rPr>
          <w:szCs w:val="22"/>
          <w:lang w:val="fr-FR"/>
        </w:rPr>
      </w:pPr>
      <w:r w:rsidRPr="001D15EF">
        <w:rPr>
          <w:lang w:val="fr-FR"/>
        </w:rPr>
        <w:t>Présentation du bilan de la mise en œuvre du programme de rachat et de l’utilisation des actions acquises dans le rapport du conseil d’administration à l’assemblée générale</w:t>
      </w:r>
      <w:r w:rsidRPr="001D15EF">
        <w:rPr>
          <w:szCs w:val="22"/>
          <w:lang w:val="fr-FR"/>
        </w:rPr>
        <w:t xml:space="preserve">. </w:t>
      </w:r>
    </w:p>
    <w:p w14:paraId="2CC43F14" w14:textId="77777777"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Valeurs mobilières convertibles, échangeables ou assorties de bons de souscription</w:t>
      </w:r>
    </w:p>
    <w:p w14:paraId="7FB4BA4E" w14:textId="77777777" w:rsidR="00B740A8" w:rsidRPr="00C73365" w:rsidRDefault="00B740A8" w:rsidP="00B740A8">
      <w:pPr>
        <w:rPr>
          <w:rFonts w:asciiTheme="minorHAnsi" w:hAnsiTheme="minorHAnsi" w:cstheme="minorHAnsi"/>
          <w:b/>
          <w:color w:val="7030A0"/>
          <w:lang w:val="fr-FR"/>
        </w:rPr>
      </w:pPr>
    </w:p>
    <w:bookmarkEnd w:id="1528"/>
    <w:bookmarkEnd w:id="1529"/>
    <w:bookmarkEnd w:id="1530"/>
    <w:bookmarkEnd w:id="1531"/>
    <w:bookmarkEnd w:id="1532"/>
    <w:bookmarkEnd w:id="1533"/>
    <w:bookmarkEnd w:id="1534"/>
    <w:bookmarkEnd w:id="1535"/>
    <w:bookmarkEnd w:id="1536"/>
    <w:bookmarkEnd w:id="1537"/>
    <w:p w14:paraId="535C2C95"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La dilution potentielle associée aux instruments financiers (BCE, BSA) émis au profit des actionnaires et/ou salariés, représente 1.659.365 actions, générant alors une dilution égale à 16,69% sur la base du capital social au 31 mars 2018.</w:t>
      </w:r>
    </w:p>
    <w:p w14:paraId="12273FDA"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Au 31 mars 2018, la Société a émis les titres donnant accès au capital suivants:</w:t>
      </w:r>
    </w:p>
    <w:p w14:paraId="06C93B02" w14:textId="77777777" w:rsidR="00B740A8" w:rsidRPr="00C73365" w:rsidRDefault="00B740A8" w:rsidP="00B740A8">
      <w:pPr>
        <w:rPr>
          <w:rFonts w:asciiTheme="minorHAnsi" w:hAnsiTheme="minorHAnsi" w:cstheme="minorHAnsi"/>
          <w:lang w:val="fr-FR"/>
        </w:rPr>
      </w:pPr>
    </w:p>
    <w:p w14:paraId="70E960AA" w14:textId="77777777" w:rsidR="00B740A8" w:rsidRPr="00C73365" w:rsidRDefault="00B740A8" w:rsidP="004572A0">
      <w:pPr>
        <w:pStyle w:val="Corpsdetexte"/>
        <w:rPr>
          <w:rFonts w:asciiTheme="minorHAnsi" w:hAnsiTheme="minorHAnsi" w:cstheme="minorHAnsi"/>
          <w:lang w:val="fr-FR"/>
        </w:rPr>
        <w:sectPr w:rsidR="00B740A8" w:rsidRPr="00C73365" w:rsidSect="00D1541A">
          <w:footerReference w:type="default" r:id="rId87"/>
          <w:pgSz w:w="11900" w:h="16840"/>
          <w:pgMar w:top="1134" w:right="1134" w:bottom="1134" w:left="1134" w:header="720" w:footer="720" w:gutter="0"/>
          <w:cols w:space="720" w:equalWidth="0">
            <w:col w:w="9269"/>
          </w:cols>
          <w:noEndnote/>
          <w:docGrid w:linePitch="299"/>
        </w:sectPr>
      </w:pPr>
    </w:p>
    <w:p w14:paraId="3EA601EA" w14:textId="4469BB53" w:rsidR="00B740A8" w:rsidRPr="004834A9" w:rsidRDefault="00B740A8" w:rsidP="004834A9">
      <w:pPr>
        <w:pStyle w:val="Corpsdetexte"/>
        <w:rPr>
          <w:rFonts w:asciiTheme="minorHAnsi" w:hAnsiTheme="minorHAnsi" w:cstheme="minorHAnsi"/>
          <w:b/>
          <w:lang w:val="fr-FR"/>
        </w:rPr>
      </w:pPr>
      <w:bookmarkStart w:id="1538" w:name="_Toc290245460"/>
      <w:bookmarkStart w:id="1539" w:name="_Toc290293383"/>
      <w:bookmarkStart w:id="1540" w:name="_Toc290295017"/>
      <w:bookmarkStart w:id="1541" w:name="_Toc291712785"/>
      <w:bookmarkStart w:id="1542" w:name="_Toc292267623"/>
      <w:bookmarkStart w:id="1543" w:name="_Toc292876543"/>
      <w:bookmarkStart w:id="1544" w:name="_Toc293328379"/>
      <w:bookmarkStart w:id="1545" w:name="_Toc299090772"/>
      <w:bookmarkStart w:id="1546" w:name="_Toc299093071"/>
      <w:bookmarkStart w:id="1547" w:name="_Toc299094556"/>
      <w:bookmarkStart w:id="1548" w:name="_Ref288657163"/>
      <w:r w:rsidRPr="00C73365">
        <w:rPr>
          <w:rFonts w:asciiTheme="minorHAnsi" w:hAnsiTheme="minorHAnsi" w:cstheme="minorHAnsi"/>
          <w:b/>
          <w:lang w:val="fr-FR"/>
        </w:rPr>
        <w:lastRenderedPageBreak/>
        <w:t>Information sur les bons de souscription de part de créa</w:t>
      </w:r>
      <w:r w:rsidR="004834A9">
        <w:rPr>
          <w:rFonts w:asciiTheme="minorHAnsi" w:hAnsiTheme="minorHAnsi" w:cstheme="minorHAnsi"/>
          <w:b/>
          <w:lang w:val="fr-FR"/>
        </w:rPr>
        <w:t xml:space="preserve">teurs d’entreprise (« BSPCE ») </w:t>
      </w:r>
    </w:p>
    <w:p w14:paraId="01A44049" w14:textId="77777777" w:rsidR="00B740A8" w:rsidRPr="00C73365" w:rsidRDefault="00B740A8" w:rsidP="00B740A8">
      <w:pPr>
        <w:rPr>
          <w:rFonts w:asciiTheme="minorHAnsi" w:hAnsiTheme="minorHAnsi" w:cstheme="minorHAnsi"/>
          <w:b/>
          <w:color w:val="7030A0"/>
          <w:sz w:val="16"/>
          <w:lang w:val="fr-FR"/>
        </w:rPr>
      </w:pPr>
    </w:p>
    <w:tbl>
      <w:tblPr>
        <w:tblStyle w:val="Grilledutableau3"/>
        <w:tblW w:w="14737" w:type="dxa"/>
        <w:tblBorders>
          <w:top w:val="single" w:sz="4" w:space="0" w:color="7030A0"/>
          <w:left w:val="single" w:sz="4" w:space="0" w:color="7030A0"/>
          <w:bottom w:val="single" w:sz="4" w:space="0" w:color="7030A0"/>
          <w:right w:val="single" w:sz="4" w:space="0" w:color="7030A0"/>
        </w:tblBorders>
        <w:tblLayout w:type="fixed"/>
        <w:tblLook w:val="04A0" w:firstRow="1" w:lastRow="0" w:firstColumn="1" w:lastColumn="0" w:noHBand="0" w:noVBand="1"/>
      </w:tblPr>
      <w:tblGrid>
        <w:gridCol w:w="1129"/>
        <w:gridCol w:w="800"/>
        <w:gridCol w:w="800"/>
        <w:gridCol w:w="801"/>
        <w:gridCol w:w="800"/>
        <w:gridCol w:w="801"/>
        <w:gridCol w:w="800"/>
        <w:gridCol w:w="801"/>
        <w:gridCol w:w="800"/>
        <w:gridCol w:w="801"/>
        <w:gridCol w:w="800"/>
        <w:gridCol w:w="801"/>
        <w:gridCol w:w="800"/>
        <w:gridCol w:w="801"/>
        <w:gridCol w:w="800"/>
        <w:gridCol w:w="801"/>
        <w:gridCol w:w="800"/>
        <w:gridCol w:w="801"/>
      </w:tblGrid>
      <w:tr w:rsidR="00B740A8" w:rsidRPr="00C73365" w14:paraId="69E32DC1" w14:textId="77777777" w:rsidTr="00D1541A">
        <w:trPr>
          <w:trHeight w:val="20"/>
        </w:trPr>
        <w:tc>
          <w:tcPr>
            <w:tcW w:w="1129" w:type="dxa"/>
          </w:tcPr>
          <w:p w14:paraId="1542CE92"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Catégorie</w:t>
            </w:r>
          </w:p>
        </w:tc>
        <w:tc>
          <w:tcPr>
            <w:tcW w:w="800" w:type="dxa"/>
          </w:tcPr>
          <w:p w14:paraId="3EFB644C"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w:t>
            </w:r>
          </w:p>
        </w:tc>
        <w:tc>
          <w:tcPr>
            <w:tcW w:w="800" w:type="dxa"/>
          </w:tcPr>
          <w:p w14:paraId="4D4391DC"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BCE-2014-2</w:t>
            </w:r>
          </w:p>
        </w:tc>
        <w:tc>
          <w:tcPr>
            <w:tcW w:w="801" w:type="dxa"/>
          </w:tcPr>
          <w:p w14:paraId="343F89C7"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BCE-2014-3</w:t>
            </w:r>
          </w:p>
        </w:tc>
        <w:tc>
          <w:tcPr>
            <w:tcW w:w="800" w:type="dxa"/>
          </w:tcPr>
          <w:p w14:paraId="04955D81"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BCE-2014-4</w:t>
            </w:r>
          </w:p>
        </w:tc>
        <w:tc>
          <w:tcPr>
            <w:tcW w:w="801" w:type="dxa"/>
          </w:tcPr>
          <w:p w14:paraId="7130D8E7"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BCE-2014-5</w:t>
            </w:r>
          </w:p>
        </w:tc>
        <w:tc>
          <w:tcPr>
            <w:tcW w:w="800" w:type="dxa"/>
          </w:tcPr>
          <w:p w14:paraId="79FE1B36"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BCE-2014-6</w:t>
            </w:r>
          </w:p>
        </w:tc>
        <w:tc>
          <w:tcPr>
            <w:tcW w:w="801" w:type="dxa"/>
          </w:tcPr>
          <w:p w14:paraId="2466EC37"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BCE-2014-7</w:t>
            </w:r>
          </w:p>
        </w:tc>
        <w:tc>
          <w:tcPr>
            <w:tcW w:w="800" w:type="dxa"/>
          </w:tcPr>
          <w:p w14:paraId="1B80CEBA"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(G)</w:t>
            </w:r>
          </w:p>
        </w:tc>
        <w:tc>
          <w:tcPr>
            <w:tcW w:w="801" w:type="dxa"/>
          </w:tcPr>
          <w:p w14:paraId="378779C2"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(S)</w:t>
            </w:r>
          </w:p>
        </w:tc>
        <w:tc>
          <w:tcPr>
            <w:tcW w:w="800" w:type="dxa"/>
          </w:tcPr>
          <w:p w14:paraId="6356C631"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(D)</w:t>
            </w:r>
          </w:p>
        </w:tc>
        <w:tc>
          <w:tcPr>
            <w:tcW w:w="801" w:type="dxa"/>
          </w:tcPr>
          <w:p w14:paraId="12FE20EB"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 xml:space="preserve">BCE-2015-9 </w:t>
            </w:r>
            <w:r w:rsidR="004572A0" w:rsidRPr="00C73365">
              <w:rPr>
                <w:rFonts w:asciiTheme="minorHAnsi" w:hAnsiTheme="minorHAnsi" w:cstheme="minorHAnsi"/>
                <w:b/>
                <w:sz w:val="16"/>
                <w:szCs w:val="16"/>
              </w:rPr>
              <w:t>©</w:t>
            </w:r>
          </w:p>
        </w:tc>
        <w:tc>
          <w:tcPr>
            <w:tcW w:w="800" w:type="dxa"/>
          </w:tcPr>
          <w:p w14:paraId="3A41860D"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BCE-2016-1</w:t>
            </w:r>
          </w:p>
        </w:tc>
        <w:tc>
          <w:tcPr>
            <w:tcW w:w="801" w:type="dxa"/>
          </w:tcPr>
          <w:p w14:paraId="7EC080C7"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BCE-2017-1</w:t>
            </w:r>
          </w:p>
        </w:tc>
        <w:tc>
          <w:tcPr>
            <w:tcW w:w="800" w:type="dxa"/>
          </w:tcPr>
          <w:p w14:paraId="3A194D40"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BCE-2017-2</w:t>
            </w:r>
          </w:p>
        </w:tc>
        <w:tc>
          <w:tcPr>
            <w:tcW w:w="801" w:type="dxa"/>
          </w:tcPr>
          <w:p w14:paraId="77B56CEF"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 2017-3</w:t>
            </w:r>
          </w:p>
        </w:tc>
        <w:tc>
          <w:tcPr>
            <w:tcW w:w="800" w:type="dxa"/>
          </w:tcPr>
          <w:p w14:paraId="0621011E"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BCE-2017-4</w:t>
            </w:r>
          </w:p>
        </w:tc>
        <w:tc>
          <w:tcPr>
            <w:tcW w:w="801" w:type="dxa"/>
          </w:tcPr>
          <w:p w14:paraId="3B348BC7"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BCE-2017-5</w:t>
            </w:r>
          </w:p>
        </w:tc>
      </w:tr>
      <w:tr w:rsidR="00B740A8" w:rsidRPr="00C73365" w14:paraId="5FD14A8A" w14:textId="77777777" w:rsidTr="00D1541A">
        <w:trPr>
          <w:trHeight w:val="20"/>
        </w:trPr>
        <w:tc>
          <w:tcPr>
            <w:tcW w:w="1129" w:type="dxa"/>
          </w:tcPr>
          <w:p w14:paraId="4B5F247F"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Date d</w:t>
            </w:r>
            <w:r w:rsidR="004572A0" w:rsidRPr="00C73365">
              <w:rPr>
                <w:rFonts w:asciiTheme="minorHAnsi" w:hAnsiTheme="minorHAnsi" w:cstheme="minorHAnsi"/>
                <w:b/>
                <w:sz w:val="16"/>
                <w:szCs w:val="16"/>
              </w:rPr>
              <w:t>’</w:t>
            </w:r>
            <w:r w:rsidRPr="00C73365">
              <w:rPr>
                <w:rFonts w:asciiTheme="minorHAnsi" w:hAnsiTheme="minorHAnsi" w:cstheme="minorHAnsi"/>
                <w:b/>
                <w:sz w:val="16"/>
                <w:szCs w:val="16"/>
              </w:rPr>
              <w:t>expiration</w:t>
            </w:r>
          </w:p>
          <w:p w14:paraId="1C07FEBF" w14:textId="77777777" w:rsidR="00B740A8" w:rsidRPr="00C73365" w:rsidRDefault="00B740A8" w:rsidP="00D1541A">
            <w:pPr>
              <w:rPr>
                <w:rFonts w:asciiTheme="minorHAnsi" w:hAnsiTheme="minorHAnsi" w:cstheme="minorHAnsi"/>
                <w:b/>
                <w:sz w:val="16"/>
                <w:szCs w:val="16"/>
              </w:rPr>
            </w:pPr>
          </w:p>
        </w:tc>
        <w:tc>
          <w:tcPr>
            <w:tcW w:w="800" w:type="dxa"/>
          </w:tcPr>
          <w:p w14:paraId="79C49A5C"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14:paraId="0662A560"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14:paraId="116F015C"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14:paraId="6A93E3B6"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14:paraId="4693AD49"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14:paraId="2A6BA02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14:paraId="7DEB37A7"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14:paraId="43C2F2C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14:paraId="28E9D3D4"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14:paraId="2D7043A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14:paraId="46E157FB"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14:paraId="4DF915FE"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14:paraId="67CD9AF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23/06/</w:t>
            </w:r>
          </w:p>
          <w:p w14:paraId="55C00DCA"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14:paraId="43DDE077" w14:textId="77777777"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1" w:type="dxa"/>
          </w:tcPr>
          <w:p w14:paraId="31F90627" w14:textId="77777777"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0" w:type="dxa"/>
          </w:tcPr>
          <w:p w14:paraId="396DE69A" w14:textId="77777777"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1" w:type="dxa"/>
          </w:tcPr>
          <w:p w14:paraId="48347304" w14:textId="77777777"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0" w:type="dxa"/>
          </w:tcPr>
          <w:p w14:paraId="1F2D4ED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7/11/</w:t>
            </w:r>
          </w:p>
          <w:p w14:paraId="2835BD7C"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2026</w:t>
            </w:r>
          </w:p>
        </w:tc>
        <w:tc>
          <w:tcPr>
            <w:tcW w:w="801" w:type="dxa"/>
          </w:tcPr>
          <w:p w14:paraId="30B306CE"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23/01/</w:t>
            </w:r>
          </w:p>
          <w:p w14:paraId="5F18CE9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0" w:type="dxa"/>
          </w:tcPr>
          <w:p w14:paraId="55BB9608"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14:paraId="18779CCE"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1" w:type="dxa"/>
          </w:tcPr>
          <w:p w14:paraId="3FC753E4"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14:paraId="5CEA2F7D"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0" w:type="dxa"/>
          </w:tcPr>
          <w:p w14:paraId="1F2CAA3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14:paraId="0F8A2D90"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1" w:type="dxa"/>
          </w:tcPr>
          <w:p w14:paraId="4302A848"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14:paraId="57FEAA1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r>
      <w:tr w:rsidR="00B740A8" w:rsidRPr="00C73365" w14:paraId="0248AA03" w14:textId="77777777" w:rsidTr="00D1541A">
        <w:trPr>
          <w:trHeight w:val="20"/>
        </w:trPr>
        <w:tc>
          <w:tcPr>
            <w:tcW w:w="1129" w:type="dxa"/>
          </w:tcPr>
          <w:p w14:paraId="7B2583D2" w14:textId="77777777" w:rsidR="00B740A8" w:rsidRPr="00C73365" w:rsidRDefault="00B740A8" w:rsidP="00D1541A">
            <w:pPr>
              <w:rPr>
                <w:rFonts w:asciiTheme="minorHAnsi" w:hAnsiTheme="minorHAnsi" w:cstheme="minorHAnsi"/>
                <w:b/>
                <w:sz w:val="16"/>
                <w:szCs w:val="16"/>
                <w:lang w:val="fr-FR"/>
              </w:rPr>
            </w:pPr>
            <w:r w:rsidRPr="00C73365">
              <w:rPr>
                <w:rFonts w:asciiTheme="minorHAnsi" w:hAnsiTheme="minorHAnsi" w:cstheme="minorHAnsi"/>
                <w:b/>
                <w:sz w:val="16"/>
                <w:szCs w:val="16"/>
                <w:lang w:val="fr-FR"/>
              </w:rPr>
              <w:t>Prix de souscription ou d</w:t>
            </w:r>
            <w:r w:rsidR="004572A0" w:rsidRPr="00C73365">
              <w:rPr>
                <w:rFonts w:asciiTheme="minorHAnsi" w:hAnsiTheme="minorHAnsi" w:cstheme="minorHAnsi"/>
                <w:b/>
                <w:sz w:val="16"/>
                <w:szCs w:val="16"/>
                <w:lang w:val="fr-FR"/>
              </w:rPr>
              <w:t>’</w:t>
            </w:r>
            <w:r w:rsidRPr="00C73365">
              <w:rPr>
                <w:rFonts w:asciiTheme="minorHAnsi" w:hAnsiTheme="minorHAnsi" w:cstheme="minorHAnsi"/>
                <w:b/>
                <w:sz w:val="16"/>
                <w:szCs w:val="16"/>
                <w:lang w:val="fr-FR"/>
              </w:rPr>
              <w:t>achat</w:t>
            </w:r>
          </w:p>
        </w:tc>
        <w:tc>
          <w:tcPr>
            <w:tcW w:w="800" w:type="dxa"/>
          </w:tcPr>
          <w:p w14:paraId="693EFA82"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301D4ABC"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6EC8CB49"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282BAA2E"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2E2C6786"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788C5E16"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3C026D1A"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442042B4"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24ABDF70"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70A7A2AD"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6A18C2A0"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52EF7706"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47B60788"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2D4BCAE4"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4FB3688A"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30BE5C90"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11F1BF68"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14:paraId="3A39CFCF" w14:textId="77777777" w:rsidTr="00D1541A">
        <w:trPr>
          <w:trHeight w:val="20"/>
        </w:trPr>
        <w:tc>
          <w:tcPr>
            <w:tcW w:w="1129" w:type="dxa"/>
          </w:tcPr>
          <w:p w14:paraId="38AEF587"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Prix d’exercice par action</w:t>
            </w:r>
          </w:p>
        </w:tc>
        <w:tc>
          <w:tcPr>
            <w:tcW w:w="800" w:type="dxa"/>
          </w:tcPr>
          <w:p w14:paraId="2B0E1DFA"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14:paraId="57A0D9C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14:paraId="50D0B9C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14:paraId="72750B58"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14:paraId="0F41244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14:paraId="511AAF8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14:paraId="07CDD805"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12,5</w:t>
            </w:r>
          </w:p>
        </w:tc>
        <w:tc>
          <w:tcPr>
            <w:tcW w:w="800" w:type="dxa"/>
          </w:tcPr>
          <w:p w14:paraId="7EE4EDD6"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1" w:type="dxa"/>
          </w:tcPr>
          <w:p w14:paraId="2F852986"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0" w:type="dxa"/>
          </w:tcPr>
          <w:p w14:paraId="2296BA0C"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1" w:type="dxa"/>
          </w:tcPr>
          <w:p w14:paraId="0B6C12F6"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0" w:type="dxa"/>
          </w:tcPr>
          <w:p w14:paraId="4C202E79"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7,44</w:t>
            </w:r>
          </w:p>
        </w:tc>
        <w:tc>
          <w:tcPr>
            <w:tcW w:w="801" w:type="dxa"/>
          </w:tcPr>
          <w:p w14:paraId="09A3C04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6,39</w:t>
            </w:r>
          </w:p>
        </w:tc>
        <w:tc>
          <w:tcPr>
            <w:tcW w:w="800" w:type="dxa"/>
          </w:tcPr>
          <w:p w14:paraId="6A1377D2"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1" w:type="dxa"/>
          </w:tcPr>
          <w:p w14:paraId="07E896F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0" w:type="dxa"/>
          </w:tcPr>
          <w:p w14:paraId="00F38BB9"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1" w:type="dxa"/>
          </w:tcPr>
          <w:p w14:paraId="1A43E877"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r>
      <w:tr w:rsidR="00B740A8" w:rsidRPr="00C73365" w14:paraId="639BA27A" w14:textId="77777777" w:rsidTr="00D1541A">
        <w:trPr>
          <w:trHeight w:val="20"/>
        </w:trPr>
        <w:tc>
          <w:tcPr>
            <w:tcW w:w="1129" w:type="dxa"/>
          </w:tcPr>
          <w:p w14:paraId="56E60E7A"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Modalités d’exercice</w:t>
            </w:r>
          </w:p>
        </w:tc>
        <w:tc>
          <w:tcPr>
            <w:tcW w:w="800" w:type="dxa"/>
          </w:tcPr>
          <w:p w14:paraId="52C65169"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(1)</w:t>
            </w:r>
          </w:p>
        </w:tc>
        <w:tc>
          <w:tcPr>
            <w:tcW w:w="800" w:type="dxa"/>
          </w:tcPr>
          <w:p w14:paraId="1D2E02FC"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highlight w:val="yellow"/>
              </w:rPr>
              <w:br/>
            </w:r>
            <w:r w:rsidRPr="00C73365">
              <w:rPr>
                <w:rFonts w:asciiTheme="minorHAnsi" w:hAnsiTheme="minorHAnsi" w:cstheme="minorHAnsi"/>
                <w:sz w:val="13"/>
                <w:szCs w:val="13"/>
              </w:rPr>
              <w:t>Note (2)</w:t>
            </w:r>
          </w:p>
        </w:tc>
        <w:tc>
          <w:tcPr>
            <w:tcW w:w="801" w:type="dxa"/>
          </w:tcPr>
          <w:p w14:paraId="09354F39" w14:textId="77777777" w:rsidR="00B740A8" w:rsidRPr="00C73365" w:rsidRDefault="00B740A8" w:rsidP="00D1541A">
            <w:pPr>
              <w:rPr>
                <w:rFonts w:asciiTheme="minorHAnsi" w:hAnsiTheme="minorHAnsi" w:cstheme="minorHAnsi"/>
                <w:sz w:val="13"/>
                <w:szCs w:val="13"/>
              </w:rPr>
            </w:pPr>
          </w:p>
        </w:tc>
        <w:tc>
          <w:tcPr>
            <w:tcW w:w="800" w:type="dxa"/>
          </w:tcPr>
          <w:p w14:paraId="5D2CF0BB"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(3)</w:t>
            </w:r>
          </w:p>
        </w:tc>
        <w:tc>
          <w:tcPr>
            <w:tcW w:w="801" w:type="dxa"/>
          </w:tcPr>
          <w:p w14:paraId="201C2A86"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r>
          </w:p>
        </w:tc>
        <w:tc>
          <w:tcPr>
            <w:tcW w:w="800" w:type="dxa"/>
          </w:tcPr>
          <w:p w14:paraId="7398226E"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(4)</w:t>
            </w:r>
          </w:p>
        </w:tc>
        <w:tc>
          <w:tcPr>
            <w:tcW w:w="801" w:type="dxa"/>
          </w:tcPr>
          <w:p w14:paraId="2E6DC84E"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(5)</w:t>
            </w:r>
          </w:p>
        </w:tc>
        <w:tc>
          <w:tcPr>
            <w:tcW w:w="800" w:type="dxa"/>
          </w:tcPr>
          <w:p w14:paraId="44AA1301"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1" w:type="dxa"/>
          </w:tcPr>
          <w:p w14:paraId="4BA7EFD2"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0" w:type="dxa"/>
          </w:tcPr>
          <w:p w14:paraId="04A818B2"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1" w:type="dxa"/>
          </w:tcPr>
          <w:p w14:paraId="3FC80A21"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0" w:type="dxa"/>
          </w:tcPr>
          <w:p w14:paraId="783966EE"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Note (6)</w:t>
            </w:r>
          </w:p>
        </w:tc>
        <w:tc>
          <w:tcPr>
            <w:tcW w:w="801" w:type="dxa"/>
          </w:tcPr>
          <w:p w14:paraId="4D2EBB96"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(7)</w:t>
            </w:r>
          </w:p>
        </w:tc>
        <w:tc>
          <w:tcPr>
            <w:tcW w:w="800" w:type="dxa"/>
          </w:tcPr>
          <w:p w14:paraId="14DF3E8A"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(8)</w:t>
            </w:r>
          </w:p>
        </w:tc>
        <w:tc>
          <w:tcPr>
            <w:tcW w:w="801" w:type="dxa"/>
          </w:tcPr>
          <w:p w14:paraId="536EEDD4"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(9)</w:t>
            </w:r>
          </w:p>
        </w:tc>
        <w:tc>
          <w:tcPr>
            <w:tcW w:w="800" w:type="dxa"/>
          </w:tcPr>
          <w:p w14:paraId="61A6B29C"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(10)</w:t>
            </w:r>
          </w:p>
        </w:tc>
        <w:tc>
          <w:tcPr>
            <w:tcW w:w="801" w:type="dxa"/>
          </w:tcPr>
          <w:p w14:paraId="531EE748" w14:textId="77777777"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(11)</w:t>
            </w:r>
          </w:p>
        </w:tc>
      </w:tr>
      <w:tr w:rsidR="00B740A8" w:rsidRPr="00C73365" w14:paraId="68C49C10" w14:textId="77777777" w:rsidTr="00D1541A">
        <w:trPr>
          <w:trHeight w:val="20"/>
        </w:trPr>
        <w:tc>
          <w:tcPr>
            <w:tcW w:w="1129" w:type="dxa"/>
          </w:tcPr>
          <w:p w14:paraId="64B4FCAF"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Nombre d’actions souscrites</w:t>
            </w:r>
          </w:p>
        </w:tc>
        <w:tc>
          <w:tcPr>
            <w:tcW w:w="800" w:type="dxa"/>
          </w:tcPr>
          <w:p w14:paraId="0E4EA1AA"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799CB34C" w14:textId="77777777" w:rsidR="00B740A8" w:rsidRPr="00C73365" w:rsidRDefault="00B740A8" w:rsidP="00D1541A">
            <w:pPr>
              <w:rPr>
                <w:rFonts w:asciiTheme="minorHAnsi" w:hAnsiTheme="minorHAnsi" w:cstheme="minorHAnsi"/>
                <w:sz w:val="14"/>
                <w:szCs w:val="14"/>
                <w:highlight w:val="yellow"/>
              </w:rPr>
            </w:pPr>
            <w:r w:rsidRPr="00C73365">
              <w:rPr>
                <w:rFonts w:asciiTheme="minorHAnsi" w:hAnsiTheme="minorHAnsi" w:cstheme="minorHAnsi"/>
                <w:sz w:val="14"/>
                <w:szCs w:val="14"/>
              </w:rPr>
              <w:t>80.000</w:t>
            </w:r>
          </w:p>
        </w:tc>
        <w:tc>
          <w:tcPr>
            <w:tcW w:w="801" w:type="dxa"/>
          </w:tcPr>
          <w:p w14:paraId="0B9761D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21.355</w:t>
            </w:r>
          </w:p>
        </w:tc>
        <w:tc>
          <w:tcPr>
            <w:tcW w:w="800" w:type="dxa"/>
          </w:tcPr>
          <w:p w14:paraId="49908ED4"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10.000</w:t>
            </w:r>
          </w:p>
        </w:tc>
        <w:tc>
          <w:tcPr>
            <w:tcW w:w="801" w:type="dxa"/>
          </w:tcPr>
          <w:p w14:paraId="49C4372D"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2.800</w:t>
            </w:r>
          </w:p>
        </w:tc>
        <w:tc>
          <w:tcPr>
            <w:tcW w:w="800" w:type="dxa"/>
          </w:tcPr>
          <w:p w14:paraId="0785A33A"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2CD38E6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4B0C122A"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2921A6EE"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0B0DD1DB"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2C38666C"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0ABE08FE"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2.501</w:t>
            </w:r>
          </w:p>
        </w:tc>
        <w:tc>
          <w:tcPr>
            <w:tcW w:w="801" w:type="dxa"/>
          </w:tcPr>
          <w:p w14:paraId="376B9DE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3694EE59"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0A88A0DB"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368FA0D7"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3F1A232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14:paraId="633AA787" w14:textId="77777777" w:rsidTr="00D1541A">
        <w:trPr>
          <w:trHeight w:val="20"/>
        </w:trPr>
        <w:tc>
          <w:tcPr>
            <w:tcW w:w="1129" w:type="dxa"/>
          </w:tcPr>
          <w:p w14:paraId="59A3F16B"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Bénéficiaires</w:t>
            </w:r>
          </w:p>
        </w:tc>
        <w:tc>
          <w:tcPr>
            <w:tcW w:w="800" w:type="dxa"/>
          </w:tcPr>
          <w:p w14:paraId="01718D63" w14:textId="77777777" w:rsidR="00B740A8" w:rsidRPr="00C73365" w:rsidRDefault="00B740A8" w:rsidP="00D1541A">
            <w:pPr>
              <w:rPr>
                <w:rFonts w:asciiTheme="minorHAnsi" w:hAnsiTheme="minorHAnsi" w:cstheme="minorHAnsi"/>
                <w:sz w:val="14"/>
                <w:szCs w:val="14"/>
              </w:rPr>
            </w:pPr>
          </w:p>
        </w:tc>
        <w:tc>
          <w:tcPr>
            <w:tcW w:w="800" w:type="dxa"/>
          </w:tcPr>
          <w:p w14:paraId="7C49B793" w14:textId="77777777" w:rsidR="00B740A8" w:rsidRPr="00C73365" w:rsidRDefault="00B740A8" w:rsidP="00D1541A">
            <w:pPr>
              <w:rPr>
                <w:rFonts w:asciiTheme="minorHAnsi" w:hAnsiTheme="minorHAnsi" w:cstheme="minorHAnsi"/>
                <w:sz w:val="14"/>
                <w:szCs w:val="14"/>
              </w:rPr>
            </w:pPr>
          </w:p>
        </w:tc>
        <w:tc>
          <w:tcPr>
            <w:tcW w:w="801" w:type="dxa"/>
          </w:tcPr>
          <w:p w14:paraId="33146D7A" w14:textId="77777777" w:rsidR="00B740A8" w:rsidRPr="00C73365" w:rsidRDefault="00B740A8" w:rsidP="00D1541A">
            <w:pPr>
              <w:rPr>
                <w:rFonts w:asciiTheme="minorHAnsi" w:hAnsiTheme="minorHAnsi" w:cstheme="minorHAnsi"/>
                <w:sz w:val="14"/>
                <w:szCs w:val="14"/>
              </w:rPr>
            </w:pPr>
          </w:p>
        </w:tc>
        <w:tc>
          <w:tcPr>
            <w:tcW w:w="800" w:type="dxa"/>
          </w:tcPr>
          <w:p w14:paraId="31B8B611" w14:textId="77777777" w:rsidR="00B740A8" w:rsidRPr="00C73365" w:rsidRDefault="00B740A8" w:rsidP="00D1541A">
            <w:pPr>
              <w:rPr>
                <w:rFonts w:asciiTheme="minorHAnsi" w:hAnsiTheme="minorHAnsi" w:cstheme="minorHAnsi"/>
                <w:sz w:val="14"/>
                <w:szCs w:val="14"/>
              </w:rPr>
            </w:pPr>
          </w:p>
        </w:tc>
        <w:tc>
          <w:tcPr>
            <w:tcW w:w="801" w:type="dxa"/>
          </w:tcPr>
          <w:p w14:paraId="162D6E5D" w14:textId="77777777" w:rsidR="00B740A8" w:rsidRPr="00C73365" w:rsidRDefault="00B740A8" w:rsidP="00D1541A">
            <w:pPr>
              <w:rPr>
                <w:rFonts w:asciiTheme="minorHAnsi" w:hAnsiTheme="minorHAnsi" w:cstheme="minorHAnsi"/>
                <w:sz w:val="14"/>
                <w:szCs w:val="14"/>
              </w:rPr>
            </w:pPr>
          </w:p>
        </w:tc>
        <w:tc>
          <w:tcPr>
            <w:tcW w:w="800" w:type="dxa"/>
          </w:tcPr>
          <w:p w14:paraId="67EFA47F" w14:textId="77777777" w:rsidR="00B740A8" w:rsidRPr="00C73365" w:rsidRDefault="00B740A8" w:rsidP="00D1541A">
            <w:pPr>
              <w:rPr>
                <w:rFonts w:asciiTheme="minorHAnsi" w:hAnsiTheme="minorHAnsi" w:cstheme="minorHAnsi"/>
                <w:sz w:val="14"/>
                <w:szCs w:val="14"/>
              </w:rPr>
            </w:pPr>
          </w:p>
        </w:tc>
        <w:tc>
          <w:tcPr>
            <w:tcW w:w="801" w:type="dxa"/>
          </w:tcPr>
          <w:p w14:paraId="6F869D9C" w14:textId="77777777" w:rsidR="00B740A8" w:rsidRPr="00C73365" w:rsidRDefault="00B740A8" w:rsidP="00D1541A">
            <w:pPr>
              <w:rPr>
                <w:rFonts w:asciiTheme="minorHAnsi" w:hAnsiTheme="minorHAnsi" w:cstheme="minorHAnsi"/>
                <w:sz w:val="14"/>
                <w:szCs w:val="14"/>
              </w:rPr>
            </w:pPr>
          </w:p>
        </w:tc>
        <w:tc>
          <w:tcPr>
            <w:tcW w:w="800" w:type="dxa"/>
          </w:tcPr>
          <w:p w14:paraId="1A596515" w14:textId="77777777" w:rsidR="00B740A8" w:rsidRPr="00C73365" w:rsidRDefault="00B740A8" w:rsidP="00D1541A">
            <w:pPr>
              <w:rPr>
                <w:rFonts w:asciiTheme="minorHAnsi" w:hAnsiTheme="minorHAnsi" w:cstheme="minorHAnsi"/>
                <w:sz w:val="14"/>
                <w:szCs w:val="14"/>
              </w:rPr>
            </w:pPr>
          </w:p>
        </w:tc>
        <w:tc>
          <w:tcPr>
            <w:tcW w:w="801" w:type="dxa"/>
          </w:tcPr>
          <w:p w14:paraId="72879065" w14:textId="77777777" w:rsidR="00B740A8" w:rsidRPr="00C73365" w:rsidRDefault="00B740A8" w:rsidP="00D1541A">
            <w:pPr>
              <w:rPr>
                <w:rFonts w:asciiTheme="minorHAnsi" w:hAnsiTheme="minorHAnsi" w:cstheme="minorHAnsi"/>
                <w:sz w:val="14"/>
                <w:szCs w:val="14"/>
              </w:rPr>
            </w:pPr>
          </w:p>
        </w:tc>
        <w:tc>
          <w:tcPr>
            <w:tcW w:w="800" w:type="dxa"/>
          </w:tcPr>
          <w:p w14:paraId="55BB749E" w14:textId="77777777" w:rsidR="00B740A8" w:rsidRPr="00C73365" w:rsidRDefault="00B740A8" w:rsidP="00D1541A">
            <w:pPr>
              <w:rPr>
                <w:rFonts w:asciiTheme="minorHAnsi" w:hAnsiTheme="minorHAnsi" w:cstheme="minorHAnsi"/>
                <w:sz w:val="14"/>
                <w:szCs w:val="14"/>
              </w:rPr>
            </w:pPr>
          </w:p>
        </w:tc>
        <w:tc>
          <w:tcPr>
            <w:tcW w:w="801" w:type="dxa"/>
          </w:tcPr>
          <w:p w14:paraId="1375AA0B" w14:textId="77777777" w:rsidR="00B740A8" w:rsidRPr="00C73365" w:rsidRDefault="00B740A8" w:rsidP="00D1541A">
            <w:pPr>
              <w:rPr>
                <w:rFonts w:asciiTheme="minorHAnsi" w:hAnsiTheme="minorHAnsi" w:cstheme="minorHAnsi"/>
                <w:sz w:val="14"/>
                <w:szCs w:val="14"/>
              </w:rPr>
            </w:pPr>
          </w:p>
        </w:tc>
        <w:tc>
          <w:tcPr>
            <w:tcW w:w="800" w:type="dxa"/>
          </w:tcPr>
          <w:p w14:paraId="240916E7" w14:textId="77777777" w:rsidR="00B740A8" w:rsidRPr="00C73365" w:rsidRDefault="00B740A8" w:rsidP="00D1541A">
            <w:pPr>
              <w:rPr>
                <w:rFonts w:asciiTheme="minorHAnsi" w:hAnsiTheme="minorHAnsi" w:cstheme="minorHAnsi"/>
                <w:sz w:val="14"/>
                <w:szCs w:val="14"/>
              </w:rPr>
            </w:pPr>
          </w:p>
        </w:tc>
        <w:tc>
          <w:tcPr>
            <w:tcW w:w="801" w:type="dxa"/>
          </w:tcPr>
          <w:p w14:paraId="0BC06A85" w14:textId="77777777" w:rsidR="00B740A8" w:rsidRPr="00C73365" w:rsidRDefault="00B740A8" w:rsidP="00D1541A">
            <w:pPr>
              <w:rPr>
                <w:rFonts w:asciiTheme="minorHAnsi" w:hAnsiTheme="minorHAnsi" w:cstheme="minorHAnsi"/>
                <w:sz w:val="14"/>
                <w:szCs w:val="14"/>
              </w:rPr>
            </w:pPr>
          </w:p>
        </w:tc>
        <w:tc>
          <w:tcPr>
            <w:tcW w:w="800" w:type="dxa"/>
          </w:tcPr>
          <w:p w14:paraId="6FC3388B" w14:textId="77777777" w:rsidR="00B740A8" w:rsidRPr="00C73365" w:rsidRDefault="00B740A8" w:rsidP="00D1541A">
            <w:pPr>
              <w:rPr>
                <w:rFonts w:asciiTheme="minorHAnsi" w:hAnsiTheme="minorHAnsi" w:cstheme="minorHAnsi"/>
                <w:sz w:val="14"/>
                <w:szCs w:val="14"/>
              </w:rPr>
            </w:pPr>
          </w:p>
        </w:tc>
        <w:tc>
          <w:tcPr>
            <w:tcW w:w="801" w:type="dxa"/>
          </w:tcPr>
          <w:p w14:paraId="2F5D3099" w14:textId="77777777" w:rsidR="00B740A8" w:rsidRPr="00C73365" w:rsidRDefault="00B740A8" w:rsidP="00D1541A">
            <w:pPr>
              <w:rPr>
                <w:rFonts w:asciiTheme="minorHAnsi" w:hAnsiTheme="minorHAnsi" w:cstheme="minorHAnsi"/>
                <w:sz w:val="14"/>
                <w:szCs w:val="14"/>
              </w:rPr>
            </w:pPr>
          </w:p>
        </w:tc>
        <w:tc>
          <w:tcPr>
            <w:tcW w:w="800" w:type="dxa"/>
          </w:tcPr>
          <w:p w14:paraId="251E1A0D" w14:textId="77777777" w:rsidR="00B740A8" w:rsidRPr="00C73365" w:rsidRDefault="00B740A8" w:rsidP="00D1541A">
            <w:pPr>
              <w:rPr>
                <w:rFonts w:asciiTheme="minorHAnsi" w:hAnsiTheme="minorHAnsi" w:cstheme="minorHAnsi"/>
                <w:sz w:val="14"/>
                <w:szCs w:val="14"/>
              </w:rPr>
            </w:pPr>
          </w:p>
        </w:tc>
        <w:tc>
          <w:tcPr>
            <w:tcW w:w="801" w:type="dxa"/>
          </w:tcPr>
          <w:p w14:paraId="0EDA2E9B" w14:textId="77777777" w:rsidR="00B740A8" w:rsidRPr="00C73365" w:rsidRDefault="00B740A8" w:rsidP="00D1541A">
            <w:pPr>
              <w:rPr>
                <w:rFonts w:asciiTheme="minorHAnsi" w:hAnsiTheme="minorHAnsi" w:cstheme="minorHAnsi"/>
                <w:sz w:val="14"/>
                <w:szCs w:val="14"/>
              </w:rPr>
            </w:pPr>
          </w:p>
        </w:tc>
      </w:tr>
      <w:tr w:rsidR="00B740A8" w:rsidRPr="00C73365" w14:paraId="0B88E33D" w14:textId="77777777" w:rsidTr="00D1541A">
        <w:trPr>
          <w:trHeight w:val="20"/>
        </w:trPr>
        <w:tc>
          <w:tcPr>
            <w:tcW w:w="1129" w:type="dxa"/>
          </w:tcPr>
          <w:p w14:paraId="5C39E139"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Philippe Pouletty</w:t>
            </w:r>
          </w:p>
        </w:tc>
        <w:tc>
          <w:tcPr>
            <w:tcW w:w="800" w:type="dxa"/>
          </w:tcPr>
          <w:p w14:paraId="33823939"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275.000</w:t>
            </w:r>
          </w:p>
        </w:tc>
        <w:tc>
          <w:tcPr>
            <w:tcW w:w="800" w:type="dxa"/>
          </w:tcPr>
          <w:p w14:paraId="25DA20AB" w14:textId="77777777" w:rsidR="00B740A8" w:rsidRPr="00C73365" w:rsidRDefault="00B740A8" w:rsidP="00D1541A">
            <w:pPr>
              <w:rPr>
                <w:rFonts w:asciiTheme="minorHAnsi" w:hAnsiTheme="minorHAnsi" w:cstheme="minorHAnsi"/>
                <w:sz w:val="14"/>
                <w:szCs w:val="14"/>
              </w:rPr>
            </w:pPr>
          </w:p>
        </w:tc>
        <w:tc>
          <w:tcPr>
            <w:tcW w:w="801" w:type="dxa"/>
          </w:tcPr>
          <w:p w14:paraId="3C23F53F" w14:textId="77777777" w:rsidR="00B740A8" w:rsidRPr="00C73365" w:rsidRDefault="00B740A8" w:rsidP="00D1541A">
            <w:pPr>
              <w:rPr>
                <w:rFonts w:asciiTheme="minorHAnsi" w:hAnsiTheme="minorHAnsi" w:cstheme="minorHAnsi"/>
                <w:sz w:val="14"/>
                <w:szCs w:val="14"/>
              </w:rPr>
            </w:pPr>
          </w:p>
        </w:tc>
        <w:tc>
          <w:tcPr>
            <w:tcW w:w="800" w:type="dxa"/>
          </w:tcPr>
          <w:p w14:paraId="4A844369" w14:textId="77777777" w:rsidR="00B740A8" w:rsidRPr="00C73365" w:rsidRDefault="00B740A8" w:rsidP="00D1541A">
            <w:pPr>
              <w:rPr>
                <w:rFonts w:asciiTheme="minorHAnsi" w:hAnsiTheme="minorHAnsi" w:cstheme="minorHAnsi"/>
                <w:sz w:val="14"/>
                <w:szCs w:val="14"/>
              </w:rPr>
            </w:pPr>
          </w:p>
        </w:tc>
        <w:tc>
          <w:tcPr>
            <w:tcW w:w="801" w:type="dxa"/>
          </w:tcPr>
          <w:p w14:paraId="4F1ADE99" w14:textId="77777777" w:rsidR="00B740A8" w:rsidRPr="00C73365" w:rsidRDefault="00B740A8" w:rsidP="00D1541A">
            <w:pPr>
              <w:rPr>
                <w:rFonts w:asciiTheme="minorHAnsi" w:hAnsiTheme="minorHAnsi" w:cstheme="minorHAnsi"/>
                <w:sz w:val="14"/>
                <w:szCs w:val="14"/>
              </w:rPr>
            </w:pPr>
          </w:p>
        </w:tc>
        <w:tc>
          <w:tcPr>
            <w:tcW w:w="800" w:type="dxa"/>
          </w:tcPr>
          <w:p w14:paraId="54DA6A0C" w14:textId="77777777" w:rsidR="00B740A8" w:rsidRPr="00C73365" w:rsidRDefault="00B740A8" w:rsidP="00D1541A">
            <w:pPr>
              <w:rPr>
                <w:rFonts w:asciiTheme="minorHAnsi" w:hAnsiTheme="minorHAnsi" w:cstheme="minorHAnsi"/>
                <w:sz w:val="14"/>
                <w:szCs w:val="14"/>
              </w:rPr>
            </w:pPr>
          </w:p>
        </w:tc>
        <w:tc>
          <w:tcPr>
            <w:tcW w:w="801" w:type="dxa"/>
          </w:tcPr>
          <w:p w14:paraId="5A233FB9" w14:textId="77777777" w:rsidR="00B740A8" w:rsidRPr="00C73365" w:rsidRDefault="00B740A8" w:rsidP="00D1541A">
            <w:pPr>
              <w:rPr>
                <w:rFonts w:asciiTheme="minorHAnsi" w:hAnsiTheme="minorHAnsi" w:cstheme="minorHAnsi"/>
                <w:sz w:val="14"/>
                <w:szCs w:val="14"/>
              </w:rPr>
            </w:pPr>
          </w:p>
        </w:tc>
        <w:tc>
          <w:tcPr>
            <w:tcW w:w="800" w:type="dxa"/>
          </w:tcPr>
          <w:p w14:paraId="15509598" w14:textId="77777777" w:rsidR="00B740A8" w:rsidRPr="00C73365" w:rsidRDefault="00B740A8" w:rsidP="00D1541A">
            <w:pPr>
              <w:rPr>
                <w:rFonts w:asciiTheme="minorHAnsi" w:hAnsiTheme="minorHAnsi" w:cstheme="minorHAnsi"/>
                <w:sz w:val="14"/>
                <w:szCs w:val="14"/>
              </w:rPr>
            </w:pPr>
          </w:p>
        </w:tc>
        <w:tc>
          <w:tcPr>
            <w:tcW w:w="801" w:type="dxa"/>
          </w:tcPr>
          <w:p w14:paraId="4F87A596" w14:textId="77777777" w:rsidR="00B740A8" w:rsidRPr="00C73365" w:rsidRDefault="00B740A8" w:rsidP="00D1541A">
            <w:pPr>
              <w:rPr>
                <w:rFonts w:asciiTheme="minorHAnsi" w:hAnsiTheme="minorHAnsi" w:cstheme="minorHAnsi"/>
                <w:sz w:val="14"/>
                <w:szCs w:val="14"/>
              </w:rPr>
            </w:pPr>
          </w:p>
        </w:tc>
        <w:tc>
          <w:tcPr>
            <w:tcW w:w="800" w:type="dxa"/>
          </w:tcPr>
          <w:p w14:paraId="21E83C44" w14:textId="77777777" w:rsidR="00B740A8" w:rsidRPr="00C73365" w:rsidRDefault="00B740A8" w:rsidP="00D1541A">
            <w:pPr>
              <w:rPr>
                <w:rFonts w:asciiTheme="minorHAnsi" w:hAnsiTheme="minorHAnsi" w:cstheme="minorHAnsi"/>
                <w:sz w:val="14"/>
                <w:szCs w:val="14"/>
              </w:rPr>
            </w:pPr>
          </w:p>
        </w:tc>
        <w:tc>
          <w:tcPr>
            <w:tcW w:w="801" w:type="dxa"/>
          </w:tcPr>
          <w:p w14:paraId="655CCF32" w14:textId="77777777" w:rsidR="00B740A8" w:rsidRPr="00C73365" w:rsidRDefault="00B740A8" w:rsidP="00D1541A">
            <w:pPr>
              <w:rPr>
                <w:rFonts w:asciiTheme="minorHAnsi" w:hAnsiTheme="minorHAnsi" w:cstheme="minorHAnsi"/>
                <w:sz w:val="14"/>
                <w:szCs w:val="14"/>
              </w:rPr>
            </w:pPr>
          </w:p>
        </w:tc>
        <w:tc>
          <w:tcPr>
            <w:tcW w:w="800" w:type="dxa"/>
          </w:tcPr>
          <w:p w14:paraId="3485B0D8" w14:textId="77777777" w:rsidR="00B740A8" w:rsidRPr="00C73365" w:rsidRDefault="00B740A8" w:rsidP="00D1541A">
            <w:pPr>
              <w:rPr>
                <w:rFonts w:asciiTheme="minorHAnsi" w:hAnsiTheme="minorHAnsi" w:cstheme="minorHAnsi"/>
                <w:sz w:val="14"/>
                <w:szCs w:val="14"/>
              </w:rPr>
            </w:pPr>
          </w:p>
        </w:tc>
        <w:tc>
          <w:tcPr>
            <w:tcW w:w="801" w:type="dxa"/>
          </w:tcPr>
          <w:p w14:paraId="07DE15BB" w14:textId="77777777" w:rsidR="00B740A8" w:rsidRPr="00C73365" w:rsidRDefault="00B740A8" w:rsidP="00D1541A">
            <w:pPr>
              <w:rPr>
                <w:rFonts w:asciiTheme="minorHAnsi" w:hAnsiTheme="minorHAnsi" w:cstheme="minorHAnsi"/>
                <w:sz w:val="14"/>
                <w:szCs w:val="14"/>
              </w:rPr>
            </w:pPr>
          </w:p>
        </w:tc>
        <w:tc>
          <w:tcPr>
            <w:tcW w:w="800" w:type="dxa"/>
          </w:tcPr>
          <w:p w14:paraId="6DF45071" w14:textId="77777777" w:rsidR="00B740A8" w:rsidRPr="00C73365" w:rsidRDefault="00B740A8" w:rsidP="00D1541A">
            <w:pPr>
              <w:rPr>
                <w:rFonts w:asciiTheme="minorHAnsi" w:hAnsiTheme="minorHAnsi" w:cstheme="minorHAnsi"/>
                <w:sz w:val="14"/>
                <w:szCs w:val="14"/>
              </w:rPr>
            </w:pPr>
          </w:p>
        </w:tc>
        <w:tc>
          <w:tcPr>
            <w:tcW w:w="801" w:type="dxa"/>
          </w:tcPr>
          <w:p w14:paraId="50BEF104" w14:textId="77777777" w:rsidR="00B740A8" w:rsidRPr="00C73365" w:rsidRDefault="00B740A8" w:rsidP="00D1541A">
            <w:pPr>
              <w:rPr>
                <w:rFonts w:asciiTheme="minorHAnsi" w:hAnsiTheme="minorHAnsi" w:cstheme="minorHAnsi"/>
                <w:sz w:val="14"/>
                <w:szCs w:val="14"/>
              </w:rPr>
            </w:pPr>
          </w:p>
        </w:tc>
        <w:tc>
          <w:tcPr>
            <w:tcW w:w="800" w:type="dxa"/>
          </w:tcPr>
          <w:p w14:paraId="48310AEF" w14:textId="77777777" w:rsidR="00B740A8" w:rsidRPr="00C73365" w:rsidRDefault="00B740A8" w:rsidP="00D1541A">
            <w:pPr>
              <w:rPr>
                <w:rFonts w:asciiTheme="minorHAnsi" w:hAnsiTheme="minorHAnsi" w:cstheme="minorHAnsi"/>
                <w:sz w:val="14"/>
                <w:szCs w:val="14"/>
              </w:rPr>
            </w:pPr>
          </w:p>
        </w:tc>
        <w:tc>
          <w:tcPr>
            <w:tcW w:w="801" w:type="dxa"/>
          </w:tcPr>
          <w:p w14:paraId="1C7D3C8E" w14:textId="77777777" w:rsidR="00B740A8" w:rsidRPr="00C73365" w:rsidRDefault="00B740A8" w:rsidP="00D1541A">
            <w:pPr>
              <w:rPr>
                <w:rFonts w:asciiTheme="minorHAnsi" w:hAnsiTheme="minorHAnsi" w:cstheme="minorHAnsi"/>
                <w:sz w:val="14"/>
                <w:szCs w:val="14"/>
              </w:rPr>
            </w:pPr>
          </w:p>
        </w:tc>
      </w:tr>
      <w:tr w:rsidR="00B740A8" w:rsidRPr="00C73365" w14:paraId="11877995" w14:textId="77777777" w:rsidTr="00D1541A">
        <w:trPr>
          <w:trHeight w:val="20"/>
        </w:trPr>
        <w:tc>
          <w:tcPr>
            <w:tcW w:w="1129" w:type="dxa"/>
          </w:tcPr>
          <w:p w14:paraId="1D8251DC"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Hartmut Ehrlich</w:t>
            </w:r>
          </w:p>
        </w:tc>
        <w:tc>
          <w:tcPr>
            <w:tcW w:w="800" w:type="dxa"/>
          </w:tcPr>
          <w:p w14:paraId="2B8B2F54" w14:textId="77777777" w:rsidR="00B740A8" w:rsidRPr="00C73365" w:rsidRDefault="00B740A8" w:rsidP="00D1541A">
            <w:pPr>
              <w:rPr>
                <w:rFonts w:asciiTheme="minorHAnsi" w:hAnsiTheme="minorHAnsi" w:cstheme="minorHAnsi"/>
                <w:sz w:val="14"/>
                <w:szCs w:val="14"/>
              </w:rPr>
            </w:pPr>
          </w:p>
        </w:tc>
        <w:tc>
          <w:tcPr>
            <w:tcW w:w="800" w:type="dxa"/>
          </w:tcPr>
          <w:p w14:paraId="15A36B28"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195.000</w:t>
            </w:r>
          </w:p>
        </w:tc>
        <w:tc>
          <w:tcPr>
            <w:tcW w:w="801" w:type="dxa"/>
          </w:tcPr>
          <w:p w14:paraId="39529581" w14:textId="77777777" w:rsidR="00B740A8" w:rsidRPr="00C73365" w:rsidRDefault="00B740A8" w:rsidP="00D1541A">
            <w:pPr>
              <w:rPr>
                <w:rFonts w:asciiTheme="minorHAnsi" w:hAnsiTheme="minorHAnsi" w:cstheme="minorHAnsi"/>
                <w:sz w:val="14"/>
                <w:szCs w:val="14"/>
              </w:rPr>
            </w:pPr>
          </w:p>
        </w:tc>
        <w:tc>
          <w:tcPr>
            <w:tcW w:w="800" w:type="dxa"/>
          </w:tcPr>
          <w:p w14:paraId="303E43A4" w14:textId="77777777" w:rsidR="00B740A8" w:rsidRPr="00C73365" w:rsidRDefault="00B740A8" w:rsidP="00D1541A">
            <w:pPr>
              <w:rPr>
                <w:rFonts w:asciiTheme="minorHAnsi" w:hAnsiTheme="minorHAnsi" w:cstheme="minorHAnsi"/>
                <w:sz w:val="14"/>
                <w:szCs w:val="14"/>
              </w:rPr>
            </w:pPr>
          </w:p>
        </w:tc>
        <w:tc>
          <w:tcPr>
            <w:tcW w:w="801" w:type="dxa"/>
          </w:tcPr>
          <w:p w14:paraId="5FB5B2E2" w14:textId="77777777" w:rsidR="00B740A8" w:rsidRPr="00C73365" w:rsidRDefault="00B740A8" w:rsidP="00D1541A">
            <w:pPr>
              <w:rPr>
                <w:rFonts w:asciiTheme="minorHAnsi" w:hAnsiTheme="minorHAnsi" w:cstheme="minorHAnsi"/>
                <w:sz w:val="14"/>
                <w:szCs w:val="14"/>
              </w:rPr>
            </w:pPr>
          </w:p>
        </w:tc>
        <w:tc>
          <w:tcPr>
            <w:tcW w:w="800" w:type="dxa"/>
          </w:tcPr>
          <w:p w14:paraId="589C6CCE" w14:textId="77777777" w:rsidR="00B740A8" w:rsidRPr="00C73365" w:rsidRDefault="00B740A8" w:rsidP="00D1541A">
            <w:pPr>
              <w:rPr>
                <w:rFonts w:asciiTheme="minorHAnsi" w:hAnsiTheme="minorHAnsi" w:cstheme="minorHAnsi"/>
                <w:sz w:val="14"/>
                <w:szCs w:val="14"/>
              </w:rPr>
            </w:pPr>
          </w:p>
        </w:tc>
        <w:tc>
          <w:tcPr>
            <w:tcW w:w="801" w:type="dxa"/>
          </w:tcPr>
          <w:p w14:paraId="0406F979" w14:textId="77777777" w:rsidR="00B740A8" w:rsidRPr="00C73365" w:rsidRDefault="00B740A8" w:rsidP="00D1541A">
            <w:pPr>
              <w:rPr>
                <w:rFonts w:asciiTheme="minorHAnsi" w:hAnsiTheme="minorHAnsi" w:cstheme="minorHAnsi"/>
                <w:sz w:val="14"/>
                <w:szCs w:val="14"/>
              </w:rPr>
            </w:pPr>
          </w:p>
        </w:tc>
        <w:tc>
          <w:tcPr>
            <w:tcW w:w="800" w:type="dxa"/>
          </w:tcPr>
          <w:p w14:paraId="1A9D5A3F" w14:textId="77777777" w:rsidR="00B740A8" w:rsidRPr="00C73365" w:rsidRDefault="00B740A8" w:rsidP="00D1541A">
            <w:pPr>
              <w:rPr>
                <w:rFonts w:asciiTheme="minorHAnsi" w:hAnsiTheme="minorHAnsi" w:cstheme="minorHAnsi"/>
                <w:sz w:val="14"/>
                <w:szCs w:val="14"/>
              </w:rPr>
            </w:pPr>
          </w:p>
        </w:tc>
        <w:tc>
          <w:tcPr>
            <w:tcW w:w="801" w:type="dxa"/>
          </w:tcPr>
          <w:p w14:paraId="219BDAB6" w14:textId="77777777" w:rsidR="00B740A8" w:rsidRPr="00C73365" w:rsidRDefault="00B740A8" w:rsidP="00D1541A">
            <w:pPr>
              <w:rPr>
                <w:rFonts w:asciiTheme="minorHAnsi" w:hAnsiTheme="minorHAnsi" w:cstheme="minorHAnsi"/>
                <w:sz w:val="14"/>
                <w:szCs w:val="14"/>
              </w:rPr>
            </w:pPr>
          </w:p>
        </w:tc>
        <w:tc>
          <w:tcPr>
            <w:tcW w:w="800" w:type="dxa"/>
          </w:tcPr>
          <w:p w14:paraId="732237F4" w14:textId="77777777" w:rsidR="00B740A8" w:rsidRPr="00C73365" w:rsidRDefault="00B740A8" w:rsidP="00D1541A">
            <w:pPr>
              <w:rPr>
                <w:rFonts w:asciiTheme="minorHAnsi" w:hAnsiTheme="minorHAnsi" w:cstheme="minorHAnsi"/>
                <w:sz w:val="14"/>
                <w:szCs w:val="14"/>
              </w:rPr>
            </w:pPr>
          </w:p>
        </w:tc>
        <w:tc>
          <w:tcPr>
            <w:tcW w:w="801" w:type="dxa"/>
          </w:tcPr>
          <w:p w14:paraId="02C9828E" w14:textId="77777777" w:rsidR="00B740A8" w:rsidRPr="00C73365" w:rsidRDefault="00B740A8" w:rsidP="00D1541A">
            <w:pPr>
              <w:rPr>
                <w:rFonts w:asciiTheme="minorHAnsi" w:hAnsiTheme="minorHAnsi" w:cstheme="minorHAnsi"/>
                <w:sz w:val="14"/>
                <w:szCs w:val="14"/>
              </w:rPr>
            </w:pPr>
          </w:p>
        </w:tc>
        <w:tc>
          <w:tcPr>
            <w:tcW w:w="800" w:type="dxa"/>
          </w:tcPr>
          <w:p w14:paraId="07A23F41" w14:textId="77777777" w:rsidR="00B740A8" w:rsidRPr="00C73365" w:rsidRDefault="00B740A8" w:rsidP="00D1541A">
            <w:pPr>
              <w:rPr>
                <w:rFonts w:asciiTheme="minorHAnsi" w:hAnsiTheme="minorHAnsi" w:cstheme="minorHAnsi"/>
                <w:sz w:val="14"/>
                <w:szCs w:val="14"/>
              </w:rPr>
            </w:pPr>
          </w:p>
        </w:tc>
        <w:tc>
          <w:tcPr>
            <w:tcW w:w="801" w:type="dxa"/>
          </w:tcPr>
          <w:p w14:paraId="766166E5" w14:textId="77777777" w:rsidR="00B740A8" w:rsidRPr="00C73365" w:rsidRDefault="00B740A8" w:rsidP="00D1541A">
            <w:pPr>
              <w:rPr>
                <w:rFonts w:asciiTheme="minorHAnsi" w:hAnsiTheme="minorHAnsi" w:cstheme="minorHAnsi"/>
                <w:sz w:val="14"/>
                <w:szCs w:val="14"/>
              </w:rPr>
            </w:pPr>
          </w:p>
        </w:tc>
        <w:tc>
          <w:tcPr>
            <w:tcW w:w="800" w:type="dxa"/>
          </w:tcPr>
          <w:p w14:paraId="11B55E90"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150.000</w:t>
            </w:r>
          </w:p>
        </w:tc>
        <w:tc>
          <w:tcPr>
            <w:tcW w:w="801" w:type="dxa"/>
          </w:tcPr>
          <w:p w14:paraId="75F97CEC" w14:textId="77777777" w:rsidR="00B740A8" w:rsidRPr="00C73365" w:rsidRDefault="00B740A8" w:rsidP="00D1541A">
            <w:pPr>
              <w:rPr>
                <w:rFonts w:asciiTheme="minorHAnsi" w:hAnsiTheme="minorHAnsi" w:cstheme="minorHAnsi"/>
                <w:sz w:val="14"/>
                <w:szCs w:val="14"/>
              </w:rPr>
            </w:pPr>
          </w:p>
        </w:tc>
        <w:tc>
          <w:tcPr>
            <w:tcW w:w="800" w:type="dxa"/>
          </w:tcPr>
          <w:p w14:paraId="7F3A55ED" w14:textId="77777777" w:rsidR="00B740A8" w:rsidRPr="00C73365" w:rsidRDefault="00B740A8" w:rsidP="00D1541A">
            <w:pPr>
              <w:rPr>
                <w:rFonts w:asciiTheme="minorHAnsi" w:hAnsiTheme="minorHAnsi" w:cstheme="minorHAnsi"/>
                <w:sz w:val="14"/>
                <w:szCs w:val="14"/>
              </w:rPr>
            </w:pPr>
          </w:p>
        </w:tc>
        <w:tc>
          <w:tcPr>
            <w:tcW w:w="801" w:type="dxa"/>
          </w:tcPr>
          <w:p w14:paraId="7BFF7063" w14:textId="77777777" w:rsidR="00B740A8" w:rsidRPr="00C73365" w:rsidRDefault="00B740A8" w:rsidP="00D1541A">
            <w:pPr>
              <w:rPr>
                <w:rFonts w:asciiTheme="minorHAnsi" w:hAnsiTheme="minorHAnsi" w:cstheme="minorHAnsi"/>
                <w:sz w:val="14"/>
                <w:szCs w:val="14"/>
              </w:rPr>
            </w:pPr>
          </w:p>
        </w:tc>
      </w:tr>
      <w:tr w:rsidR="00B740A8" w:rsidRPr="00C73365" w14:paraId="4F1B31CF" w14:textId="77777777" w:rsidTr="00D1541A">
        <w:trPr>
          <w:trHeight w:val="20"/>
        </w:trPr>
        <w:tc>
          <w:tcPr>
            <w:tcW w:w="1129" w:type="dxa"/>
          </w:tcPr>
          <w:p w14:paraId="15500719" w14:textId="77777777"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Autres</w:t>
            </w:r>
          </w:p>
        </w:tc>
        <w:tc>
          <w:tcPr>
            <w:tcW w:w="800" w:type="dxa"/>
          </w:tcPr>
          <w:p w14:paraId="3A2D05E0" w14:textId="77777777" w:rsidR="00B740A8" w:rsidRPr="00C73365" w:rsidRDefault="00B740A8" w:rsidP="00D1541A">
            <w:pPr>
              <w:rPr>
                <w:rFonts w:asciiTheme="minorHAnsi" w:hAnsiTheme="minorHAnsi" w:cstheme="minorHAnsi"/>
                <w:sz w:val="14"/>
                <w:szCs w:val="14"/>
              </w:rPr>
            </w:pPr>
          </w:p>
        </w:tc>
        <w:tc>
          <w:tcPr>
            <w:tcW w:w="800" w:type="dxa"/>
          </w:tcPr>
          <w:p w14:paraId="6C473A43" w14:textId="77777777" w:rsidR="00B740A8" w:rsidRPr="00C73365" w:rsidRDefault="00B740A8" w:rsidP="00D1541A">
            <w:pPr>
              <w:rPr>
                <w:rFonts w:asciiTheme="minorHAnsi" w:hAnsiTheme="minorHAnsi" w:cstheme="minorHAnsi"/>
                <w:sz w:val="14"/>
                <w:szCs w:val="14"/>
              </w:rPr>
            </w:pPr>
          </w:p>
        </w:tc>
        <w:tc>
          <w:tcPr>
            <w:tcW w:w="801" w:type="dxa"/>
          </w:tcPr>
          <w:p w14:paraId="03931F05" w14:textId="77777777" w:rsidR="00B740A8" w:rsidRPr="00C73365" w:rsidRDefault="00B740A8" w:rsidP="00D1541A">
            <w:pPr>
              <w:rPr>
                <w:rFonts w:asciiTheme="minorHAnsi" w:hAnsiTheme="minorHAnsi" w:cstheme="minorHAnsi"/>
                <w:sz w:val="14"/>
                <w:szCs w:val="14"/>
              </w:rPr>
            </w:pPr>
          </w:p>
        </w:tc>
        <w:tc>
          <w:tcPr>
            <w:tcW w:w="800" w:type="dxa"/>
          </w:tcPr>
          <w:p w14:paraId="3E19ADE7"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88.400</w:t>
            </w:r>
          </w:p>
        </w:tc>
        <w:tc>
          <w:tcPr>
            <w:tcW w:w="801" w:type="dxa"/>
          </w:tcPr>
          <w:p w14:paraId="7A313B66" w14:textId="77777777" w:rsidR="00B740A8" w:rsidRPr="00C73365" w:rsidRDefault="00B740A8" w:rsidP="00D1541A">
            <w:pPr>
              <w:rPr>
                <w:rFonts w:asciiTheme="minorHAnsi" w:hAnsiTheme="minorHAnsi" w:cstheme="minorHAnsi"/>
                <w:sz w:val="14"/>
                <w:szCs w:val="14"/>
              </w:rPr>
            </w:pPr>
          </w:p>
        </w:tc>
        <w:tc>
          <w:tcPr>
            <w:tcW w:w="800" w:type="dxa"/>
          </w:tcPr>
          <w:p w14:paraId="4DC0B901"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52.500</w:t>
            </w:r>
          </w:p>
        </w:tc>
        <w:tc>
          <w:tcPr>
            <w:tcW w:w="801" w:type="dxa"/>
          </w:tcPr>
          <w:p w14:paraId="75864C6D"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66.000</w:t>
            </w:r>
          </w:p>
        </w:tc>
        <w:tc>
          <w:tcPr>
            <w:tcW w:w="800" w:type="dxa"/>
          </w:tcPr>
          <w:p w14:paraId="3C2EF579" w14:textId="77777777" w:rsidR="00B740A8" w:rsidRPr="00C73365" w:rsidRDefault="00B740A8" w:rsidP="00D1541A">
            <w:pPr>
              <w:rPr>
                <w:rFonts w:asciiTheme="minorHAnsi" w:hAnsiTheme="minorHAnsi" w:cstheme="minorHAnsi"/>
                <w:sz w:val="14"/>
                <w:szCs w:val="14"/>
              </w:rPr>
            </w:pPr>
          </w:p>
        </w:tc>
        <w:tc>
          <w:tcPr>
            <w:tcW w:w="801" w:type="dxa"/>
          </w:tcPr>
          <w:p w14:paraId="708BF0CE" w14:textId="77777777" w:rsidR="00B740A8" w:rsidRPr="00C73365" w:rsidRDefault="00B740A8" w:rsidP="00D1541A">
            <w:pPr>
              <w:rPr>
                <w:rFonts w:asciiTheme="minorHAnsi" w:hAnsiTheme="minorHAnsi" w:cstheme="minorHAnsi"/>
                <w:sz w:val="14"/>
                <w:szCs w:val="14"/>
              </w:rPr>
            </w:pPr>
          </w:p>
        </w:tc>
        <w:tc>
          <w:tcPr>
            <w:tcW w:w="800" w:type="dxa"/>
          </w:tcPr>
          <w:p w14:paraId="43A20479" w14:textId="77777777" w:rsidR="00B740A8" w:rsidRPr="00C73365" w:rsidRDefault="00B740A8" w:rsidP="00D1541A">
            <w:pPr>
              <w:rPr>
                <w:rFonts w:asciiTheme="minorHAnsi" w:hAnsiTheme="minorHAnsi" w:cstheme="minorHAnsi"/>
                <w:sz w:val="14"/>
                <w:szCs w:val="14"/>
              </w:rPr>
            </w:pPr>
          </w:p>
        </w:tc>
        <w:tc>
          <w:tcPr>
            <w:tcW w:w="801" w:type="dxa"/>
          </w:tcPr>
          <w:p w14:paraId="399276B1" w14:textId="77777777" w:rsidR="00B740A8" w:rsidRPr="00C73365" w:rsidRDefault="00B740A8" w:rsidP="00D1541A">
            <w:pPr>
              <w:rPr>
                <w:rFonts w:asciiTheme="minorHAnsi" w:hAnsiTheme="minorHAnsi" w:cstheme="minorHAnsi"/>
                <w:sz w:val="14"/>
                <w:szCs w:val="14"/>
              </w:rPr>
            </w:pPr>
          </w:p>
        </w:tc>
        <w:tc>
          <w:tcPr>
            <w:tcW w:w="800" w:type="dxa"/>
          </w:tcPr>
          <w:p w14:paraId="42E02AE2"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81.498</w:t>
            </w:r>
          </w:p>
        </w:tc>
        <w:tc>
          <w:tcPr>
            <w:tcW w:w="801" w:type="dxa"/>
          </w:tcPr>
          <w:p w14:paraId="2CD9FDFD"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67.374</w:t>
            </w:r>
          </w:p>
        </w:tc>
        <w:tc>
          <w:tcPr>
            <w:tcW w:w="800" w:type="dxa"/>
          </w:tcPr>
          <w:p w14:paraId="41F19D3D" w14:textId="77777777" w:rsidR="00B740A8" w:rsidRPr="00C73365" w:rsidRDefault="00B740A8" w:rsidP="00D1541A">
            <w:pPr>
              <w:rPr>
                <w:rFonts w:asciiTheme="minorHAnsi" w:hAnsiTheme="minorHAnsi" w:cstheme="minorHAnsi"/>
                <w:sz w:val="14"/>
                <w:szCs w:val="14"/>
              </w:rPr>
            </w:pPr>
          </w:p>
        </w:tc>
        <w:tc>
          <w:tcPr>
            <w:tcW w:w="801" w:type="dxa"/>
          </w:tcPr>
          <w:p w14:paraId="6D2A0E31"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101.061</w:t>
            </w:r>
          </w:p>
        </w:tc>
        <w:tc>
          <w:tcPr>
            <w:tcW w:w="800" w:type="dxa"/>
          </w:tcPr>
          <w:p w14:paraId="016F504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67.374</w:t>
            </w:r>
          </w:p>
        </w:tc>
        <w:tc>
          <w:tcPr>
            <w:tcW w:w="801" w:type="dxa"/>
          </w:tcPr>
          <w:p w14:paraId="2666C187"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67.374</w:t>
            </w:r>
          </w:p>
        </w:tc>
      </w:tr>
      <w:tr w:rsidR="00B740A8" w:rsidRPr="00C73365" w14:paraId="67E4B86C" w14:textId="77777777" w:rsidTr="00D1541A">
        <w:trPr>
          <w:trHeight w:val="20"/>
        </w:trPr>
        <w:tc>
          <w:tcPr>
            <w:tcW w:w="1129" w:type="dxa"/>
          </w:tcPr>
          <w:p w14:paraId="6152A867" w14:textId="433A4E64" w:rsidR="00B740A8" w:rsidRPr="00C73365" w:rsidRDefault="00B740A8" w:rsidP="006A487E">
            <w:pPr>
              <w:rPr>
                <w:rFonts w:asciiTheme="minorHAnsi" w:hAnsiTheme="minorHAnsi" w:cstheme="minorHAnsi"/>
                <w:b/>
                <w:sz w:val="16"/>
                <w:szCs w:val="16"/>
                <w:lang w:val="fr-FR"/>
              </w:rPr>
            </w:pPr>
            <w:r w:rsidRPr="00C73365">
              <w:rPr>
                <w:rFonts w:asciiTheme="minorHAnsi" w:hAnsiTheme="minorHAnsi" w:cstheme="minorHAnsi"/>
                <w:b/>
                <w:sz w:val="16"/>
                <w:szCs w:val="16"/>
                <w:lang w:val="fr-FR"/>
              </w:rPr>
              <w:t>Nombre cumulé de BCE annulés ou caduques</w:t>
            </w:r>
          </w:p>
        </w:tc>
        <w:tc>
          <w:tcPr>
            <w:tcW w:w="800" w:type="dxa"/>
          </w:tcPr>
          <w:p w14:paraId="3B13639D"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71E162F6"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6E9E6AE7"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626</w:t>
            </w:r>
          </w:p>
        </w:tc>
        <w:tc>
          <w:tcPr>
            <w:tcW w:w="800" w:type="dxa"/>
          </w:tcPr>
          <w:p w14:paraId="4E7823B7"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71FF10CC"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169</w:t>
            </w:r>
          </w:p>
        </w:tc>
        <w:tc>
          <w:tcPr>
            <w:tcW w:w="800" w:type="dxa"/>
          </w:tcPr>
          <w:p w14:paraId="613462D6"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31C087FB"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990</w:t>
            </w:r>
          </w:p>
        </w:tc>
        <w:tc>
          <w:tcPr>
            <w:tcW w:w="800" w:type="dxa"/>
          </w:tcPr>
          <w:p w14:paraId="422D72AA"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33.687</w:t>
            </w:r>
          </w:p>
        </w:tc>
        <w:tc>
          <w:tcPr>
            <w:tcW w:w="801" w:type="dxa"/>
          </w:tcPr>
          <w:p w14:paraId="6494AC5D"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67 374</w:t>
            </w:r>
          </w:p>
        </w:tc>
        <w:tc>
          <w:tcPr>
            <w:tcW w:w="800" w:type="dxa"/>
          </w:tcPr>
          <w:p w14:paraId="36A54600"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33 687</w:t>
            </w:r>
          </w:p>
        </w:tc>
        <w:tc>
          <w:tcPr>
            <w:tcW w:w="801" w:type="dxa"/>
          </w:tcPr>
          <w:p w14:paraId="7D7B3C26"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67 374</w:t>
            </w:r>
          </w:p>
        </w:tc>
        <w:tc>
          <w:tcPr>
            <w:tcW w:w="800" w:type="dxa"/>
          </w:tcPr>
          <w:p w14:paraId="7BBF68F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792A28E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616F7AFB"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0CCDEC64"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52F27FC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3C1E0CFA"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14:paraId="06F1B32D" w14:textId="77777777" w:rsidTr="00D1541A">
        <w:trPr>
          <w:trHeight w:val="20"/>
        </w:trPr>
        <w:tc>
          <w:tcPr>
            <w:tcW w:w="1129" w:type="dxa"/>
          </w:tcPr>
          <w:p w14:paraId="4C83ECC3" w14:textId="77777777" w:rsidR="00B740A8" w:rsidRPr="00C73365" w:rsidRDefault="00B740A8" w:rsidP="00D1541A">
            <w:pPr>
              <w:rPr>
                <w:rFonts w:asciiTheme="minorHAnsi" w:hAnsiTheme="minorHAnsi" w:cstheme="minorHAnsi"/>
                <w:b/>
                <w:sz w:val="16"/>
                <w:szCs w:val="16"/>
                <w:lang w:val="fr-FR"/>
              </w:rPr>
            </w:pPr>
            <w:r w:rsidRPr="00C73365">
              <w:rPr>
                <w:rFonts w:asciiTheme="minorHAnsi" w:hAnsiTheme="minorHAnsi" w:cstheme="minorHAnsi"/>
                <w:b/>
                <w:sz w:val="16"/>
                <w:szCs w:val="16"/>
                <w:lang w:val="fr-FR"/>
              </w:rPr>
              <w:t>BCE à la date du présent document de référence</w:t>
            </w:r>
          </w:p>
        </w:tc>
        <w:tc>
          <w:tcPr>
            <w:tcW w:w="800" w:type="dxa"/>
          </w:tcPr>
          <w:p w14:paraId="7C1ED365"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2.750</w:t>
            </w:r>
          </w:p>
        </w:tc>
        <w:tc>
          <w:tcPr>
            <w:tcW w:w="800" w:type="dxa"/>
          </w:tcPr>
          <w:p w14:paraId="45A0D2BC"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1.950</w:t>
            </w:r>
          </w:p>
        </w:tc>
        <w:tc>
          <w:tcPr>
            <w:tcW w:w="801" w:type="dxa"/>
          </w:tcPr>
          <w:p w14:paraId="45C158AD"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2573D1A5"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884</w:t>
            </w:r>
          </w:p>
        </w:tc>
        <w:tc>
          <w:tcPr>
            <w:tcW w:w="801" w:type="dxa"/>
          </w:tcPr>
          <w:p w14:paraId="673E76E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6263DB66"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525</w:t>
            </w:r>
          </w:p>
        </w:tc>
        <w:tc>
          <w:tcPr>
            <w:tcW w:w="801" w:type="dxa"/>
          </w:tcPr>
          <w:p w14:paraId="2BE4B857"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660</w:t>
            </w:r>
          </w:p>
        </w:tc>
        <w:tc>
          <w:tcPr>
            <w:tcW w:w="800" w:type="dxa"/>
          </w:tcPr>
          <w:p w14:paraId="0080A4B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623CDD45"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54018E83"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14:paraId="5AC512DA"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14:paraId="5571182D"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81.498</w:t>
            </w:r>
          </w:p>
        </w:tc>
        <w:tc>
          <w:tcPr>
            <w:tcW w:w="801" w:type="dxa"/>
          </w:tcPr>
          <w:p w14:paraId="6EB94E29"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67.374</w:t>
            </w:r>
          </w:p>
        </w:tc>
        <w:tc>
          <w:tcPr>
            <w:tcW w:w="800" w:type="dxa"/>
          </w:tcPr>
          <w:p w14:paraId="55F8769A"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150.000</w:t>
            </w:r>
          </w:p>
        </w:tc>
        <w:tc>
          <w:tcPr>
            <w:tcW w:w="801" w:type="dxa"/>
          </w:tcPr>
          <w:p w14:paraId="37EAC797"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101.061</w:t>
            </w:r>
          </w:p>
        </w:tc>
        <w:tc>
          <w:tcPr>
            <w:tcW w:w="800" w:type="dxa"/>
          </w:tcPr>
          <w:p w14:paraId="44F7B6EF"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67.374</w:t>
            </w:r>
          </w:p>
        </w:tc>
        <w:tc>
          <w:tcPr>
            <w:tcW w:w="801" w:type="dxa"/>
          </w:tcPr>
          <w:p w14:paraId="6E31C8D0" w14:textId="77777777"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67.374</w:t>
            </w:r>
          </w:p>
        </w:tc>
      </w:tr>
    </w:tbl>
    <w:p w14:paraId="0F2823AB" w14:textId="77777777" w:rsidR="00B740A8" w:rsidRPr="00C73365" w:rsidRDefault="00B740A8" w:rsidP="00B740A8">
      <w:pPr>
        <w:rPr>
          <w:rFonts w:asciiTheme="minorHAnsi" w:hAnsiTheme="minorHAnsi" w:cstheme="minorHAnsi"/>
          <w:sz w:val="16"/>
          <w:szCs w:val="22"/>
          <w:lang w:val="fr-FR"/>
        </w:rPr>
      </w:pPr>
    </w:p>
    <w:p w14:paraId="11ED0D5F" w14:textId="77777777" w:rsidR="00B740A8" w:rsidRPr="00C73365" w:rsidRDefault="00B740A8" w:rsidP="004572A0">
      <w:pPr>
        <w:pStyle w:val="Corpsdetexte"/>
        <w:rPr>
          <w:rFonts w:asciiTheme="minorHAnsi" w:hAnsiTheme="minorHAnsi" w:cstheme="minorHAnsi"/>
          <w:sz w:val="16"/>
          <w:szCs w:val="22"/>
          <w:lang w:val="fr-FR"/>
        </w:rPr>
      </w:pPr>
      <w:r w:rsidRPr="00C73365">
        <w:rPr>
          <w:rFonts w:asciiTheme="minorHAnsi" w:hAnsiTheme="minorHAnsi" w:cstheme="minorHAnsi"/>
          <w:sz w:val="16"/>
          <w:szCs w:val="22"/>
          <w:lang w:val="fr-FR"/>
        </w:rPr>
        <w:br w:type="page"/>
      </w:r>
      <w:r w:rsidRPr="00C73365">
        <w:rPr>
          <w:rFonts w:asciiTheme="minorHAnsi" w:hAnsiTheme="minorHAnsi" w:cstheme="minorHAnsi"/>
          <w:u w:val="single"/>
          <w:lang w:val="fr-FR"/>
        </w:rPr>
        <w:lastRenderedPageBreak/>
        <w:t>Note (1):</w:t>
      </w:r>
      <w:r w:rsidRPr="00C73365">
        <w:rPr>
          <w:rFonts w:asciiTheme="minorHAnsi" w:hAnsiTheme="minorHAnsi" w:cstheme="minorHAnsi"/>
          <w:lang w:val="fr-FR"/>
        </w:rPr>
        <w:t xml:space="preserve"> par période mensuelle complète à hauteur d’un nombre X calculé selon la règle suivante : X = 2 750 multiplié par (nombre de mois écoulés à compter de la date de constitution de la Société /48)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jour suivant le 18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suivant la date de constitution de la Société (étant entendu que le bénéficiaire devra consacrer,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jour suivant le 18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suivant la date de constitution de la Société et jusqu’au 48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inclus suivant la date de constitution de la Société, plus de 33% de son temps professionnel au bénéfice de la société). Exercice accéléré de l’intégralité du solde non-exercé  (i) en cas de cession, ferme et définitive, des titres de la Société, ayant pour conséquence le changement de contrôle de la Société au sens de l’article L. 226-3 du Code de Commerce, au profit d’un tiers, sur la base d’une valorisation de la Société supérieure à 300 millions d’euros calculé sur la base du capital émis au 31 décembre 2014, cette valorisation devant être augmentée proportionnellement à l’augmentation du nombre d’actions de la Société résultant des augmentations de capital décidées postérieurement au 31 décembre 2014, ou (ii) en cas de cession, ferme et définitive, de l’intégralité des actifs de la Société, au profit d’un tiers, sur la base d’une valorisation de ses actifs supérieure à 300 millions d’euros.</w:t>
      </w:r>
    </w:p>
    <w:p w14:paraId="4E26BC78"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u w:val="single"/>
          <w:lang w:val="fr-FR"/>
        </w:rPr>
        <w:t>Note (2):</w:t>
      </w:r>
      <w:r w:rsidRPr="00C73365">
        <w:rPr>
          <w:rFonts w:asciiTheme="minorHAnsi" w:hAnsiTheme="minorHAnsi" w:cstheme="minorHAnsi"/>
          <w:lang w:val="fr-FR"/>
        </w:rPr>
        <w:t xml:space="preserve"> Par période mensuelle complète à hauteur d’un nombre X calculé selon la règle suivante : X = 2 750 multiplié par (nombre de mois écoulés à compter du 9 décembre 2014/48). L’exercice accéléré mentionné dans la note (1) s’applique également.</w:t>
      </w:r>
    </w:p>
    <w:p w14:paraId="3F1921F5"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u w:val="single"/>
          <w:lang w:val="fr-FR"/>
        </w:rPr>
        <w:t>Note (3):</w:t>
      </w:r>
      <w:r w:rsidRPr="00C73365">
        <w:rPr>
          <w:rFonts w:asciiTheme="minorHAnsi" w:hAnsiTheme="minorHAnsi" w:cstheme="minorHAnsi"/>
          <w:lang w:val="fr-FR"/>
        </w:rPr>
        <w:t xml:space="preserve"> 246 BCE-2014-4 sont exerçables à tout moment à compter du 11 mars 2014. 369 BCE-2014-4 sont exerçables par période mensuelle complète à hauteur d’un nombre X calculé selon la règle suivante : X = 369 multiplié par (nombre de mois écoulés à compter de la date de constitution de la Société /48) à compter du premier anniversaire de la constitution de la Société. 369 BCE-2014-4 sont exerçables exclusivement en cas d’atteinte d’objectifs qualitatifs et/ou quantitatifs, tels que fixés par le conseil d’administration du 8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2014.</w:t>
      </w:r>
    </w:p>
    <w:p w14:paraId="42389017"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u w:val="single"/>
          <w:lang w:val="fr-FR"/>
        </w:rPr>
        <w:t>Note (4):</w:t>
      </w:r>
      <w:r w:rsidRPr="00C73365">
        <w:rPr>
          <w:rFonts w:asciiTheme="minorHAnsi" w:hAnsiTheme="minorHAnsi" w:cstheme="minorHAnsi"/>
          <w:lang w:val="fr-FR"/>
        </w:rPr>
        <w:t xml:space="preserve"> 197 BCE-2014-6 sont exerçables par période mensuelle complète à hauteur d’un nombre X calculé selon la règle suivante : X = 197 multiplié par (nombre de mois écoulés à compter de la date de constitution de la Société /48) à compter du premier anniversaire de la constitution de la Société. 328 BCE-2014-6 sont exerçables exclusivement en cas d’atteinte d’objectifs qualitatifs et/ou quantitatifs, tels que fixés par le conseil d’administration du 8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2014 et révisés le 20 novembre 2017.</w:t>
      </w:r>
    </w:p>
    <w:p w14:paraId="0EFCA544"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u w:val="single"/>
          <w:lang w:val="fr-FR"/>
        </w:rPr>
        <w:t>Note (5):</w:t>
      </w:r>
      <w:r w:rsidRPr="00C73365">
        <w:rPr>
          <w:rFonts w:asciiTheme="minorHAnsi" w:hAnsiTheme="minorHAnsi" w:cstheme="minorHAnsi"/>
          <w:lang w:val="fr-FR"/>
        </w:rPr>
        <w:t xml:space="preserve"> 50 % des BCE-2014-7 attribués à chaque bénéficiaire par période mensuelle complète à hauteur d’un nombre X calculé selon la règle suivante : X = 50% multiplié par (nombre de mois écoulés à compter de la date de constitution de la Société /48), pour la première fois à compter du premier anniversaire de la constitution de la Société. 50% des BCE-2014-7 sont exerçables exclusivement en cas d’atteinte d’objectifs qualitatifs et/ou quantitatifs, tels que fixés par le conseil d’administration du 8 </w:t>
      </w:r>
      <w:r w:rsidR="006B119E" w:rsidRPr="00C73365">
        <w:rPr>
          <w:rFonts w:asciiTheme="minorHAnsi" w:hAnsiTheme="minorHAnsi" w:cstheme="minorHAnsi"/>
          <w:lang w:val="fr-FR"/>
        </w:rPr>
        <w:t>septembre</w:t>
      </w:r>
      <w:r w:rsidRPr="00C73365">
        <w:rPr>
          <w:rFonts w:asciiTheme="minorHAnsi" w:hAnsiTheme="minorHAnsi" w:cstheme="minorHAnsi"/>
          <w:lang w:val="fr-FR"/>
        </w:rPr>
        <w:t xml:space="preserve"> 2014 </w:t>
      </w:r>
    </w:p>
    <w:p w14:paraId="0D5CCC31" w14:textId="77777777" w:rsidR="00B740A8" w:rsidRPr="00C73365" w:rsidRDefault="00B740A8" w:rsidP="004572A0">
      <w:pPr>
        <w:pStyle w:val="Corpsdetexte"/>
        <w:rPr>
          <w:rFonts w:asciiTheme="minorHAnsi" w:hAnsiTheme="minorHAnsi" w:cstheme="minorHAnsi"/>
          <w:u w:val="single"/>
          <w:lang w:val="fr-FR"/>
        </w:rPr>
      </w:pPr>
      <w:r w:rsidRPr="00C73365">
        <w:rPr>
          <w:rFonts w:asciiTheme="minorHAnsi" w:hAnsiTheme="minorHAnsi" w:cstheme="minorHAnsi"/>
          <w:u w:val="single"/>
          <w:lang w:val="fr-FR"/>
        </w:rPr>
        <w:t xml:space="preserve">Note (6): </w:t>
      </w:r>
    </w:p>
    <w:p w14:paraId="3C1226E7" w14:textId="77777777" w:rsidR="00B740A8" w:rsidRPr="00C93577" w:rsidRDefault="00B740A8" w:rsidP="00434C49">
      <w:pPr>
        <w:pStyle w:val="Listepuces2"/>
        <w:numPr>
          <w:ilvl w:val="0"/>
          <w:numId w:val="53"/>
        </w:numPr>
        <w:rPr>
          <w:rFonts w:asciiTheme="minorHAnsi" w:hAnsiTheme="minorHAnsi" w:cstheme="minorHAnsi"/>
          <w:lang w:val="fr-FR"/>
        </w:rPr>
      </w:pPr>
      <w:r w:rsidRPr="00C93577">
        <w:rPr>
          <w:rFonts w:asciiTheme="minorHAnsi" w:hAnsiTheme="minorHAnsi" w:cstheme="minorHAnsi"/>
          <w:lang w:val="fr-FR"/>
        </w:rPr>
        <w:lastRenderedPageBreak/>
        <w:t>A hauteur de la totalité des BCE-2016-1, au prorata du nombre de mois écoulés à compter du 7 novembre 2016  sur une durée totale de quarante-huit (48) mois, soit un nombre X de BCE-2016-1 calculé selon la règle suivante, étant précisé que le Bénéficiaire ne pourra exercer ses BCE-2016-1 qu’à l’issue d’une durée d’un (1) an à compter de leur attribution :</w:t>
      </w:r>
    </w:p>
    <w:p w14:paraId="1F6B411D" w14:textId="77777777" w:rsidR="00B740A8" w:rsidRPr="00C73365" w:rsidRDefault="00B740A8" w:rsidP="004572A0">
      <w:pPr>
        <w:pStyle w:val="Retraitcorpset1relig"/>
        <w:rPr>
          <w:rFonts w:asciiTheme="minorHAnsi" w:hAnsiTheme="minorHAnsi" w:cstheme="minorHAnsi"/>
          <w:lang w:val="fr-FR"/>
        </w:rPr>
      </w:pPr>
      <w:r w:rsidRPr="00C73365">
        <w:rPr>
          <w:rFonts w:asciiTheme="minorHAnsi" w:hAnsiTheme="minorHAnsi" w:cstheme="minorHAnsi"/>
          <w:lang w:val="fr-FR"/>
        </w:rPr>
        <w:t>X= 100% des BCE-2016-1 attribués multiplié par (nombre de mois écoulés à compter du 7 novembre 2016/48).</w:t>
      </w:r>
    </w:p>
    <w:p w14:paraId="70ADBD2A" w14:textId="77777777" w:rsidR="00B740A8" w:rsidRPr="00C73365" w:rsidRDefault="00B740A8" w:rsidP="004572A0">
      <w:pPr>
        <w:pStyle w:val="Corpsdetexte"/>
        <w:rPr>
          <w:rFonts w:asciiTheme="minorHAnsi" w:hAnsiTheme="minorHAnsi" w:cstheme="minorHAnsi"/>
          <w:szCs w:val="18"/>
          <w:u w:val="single"/>
          <w:lang w:val="fr-FR"/>
        </w:rPr>
      </w:pPr>
      <w:r w:rsidRPr="00C73365">
        <w:rPr>
          <w:rFonts w:asciiTheme="minorHAnsi" w:hAnsiTheme="minorHAnsi" w:cstheme="minorHAnsi"/>
          <w:u w:val="single"/>
          <w:lang w:val="fr-FR"/>
        </w:rPr>
        <w:t>Note (</w:t>
      </w:r>
      <w:r w:rsidRPr="00C73365">
        <w:rPr>
          <w:rFonts w:asciiTheme="minorHAnsi" w:hAnsiTheme="minorHAnsi" w:cstheme="minorHAnsi"/>
          <w:szCs w:val="18"/>
          <w:u w:val="single"/>
          <w:lang w:val="fr-FR"/>
        </w:rPr>
        <w:t>7</w:t>
      </w:r>
      <w:r w:rsidRPr="00C73365">
        <w:rPr>
          <w:rFonts w:asciiTheme="minorHAnsi" w:hAnsiTheme="minorHAnsi" w:cstheme="minorHAnsi"/>
          <w:u w:val="single"/>
          <w:lang w:val="fr-FR"/>
        </w:rPr>
        <w:t>)</w:t>
      </w:r>
      <w:r w:rsidRPr="00C73365">
        <w:rPr>
          <w:rFonts w:asciiTheme="minorHAnsi" w:hAnsiTheme="minorHAnsi" w:cstheme="minorHAnsi"/>
          <w:szCs w:val="18"/>
          <w:u w:val="single"/>
          <w:lang w:val="fr-FR"/>
        </w:rPr>
        <w:t xml:space="preserve">: </w:t>
      </w:r>
    </w:p>
    <w:p w14:paraId="543EE6F9" w14:textId="77777777" w:rsidR="00B740A8" w:rsidRPr="00C93577" w:rsidRDefault="00B740A8" w:rsidP="00434C49">
      <w:pPr>
        <w:pStyle w:val="Listepuces2"/>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33.687 BCE-2017-1, au prorata du nombre de mois écoulés à compter du 23 janvier 2017 sur une durée totale de quarante-huit (48) mois soit un nombre X de BCE-2017-1 calculé selon la règle suivante, étant précisé que le Bénéficiaire ne pourra exercer ses BCE-2017-1 qu’à l’issue d’une durée d’un (1) an à compter de leur attribution : </w:t>
      </w:r>
    </w:p>
    <w:p w14:paraId="0C2FBBE5" w14:textId="77777777" w:rsidR="00B740A8" w:rsidRPr="00C73365" w:rsidRDefault="00B740A8" w:rsidP="004572A0">
      <w:pPr>
        <w:pStyle w:val="Retraitcorpset1relig"/>
        <w:rPr>
          <w:rFonts w:asciiTheme="minorHAnsi" w:hAnsiTheme="minorHAnsi" w:cstheme="minorHAnsi"/>
          <w:lang w:val="fr-FR"/>
        </w:rPr>
      </w:pPr>
      <w:r w:rsidRPr="00C73365">
        <w:rPr>
          <w:rFonts w:asciiTheme="minorHAnsi" w:hAnsiTheme="minorHAnsi" w:cstheme="minorHAnsi"/>
          <w:lang w:val="fr-FR"/>
        </w:rPr>
        <w:t>X= 33.687 des BCE-2017-1 attribués multiplié par (nombre de mois écoulés à compter du 23 janvier 2017/48),</w:t>
      </w:r>
    </w:p>
    <w:p w14:paraId="1E480713" w14:textId="77777777" w:rsidR="00B740A8" w:rsidRPr="00C93577" w:rsidRDefault="00B740A8" w:rsidP="00434C49">
      <w:pPr>
        <w:pStyle w:val="Listepuces2"/>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16.844 BCE-2017-1, exclusivement en cas d’atteinte des objectifs qualitatifs pour un financement de 100 </w:t>
      </w:r>
      <w:r w:rsidR="00EF089C" w:rsidRPr="00C93577">
        <w:rPr>
          <w:rFonts w:asciiTheme="minorHAnsi" w:hAnsiTheme="minorHAnsi" w:cstheme="minorHAnsi"/>
          <w:lang w:val="fr-FR"/>
        </w:rPr>
        <w:t>M€</w:t>
      </w:r>
      <w:r w:rsidRPr="00C93577">
        <w:rPr>
          <w:rFonts w:asciiTheme="minorHAnsi" w:hAnsiTheme="minorHAnsi" w:cstheme="minorHAnsi"/>
          <w:lang w:val="fr-FR"/>
        </w:rPr>
        <w:t xml:space="preserve"> selon les modalités suivantes: par voie d</w:t>
      </w:r>
      <w:r w:rsidR="004572A0" w:rsidRPr="00C93577">
        <w:rPr>
          <w:rFonts w:asciiTheme="minorHAnsi" w:hAnsiTheme="minorHAnsi" w:cstheme="minorHAnsi"/>
          <w:lang w:val="fr-FR"/>
        </w:rPr>
        <w:t>’</w:t>
      </w:r>
      <w:r w:rsidRPr="00C93577">
        <w:rPr>
          <w:rFonts w:asciiTheme="minorHAnsi" w:hAnsiTheme="minorHAnsi" w:cstheme="minorHAnsi"/>
          <w:lang w:val="fr-FR"/>
        </w:rPr>
        <w:t>offre publique, placement privé ou ligne financière « Equity line », licences de produits et / ou technologie, subventions publiques (hors RNP Vir) ou prêts -; La moitié de ce montant est allouée si la première enveloppe de 50 M € est réalisée dans un délai de deux ans entre janvier 2017 et décembre 2018, la seconde moitié de ce montant est alloué si la seconde enveloppe de 50</w:t>
      </w:r>
      <w:r w:rsidR="00EF089C" w:rsidRPr="00C93577">
        <w:rPr>
          <w:rFonts w:asciiTheme="minorHAnsi" w:hAnsiTheme="minorHAnsi" w:cstheme="minorHAnsi"/>
          <w:lang w:val="fr-FR"/>
        </w:rPr>
        <w:t>M€</w:t>
      </w:r>
      <w:r w:rsidRPr="00C93577">
        <w:rPr>
          <w:rFonts w:asciiTheme="minorHAnsi" w:hAnsiTheme="minorHAnsi" w:cstheme="minorHAnsi"/>
          <w:lang w:val="fr-FR"/>
        </w:rPr>
        <w:t xml:space="preserve"> est réalisée dans le délai de deux ans entre janvier 2019 et décembre 2020, incluant un report potentiel de plus de 50 M € sur les deux années précédentes,</w:t>
      </w:r>
    </w:p>
    <w:p w14:paraId="4C44374C" w14:textId="77777777" w:rsidR="00B740A8" w:rsidRPr="00C93577" w:rsidRDefault="00B740A8" w:rsidP="004572A0">
      <w:pPr>
        <w:pStyle w:val="Listepuces3"/>
        <w:rPr>
          <w:rFonts w:asciiTheme="minorHAnsi" w:hAnsiTheme="minorHAnsi" w:cstheme="minorHAnsi"/>
          <w:lang w:val="fr-FR"/>
        </w:rPr>
      </w:pPr>
      <w:r w:rsidRPr="00C93577">
        <w:rPr>
          <w:rFonts w:asciiTheme="minorHAnsi" w:hAnsiTheme="minorHAnsi" w:cstheme="minorHAnsi"/>
          <w:lang w:val="fr-FR"/>
        </w:rPr>
        <w:t>A hauteur de 16.843 BCE-2017-1, exclusivement en cas d’atteinte des objectifs quantitatifs suivants relatif à capitalisation boursière d’</w:t>
      </w:r>
      <w:r w:rsidR="00EF089C" w:rsidRPr="00C93577">
        <w:rPr>
          <w:rFonts w:asciiTheme="minorHAnsi" w:hAnsiTheme="minorHAnsi" w:cstheme="minorHAnsi"/>
          <w:lang w:val="fr-FR"/>
        </w:rPr>
        <w:t>ABIVAX</w:t>
      </w:r>
      <w:r w:rsidRPr="00C93577">
        <w:rPr>
          <w:rFonts w:asciiTheme="minorHAnsi" w:hAnsiTheme="minorHAnsi" w:cstheme="minorHAnsi"/>
          <w:lang w:val="fr-FR"/>
        </w:rPr>
        <w:t>: l’atteinte, pendant trois mois consécutifs, du prix d’introduction en bourse d’</w:t>
      </w:r>
      <w:r w:rsidR="00EF089C" w:rsidRPr="00C93577">
        <w:rPr>
          <w:rFonts w:asciiTheme="minorHAnsi" w:hAnsiTheme="minorHAnsi" w:cstheme="minorHAnsi"/>
          <w:lang w:val="fr-FR"/>
        </w:rPr>
        <w:t>ABIVAX</w:t>
      </w:r>
      <w:r w:rsidRPr="00C93577">
        <w:rPr>
          <w:rFonts w:asciiTheme="minorHAnsi" w:hAnsiTheme="minorHAnsi" w:cstheme="minorHAnsi"/>
          <w:lang w:val="fr-FR"/>
        </w:rPr>
        <w:t xml:space="preserve"> de juin 2015 à savoir 21,30 € par action avant fin juin 2019.</w:t>
      </w:r>
    </w:p>
    <w:p w14:paraId="700A3ED1" w14:textId="77777777" w:rsidR="00B740A8" w:rsidRPr="00C73365" w:rsidRDefault="00B740A8" w:rsidP="00B740A8">
      <w:pPr>
        <w:ind w:right="-1417"/>
        <w:rPr>
          <w:rFonts w:asciiTheme="minorHAnsi" w:hAnsiTheme="minorHAnsi" w:cstheme="minorHAnsi"/>
          <w:sz w:val="18"/>
          <w:szCs w:val="18"/>
          <w:lang w:val="fr-FR"/>
        </w:rPr>
      </w:pPr>
    </w:p>
    <w:p w14:paraId="5418BA75" w14:textId="77777777" w:rsidR="00B740A8" w:rsidRPr="00C73365" w:rsidRDefault="00B740A8" w:rsidP="004572A0">
      <w:pPr>
        <w:pStyle w:val="Corpsdetexte"/>
        <w:rPr>
          <w:rFonts w:asciiTheme="minorHAnsi" w:hAnsiTheme="minorHAnsi" w:cstheme="minorHAnsi"/>
          <w:u w:val="single"/>
          <w:lang w:val="fr-FR"/>
        </w:rPr>
      </w:pPr>
      <w:r w:rsidRPr="00C73365">
        <w:rPr>
          <w:rFonts w:asciiTheme="minorHAnsi" w:hAnsiTheme="minorHAnsi" w:cstheme="minorHAnsi"/>
          <w:u w:val="single"/>
          <w:lang w:val="fr-FR"/>
        </w:rPr>
        <w:t xml:space="preserve">Note (8): </w:t>
      </w:r>
    </w:p>
    <w:p w14:paraId="53B5EEF2" w14:textId="77777777" w:rsidR="00B740A8" w:rsidRPr="001D15EF" w:rsidRDefault="00B740A8" w:rsidP="00434C49">
      <w:pPr>
        <w:pStyle w:val="Paragraphedeliste"/>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bidi="fr-FR"/>
        </w:rPr>
        <w:t>A hau</w:t>
      </w:r>
      <w:r w:rsidRPr="001D15EF">
        <w:rPr>
          <w:rFonts w:asciiTheme="minorHAnsi" w:hAnsiTheme="minorHAnsi" w:cstheme="minorHAnsi"/>
          <w:szCs w:val="20"/>
          <w:lang w:val="fr-FR"/>
        </w:rPr>
        <w:t>teur de 75.000 BCE-2017-2 au prorata du nombre de mois écoulés à compter du 20 novembre 2017 sur une durée totale de quarante-huit (48) mois, soit un nombre X de BCE-2017-2 calculé selon la règle suivante :</w:t>
      </w:r>
    </w:p>
    <w:p w14:paraId="059CAEF5" w14:textId="77777777" w:rsidR="00B740A8" w:rsidRPr="001D15EF" w:rsidRDefault="00B740A8" w:rsidP="00B740A8">
      <w:pPr>
        <w:pStyle w:val="Paragraphedeliste"/>
        <w:ind w:left="720" w:right="-1417"/>
        <w:rPr>
          <w:rFonts w:asciiTheme="minorHAnsi" w:hAnsiTheme="minorHAnsi" w:cstheme="minorHAnsi"/>
          <w:szCs w:val="20"/>
          <w:lang w:val="fr-FR"/>
        </w:rPr>
      </w:pPr>
      <w:r w:rsidRPr="001D15EF">
        <w:rPr>
          <w:rFonts w:asciiTheme="minorHAnsi" w:hAnsiTheme="minorHAnsi" w:cstheme="minorHAnsi"/>
          <w:szCs w:val="20"/>
          <w:lang w:val="fr-FR"/>
        </w:rPr>
        <w:t>X=75.000 BCE-2017-2 attribués multiplié par (nombre de mois écoulés à compter du 20 novembre 2017/48),</w:t>
      </w:r>
    </w:p>
    <w:p w14:paraId="66F095D6" w14:textId="77777777" w:rsidR="00B740A8" w:rsidRPr="001D15EF" w:rsidRDefault="00B740A8" w:rsidP="00B740A8">
      <w:pPr>
        <w:pStyle w:val="Paragraphedeliste"/>
        <w:ind w:left="720" w:right="-1417"/>
        <w:rPr>
          <w:rFonts w:asciiTheme="minorHAnsi" w:hAnsiTheme="minorHAnsi" w:cstheme="minorHAnsi"/>
          <w:szCs w:val="20"/>
          <w:lang w:val="fr-FR"/>
        </w:rPr>
      </w:pPr>
      <w:r w:rsidRPr="001D15EF">
        <w:rPr>
          <w:rFonts w:asciiTheme="minorHAnsi" w:hAnsiTheme="minorHAnsi" w:cstheme="minorHAnsi"/>
          <w:szCs w:val="20"/>
          <w:lang w:val="fr-FR"/>
        </w:rPr>
        <w:t>étant précisé qu’en tout état de cause, le Bénéficiaire ne pourra exercer ces BCE-2017-2 qu’à l’issue d’une durée d’un (1) an à compter de leur attribution,</w:t>
      </w:r>
    </w:p>
    <w:p w14:paraId="36B132B8" w14:textId="77777777" w:rsidR="00B740A8" w:rsidRPr="001D15EF" w:rsidRDefault="00B740A8" w:rsidP="00434C49">
      <w:pPr>
        <w:pStyle w:val="Paragraphedeliste"/>
        <w:numPr>
          <w:ilvl w:val="0"/>
          <w:numId w:val="53"/>
        </w:numPr>
        <w:spacing w:after="0"/>
        <w:ind w:right="-1417"/>
        <w:rPr>
          <w:rFonts w:asciiTheme="minorHAnsi" w:hAnsiTheme="minorHAnsi" w:cstheme="minorHAnsi"/>
          <w:szCs w:val="20"/>
          <w:lang w:val="fr-FR" w:bidi="fr-FR"/>
        </w:rPr>
      </w:pPr>
      <w:r w:rsidRPr="001D15EF">
        <w:rPr>
          <w:rFonts w:asciiTheme="minorHAnsi" w:hAnsiTheme="minorHAnsi" w:cstheme="minorHAnsi"/>
          <w:szCs w:val="20"/>
          <w:lang w:val="fr-FR" w:bidi="fr-FR"/>
        </w:rPr>
        <w:lastRenderedPageBreak/>
        <w:t xml:space="preserve">A hauteur de 75.000 BCE-2017-2 dans les conditions visées ci-après : </w:t>
      </w:r>
    </w:p>
    <w:p w14:paraId="46F39FF9" w14:textId="77777777" w:rsidR="00B740A8" w:rsidRPr="00C93577" w:rsidRDefault="00B740A8" w:rsidP="00434C49">
      <w:pPr>
        <w:pStyle w:val="Listepuces3"/>
        <w:numPr>
          <w:ilvl w:val="0"/>
          <w:numId w:val="89"/>
        </w:numPr>
        <w:rPr>
          <w:rFonts w:asciiTheme="minorHAnsi" w:hAnsiTheme="minorHAnsi" w:cstheme="minorHAnsi"/>
          <w:lang w:val="fr-FR" w:bidi="fr-FR"/>
        </w:rPr>
      </w:pPr>
      <w:r w:rsidRPr="00C93577">
        <w:rPr>
          <w:rFonts w:asciiTheme="minorHAnsi" w:hAnsiTheme="minorHAnsi" w:cstheme="minorHAnsi"/>
          <w:lang w:val="fr-FR" w:bidi="fr-FR"/>
        </w:rPr>
        <w:t xml:space="preserve">A hauteur de 37.500 BCE-2017-2 en cas de résultats favorables de l’étude de preuve de concept ABX464 pour la </w:t>
      </w:r>
      <w:r w:rsidR="00357A37" w:rsidRPr="00C93577">
        <w:rPr>
          <w:rFonts w:asciiTheme="minorHAnsi" w:hAnsiTheme="minorHAnsi" w:cstheme="minorHAnsi"/>
          <w:lang w:val="fr-FR" w:bidi="fr-FR"/>
        </w:rPr>
        <w:t>rectocolite hémorragique</w:t>
      </w:r>
      <w:r w:rsidRPr="00C93577">
        <w:rPr>
          <w:rFonts w:asciiTheme="minorHAnsi" w:hAnsiTheme="minorHAnsi" w:cstheme="minorHAnsi"/>
          <w:lang w:val="fr-FR" w:bidi="fr-FR"/>
        </w:rPr>
        <w:t xml:space="preserve"> avant le 31 décembre 2018, étant précisé que les résultats seront considérés comme « favorables » en cas de « </w:t>
      </w:r>
      <w:r w:rsidRPr="00C93577">
        <w:rPr>
          <w:rFonts w:asciiTheme="minorHAnsi" w:hAnsiTheme="minorHAnsi" w:cstheme="minorHAnsi"/>
          <w:i/>
          <w:lang w:val="fr-FR" w:bidi="fr-FR"/>
        </w:rPr>
        <w:t>positive safety</w:t>
      </w:r>
      <w:r w:rsidRPr="00C93577">
        <w:rPr>
          <w:rFonts w:asciiTheme="minorHAnsi" w:hAnsiTheme="minorHAnsi" w:cstheme="minorHAnsi"/>
          <w:lang w:val="fr-FR" w:bidi="fr-FR"/>
        </w:rPr>
        <w:t xml:space="preserve"> » (critère principal) et d’efficacité (critère secondaire) afin de permettre de démarrer une étude pivot de phase IIb ou un essai clinique de phase III, avec une IND aux Etats-Unis avant le 31 décembre 2018, </w:t>
      </w:r>
    </w:p>
    <w:p w14:paraId="0B4CF937" w14:textId="77777777" w:rsidR="00B740A8" w:rsidRPr="00C93577" w:rsidRDefault="00B740A8" w:rsidP="00434C49">
      <w:pPr>
        <w:pStyle w:val="Listepuces3"/>
        <w:numPr>
          <w:ilvl w:val="0"/>
          <w:numId w:val="89"/>
        </w:numPr>
        <w:rPr>
          <w:rFonts w:asciiTheme="minorHAnsi" w:hAnsiTheme="minorHAnsi" w:cstheme="minorHAnsi"/>
          <w:lang w:val="fr-FR" w:bidi="fr-FR"/>
        </w:rPr>
      </w:pPr>
      <w:r w:rsidRPr="00C93577">
        <w:rPr>
          <w:rFonts w:asciiTheme="minorHAnsi" w:hAnsiTheme="minorHAnsi" w:cstheme="minorHAnsi"/>
          <w:lang w:val="fr-FR" w:bidi="fr-FR"/>
        </w:rPr>
        <w:t>A hauteur de 37.500 BCE-2017-2 en cas de FSI (</w:t>
      </w:r>
      <w:r w:rsidRPr="00C93577">
        <w:rPr>
          <w:rFonts w:asciiTheme="minorHAnsi" w:hAnsiTheme="minorHAnsi" w:cstheme="minorHAnsi"/>
          <w:i/>
          <w:lang w:val="fr-FR" w:bidi="fr-FR"/>
        </w:rPr>
        <w:t>First Subject in</w:t>
      </w:r>
      <w:r w:rsidRPr="00C93577">
        <w:rPr>
          <w:rFonts w:asciiTheme="minorHAnsi" w:hAnsiTheme="minorHAnsi" w:cstheme="minorHAnsi"/>
          <w:lang w:val="fr-FR" w:bidi="fr-FR"/>
        </w:rPr>
        <w:t xml:space="preserve">, </w:t>
      </w:r>
      <w:r w:rsidRPr="00C93577">
        <w:rPr>
          <w:rFonts w:asciiTheme="minorHAnsi" w:hAnsiTheme="minorHAnsi" w:cstheme="minorHAnsi"/>
          <w:i/>
          <w:lang w:val="fr-FR" w:bidi="fr-FR"/>
        </w:rPr>
        <w:t>i.e.</w:t>
      </w:r>
      <w:r w:rsidRPr="00C93577">
        <w:rPr>
          <w:rFonts w:asciiTheme="minorHAnsi" w:hAnsiTheme="minorHAnsi" w:cstheme="minorHAnsi"/>
          <w:lang w:val="fr-FR" w:bidi="fr-FR"/>
        </w:rPr>
        <w:t xml:space="preserve"> signature du consentement éclairé du premier patient) pour la phase III de l’étude sur le VIH avant le 31 décembre 2019. </w:t>
      </w:r>
    </w:p>
    <w:p w14:paraId="230159B8" w14:textId="77777777" w:rsidR="00B740A8" w:rsidRPr="00C73365" w:rsidRDefault="00B740A8" w:rsidP="00B740A8">
      <w:pPr>
        <w:ind w:right="-1417"/>
        <w:rPr>
          <w:rFonts w:asciiTheme="minorHAnsi" w:hAnsiTheme="minorHAnsi" w:cstheme="minorHAnsi"/>
          <w:sz w:val="18"/>
          <w:szCs w:val="18"/>
          <w:lang w:val="fr-FR"/>
        </w:rPr>
      </w:pPr>
    </w:p>
    <w:p w14:paraId="05DBBE2A" w14:textId="77777777" w:rsidR="00B740A8" w:rsidRPr="00C73365" w:rsidRDefault="00B740A8" w:rsidP="004572A0">
      <w:pPr>
        <w:pStyle w:val="Corpsdetexte"/>
        <w:rPr>
          <w:rFonts w:asciiTheme="minorHAnsi" w:hAnsiTheme="minorHAnsi" w:cstheme="minorHAnsi"/>
          <w:u w:val="single"/>
          <w:lang w:val="fr-FR"/>
        </w:rPr>
      </w:pPr>
      <w:r w:rsidRPr="00C73365">
        <w:rPr>
          <w:rFonts w:asciiTheme="minorHAnsi" w:hAnsiTheme="minorHAnsi" w:cstheme="minorHAnsi"/>
          <w:u w:val="single"/>
          <w:lang w:val="fr-FR"/>
        </w:rPr>
        <w:t xml:space="preserve">Note (9): </w:t>
      </w:r>
    </w:p>
    <w:p w14:paraId="5A1B0E53" w14:textId="77777777" w:rsidR="00B740A8" w:rsidRPr="001D15EF" w:rsidRDefault="00B740A8" w:rsidP="00434C49">
      <w:pPr>
        <w:pStyle w:val="Paragraphedeliste"/>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16.844 BCE-2017-3, exerçables à compter du 31 mai 2018,</w:t>
      </w:r>
    </w:p>
    <w:p w14:paraId="5B01616A" w14:textId="77777777" w:rsidR="00B740A8" w:rsidRPr="001D15EF" w:rsidRDefault="00B740A8" w:rsidP="00434C49">
      <w:pPr>
        <w:pStyle w:val="Paragraphedeliste"/>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33.687 BCE-2017-3, exerçables dans les conditions ci-dessous :</w:t>
      </w:r>
    </w:p>
    <w:p w14:paraId="5F03027D" w14:textId="77777777" w:rsidR="00B740A8" w:rsidRPr="00C93577" w:rsidRDefault="00B740A8" w:rsidP="00434C49">
      <w:pPr>
        <w:pStyle w:val="Listepuces3"/>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16.844 BCE-2017-3, au prorata du nombre de mois écoulés à compter du 20 novembre 2017 sur une durée totale de vingt-quatre (24) mois, soit un nombre X de BCE-2017-3 calculé selon la règle suivante : </w:t>
      </w:r>
    </w:p>
    <w:p w14:paraId="11834D3B" w14:textId="77777777" w:rsidR="00B740A8" w:rsidRPr="001D15EF" w:rsidRDefault="00B740A8" w:rsidP="00434C49">
      <w:pPr>
        <w:pStyle w:val="Paragraphedeliste"/>
        <w:numPr>
          <w:ilvl w:val="0"/>
          <w:numId w:val="53"/>
        </w:numPr>
        <w:spacing w:after="0"/>
        <w:ind w:left="1068" w:right="-1417"/>
        <w:rPr>
          <w:rFonts w:asciiTheme="minorHAnsi" w:hAnsiTheme="minorHAnsi" w:cstheme="minorHAnsi"/>
          <w:szCs w:val="20"/>
          <w:lang w:val="fr-FR"/>
        </w:rPr>
      </w:pPr>
      <w:r w:rsidRPr="001D15EF">
        <w:rPr>
          <w:rFonts w:asciiTheme="minorHAnsi" w:hAnsiTheme="minorHAnsi" w:cstheme="minorHAnsi"/>
          <w:szCs w:val="20"/>
          <w:lang w:val="fr-FR"/>
        </w:rPr>
        <w:t>X=16.844 BCE-2017-3 attribués multiplié par (nombre de mois écoulés à compter du 20 novembre 2017/24),</w:t>
      </w:r>
    </w:p>
    <w:p w14:paraId="75367F69" w14:textId="77777777" w:rsidR="00B740A8" w:rsidRPr="00C93577" w:rsidRDefault="00B740A8" w:rsidP="00434C49">
      <w:pPr>
        <w:pStyle w:val="Listepuces3"/>
        <w:numPr>
          <w:ilvl w:val="0"/>
          <w:numId w:val="53"/>
        </w:numPr>
        <w:rPr>
          <w:rFonts w:asciiTheme="minorHAnsi" w:hAnsiTheme="minorHAnsi" w:cstheme="minorHAnsi"/>
          <w:lang w:val="fr-FR"/>
        </w:rPr>
      </w:pPr>
      <w:r w:rsidRPr="00C93577">
        <w:rPr>
          <w:rFonts w:asciiTheme="minorHAnsi" w:hAnsiTheme="minorHAnsi" w:cstheme="minorHAnsi"/>
          <w:lang w:val="fr-FR"/>
        </w:rPr>
        <w:t>A hauteur de 16.843 BCE-2017-3, au prorata du nombre de mois écoulés à compter du 20 novembre 2017 sur une durée totale de quarante-huit (48) mois, soit un nombre X de BCE-2017-3 calculé selon la règle suivante :</w:t>
      </w:r>
    </w:p>
    <w:p w14:paraId="46C2DB13" w14:textId="77777777" w:rsidR="00B740A8" w:rsidRPr="001D15EF" w:rsidRDefault="00B740A8" w:rsidP="00B740A8">
      <w:pPr>
        <w:pStyle w:val="Paragraphedeliste"/>
        <w:ind w:left="1068" w:right="-1417"/>
        <w:rPr>
          <w:rFonts w:asciiTheme="minorHAnsi" w:hAnsiTheme="minorHAnsi" w:cstheme="minorHAnsi"/>
          <w:szCs w:val="20"/>
          <w:lang w:val="fr-FR"/>
        </w:rPr>
      </w:pPr>
      <w:r w:rsidRPr="001D15EF">
        <w:rPr>
          <w:rFonts w:asciiTheme="minorHAnsi" w:hAnsiTheme="minorHAnsi" w:cstheme="minorHAnsi"/>
          <w:szCs w:val="20"/>
          <w:lang w:val="fr-FR"/>
        </w:rPr>
        <w:t>X=16.843 BCE-2017-3 attribués multiplié par (nombre de mois écoulés à compter du 20 novembre 2017/48),</w:t>
      </w:r>
    </w:p>
    <w:p w14:paraId="3C5B5287" w14:textId="77777777" w:rsidR="00B740A8" w:rsidRPr="001D15EF" w:rsidRDefault="00B740A8" w:rsidP="00B740A8">
      <w:pPr>
        <w:pStyle w:val="Paragraphedeliste"/>
        <w:ind w:left="1068" w:right="-1417"/>
        <w:rPr>
          <w:rFonts w:asciiTheme="minorHAnsi" w:hAnsiTheme="minorHAnsi" w:cstheme="minorHAnsi"/>
          <w:szCs w:val="20"/>
          <w:lang w:val="fr-FR"/>
        </w:rPr>
      </w:pPr>
      <w:r w:rsidRPr="001D15EF">
        <w:rPr>
          <w:rFonts w:asciiTheme="minorHAnsi" w:hAnsiTheme="minorHAnsi" w:cstheme="minorHAnsi"/>
          <w:szCs w:val="20"/>
          <w:lang w:val="fr-FR"/>
        </w:rPr>
        <w:t>étant précisé que le Bénéficiaire ne pourra exercer ces BCE-2017-3 qu’à l’issue d’une durée d’un (1) an à compter de leur attribution,</w:t>
      </w:r>
    </w:p>
    <w:p w14:paraId="1679CABB" w14:textId="77777777" w:rsidR="00B740A8" w:rsidRPr="001D15EF" w:rsidRDefault="00B740A8" w:rsidP="00434C49">
      <w:pPr>
        <w:pStyle w:val="Paragraphedeliste"/>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50.530 BCE-2017-3 dans les conditions visées ci-après : </w:t>
      </w:r>
    </w:p>
    <w:p w14:paraId="59631890" w14:textId="77777777" w:rsidR="00B740A8" w:rsidRPr="00C93577" w:rsidRDefault="00B740A8" w:rsidP="00434C49">
      <w:pPr>
        <w:pStyle w:val="Listepuces3"/>
        <w:numPr>
          <w:ilvl w:val="1"/>
          <w:numId w:val="90"/>
        </w:numPr>
        <w:rPr>
          <w:rFonts w:asciiTheme="minorHAnsi" w:hAnsiTheme="minorHAnsi" w:cstheme="minorHAnsi"/>
          <w:lang w:val="fr-FR"/>
        </w:rPr>
      </w:pPr>
      <w:r w:rsidRPr="00C93577">
        <w:rPr>
          <w:rFonts w:asciiTheme="minorHAnsi" w:hAnsiTheme="minorHAnsi" w:cstheme="minorHAnsi"/>
          <w:lang w:val="fr-FR"/>
        </w:rPr>
        <w:t xml:space="preserve">A hauteur de 25.265 BCE-2017-3 en cas de résultats favorables de l’étude de preuve de concept ABX464 pour la </w:t>
      </w:r>
      <w:r w:rsidR="00357A37" w:rsidRPr="00C93577">
        <w:rPr>
          <w:rFonts w:asciiTheme="minorHAnsi" w:hAnsiTheme="minorHAnsi" w:cstheme="minorHAnsi"/>
          <w:lang w:val="fr-FR"/>
        </w:rPr>
        <w:t>rectocolite hémorragique</w:t>
      </w:r>
      <w:r w:rsidRPr="00C93577">
        <w:rPr>
          <w:rFonts w:asciiTheme="minorHAnsi" w:hAnsiTheme="minorHAnsi" w:cstheme="minorHAnsi"/>
          <w:lang w:val="fr-FR"/>
        </w:rPr>
        <w:t xml:space="preserve"> avant le 31 décembre 2018, étant précisé que les résultats seront considérés comme « favorables » en cas de « </w:t>
      </w:r>
      <w:r w:rsidRPr="00C93577">
        <w:rPr>
          <w:rFonts w:asciiTheme="minorHAnsi" w:hAnsiTheme="minorHAnsi" w:cstheme="minorHAnsi"/>
          <w:i/>
          <w:lang w:val="fr-FR"/>
        </w:rPr>
        <w:t>positive safety</w:t>
      </w:r>
      <w:r w:rsidRPr="00C93577">
        <w:rPr>
          <w:rFonts w:asciiTheme="minorHAnsi" w:hAnsiTheme="minorHAnsi" w:cstheme="minorHAnsi"/>
          <w:lang w:val="fr-FR"/>
        </w:rPr>
        <w:t xml:space="preserve"> » (critère principal) et d’efficacité (critère secondaire) afin de permettre de démarrer une étude pivot de phase IIb ou un essai clinique de phase III, avec une IND aux Etats-Unis avant le 31 décembre 2018, </w:t>
      </w:r>
    </w:p>
    <w:p w14:paraId="49B221BB" w14:textId="77777777" w:rsidR="00B740A8" w:rsidRPr="00C93577" w:rsidRDefault="00B740A8" w:rsidP="00434C49">
      <w:pPr>
        <w:pStyle w:val="Listepuces3"/>
        <w:numPr>
          <w:ilvl w:val="1"/>
          <w:numId w:val="90"/>
        </w:numPr>
        <w:rPr>
          <w:rFonts w:asciiTheme="minorHAnsi" w:hAnsiTheme="minorHAnsi" w:cstheme="minorHAnsi"/>
          <w:lang w:val="fr-FR"/>
        </w:rPr>
      </w:pPr>
      <w:r w:rsidRPr="00C93577">
        <w:rPr>
          <w:rFonts w:asciiTheme="minorHAnsi" w:hAnsiTheme="minorHAnsi" w:cstheme="minorHAnsi"/>
          <w:lang w:val="fr-FR"/>
        </w:rPr>
        <w:t>A hauteur de 25.265 BCE-2017-3, en cas de FSI (</w:t>
      </w:r>
      <w:r w:rsidRPr="00C93577">
        <w:rPr>
          <w:rFonts w:asciiTheme="minorHAnsi" w:hAnsiTheme="minorHAnsi" w:cstheme="minorHAnsi"/>
          <w:i/>
          <w:lang w:val="fr-FR"/>
        </w:rPr>
        <w:t>First Subject in</w:t>
      </w:r>
      <w:r w:rsidRPr="00C93577">
        <w:rPr>
          <w:rFonts w:asciiTheme="minorHAnsi" w:hAnsiTheme="minorHAnsi" w:cstheme="minorHAnsi"/>
          <w:lang w:val="fr-FR"/>
        </w:rPr>
        <w:t xml:space="preserve">, </w:t>
      </w:r>
      <w:r w:rsidRPr="00C93577">
        <w:rPr>
          <w:rFonts w:asciiTheme="minorHAnsi" w:hAnsiTheme="minorHAnsi" w:cstheme="minorHAnsi"/>
          <w:i/>
          <w:lang w:val="fr-FR"/>
        </w:rPr>
        <w:t>i.e.</w:t>
      </w:r>
      <w:r w:rsidRPr="00C93577">
        <w:rPr>
          <w:rFonts w:asciiTheme="minorHAnsi" w:hAnsiTheme="minorHAnsi" w:cstheme="minorHAnsi"/>
          <w:lang w:val="fr-FR"/>
        </w:rPr>
        <w:t xml:space="preserve"> signature du consentement éclairé du premier patient) pour la phase III de l’étude sur le VIH avant le 31 décembre 2019.</w:t>
      </w:r>
    </w:p>
    <w:p w14:paraId="51C4DF78" w14:textId="77777777" w:rsidR="00B740A8" w:rsidRDefault="00B740A8" w:rsidP="00B740A8">
      <w:pPr>
        <w:widowControl w:val="0"/>
        <w:autoSpaceDE w:val="0"/>
        <w:autoSpaceDN w:val="0"/>
        <w:adjustRightInd w:val="0"/>
        <w:ind w:right="-1417"/>
        <w:rPr>
          <w:rFonts w:asciiTheme="minorHAnsi" w:hAnsiTheme="minorHAnsi" w:cstheme="minorHAnsi"/>
          <w:sz w:val="18"/>
          <w:szCs w:val="18"/>
          <w:lang w:val="fr-FR"/>
        </w:rPr>
      </w:pPr>
    </w:p>
    <w:p w14:paraId="274439E4" w14:textId="77777777" w:rsidR="004834A9" w:rsidRDefault="004834A9" w:rsidP="00B740A8">
      <w:pPr>
        <w:widowControl w:val="0"/>
        <w:autoSpaceDE w:val="0"/>
        <w:autoSpaceDN w:val="0"/>
        <w:adjustRightInd w:val="0"/>
        <w:ind w:right="-1417"/>
        <w:rPr>
          <w:rFonts w:asciiTheme="minorHAnsi" w:hAnsiTheme="minorHAnsi" w:cstheme="minorHAnsi"/>
          <w:sz w:val="18"/>
          <w:szCs w:val="18"/>
          <w:lang w:val="fr-FR"/>
        </w:rPr>
      </w:pPr>
    </w:p>
    <w:p w14:paraId="7F6DB864" w14:textId="77777777" w:rsidR="004834A9" w:rsidRPr="00C73365" w:rsidRDefault="004834A9" w:rsidP="00B740A8">
      <w:pPr>
        <w:widowControl w:val="0"/>
        <w:autoSpaceDE w:val="0"/>
        <w:autoSpaceDN w:val="0"/>
        <w:adjustRightInd w:val="0"/>
        <w:ind w:right="-1417"/>
        <w:rPr>
          <w:rFonts w:asciiTheme="minorHAnsi" w:hAnsiTheme="minorHAnsi" w:cstheme="minorHAnsi"/>
          <w:sz w:val="18"/>
          <w:szCs w:val="18"/>
          <w:lang w:val="fr-FR"/>
        </w:rPr>
      </w:pPr>
    </w:p>
    <w:p w14:paraId="08BDE4F3" w14:textId="77777777" w:rsidR="00B740A8" w:rsidRPr="00C73365" w:rsidRDefault="00B740A8" w:rsidP="004572A0">
      <w:pPr>
        <w:pStyle w:val="Corpsdetexte"/>
        <w:rPr>
          <w:rFonts w:asciiTheme="minorHAnsi" w:hAnsiTheme="minorHAnsi" w:cstheme="minorHAnsi"/>
          <w:u w:val="single"/>
          <w:lang w:val="fr-FR"/>
        </w:rPr>
      </w:pPr>
      <w:r w:rsidRPr="00C73365">
        <w:rPr>
          <w:rFonts w:asciiTheme="minorHAnsi" w:hAnsiTheme="minorHAnsi" w:cstheme="minorHAnsi"/>
          <w:u w:val="single"/>
          <w:lang w:val="fr-FR"/>
        </w:rPr>
        <w:lastRenderedPageBreak/>
        <w:t xml:space="preserve">Note (10): </w:t>
      </w:r>
    </w:p>
    <w:p w14:paraId="7804F665" w14:textId="77777777" w:rsidR="00B740A8" w:rsidRPr="001D15EF" w:rsidRDefault="00B740A8" w:rsidP="00434C49">
      <w:pPr>
        <w:pStyle w:val="Paragraphedeliste"/>
        <w:widowControl w:val="0"/>
        <w:numPr>
          <w:ilvl w:val="0"/>
          <w:numId w:val="90"/>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16.844 BCE-2017-4 exerçables à l’issue d’une durée d’un (1) an à compter de leur attribution, soit à compter du 20 novembre 2018,</w:t>
      </w:r>
    </w:p>
    <w:p w14:paraId="716D82C4" w14:textId="77777777" w:rsidR="00B740A8" w:rsidRPr="001D15EF" w:rsidRDefault="00B740A8" w:rsidP="00434C49">
      <w:pPr>
        <w:pStyle w:val="Paragraphedeliste"/>
        <w:widowControl w:val="0"/>
        <w:numPr>
          <w:ilvl w:val="0"/>
          <w:numId w:val="90"/>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16.843 BCE-2017-4 au prorata du nombre de mois écoulés à compter du 20 novembre 2017 sur une durée totale de vingt-quatre (24) mois, soit un nombre X de BCE-2017-4 calculé selon la règle suivante :</w:t>
      </w:r>
    </w:p>
    <w:p w14:paraId="113E7FA2" w14:textId="77777777" w:rsidR="00B740A8" w:rsidRPr="001D15EF" w:rsidRDefault="00B740A8" w:rsidP="00B740A8">
      <w:pPr>
        <w:pStyle w:val="Paragraphedeliste"/>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X=16.843 BCE-2017-4 attribués multiplié par (nombre de mois écoulés à compter du 20 novembre 2017/24),</w:t>
      </w:r>
    </w:p>
    <w:p w14:paraId="25B32905" w14:textId="77777777" w:rsidR="00B740A8" w:rsidRPr="001D15EF" w:rsidRDefault="00B740A8" w:rsidP="00B740A8">
      <w:pPr>
        <w:pStyle w:val="Paragraphedeliste"/>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étant précisé que le Bénéficiaire ne pourra exercer ces BCE-2017-4 qu’à l’issue d’une durée d’un (1) an à compter de leur attribution,</w:t>
      </w:r>
    </w:p>
    <w:p w14:paraId="65395D03" w14:textId="77777777" w:rsidR="00B740A8" w:rsidRPr="001D15EF" w:rsidRDefault="00B740A8" w:rsidP="00434C49">
      <w:pPr>
        <w:pStyle w:val="Paragraphedeliste"/>
        <w:widowControl w:val="0"/>
        <w:numPr>
          <w:ilvl w:val="0"/>
          <w:numId w:val="91"/>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33.687 BCE-2017-4 dans les conditions visées ci-après : </w:t>
      </w:r>
    </w:p>
    <w:p w14:paraId="64B21EC5" w14:textId="77777777" w:rsidR="00B740A8" w:rsidRPr="00C93577" w:rsidRDefault="00B740A8" w:rsidP="00434C49">
      <w:pPr>
        <w:pStyle w:val="Listepuces3"/>
        <w:numPr>
          <w:ilvl w:val="1"/>
          <w:numId w:val="92"/>
        </w:numPr>
        <w:rPr>
          <w:rFonts w:asciiTheme="minorHAnsi" w:hAnsiTheme="minorHAnsi" w:cstheme="minorHAnsi"/>
          <w:lang w:val="fr-FR"/>
        </w:rPr>
      </w:pPr>
      <w:r w:rsidRPr="00C93577">
        <w:rPr>
          <w:rFonts w:asciiTheme="minorHAnsi" w:hAnsiTheme="minorHAnsi" w:cstheme="minorHAnsi"/>
          <w:lang w:val="fr-FR"/>
        </w:rPr>
        <w:t>A hauteur de 16.844 BCE-2017-4 en cas de signature d’un accord de licence avec un partenaire de la Société sur l’ABX464, générant une avance de paiement (</w:t>
      </w:r>
      <w:r w:rsidRPr="00C93577">
        <w:rPr>
          <w:rFonts w:asciiTheme="minorHAnsi" w:hAnsiTheme="minorHAnsi" w:cstheme="minorHAnsi"/>
          <w:i/>
          <w:lang w:val="fr-FR"/>
        </w:rPr>
        <w:t>upfront payment</w:t>
      </w:r>
      <w:r w:rsidRPr="00C93577">
        <w:rPr>
          <w:rFonts w:asciiTheme="minorHAnsi" w:hAnsiTheme="minorHAnsi" w:cstheme="minorHAnsi"/>
          <w:lang w:val="fr-FR"/>
        </w:rPr>
        <w:t xml:space="preserve">) d’au moins 40 millions d’euros, avant le 31 décembre 2018, </w:t>
      </w:r>
    </w:p>
    <w:p w14:paraId="20534DE0" w14:textId="77777777" w:rsidR="00B740A8" w:rsidRPr="00C93577" w:rsidRDefault="00B740A8" w:rsidP="00434C49">
      <w:pPr>
        <w:pStyle w:val="Listepuces3"/>
        <w:numPr>
          <w:ilvl w:val="1"/>
          <w:numId w:val="92"/>
        </w:numPr>
        <w:rPr>
          <w:rFonts w:asciiTheme="minorHAnsi" w:hAnsiTheme="minorHAnsi" w:cstheme="minorHAnsi"/>
          <w:lang w:val="fr-FR"/>
        </w:rPr>
      </w:pPr>
      <w:r w:rsidRPr="00C93577">
        <w:rPr>
          <w:rFonts w:asciiTheme="minorHAnsi" w:hAnsiTheme="minorHAnsi" w:cstheme="minorHAnsi"/>
          <w:lang w:val="fr-FR"/>
        </w:rPr>
        <w:t>A hauteur de 16.843 BCE-2017-4, en cas de signature d’un accord de licence avec un partenaire de la Société sur l’ABX196, générant une avance de paiement (</w:t>
      </w:r>
      <w:r w:rsidRPr="00C93577">
        <w:rPr>
          <w:rFonts w:asciiTheme="minorHAnsi" w:hAnsiTheme="minorHAnsi" w:cstheme="minorHAnsi"/>
          <w:i/>
          <w:lang w:val="fr-FR"/>
        </w:rPr>
        <w:t>upfront payment</w:t>
      </w:r>
      <w:r w:rsidRPr="00C93577">
        <w:rPr>
          <w:rFonts w:asciiTheme="minorHAnsi" w:hAnsiTheme="minorHAnsi" w:cstheme="minorHAnsi"/>
          <w:lang w:val="fr-FR"/>
        </w:rPr>
        <w:t>) d’au moins 25 millions d’euros, avant le 31 décembre 2019.</w:t>
      </w:r>
    </w:p>
    <w:p w14:paraId="36DF49D7" w14:textId="77777777" w:rsidR="00B740A8" w:rsidRPr="00C73365" w:rsidRDefault="00B740A8" w:rsidP="00B740A8">
      <w:pPr>
        <w:widowControl w:val="0"/>
        <w:autoSpaceDE w:val="0"/>
        <w:autoSpaceDN w:val="0"/>
        <w:adjustRightInd w:val="0"/>
        <w:ind w:right="-1417"/>
        <w:rPr>
          <w:rFonts w:asciiTheme="minorHAnsi" w:hAnsiTheme="minorHAnsi" w:cstheme="minorHAnsi"/>
          <w:sz w:val="18"/>
          <w:szCs w:val="18"/>
          <w:lang w:val="fr-FR"/>
        </w:rPr>
      </w:pPr>
    </w:p>
    <w:p w14:paraId="2F20912D" w14:textId="77777777" w:rsidR="00B740A8" w:rsidRPr="00C73365" w:rsidRDefault="00B740A8" w:rsidP="004572A0">
      <w:pPr>
        <w:pStyle w:val="Corpsdetexte"/>
        <w:rPr>
          <w:rFonts w:asciiTheme="minorHAnsi" w:hAnsiTheme="minorHAnsi" w:cstheme="minorHAnsi"/>
          <w:u w:val="single"/>
          <w:lang w:val="fr-FR"/>
        </w:rPr>
      </w:pPr>
      <w:r w:rsidRPr="00C73365">
        <w:rPr>
          <w:rFonts w:asciiTheme="minorHAnsi" w:hAnsiTheme="minorHAnsi" w:cstheme="minorHAnsi"/>
          <w:u w:val="single"/>
          <w:lang w:val="fr-FR"/>
        </w:rPr>
        <w:t xml:space="preserve">Note (11): </w:t>
      </w:r>
    </w:p>
    <w:p w14:paraId="0F6E3D8C" w14:textId="77777777" w:rsidR="00B740A8" w:rsidRPr="001D15EF" w:rsidRDefault="00B740A8" w:rsidP="00434C49">
      <w:pPr>
        <w:pStyle w:val="Paragraphedeliste"/>
        <w:widowControl w:val="0"/>
        <w:numPr>
          <w:ilvl w:val="0"/>
          <w:numId w:val="92"/>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8.422 BCE-2017-5 exerçables à compter du 31 mai 2018, </w:t>
      </w:r>
    </w:p>
    <w:p w14:paraId="133BE14E" w14:textId="77777777" w:rsidR="00B740A8" w:rsidRPr="001D15EF" w:rsidRDefault="00B740A8" w:rsidP="00434C49">
      <w:pPr>
        <w:pStyle w:val="Paragraphedeliste"/>
        <w:widowControl w:val="0"/>
        <w:numPr>
          <w:ilvl w:val="0"/>
          <w:numId w:val="92"/>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8.421 BCE-2017-5, au prorata du nombre de mois écoulés à compter du 20 novembre 2017 sur une durée totale de vingt-quatre (24) mois, soit un nombre X de BCE-2017-5 calculé selon la règle suivante :</w:t>
      </w:r>
    </w:p>
    <w:p w14:paraId="7B3F1EB6" w14:textId="77777777" w:rsidR="00B740A8" w:rsidRPr="001D15EF" w:rsidRDefault="00B740A8" w:rsidP="00B740A8">
      <w:pPr>
        <w:pStyle w:val="Paragraphedeliste"/>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X=8.421 BCE-2017-5 attribués multiplié par (nombre de mois écoulés à compter du 20 novembre 2017/24),</w:t>
      </w:r>
    </w:p>
    <w:p w14:paraId="3F8A20DB" w14:textId="77777777" w:rsidR="00B740A8" w:rsidRPr="001D15EF" w:rsidRDefault="00B740A8" w:rsidP="00B740A8">
      <w:pPr>
        <w:pStyle w:val="Paragraphedeliste"/>
        <w:widowControl w:val="0"/>
        <w:autoSpaceDE w:val="0"/>
        <w:autoSpaceDN w:val="0"/>
        <w:adjustRightInd w:val="0"/>
        <w:ind w:left="720" w:right="-1417"/>
        <w:rPr>
          <w:rFonts w:asciiTheme="minorHAnsi" w:hAnsiTheme="minorHAnsi" w:cstheme="minorHAnsi"/>
          <w:b/>
          <w:szCs w:val="20"/>
          <w:lang w:val="fr-FR"/>
        </w:rPr>
      </w:pPr>
      <w:r w:rsidRPr="001D15EF">
        <w:rPr>
          <w:rFonts w:asciiTheme="minorHAnsi" w:hAnsiTheme="minorHAnsi" w:cstheme="minorHAnsi"/>
          <w:szCs w:val="20"/>
          <w:lang w:val="fr-FR"/>
        </w:rPr>
        <w:t xml:space="preserve">étant précisé que le Bénéficiaire ne pourra exercer ces BCE-2017-5 qu’à l’issue d’une durée d’un (1) an à compter de leur attribution, </w:t>
      </w:r>
    </w:p>
    <w:p w14:paraId="311B4B66" w14:textId="77777777" w:rsidR="00B740A8" w:rsidRPr="001D15EF" w:rsidRDefault="00B740A8" w:rsidP="00434C49">
      <w:pPr>
        <w:pStyle w:val="Paragraphedeliste"/>
        <w:widowControl w:val="0"/>
        <w:numPr>
          <w:ilvl w:val="0"/>
          <w:numId w:val="93"/>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16.844 BCE-2017-5 dans les conditions visées ci-après : </w:t>
      </w:r>
    </w:p>
    <w:p w14:paraId="7F2859B9" w14:textId="77777777" w:rsidR="00B740A8" w:rsidRPr="00C93577" w:rsidRDefault="00B740A8" w:rsidP="00434C49">
      <w:pPr>
        <w:pStyle w:val="Listepuces3"/>
        <w:numPr>
          <w:ilvl w:val="1"/>
          <w:numId w:val="94"/>
        </w:numPr>
        <w:rPr>
          <w:rFonts w:asciiTheme="minorHAnsi" w:hAnsiTheme="minorHAnsi" w:cstheme="minorHAnsi"/>
          <w:lang w:val="fr-FR"/>
        </w:rPr>
      </w:pPr>
      <w:r w:rsidRPr="00C93577">
        <w:rPr>
          <w:rFonts w:asciiTheme="minorHAnsi" w:hAnsiTheme="minorHAnsi" w:cstheme="minorHAnsi"/>
          <w:lang w:val="fr-FR"/>
        </w:rPr>
        <w:t xml:space="preserve">A hauteur de 5.615 BCE-2017-5 en cas de résultats favorables de l’étude de preuve de concept ABX464 pour la </w:t>
      </w:r>
      <w:r w:rsidR="00357A37" w:rsidRPr="00C93577">
        <w:rPr>
          <w:rFonts w:asciiTheme="minorHAnsi" w:hAnsiTheme="minorHAnsi" w:cstheme="minorHAnsi"/>
          <w:lang w:val="fr-FR"/>
        </w:rPr>
        <w:t>rectocolite hémorragique</w:t>
      </w:r>
      <w:r w:rsidRPr="00C93577">
        <w:rPr>
          <w:rFonts w:asciiTheme="minorHAnsi" w:hAnsiTheme="minorHAnsi" w:cstheme="minorHAnsi"/>
          <w:lang w:val="fr-FR"/>
        </w:rPr>
        <w:t xml:space="preserve"> avant le 31 décembre 2018, étant précisé que les résultats seront considérés comme « favorables » en cas de « </w:t>
      </w:r>
      <w:r w:rsidRPr="00C93577">
        <w:rPr>
          <w:rFonts w:asciiTheme="minorHAnsi" w:hAnsiTheme="minorHAnsi" w:cstheme="minorHAnsi"/>
          <w:i/>
          <w:lang w:val="fr-FR"/>
        </w:rPr>
        <w:t>positive safety</w:t>
      </w:r>
      <w:r w:rsidRPr="00C93577">
        <w:rPr>
          <w:rFonts w:asciiTheme="minorHAnsi" w:hAnsiTheme="minorHAnsi" w:cstheme="minorHAnsi"/>
          <w:lang w:val="fr-FR"/>
        </w:rPr>
        <w:t> » (critère principal) et d’efficacité (critère secondaire) afin de permettre de démarrer une étude pivot de phase IIb ou un essai clinique de phase III, avec une IND aux Etats-Unis avant le 31 décembre 2018,</w:t>
      </w:r>
    </w:p>
    <w:p w14:paraId="4A070DF6" w14:textId="77777777" w:rsidR="00B740A8" w:rsidRPr="00C93577" w:rsidRDefault="00B740A8" w:rsidP="00434C49">
      <w:pPr>
        <w:pStyle w:val="Listepuces3"/>
        <w:numPr>
          <w:ilvl w:val="1"/>
          <w:numId w:val="94"/>
        </w:numPr>
        <w:rPr>
          <w:rFonts w:asciiTheme="minorHAnsi" w:hAnsiTheme="minorHAnsi" w:cstheme="minorHAnsi"/>
          <w:lang w:val="fr-FR"/>
        </w:rPr>
      </w:pPr>
      <w:r w:rsidRPr="00C93577">
        <w:rPr>
          <w:rFonts w:asciiTheme="minorHAnsi" w:hAnsiTheme="minorHAnsi" w:cstheme="minorHAnsi"/>
          <w:lang w:val="fr-FR"/>
        </w:rPr>
        <w:t>A hauteur de 5.615 BCE-2017-5 en cas de FSI (</w:t>
      </w:r>
      <w:r w:rsidRPr="00C93577">
        <w:rPr>
          <w:rFonts w:asciiTheme="minorHAnsi" w:hAnsiTheme="minorHAnsi" w:cstheme="minorHAnsi"/>
          <w:i/>
          <w:lang w:val="fr-FR"/>
        </w:rPr>
        <w:t>First Subject in</w:t>
      </w:r>
      <w:r w:rsidRPr="00C93577">
        <w:rPr>
          <w:rFonts w:asciiTheme="minorHAnsi" w:hAnsiTheme="minorHAnsi" w:cstheme="minorHAnsi"/>
          <w:lang w:val="fr-FR"/>
        </w:rPr>
        <w:t xml:space="preserve">, </w:t>
      </w:r>
      <w:r w:rsidRPr="00C93577">
        <w:rPr>
          <w:rFonts w:asciiTheme="minorHAnsi" w:hAnsiTheme="minorHAnsi" w:cstheme="minorHAnsi"/>
          <w:i/>
          <w:lang w:val="fr-FR"/>
        </w:rPr>
        <w:t>i.e.</w:t>
      </w:r>
      <w:r w:rsidRPr="00C93577">
        <w:rPr>
          <w:rFonts w:asciiTheme="minorHAnsi" w:hAnsiTheme="minorHAnsi" w:cstheme="minorHAnsi"/>
          <w:lang w:val="fr-FR"/>
        </w:rPr>
        <w:t xml:space="preserve"> signature du consentement éclairé du premier patient) pour la phase III de l’étude sur le VIH avant le 31 décembre 2019, </w:t>
      </w:r>
    </w:p>
    <w:p w14:paraId="0BAF64AC" w14:textId="77777777" w:rsidR="00B740A8" w:rsidRPr="00C93577" w:rsidRDefault="00B740A8" w:rsidP="00434C49">
      <w:pPr>
        <w:pStyle w:val="Listepuces3"/>
        <w:numPr>
          <w:ilvl w:val="1"/>
          <w:numId w:val="94"/>
        </w:numPr>
        <w:rPr>
          <w:rFonts w:asciiTheme="minorHAnsi" w:hAnsiTheme="minorHAnsi" w:cstheme="minorHAnsi"/>
          <w:lang w:val="fr-FR"/>
        </w:rPr>
      </w:pPr>
      <w:r w:rsidRPr="00C93577">
        <w:rPr>
          <w:rFonts w:asciiTheme="minorHAnsi" w:hAnsiTheme="minorHAnsi" w:cstheme="minorHAnsi"/>
          <w:lang w:val="fr-FR"/>
        </w:rPr>
        <w:lastRenderedPageBreak/>
        <w:t>A hauteur de 5.614 BCE-2017-5 en cas de résultats favorables (« </w:t>
      </w:r>
      <w:r w:rsidRPr="00C93577">
        <w:rPr>
          <w:rFonts w:asciiTheme="minorHAnsi" w:hAnsiTheme="minorHAnsi" w:cstheme="minorHAnsi"/>
          <w:i/>
          <w:lang w:val="fr-FR"/>
        </w:rPr>
        <w:t>positive safety</w:t>
      </w:r>
      <w:r w:rsidRPr="00C93577">
        <w:rPr>
          <w:rFonts w:asciiTheme="minorHAnsi" w:hAnsiTheme="minorHAnsi" w:cstheme="minorHAnsi"/>
          <w:lang w:val="fr-FR"/>
        </w:rPr>
        <w:t> » (critère principal) et efficacité (critère secondaire)) de l’étude de preuve de concept ABX196 au titre d’une IND dans le carcinome hépatocellulaire et en cas de démarrage d’une étude pivot de phase IIb ou d’un essai clinique de phase III (IND, signature du consentement éclairé du premier patient) en 2020.</w:t>
      </w:r>
    </w:p>
    <w:p w14:paraId="62B5C6D7" w14:textId="77777777" w:rsidR="00B740A8" w:rsidRPr="00C73365" w:rsidRDefault="00B740A8" w:rsidP="00B740A8">
      <w:pPr>
        <w:widowControl w:val="0"/>
        <w:autoSpaceDE w:val="0"/>
        <w:autoSpaceDN w:val="0"/>
        <w:adjustRightInd w:val="0"/>
        <w:ind w:right="-1417"/>
        <w:rPr>
          <w:rFonts w:asciiTheme="minorHAnsi" w:hAnsiTheme="minorHAnsi" w:cstheme="minorHAnsi"/>
          <w:sz w:val="18"/>
          <w:szCs w:val="18"/>
          <w:lang w:val="fr-FR"/>
        </w:rPr>
      </w:pPr>
    </w:p>
    <w:p w14:paraId="729A1452" w14:textId="77777777" w:rsidR="00B740A8" w:rsidRPr="00C73365" w:rsidRDefault="00B740A8" w:rsidP="00B740A8">
      <w:pPr>
        <w:widowControl w:val="0"/>
        <w:autoSpaceDE w:val="0"/>
        <w:autoSpaceDN w:val="0"/>
        <w:adjustRightInd w:val="0"/>
        <w:rPr>
          <w:rFonts w:asciiTheme="minorHAnsi" w:hAnsiTheme="minorHAnsi" w:cstheme="minorHAnsi"/>
          <w:sz w:val="18"/>
          <w:szCs w:val="18"/>
          <w:lang w:val="fr-FR"/>
        </w:rPr>
      </w:pPr>
    </w:p>
    <w:p w14:paraId="1C0A9569" w14:textId="77777777" w:rsidR="00B740A8" w:rsidRPr="00C73365" w:rsidRDefault="00B740A8" w:rsidP="00B740A8">
      <w:pPr>
        <w:widowControl w:val="0"/>
        <w:autoSpaceDE w:val="0"/>
        <w:autoSpaceDN w:val="0"/>
        <w:adjustRightInd w:val="0"/>
        <w:rPr>
          <w:rFonts w:asciiTheme="minorHAnsi" w:hAnsiTheme="minorHAnsi" w:cstheme="minorHAnsi"/>
          <w:sz w:val="18"/>
          <w:szCs w:val="18"/>
          <w:lang w:val="fr-FR"/>
        </w:rPr>
      </w:pPr>
    </w:p>
    <w:p w14:paraId="5D12AE4A" w14:textId="77777777" w:rsidR="00B740A8" w:rsidRPr="00C73365" w:rsidRDefault="00B740A8" w:rsidP="00B740A8">
      <w:pPr>
        <w:widowControl w:val="0"/>
        <w:autoSpaceDE w:val="0"/>
        <w:autoSpaceDN w:val="0"/>
        <w:adjustRightInd w:val="0"/>
        <w:ind w:left="720"/>
        <w:rPr>
          <w:rFonts w:asciiTheme="minorHAnsi" w:hAnsiTheme="minorHAnsi" w:cstheme="minorHAnsi"/>
          <w:sz w:val="18"/>
          <w:szCs w:val="18"/>
          <w:lang w:val="fr-FR"/>
        </w:rPr>
        <w:sectPr w:rsidR="00B740A8" w:rsidRPr="00C73365" w:rsidSect="00D1541A">
          <w:headerReference w:type="even" r:id="rId88"/>
          <w:footerReference w:type="even" r:id="rId89"/>
          <w:pgSz w:w="16840" w:h="11900" w:orient="landscape"/>
          <w:pgMar w:top="1417" w:right="1417" w:bottom="1417" w:left="1417" w:header="720" w:footer="720" w:gutter="0"/>
          <w:cols w:space="720" w:equalWidth="0">
            <w:col w:w="9573"/>
          </w:cols>
          <w:noEndnote/>
          <w:docGrid w:linePitch="299"/>
        </w:sectPr>
      </w:pPr>
      <w:r w:rsidRPr="00C73365">
        <w:rPr>
          <w:rFonts w:asciiTheme="minorHAnsi" w:hAnsiTheme="minorHAnsi" w:cstheme="minorHAnsi"/>
          <w:sz w:val="18"/>
          <w:szCs w:val="18"/>
          <w:lang w:val="fr-FR"/>
        </w:rPr>
        <w:t>.</w:t>
      </w:r>
    </w:p>
    <w:p w14:paraId="30B54239"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lastRenderedPageBreak/>
        <w:t xml:space="preserve">Informations sur les bons de souscription (« BSA ») </w:t>
      </w:r>
    </w:p>
    <w:tbl>
      <w:tblPr>
        <w:tblW w:w="14229" w:type="dxa"/>
        <w:tblCellMar>
          <w:left w:w="70" w:type="dxa"/>
          <w:right w:w="70" w:type="dxa"/>
        </w:tblCellMar>
        <w:tblLook w:val="04A0" w:firstRow="1" w:lastRow="0" w:firstColumn="1" w:lastColumn="0" w:noHBand="0" w:noVBand="1"/>
      </w:tblPr>
      <w:tblGrid>
        <w:gridCol w:w="1367"/>
        <w:gridCol w:w="182"/>
        <w:gridCol w:w="1019"/>
        <w:gridCol w:w="182"/>
        <w:gridCol w:w="1019"/>
        <w:gridCol w:w="182"/>
        <w:gridCol w:w="1019"/>
        <w:gridCol w:w="182"/>
        <w:gridCol w:w="1019"/>
        <w:gridCol w:w="182"/>
        <w:gridCol w:w="1019"/>
        <w:gridCol w:w="182"/>
        <w:gridCol w:w="1019"/>
        <w:gridCol w:w="182"/>
        <w:gridCol w:w="1019"/>
        <w:gridCol w:w="182"/>
        <w:gridCol w:w="1019"/>
        <w:gridCol w:w="182"/>
        <w:gridCol w:w="1019"/>
        <w:gridCol w:w="15"/>
        <w:gridCol w:w="1004"/>
        <w:gridCol w:w="15"/>
        <w:gridCol w:w="1019"/>
      </w:tblGrid>
      <w:tr w:rsidR="00B740A8" w:rsidRPr="00C73365" w14:paraId="5FE22F1F" w14:textId="77777777" w:rsidTr="00D1541A">
        <w:trPr>
          <w:trHeight w:val="1288"/>
        </w:trPr>
        <w:tc>
          <w:tcPr>
            <w:tcW w:w="1367" w:type="dxa"/>
            <w:tcBorders>
              <w:top w:val="single" w:sz="12" w:space="0" w:color="7030A0"/>
              <w:left w:val="nil"/>
              <w:bottom w:val="single" w:sz="8" w:space="0" w:color="7030A0"/>
              <w:right w:val="nil"/>
            </w:tcBorders>
            <w:shd w:val="clear" w:color="auto" w:fill="auto"/>
            <w:vAlign w:val="center"/>
            <w:hideMark/>
          </w:tcPr>
          <w:p w14:paraId="34BA496B" w14:textId="77777777"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Catégorie</w:t>
            </w:r>
          </w:p>
        </w:tc>
        <w:tc>
          <w:tcPr>
            <w:tcW w:w="182" w:type="dxa"/>
            <w:tcBorders>
              <w:top w:val="nil"/>
              <w:left w:val="nil"/>
              <w:bottom w:val="nil"/>
              <w:right w:val="nil"/>
            </w:tcBorders>
            <w:shd w:val="clear" w:color="auto" w:fill="auto"/>
            <w:vAlign w:val="center"/>
            <w:hideMark/>
          </w:tcPr>
          <w:p w14:paraId="699F5700" w14:textId="77777777" w:rsidR="00B740A8" w:rsidRPr="00C73365" w:rsidRDefault="00B740A8" w:rsidP="00D1541A">
            <w:pP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14:paraId="20D97FA2" w14:textId="77777777"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BSA-2014-1</w:t>
            </w:r>
          </w:p>
        </w:tc>
        <w:tc>
          <w:tcPr>
            <w:tcW w:w="182" w:type="dxa"/>
            <w:tcBorders>
              <w:top w:val="nil"/>
              <w:left w:val="nil"/>
              <w:bottom w:val="nil"/>
              <w:right w:val="nil"/>
            </w:tcBorders>
            <w:shd w:val="clear" w:color="auto" w:fill="auto"/>
            <w:vAlign w:val="center"/>
            <w:hideMark/>
          </w:tcPr>
          <w:p w14:paraId="53021B27" w14:textId="77777777"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14:paraId="12D894F1" w14:textId="77777777"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BSA-2014-2</w:t>
            </w:r>
          </w:p>
        </w:tc>
        <w:tc>
          <w:tcPr>
            <w:tcW w:w="182" w:type="dxa"/>
            <w:tcBorders>
              <w:top w:val="nil"/>
              <w:left w:val="nil"/>
              <w:bottom w:val="nil"/>
              <w:right w:val="nil"/>
            </w:tcBorders>
            <w:shd w:val="clear" w:color="auto" w:fill="auto"/>
            <w:vAlign w:val="center"/>
            <w:hideMark/>
          </w:tcPr>
          <w:p w14:paraId="19D69900" w14:textId="77777777"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14:paraId="58B8585C" w14:textId="77777777"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BSA-2014-3</w:t>
            </w:r>
          </w:p>
        </w:tc>
        <w:tc>
          <w:tcPr>
            <w:tcW w:w="182" w:type="dxa"/>
            <w:tcBorders>
              <w:top w:val="nil"/>
              <w:left w:val="nil"/>
              <w:bottom w:val="nil"/>
              <w:right w:val="nil"/>
            </w:tcBorders>
            <w:shd w:val="clear" w:color="auto" w:fill="auto"/>
            <w:vAlign w:val="center"/>
            <w:hideMark/>
          </w:tcPr>
          <w:p w14:paraId="3322A694" w14:textId="77777777"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14:paraId="535D377C" w14:textId="77777777"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BSA-2014-4</w:t>
            </w:r>
          </w:p>
        </w:tc>
        <w:tc>
          <w:tcPr>
            <w:tcW w:w="182" w:type="dxa"/>
            <w:tcBorders>
              <w:top w:val="nil"/>
              <w:left w:val="nil"/>
              <w:bottom w:val="nil"/>
              <w:right w:val="nil"/>
            </w:tcBorders>
            <w:shd w:val="clear" w:color="auto" w:fill="auto"/>
            <w:vAlign w:val="center"/>
            <w:hideMark/>
          </w:tcPr>
          <w:p w14:paraId="3A2660F8" w14:textId="77777777"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14:paraId="6D62EA86" w14:textId="77777777"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BSA-2014-5</w:t>
            </w:r>
          </w:p>
        </w:tc>
        <w:tc>
          <w:tcPr>
            <w:tcW w:w="182" w:type="dxa"/>
            <w:tcBorders>
              <w:top w:val="nil"/>
              <w:left w:val="nil"/>
              <w:bottom w:val="nil"/>
              <w:right w:val="nil"/>
            </w:tcBorders>
            <w:shd w:val="clear" w:color="auto" w:fill="auto"/>
            <w:vAlign w:val="center"/>
            <w:hideMark/>
          </w:tcPr>
          <w:p w14:paraId="06CC0E1F" w14:textId="77777777"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14:paraId="5D465D0E" w14:textId="77777777"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BSA-2014-6</w:t>
            </w:r>
          </w:p>
        </w:tc>
        <w:tc>
          <w:tcPr>
            <w:tcW w:w="182" w:type="dxa"/>
            <w:tcBorders>
              <w:top w:val="nil"/>
              <w:left w:val="nil"/>
              <w:bottom w:val="nil"/>
              <w:right w:val="nil"/>
            </w:tcBorders>
            <w:shd w:val="clear" w:color="auto" w:fill="auto"/>
            <w:vAlign w:val="center"/>
            <w:hideMark/>
          </w:tcPr>
          <w:p w14:paraId="6F6CB8DA" w14:textId="77777777"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14:paraId="38FC6A13" w14:textId="77777777"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BSA-2014-7</w:t>
            </w:r>
          </w:p>
        </w:tc>
        <w:tc>
          <w:tcPr>
            <w:tcW w:w="182" w:type="dxa"/>
            <w:tcBorders>
              <w:top w:val="nil"/>
              <w:left w:val="nil"/>
              <w:bottom w:val="nil"/>
              <w:right w:val="nil"/>
            </w:tcBorders>
            <w:shd w:val="clear" w:color="auto" w:fill="auto"/>
            <w:vAlign w:val="center"/>
            <w:hideMark/>
          </w:tcPr>
          <w:p w14:paraId="467E1D83" w14:textId="77777777"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14:paraId="6F3F16C9" w14:textId="77777777"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BSA-2015-11- Santé’ Holdings SRL</w:t>
            </w:r>
          </w:p>
        </w:tc>
        <w:tc>
          <w:tcPr>
            <w:tcW w:w="182" w:type="dxa"/>
            <w:tcBorders>
              <w:top w:val="nil"/>
              <w:left w:val="nil"/>
              <w:bottom w:val="nil"/>
              <w:right w:val="nil"/>
            </w:tcBorders>
            <w:shd w:val="clear" w:color="auto" w:fill="auto"/>
            <w:vAlign w:val="center"/>
            <w:hideMark/>
          </w:tcPr>
          <w:p w14:paraId="625A01F2" w14:textId="77777777"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14:paraId="32099488" w14:textId="77777777"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BSA-2015-12</w:t>
            </w:r>
          </w:p>
        </w:tc>
        <w:tc>
          <w:tcPr>
            <w:tcW w:w="1019" w:type="dxa"/>
            <w:gridSpan w:val="2"/>
            <w:tcBorders>
              <w:top w:val="single" w:sz="12" w:space="0" w:color="7030A0"/>
              <w:left w:val="nil"/>
              <w:bottom w:val="single" w:sz="8" w:space="0" w:color="7030A0"/>
              <w:right w:val="nil"/>
            </w:tcBorders>
            <w:vAlign w:val="center"/>
          </w:tcPr>
          <w:p w14:paraId="3493E34C"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BSA-2017-1</w:t>
            </w:r>
          </w:p>
        </w:tc>
        <w:tc>
          <w:tcPr>
            <w:tcW w:w="1019" w:type="dxa"/>
            <w:gridSpan w:val="2"/>
            <w:tcBorders>
              <w:top w:val="single" w:sz="12" w:space="0" w:color="7030A0"/>
              <w:left w:val="nil"/>
              <w:bottom w:val="single" w:sz="8" w:space="0" w:color="7030A0"/>
              <w:right w:val="nil"/>
            </w:tcBorders>
            <w:vAlign w:val="center"/>
          </w:tcPr>
          <w:p w14:paraId="2883B5CD"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BSA-2018-1</w:t>
            </w:r>
          </w:p>
        </w:tc>
      </w:tr>
      <w:tr w:rsidR="00B740A8" w:rsidRPr="00C73365" w14:paraId="28942C80" w14:textId="77777777" w:rsidTr="00D1541A">
        <w:trPr>
          <w:trHeight w:val="409"/>
        </w:trPr>
        <w:tc>
          <w:tcPr>
            <w:tcW w:w="1367" w:type="dxa"/>
            <w:tcBorders>
              <w:top w:val="single" w:sz="4" w:space="0" w:color="7030A0"/>
              <w:left w:val="nil"/>
              <w:bottom w:val="single" w:sz="4" w:space="0" w:color="7030A0"/>
              <w:right w:val="nil"/>
            </w:tcBorders>
            <w:shd w:val="clear" w:color="000000" w:fill="FFFFFF"/>
            <w:vAlign w:val="center"/>
            <w:hideMark/>
          </w:tcPr>
          <w:p w14:paraId="03369434" w14:textId="77777777" w:rsidR="00B740A8" w:rsidRPr="00C73365" w:rsidRDefault="00B740A8" w:rsidP="00D1541A">
            <w:pPr>
              <w:rPr>
                <w:rFonts w:asciiTheme="minorHAnsi" w:hAnsiTheme="minorHAnsi" w:cstheme="minorHAnsi"/>
                <w:sz w:val="18"/>
                <w:lang w:val="fr-FR"/>
              </w:rPr>
            </w:pPr>
            <w:r w:rsidRPr="00C73365">
              <w:rPr>
                <w:rFonts w:asciiTheme="minorHAnsi" w:hAnsiTheme="minorHAnsi" w:cstheme="minorHAnsi"/>
                <w:sz w:val="18"/>
                <w:lang w:val="fr-FR"/>
              </w:rPr>
              <w:t>Date d’assemblée générale</w:t>
            </w:r>
          </w:p>
        </w:tc>
        <w:tc>
          <w:tcPr>
            <w:tcW w:w="182" w:type="dxa"/>
            <w:tcBorders>
              <w:top w:val="nil"/>
              <w:left w:val="nil"/>
              <w:bottom w:val="nil"/>
              <w:right w:val="nil"/>
            </w:tcBorders>
            <w:shd w:val="clear" w:color="000000" w:fill="FFFFFF"/>
            <w:vAlign w:val="center"/>
            <w:hideMark/>
          </w:tcPr>
          <w:p w14:paraId="5FE03D7F"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14:paraId="38A40A3B"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14:paraId="082942CB"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14:paraId="31F4128E"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14:paraId="7B789CE3"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14:paraId="5D279F5B"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14:paraId="54195FAB"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14:paraId="6C77F564"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14:paraId="510DE81A"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14:paraId="1D8E0125"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14:paraId="6BCE97CB"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14:paraId="6FA23F27"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14:paraId="3E5DB779"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14:paraId="2C5483FC"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14:paraId="41582B05"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14:paraId="6E773BCD"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20/02/2015</w:t>
            </w:r>
          </w:p>
        </w:tc>
        <w:tc>
          <w:tcPr>
            <w:tcW w:w="182" w:type="dxa"/>
            <w:tcBorders>
              <w:top w:val="nil"/>
              <w:left w:val="nil"/>
              <w:bottom w:val="nil"/>
              <w:right w:val="nil"/>
            </w:tcBorders>
            <w:shd w:val="clear" w:color="000000" w:fill="FFFFFF"/>
            <w:vAlign w:val="center"/>
            <w:hideMark/>
          </w:tcPr>
          <w:p w14:paraId="6F3E1145"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14:paraId="3B297030"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20/02/2015</w:t>
            </w:r>
          </w:p>
        </w:tc>
        <w:tc>
          <w:tcPr>
            <w:tcW w:w="1019" w:type="dxa"/>
            <w:gridSpan w:val="2"/>
            <w:tcBorders>
              <w:top w:val="single" w:sz="4" w:space="0" w:color="7030A0"/>
              <w:left w:val="nil"/>
              <w:bottom w:val="single" w:sz="4" w:space="0" w:color="7030A0"/>
              <w:right w:val="nil"/>
            </w:tcBorders>
            <w:shd w:val="clear" w:color="000000" w:fill="FFFFFF"/>
            <w:vAlign w:val="center"/>
          </w:tcPr>
          <w:p w14:paraId="3FC1BF79"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23/06/2017</w:t>
            </w:r>
          </w:p>
        </w:tc>
        <w:tc>
          <w:tcPr>
            <w:tcW w:w="1019" w:type="dxa"/>
            <w:gridSpan w:val="2"/>
            <w:tcBorders>
              <w:top w:val="single" w:sz="4" w:space="0" w:color="7030A0"/>
              <w:left w:val="nil"/>
              <w:bottom w:val="single" w:sz="4" w:space="0" w:color="7030A0"/>
              <w:right w:val="nil"/>
            </w:tcBorders>
            <w:shd w:val="clear" w:color="000000" w:fill="FFFFFF"/>
            <w:vAlign w:val="center"/>
          </w:tcPr>
          <w:p w14:paraId="06DB5D3A"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23/06/2017</w:t>
            </w:r>
          </w:p>
        </w:tc>
      </w:tr>
      <w:tr w:rsidR="00B740A8" w:rsidRPr="00C73365" w14:paraId="27DF3952" w14:textId="77777777" w:rsidTr="00D1541A">
        <w:trPr>
          <w:trHeight w:val="409"/>
        </w:trPr>
        <w:tc>
          <w:tcPr>
            <w:tcW w:w="1367" w:type="dxa"/>
            <w:tcBorders>
              <w:top w:val="nil"/>
              <w:left w:val="nil"/>
              <w:bottom w:val="single" w:sz="4" w:space="0" w:color="7030A0"/>
              <w:right w:val="nil"/>
            </w:tcBorders>
            <w:shd w:val="clear" w:color="auto" w:fill="auto"/>
            <w:vAlign w:val="center"/>
            <w:hideMark/>
          </w:tcPr>
          <w:p w14:paraId="577BE757" w14:textId="77777777"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Date du conseil d’administration</w:t>
            </w:r>
          </w:p>
        </w:tc>
        <w:tc>
          <w:tcPr>
            <w:tcW w:w="182" w:type="dxa"/>
            <w:tcBorders>
              <w:top w:val="nil"/>
              <w:left w:val="nil"/>
              <w:bottom w:val="nil"/>
              <w:right w:val="nil"/>
            </w:tcBorders>
            <w:shd w:val="clear" w:color="000000" w:fill="FFFFFF"/>
            <w:vAlign w:val="center"/>
            <w:hideMark/>
          </w:tcPr>
          <w:p w14:paraId="4766E154"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50DF1C7F"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14:paraId="1A550AD5"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4B8D46EC"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14:paraId="05E6B8C2"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7F4AA8F7"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14:paraId="6E40F84D"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4D828374"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14:paraId="22F9DF1F"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66F163E7"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14:paraId="5592853C"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710E3359"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14:paraId="48D4D465"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27E4F24C"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14:paraId="15300BA7"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6F3BC86D"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04/12/2015</w:t>
            </w:r>
          </w:p>
        </w:tc>
        <w:tc>
          <w:tcPr>
            <w:tcW w:w="182" w:type="dxa"/>
            <w:tcBorders>
              <w:top w:val="nil"/>
              <w:left w:val="nil"/>
              <w:bottom w:val="single" w:sz="4" w:space="0" w:color="7030A0"/>
              <w:right w:val="nil"/>
            </w:tcBorders>
            <w:shd w:val="clear" w:color="auto" w:fill="auto"/>
            <w:vAlign w:val="center"/>
            <w:hideMark/>
          </w:tcPr>
          <w:p w14:paraId="6384F7BB" w14:textId="77777777"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7F209DC4" w14:textId="77777777"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04/12/2015</w:t>
            </w:r>
          </w:p>
        </w:tc>
        <w:tc>
          <w:tcPr>
            <w:tcW w:w="1019" w:type="dxa"/>
            <w:gridSpan w:val="2"/>
            <w:tcBorders>
              <w:top w:val="nil"/>
              <w:left w:val="nil"/>
              <w:bottom w:val="single" w:sz="4" w:space="0" w:color="7030A0"/>
              <w:right w:val="nil"/>
            </w:tcBorders>
            <w:vAlign w:val="center"/>
          </w:tcPr>
          <w:p w14:paraId="21516A6E"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18/09/2017</w:t>
            </w:r>
          </w:p>
        </w:tc>
        <w:tc>
          <w:tcPr>
            <w:tcW w:w="1019" w:type="dxa"/>
            <w:gridSpan w:val="2"/>
            <w:tcBorders>
              <w:top w:val="nil"/>
              <w:left w:val="nil"/>
              <w:bottom w:val="single" w:sz="4" w:space="0" w:color="7030A0"/>
              <w:right w:val="nil"/>
            </w:tcBorders>
            <w:vAlign w:val="center"/>
          </w:tcPr>
          <w:p w14:paraId="4B6CCC1C"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22/01/2018</w:t>
            </w:r>
          </w:p>
        </w:tc>
      </w:tr>
      <w:tr w:rsidR="00B740A8" w:rsidRPr="00036317" w14:paraId="44DFB7BD" w14:textId="77777777" w:rsidTr="00D1541A">
        <w:trPr>
          <w:trHeight w:val="409"/>
        </w:trPr>
        <w:tc>
          <w:tcPr>
            <w:tcW w:w="1367" w:type="dxa"/>
            <w:tcBorders>
              <w:top w:val="nil"/>
              <w:left w:val="nil"/>
              <w:bottom w:val="single" w:sz="4" w:space="0" w:color="7030A0"/>
              <w:right w:val="nil"/>
            </w:tcBorders>
            <w:shd w:val="clear" w:color="auto" w:fill="auto"/>
            <w:vAlign w:val="center"/>
            <w:hideMark/>
          </w:tcPr>
          <w:p w14:paraId="39A6CEE3" w14:textId="77777777"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Date décisions du Directeur Général</w:t>
            </w:r>
          </w:p>
        </w:tc>
        <w:tc>
          <w:tcPr>
            <w:tcW w:w="182" w:type="dxa"/>
            <w:tcBorders>
              <w:top w:val="nil"/>
              <w:left w:val="nil"/>
              <w:bottom w:val="nil"/>
              <w:right w:val="nil"/>
            </w:tcBorders>
            <w:shd w:val="clear" w:color="000000" w:fill="FFFFFF"/>
            <w:hideMark/>
          </w:tcPr>
          <w:p w14:paraId="4F5BBAF9" w14:textId="77777777"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14:paraId="0D20BA80"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14:paraId="3B9F8463"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14:paraId="71A6932B"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14:paraId="1E68C438"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14:paraId="343C6BE4"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14:paraId="0D03D19D"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14:paraId="668D27F5"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14:paraId="5042DD7C"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14:paraId="3037C513"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14:paraId="66903A60"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14:paraId="461C51DC"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14:paraId="477D4EB8"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14:paraId="2D41D4F7"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14:paraId="5193E5B1"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14:paraId="31DF8899"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14:paraId="6788327E"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tcPr>
          <w:p w14:paraId="6F05EE9A" w14:textId="77777777"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tcPr>
          <w:p w14:paraId="519F7A30"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14:paraId="6E1F612C" w14:textId="77777777"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036317" w14:paraId="0185AB48" w14:textId="77777777" w:rsidTr="00D1541A">
        <w:trPr>
          <w:trHeight w:val="464"/>
        </w:trPr>
        <w:tc>
          <w:tcPr>
            <w:tcW w:w="12191" w:type="dxa"/>
            <w:gridSpan w:val="20"/>
            <w:tcBorders>
              <w:top w:val="nil"/>
              <w:left w:val="nil"/>
              <w:bottom w:val="single" w:sz="4" w:space="0" w:color="7030A0"/>
              <w:right w:val="nil"/>
            </w:tcBorders>
            <w:shd w:val="clear" w:color="auto" w:fill="auto"/>
            <w:vAlign w:val="center"/>
            <w:hideMark/>
          </w:tcPr>
          <w:p w14:paraId="5598B715" w14:textId="1606DF74"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7030A0"/>
                <w:sz w:val="18"/>
                <w:lang w:val="fr-FR"/>
              </w:rPr>
              <w:t>Nombre total d’actions pouvant être souscrites ou achetées(</w:t>
            </w:r>
            <w:r w:rsidRPr="00C73365">
              <w:rPr>
                <w:rFonts w:asciiTheme="minorHAnsi" w:hAnsiTheme="minorHAnsi" w:cstheme="minorHAnsi"/>
                <w:color w:val="7030A0"/>
                <w:sz w:val="18"/>
                <w:vertAlign w:val="superscript"/>
                <w:lang w:val="fr-FR"/>
              </w:rPr>
              <w:t>*</w:t>
            </w:r>
            <w:r w:rsidRPr="00C73365">
              <w:rPr>
                <w:rFonts w:asciiTheme="minorHAnsi" w:hAnsiTheme="minorHAnsi" w:cstheme="minorHAnsi"/>
                <w:color w:val="7030A0"/>
                <w:sz w:val="18"/>
                <w:lang w:val="fr-FR"/>
              </w:rPr>
              <w:t>)</w:t>
            </w:r>
            <w:r w:rsidRPr="00C73365">
              <w:rPr>
                <w:rFonts w:asciiTheme="minorHAnsi" w:hAnsiTheme="minorHAnsi" w:cstheme="minorHAnsi"/>
                <w:color w:val="7030A0"/>
                <w:lang w:val="fr-FR"/>
              </w:rPr>
              <w:t>,</w:t>
            </w:r>
            <w:r w:rsidRPr="00C73365">
              <w:rPr>
                <w:rFonts w:asciiTheme="minorHAnsi" w:hAnsiTheme="minorHAnsi" w:cstheme="minorHAnsi"/>
                <w:lang w:val="fr-FR"/>
              </w:rPr>
              <w:t xml:space="preserve"> </w:t>
            </w:r>
            <w:r w:rsidRPr="00C73365">
              <w:rPr>
                <w:rFonts w:asciiTheme="minorHAnsi" w:hAnsiTheme="minorHAnsi" w:cstheme="minorHAnsi"/>
                <w:color w:val="7030A0"/>
                <w:sz w:val="18"/>
                <w:lang w:val="fr-FR"/>
              </w:rPr>
              <w:t>dont le nombre pouvant être souscrites ou achetées par </w:t>
            </w:r>
            <w:r w:rsidR="00872F5A">
              <w:rPr>
                <w:rFonts w:asciiTheme="minorHAnsi" w:hAnsiTheme="minorHAnsi" w:cstheme="minorHAnsi"/>
                <w:color w:val="7030A0"/>
                <w:sz w:val="18"/>
                <w:lang w:val="fr-FR"/>
              </w:rPr>
              <w:t xml:space="preserve"> (1)</w:t>
            </w:r>
            <w:r w:rsidRPr="00C73365">
              <w:rPr>
                <w:rFonts w:asciiTheme="minorHAnsi" w:hAnsiTheme="minorHAnsi" w:cstheme="minorHAnsi"/>
                <w:color w:val="7030A0"/>
                <w:sz w:val="18"/>
                <w:lang w:val="fr-FR"/>
              </w:rPr>
              <w:t>:  </w:t>
            </w:r>
          </w:p>
        </w:tc>
        <w:tc>
          <w:tcPr>
            <w:tcW w:w="1019" w:type="dxa"/>
            <w:gridSpan w:val="2"/>
            <w:tcBorders>
              <w:top w:val="nil"/>
              <w:left w:val="nil"/>
              <w:bottom w:val="single" w:sz="4" w:space="0" w:color="7030A0"/>
              <w:right w:val="nil"/>
            </w:tcBorders>
          </w:tcPr>
          <w:p w14:paraId="5EB49045" w14:textId="77777777" w:rsidR="00B740A8" w:rsidRPr="00C73365" w:rsidRDefault="00B740A8" w:rsidP="00D1541A">
            <w:pPr>
              <w:rPr>
                <w:rFonts w:asciiTheme="minorHAnsi" w:hAnsiTheme="minorHAnsi" w:cstheme="minorHAnsi"/>
                <w:color w:val="7030A0"/>
                <w:sz w:val="18"/>
                <w:szCs w:val="18"/>
                <w:lang w:val="fr-FR" w:eastAsia="fr-FR"/>
              </w:rPr>
            </w:pPr>
          </w:p>
        </w:tc>
        <w:tc>
          <w:tcPr>
            <w:tcW w:w="1019" w:type="dxa"/>
            <w:tcBorders>
              <w:top w:val="nil"/>
              <w:left w:val="nil"/>
              <w:bottom w:val="single" w:sz="4" w:space="0" w:color="7030A0"/>
              <w:right w:val="nil"/>
            </w:tcBorders>
          </w:tcPr>
          <w:p w14:paraId="500F99A2" w14:textId="77777777" w:rsidR="00B740A8" w:rsidRPr="00C73365" w:rsidRDefault="00B740A8" w:rsidP="00D1541A">
            <w:pPr>
              <w:rPr>
                <w:rFonts w:asciiTheme="minorHAnsi" w:hAnsiTheme="minorHAnsi" w:cstheme="minorHAnsi"/>
                <w:color w:val="7030A0"/>
                <w:sz w:val="18"/>
                <w:szCs w:val="18"/>
                <w:lang w:val="fr-FR" w:eastAsia="fr-FR"/>
              </w:rPr>
            </w:pPr>
          </w:p>
        </w:tc>
      </w:tr>
      <w:tr w:rsidR="00B740A8" w:rsidRPr="00C73365" w14:paraId="04BDAEF0" w14:textId="77777777" w:rsidTr="00D1541A">
        <w:trPr>
          <w:trHeight w:val="409"/>
        </w:trPr>
        <w:tc>
          <w:tcPr>
            <w:tcW w:w="1367" w:type="dxa"/>
            <w:tcBorders>
              <w:top w:val="nil"/>
              <w:left w:val="nil"/>
              <w:bottom w:val="single" w:sz="4" w:space="0" w:color="7030A0"/>
              <w:right w:val="nil"/>
            </w:tcBorders>
            <w:shd w:val="clear" w:color="auto" w:fill="auto"/>
            <w:vAlign w:val="center"/>
            <w:hideMark/>
          </w:tcPr>
          <w:p w14:paraId="00088AF4" w14:textId="77777777"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Joy Amundson (à titre personnel)</w:t>
            </w:r>
          </w:p>
        </w:tc>
        <w:tc>
          <w:tcPr>
            <w:tcW w:w="182" w:type="dxa"/>
            <w:tcBorders>
              <w:top w:val="nil"/>
              <w:left w:val="nil"/>
              <w:bottom w:val="nil"/>
              <w:right w:val="nil"/>
            </w:tcBorders>
            <w:shd w:val="clear" w:color="auto" w:fill="auto"/>
            <w:noWrap/>
            <w:vAlign w:val="bottom"/>
            <w:hideMark/>
          </w:tcPr>
          <w:p w14:paraId="62C7630B" w14:textId="77777777"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162F8F60"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399C1231"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3372C41C"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14:paraId="54DA25A3"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4FE2B249"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16.400</w:t>
            </w:r>
          </w:p>
        </w:tc>
        <w:tc>
          <w:tcPr>
            <w:tcW w:w="182" w:type="dxa"/>
            <w:tcBorders>
              <w:top w:val="nil"/>
              <w:left w:val="nil"/>
              <w:bottom w:val="nil"/>
              <w:right w:val="nil"/>
            </w:tcBorders>
            <w:shd w:val="clear" w:color="auto" w:fill="auto"/>
            <w:noWrap/>
            <w:vAlign w:val="bottom"/>
            <w:hideMark/>
          </w:tcPr>
          <w:p w14:paraId="46DE6CB7"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5DFD8C49"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62FBA442"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6AD96CB6"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322C822C"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708A95CB"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0FA17559"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401FA0B0"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1864531C"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5BD52479"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1AE524DA"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63C39270" w14:textId="77777777"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14:paraId="60D5CB52"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14:paraId="04E5F391" w14:textId="77777777"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14:paraId="7DBA9EB5" w14:textId="77777777" w:rsidTr="00D1541A">
        <w:trPr>
          <w:trHeight w:val="409"/>
        </w:trPr>
        <w:tc>
          <w:tcPr>
            <w:tcW w:w="1367" w:type="dxa"/>
            <w:tcBorders>
              <w:top w:val="nil"/>
              <w:left w:val="nil"/>
              <w:bottom w:val="single" w:sz="4" w:space="0" w:color="7030A0"/>
              <w:right w:val="nil"/>
            </w:tcBorders>
            <w:shd w:val="clear" w:color="auto" w:fill="auto"/>
            <w:vAlign w:val="center"/>
            <w:hideMark/>
          </w:tcPr>
          <w:p w14:paraId="7BECD592" w14:textId="77777777"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Claude Bertrand</w:t>
            </w:r>
          </w:p>
        </w:tc>
        <w:tc>
          <w:tcPr>
            <w:tcW w:w="182" w:type="dxa"/>
            <w:tcBorders>
              <w:top w:val="nil"/>
              <w:left w:val="nil"/>
              <w:bottom w:val="nil"/>
              <w:right w:val="nil"/>
            </w:tcBorders>
            <w:shd w:val="clear" w:color="auto" w:fill="auto"/>
            <w:noWrap/>
            <w:vAlign w:val="bottom"/>
            <w:hideMark/>
          </w:tcPr>
          <w:p w14:paraId="47CA3E92" w14:textId="77777777"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34CF3CAF"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0D57D0A8"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7CEC70A7"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14:paraId="15AABCA5"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5213B0BA"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18.800</w:t>
            </w:r>
          </w:p>
        </w:tc>
        <w:tc>
          <w:tcPr>
            <w:tcW w:w="182" w:type="dxa"/>
            <w:tcBorders>
              <w:top w:val="nil"/>
              <w:left w:val="nil"/>
              <w:bottom w:val="nil"/>
              <w:right w:val="nil"/>
            </w:tcBorders>
            <w:shd w:val="clear" w:color="auto" w:fill="auto"/>
            <w:noWrap/>
            <w:vAlign w:val="bottom"/>
            <w:hideMark/>
          </w:tcPr>
          <w:p w14:paraId="586F9E8B"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4D222591"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32081B2C"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7C07253F"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392CDFEB"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099701EE"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0131CCD9"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6E8C5BF3"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19B05F2F"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1E404E4A"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240839E9"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6AA26EFE" w14:textId="77777777"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14:paraId="7488EDD2"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14:paraId="4418928A" w14:textId="77777777"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14:paraId="7F15CA13" w14:textId="77777777" w:rsidTr="00D1541A">
        <w:trPr>
          <w:trHeight w:val="409"/>
        </w:trPr>
        <w:tc>
          <w:tcPr>
            <w:tcW w:w="1367" w:type="dxa"/>
            <w:tcBorders>
              <w:top w:val="nil"/>
              <w:left w:val="nil"/>
              <w:bottom w:val="single" w:sz="4" w:space="0" w:color="7030A0"/>
              <w:right w:val="nil"/>
            </w:tcBorders>
            <w:shd w:val="clear" w:color="auto" w:fill="auto"/>
            <w:vAlign w:val="center"/>
            <w:hideMark/>
          </w:tcPr>
          <w:p w14:paraId="7B677924" w14:textId="77777777"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Christian Pierret</w:t>
            </w:r>
          </w:p>
        </w:tc>
        <w:tc>
          <w:tcPr>
            <w:tcW w:w="182" w:type="dxa"/>
            <w:tcBorders>
              <w:top w:val="nil"/>
              <w:left w:val="nil"/>
              <w:bottom w:val="nil"/>
              <w:right w:val="nil"/>
            </w:tcBorders>
            <w:shd w:val="clear" w:color="auto" w:fill="auto"/>
            <w:noWrap/>
            <w:vAlign w:val="bottom"/>
            <w:hideMark/>
          </w:tcPr>
          <w:p w14:paraId="4B9F4FCA" w14:textId="77777777"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39C4E002"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50D28E95"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38B4CC83"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14:paraId="0B168407"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79D3AA20"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16.400</w:t>
            </w:r>
          </w:p>
        </w:tc>
        <w:tc>
          <w:tcPr>
            <w:tcW w:w="182" w:type="dxa"/>
            <w:tcBorders>
              <w:top w:val="nil"/>
              <w:left w:val="nil"/>
              <w:bottom w:val="nil"/>
              <w:right w:val="nil"/>
            </w:tcBorders>
            <w:shd w:val="clear" w:color="auto" w:fill="auto"/>
            <w:noWrap/>
            <w:vAlign w:val="bottom"/>
            <w:hideMark/>
          </w:tcPr>
          <w:p w14:paraId="4832868F"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5560FC62"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04BF0CAE"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305610DB"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70D16A63"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2CEB4716"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5912D8DA"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4316166F"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4167881A"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3BDD16E0"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2BC36984"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02B3B424" w14:textId="77777777"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14:paraId="43126B9F"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14:paraId="34B7827D" w14:textId="77777777"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14:paraId="2D37D12D" w14:textId="77777777" w:rsidTr="00D1541A">
        <w:trPr>
          <w:trHeight w:val="409"/>
        </w:trPr>
        <w:tc>
          <w:tcPr>
            <w:tcW w:w="1367" w:type="dxa"/>
            <w:tcBorders>
              <w:top w:val="nil"/>
              <w:left w:val="nil"/>
              <w:bottom w:val="single" w:sz="4" w:space="0" w:color="7030A0"/>
              <w:right w:val="nil"/>
            </w:tcBorders>
            <w:shd w:val="clear" w:color="auto" w:fill="auto"/>
            <w:vAlign w:val="center"/>
            <w:hideMark/>
          </w:tcPr>
          <w:p w14:paraId="01F644D9" w14:textId="77777777"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Jean-Jacques Bertrand</w:t>
            </w:r>
          </w:p>
        </w:tc>
        <w:tc>
          <w:tcPr>
            <w:tcW w:w="182" w:type="dxa"/>
            <w:tcBorders>
              <w:top w:val="nil"/>
              <w:left w:val="nil"/>
              <w:bottom w:val="nil"/>
              <w:right w:val="nil"/>
            </w:tcBorders>
            <w:shd w:val="clear" w:color="auto" w:fill="auto"/>
            <w:noWrap/>
            <w:vAlign w:val="bottom"/>
            <w:hideMark/>
          </w:tcPr>
          <w:p w14:paraId="5FBBFBBE" w14:textId="77777777"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49B589BB"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5471B661"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296E9336"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14:paraId="12124EA5"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635FC31E"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16.400</w:t>
            </w:r>
          </w:p>
        </w:tc>
        <w:tc>
          <w:tcPr>
            <w:tcW w:w="182" w:type="dxa"/>
            <w:tcBorders>
              <w:top w:val="nil"/>
              <w:left w:val="nil"/>
              <w:bottom w:val="nil"/>
              <w:right w:val="nil"/>
            </w:tcBorders>
            <w:shd w:val="clear" w:color="auto" w:fill="auto"/>
            <w:noWrap/>
            <w:vAlign w:val="bottom"/>
            <w:hideMark/>
          </w:tcPr>
          <w:p w14:paraId="6BCD320F"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3A065353"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1FB763F5"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59826872"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7AEDD153"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10845D48"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40FB5E03"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06525E2D"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20F3A9F5"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3ECBEC07"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302AA215"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6E98DBCA" w14:textId="77777777"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14:paraId="7934BE41"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14:paraId="7773B6C6" w14:textId="77777777"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14:paraId="7AA188EC" w14:textId="77777777" w:rsidTr="00D1541A">
        <w:trPr>
          <w:trHeight w:val="409"/>
        </w:trPr>
        <w:tc>
          <w:tcPr>
            <w:tcW w:w="1367" w:type="dxa"/>
            <w:tcBorders>
              <w:top w:val="nil"/>
              <w:left w:val="nil"/>
              <w:bottom w:val="single" w:sz="4" w:space="0" w:color="7030A0"/>
              <w:right w:val="nil"/>
            </w:tcBorders>
            <w:shd w:val="clear" w:color="auto" w:fill="auto"/>
            <w:vAlign w:val="center"/>
            <w:hideMark/>
          </w:tcPr>
          <w:p w14:paraId="51607FF1" w14:textId="77777777"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Santé</w:t>
            </w:r>
            <w:r w:rsidRPr="00C73365">
              <w:rPr>
                <w:rFonts w:asciiTheme="minorHAnsi" w:hAnsiTheme="minorHAnsi" w:cstheme="minorHAnsi"/>
                <w:color w:val="000000"/>
                <w:sz w:val="18"/>
                <w:lang w:val="fr-FR"/>
              </w:rPr>
              <w:t xml:space="preserve"> Holding SRL</w:t>
            </w:r>
          </w:p>
        </w:tc>
        <w:tc>
          <w:tcPr>
            <w:tcW w:w="182" w:type="dxa"/>
            <w:tcBorders>
              <w:top w:val="nil"/>
              <w:left w:val="nil"/>
              <w:bottom w:val="nil"/>
              <w:right w:val="nil"/>
            </w:tcBorders>
            <w:shd w:val="clear" w:color="auto" w:fill="auto"/>
            <w:noWrap/>
            <w:vAlign w:val="bottom"/>
            <w:hideMark/>
          </w:tcPr>
          <w:p w14:paraId="7E191D29" w14:textId="77777777"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24809B38"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74CF676B"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53BF56ED"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14:paraId="6E76A107"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580C8F10"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74D94D06"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4F6CD4D1"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1D2D36A9"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6A96B7FA"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331CCFB5"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73591D14"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3CBD8FA9"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4F3D28ED"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14:paraId="7857E077"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14:paraId="5E4B234C"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96.924</w:t>
            </w:r>
          </w:p>
        </w:tc>
        <w:tc>
          <w:tcPr>
            <w:tcW w:w="182" w:type="dxa"/>
            <w:tcBorders>
              <w:top w:val="nil"/>
              <w:left w:val="nil"/>
              <w:bottom w:val="nil"/>
              <w:right w:val="nil"/>
            </w:tcBorders>
            <w:shd w:val="clear" w:color="auto" w:fill="auto"/>
            <w:noWrap/>
            <w:vAlign w:val="bottom"/>
            <w:hideMark/>
          </w:tcPr>
          <w:p w14:paraId="0396145F"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2F983A5C"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32.800</w:t>
            </w:r>
          </w:p>
        </w:tc>
        <w:tc>
          <w:tcPr>
            <w:tcW w:w="1019" w:type="dxa"/>
            <w:gridSpan w:val="2"/>
            <w:tcBorders>
              <w:top w:val="nil"/>
              <w:left w:val="nil"/>
              <w:bottom w:val="single" w:sz="4" w:space="0" w:color="7030A0"/>
              <w:right w:val="nil"/>
            </w:tcBorders>
            <w:shd w:val="clear" w:color="auto" w:fill="auto"/>
            <w:vAlign w:val="center"/>
          </w:tcPr>
          <w:p w14:paraId="7E039796"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14:paraId="6ADB5039" w14:textId="77777777"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14:paraId="34B52C6B" w14:textId="77777777" w:rsidTr="00D1541A">
        <w:trPr>
          <w:trHeight w:val="409"/>
        </w:trPr>
        <w:tc>
          <w:tcPr>
            <w:tcW w:w="1367" w:type="dxa"/>
            <w:tcBorders>
              <w:top w:val="single" w:sz="2" w:space="0" w:color="7030A0"/>
              <w:left w:val="nil"/>
              <w:bottom w:val="single" w:sz="4" w:space="0" w:color="7030A0"/>
              <w:right w:val="nil"/>
            </w:tcBorders>
            <w:shd w:val="clear" w:color="auto" w:fill="auto"/>
            <w:vAlign w:val="center"/>
          </w:tcPr>
          <w:p w14:paraId="220ECD6F" w14:textId="77777777"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Corinna zur Bonsen-Thomas</w:t>
            </w:r>
          </w:p>
        </w:tc>
        <w:tc>
          <w:tcPr>
            <w:tcW w:w="182" w:type="dxa"/>
            <w:tcBorders>
              <w:top w:val="nil"/>
              <w:left w:val="nil"/>
              <w:bottom w:val="nil"/>
              <w:right w:val="nil"/>
            </w:tcBorders>
            <w:shd w:val="clear" w:color="auto" w:fill="auto"/>
            <w:noWrap/>
            <w:vAlign w:val="bottom"/>
          </w:tcPr>
          <w:p w14:paraId="2CEBCD01" w14:textId="77777777" w:rsidR="00B740A8" w:rsidRPr="00C73365" w:rsidRDefault="00B740A8" w:rsidP="00D1541A">
            <w:pPr>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6D24633F"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28005775"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3027E8D0"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061B4E14"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608F18ED"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6CBC16C2"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06C20871"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5CCA832F"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60177B63"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7FE57295"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2069B45E"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123945E7"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3A3B7AE5"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16E68414"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2465A16C"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69EE81E0"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7DF95FD0" w14:textId="77777777"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single" w:sz="2" w:space="0" w:color="7030A0"/>
              <w:left w:val="nil"/>
              <w:bottom w:val="single" w:sz="4" w:space="0" w:color="7030A0"/>
              <w:right w:val="nil"/>
            </w:tcBorders>
          </w:tcPr>
          <w:p w14:paraId="62DDAEEA"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16.400</w:t>
            </w:r>
          </w:p>
        </w:tc>
        <w:tc>
          <w:tcPr>
            <w:tcW w:w="1019" w:type="dxa"/>
            <w:gridSpan w:val="2"/>
            <w:tcBorders>
              <w:top w:val="single" w:sz="2" w:space="0" w:color="7030A0"/>
              <w:left w:val="nil"/>
              <w:bottom w:val="single" w:sz="4" w:space="0" w:color="7030A0"/>
              <w:right w:val="nil"/>
            </w:tcBorders>
          </w:tcPr>
          <w:p w14:paraId="6D8C26B0" w14:textId="77777777"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14:paraId="4AFD709B" w14:textId="77777777" w:rsidTr="00D1541A">
        <w:trPr>
          <w:trHeight w:val="409"/>
        </w:trPr>
        <w:tc>
          <w:tcPr>
            <w:tcW w:w="1367" w:type="dxa"/>
            <w:tcBorders>
              <w:top w:val="single" w:sz="2" w:space="0" w:color="7030A0"/>
              <w:left w:val="nil"/>
              <w:bottom w:val="single" w:sz="4" w:space="0" w:color="7030A0"/>
              <w:right w:val="nil"/>
            </w:tcBorders>
            <w:shd w:val="clear" w:color="auto" w:fill="auto"/>
            <w:vAlign w:val="center"/>
          </w:tcPr>
          <w:p w14:paraId="2575CFBA" w14:textId="77777777"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Carol L. Brosgart</w:t>
            </w:r>
          </w:p>
        </w:tc>
        <w:tc>
          <w:tcPr>
            <w:tcW w:w="182" w:type="dxa"/>
            <w:tcBorders>
              <w:top w:val="nil"/>
              <w:left w:val="nil"/>
              <w:bottom w:val="nil"/>
              <w:right w:val="nil"/>
            </w:tcBorders>
            <w:shd w:val="clear" w:color="auto" w:fill="auto"/>
            <w:noWrap/>
            <w:vAlign w:val="bottom"/>
          </w:tcPr>
          <w:p w14:paraId="33AED7A8" w14:textId="77777777" w:rsidR="00B740A8" w:rsidRPr="00C73365" w:rsidRDefault="00B740A8" w:rsidP="00D1541A">
            <w:pPr>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55940DA3"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2BDC1C9A"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3642197C"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20D88636"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2DA18921"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291683B7"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5FC7DD51"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11826477"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5254DC41"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1C929E34"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3FCBFCA5"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0FA811EC"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3DC44541"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2DA1A322"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2CFC24FF"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602415B7"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14:paraId="6361E778" w14:textId="77777777"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single" w:sz="2" w:space="0" w:color="7030A0"/>
              <w:left w:val="nil"/>
              <w:bottom w:val="single" w:sz="4" w:space="0" w:color="7030A0"/>
              <w:right w:val="nil"/>
            </w:tcBorders>
          </w:tcPr>
          <w:p w14:paraId="3DF9C634"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single" w:sz="2" w:space="0" w:color="7030A0"/>
              <w:left w:val="nil"/>
              <w:bottom w:val="single" w:sz="4" w:space="0" w:color="7030A0"/>
              <w:right w:val="nil"/>
            </w:tcBorders>
          </w:tcPr>
          <w:p w14:paraId="32358A0A"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16.400</w:t>
            </w:r>
          </w:p>
        </w:tc>
      </w:tr>
      <w:tr w:rsidR="00B740A8" w:rsidRPr="00C73365" w14:paraId="155A6F4F" w14:textId="77777777" w:rsidTr="00D1541A">
        <w:trPr>
          <w:trHeight w:val="409"/>
        </w:trPr>
        <w:tc>
          <w:tcPr>
            <w:tcW w:w="1367" w:type="dxa"/>
            <w:tcBorders>
              <w:top w:val="nil"/>
              <w:left w:val="nil"/>
              <w:bottom w:val="single" w:sz="4" w:space="0" w:color="7030A0"/>
              <w:right w:val="nil"/>
            </w:tcBorders>
            <w:shd w:val="clear" w:color="auto" w:fill="auto"/>
            <w:vAlign w:val="center"/>
          </w:tcPr>
          <w:p w14:paraId="77D5D561" w14:textId="77777777"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Autres</w:t>
            </w:r>
          </w:p>
        </w:tc>
        <w:tc>
          <w:tcPr>
            <w:tcW w:w="182" w:type="dxa"/>
            <w:tcBorders>
              <w:top w:val="nil"/>
              <w:left w:val="nil"/>
              <w:bottom w:val="nil"/>
              <w:right w:val="nil"/>
            </w:tcBorders>
            <w:shd w:val="clear" w:color="auto" w:fill="auto"/>
            <w:noWrap/>
            <w:vAlign w:val="bottom"/>
          </w:tcPr>
          <w:p w14:paraId="6167D9BB" w14:textId="77777777"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6818BF8F"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39.400</w:t>
            </w:r>
          </w:p>
        </w:tc>
        <w:tc>
          <w:tcPr>
            <w:tcW w:w="182" w:type="dxa"/>
            <w:tcBorders>
              <w:top w:val="nil"/>
              <w:left w:val="nil"/>
              <w:bottom w:val="nil"/>
              <w:right w:val="nil"/>
            </w:tcBorders>
            <w:shd w:val="clear" w:color="auto" w:fill="auto"/>
            <w:noWrap/>
            <w:vAlign w:val="bottom"/>
          </w:tcPr>
          <w:p w14:paraId="1879CEFB"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14063A98"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67.700</w:t>
            </w:r>
          </w:p>
        </w:tc>
        <w:tc>
          <w:tcPr>
            <w:tcW w:w="182" w:type="dxa"/>
            <w:tcBorders>
              <w:top w:val="nil"/>
              <w:left w:val="nil"/>
              <w:bottom w:val="nil"/>
              <w:right w:val="nil"/>
            </w:tcBorders>
            <w:shd w:val="clear" w:color="auto" w:fill="auto"/>
            <w:noWrap/>
            <w:vAlign w:val="bottom"/>
          </w:tcPr>
          <w:p w14:paraId="4E0290AA"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5374B37B"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16.400</w:t>
            </w:r>
          </w:p>
        </w:tc>
        <w:tc>
          <w:tcPr>
            <w:tcW w:w="182" w:type="dxa"/>
            <w:tcBorders>
              <w:top w:val="nil"/>
              <w:left w:val="nil"/>
              <w:bottom w:val="nil"/>
              <w:right w:val="nil"/>
            </w:tcBorders>
            <w:shd w:val="clear" w:color="auto" w:fill="auto"/>
            <w:noWrap/>
            <w:vAlign w:val="bottom"/>
          </w:tcPr>
          <w:p w14:paraId="3F165AD6"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57A7A5D2"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131.500</w:t>
            </w:r>
          </w:p>
        </w:tc>
        <w:tc>
          <w:tcPr>
            <w:tcW w:w="182" w:type="dxa"/>
            <w:tcBorders>
              <w:top w:val="nil"/>
              <w:left w:val="nil"/>
              <w:bottom w:val="nil"/>
              <w:right w:val="nil"/>
            </w:tcBorders>
            <w:shd w:val="clear" w:color="auto" w:fill="auto"/>
            <w:noWrap/>
            <w:vAlign w:val="bottom"/>
          </w:tcPr>
          <w:p w14:paraId="55916093"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4532C7D6"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78.700</w:t>
            </w:r>
          </w:p>
        </w:tc>
        <w:tc>
          <w:tcPr>
            <w:tcW w:w="182" w:type="dxa"/>
            <w:tcBorders>
              <w:top w:val="nil"/>
              <w:left w:val="nil"/>
              <w:bottom w:val="nil"/>
              <w:right w:val="nil"/>
            </w:tcBorders>
            <w:shd w:val="clear" w:color="auto" w:fill="auto"/>
            <w:noWrap/>
            <w:vAlign w:val="bottom"/>
          </w:tcPr>
          <w:p w14:paraId="48292DD0"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6ECF72EE"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5.200</w:t>
            </w:r>
          </w:p>
        </w:tc>
        <w:tc>
          <w:tcPr>
            <w:tcW w:w="182" w:type="dxa"/>
            <w:tcBorders>
              <w:top w:val="nil"/>
              <w:left w:val="nil"/>
              <w:bottom w:val="nil"/>
              <w:right w:val="nil"/>
            </w:tcBorders>
            <w:shd w:val="clear" w:color="auto" w:fill="auto"/>
            <w:noWrap/>
            <w:vAlign w:val="bottom"/>
          </w:tcPr>
          <w:p w14:paraId="277903A8"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688E0CC9"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8.100</w:t>
            </w:r>
          </w:p>
        </w:tc>
        <w:tc>
          <w:tcPr>
            <w:tcW w:w="182" w:type="dxa"/>
            <w:tcBorders>
              <w:top w:val="nil"/>
              <w:left w:val="nil"/>
              <w:bottom w:val="nil"/>
              <w:right w:val="nil"/>
            </w:tcBorders>
            <w:shd w:val="clear" w:color="auto" w:fill="auto"/>
            <w:noWrap/>
            <w:vAlign w:val="bottom"/>
          </w:tcPr>
          <w:p w14:paraId="2C8D632C"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472254E4" w14:textId="77777777"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14:paraId="0B1F9ABA" w14:textId="77777777"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14:paraId="567F9AA0" w14:textId="77777777"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tcPr>
          <w:p w14:paraId="785BC9C8"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14:paraId="7458FFCE"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32.800</w:t>
            </w:r>
          </w:p>
        </w:tc>
      </w:tr>
    </w:tbl>
    <w:p w14:paraId="0130B3A1" w14:textId="4467E501" w:rsidR="00872F5A" w:rsidRPr="00C73365" w:rsidRDefault="00B740A8" w:rsidP="00B740A8">
      <w:pPr>
        <w:pStyle w:val="Notedebasdepage"/>
        <w:rPr>
          <w:rFonts w:asciiTheme="minorHAnsi" w:hAnsiTheme="minorHAnsi" w:cstheme="minorHAnsi"/>
          <w:sz w:val="18"/>
          <w:szCs w:val="18"/>
          <w:lang w:val="fr-FR"/>
        </w:rPr>
        <w:sectPr w:rsidR="00872F5A" w:rsidRPr="00C73365" w:rsidSect="00D1541A">
          <w:pgSz w:w="16840" w:h="11900" w:orient="landscape"/>
          <w:pgMar w:top="1134" w:right="1134" w:bottom="1134" w:left="1134" w:header="720" w:footer="720" w:gutter="0"/>
          <w:cols w:space="720" w:equalWidth="0">
            <w:col w:w="9574"/>
          </w:cols>
          <w:noEndnote/>
          <w:docGrid w:linePitch="299"/>
        </w:sectPr>
      </w:pPr>
      <w:r w:rsidRPr="00C73365">
        <w:rPr>
          <w:rFonts w:asciiTheme="minorHAnsi" w:hAnsiTheme="minorHAnsi" w:cstheme="minorHAnsi"/>
          <w:color w:val="000000" w:themeColor="text1"/>
          <w:sz w:val="18"/>
          <w:szCs w:val="18"/>
          <w:lang w:val="fr-FR"/>
        </w:rPr>
        <w:t>(</w:t>
      </w:r>
      <w:r w:rsidRPr="00C73365">
        <w:rPr>
          <w:rFonts w:asciiTheme="minorHAnsi" w:hAnsiTheme="minorHAnsi" w:cstheme="minorHAnsi"/>
          <w:color w:val="000000" w:themeColor="text1"/>
          <w:sz w:val="18"/>
          <w:szCs w:val="18"/>
          <w:vertAlign w:val="superscript"/>
          <w:lang w:val="fr-FR"/>
        </w:rPr>
        <w:t>*</w:t>
      </w:r>
      <w:r w:rsidRPr="00C73365">
        <w:rPr>
          <w:rFonts w:asciiTheme="minorHAnsi" w:hAnsiTheme="minorHAnsi" w:cstheme="minorHAnsi"/>
          <w:color w:val="000000" w:themeColor="text1"/>
          <w:sz w:val="18"/>
          <w:szCs w:val="18"/>
          <w:lang w:val="fr-FR"/>
        </w:rPr>
        <w:t xml:space="preserve">) </w:t>
      </w:r>
      <w:r w:rsidRPr="00C73365">
        <w:rPr>
          <w:rFonts w:asciiTheme="minorHAnsi" w:hAnsiTheme="minorHAnsi" w:cstheme="minorHAnsi"/>
          <w:sz w:val="18"/>
          <w:szCs w:val="18"/>
          <w:lang w:val="fr-FR"/>
        </w:rPr>
        <w:t>Le nombre d’actions auquel donne droit l’exercice des BSA et BCE a été multiplié par 100 pour tous les BSA et BCE émis antérieurement à la division par 100 du nominal des actions, décidée par l’assemblée générale de la Société en date du 20 février 2015.</w:t>
      </w:r>
    </w:p>
    <w:tbl>
      <w:tblPr>
        <w:tblW w:w="7736" w:type="pct"/>
        <w:tblInd w:w="-426" w:type="dxa"/>
        <w:tblLayout w:type="fixed"/>
        <w:tblCellMar>
          <w:left w:w="70" w:type="dxa"/>
          <w:right w:w="70" w:type="dxa"/>
        </w:tblCellMar>
        <w:tblLook w:val="04A0" w:firstRow="1" w:lastRow="0" w:firstColumn="1" w:lastColumn="0" w:noHBand="0" w:noVBand="1"/>
      </w:tblPr>
      <w:tblGrid>
        <w:gridCol w:w="2866"/>
        <w:gridCol w:w="959"/>
        <w:gridCol w:w="165"/>
        <w:gridCol w:w="959"/>
        <w:gridCol w:w="166"/>
        <w:gridCol w:w="960"/>
        <w:gridCol w:w="169"/>
        <w:gridCol w:w="960"/>
        <w:gridCol w:w="169"/>
        <w:gridCol w:w="960"/>
        <w:gridCol w:w="169"/>
        <w:gridCol w:w="960"/>
        <w:gridCol w:w="169"/>
        <w:gridCol w:w="960"/>
        <w:gridCol w:w="181"/>
        <w:gridCol w:w="169"/>
        <w:gridCol w:w="821"/>
        <w:gridCol w:w="169"/>
        <w:gridCol w:w="972"/>
        <w:gridCol w:w="960"/>
        <w:gridCol w:w="948"/>
      </w:tblGrid>
      <w:tr w:rsidR="00B740A8" w:rsidRPr="00C73365" w14:paraId="3A7A9043" w14:textId="77777777" w:rsidTr="00D1541A">
        <w:trPr>
          <w:trHeight w:val="532"/>
        </w:trPr>
        <w:tc>
          <w:tcPr>
            <w:tcW w:w="968" w:type="pct"/>
            <w:tcBorders>
              <w:top w:val="single" w:sz="12" w:space="0" w:color="7030A0"/>
              <w:left w:val="nil"/>
              <w:bottom w:val="single" w:sz="8" w:space="0" w:color="7030A0"/>
              <w:right w:val="nil"/>
            </w:tcBorders>
            <w:shd w:val="clear" w:color="auto" w:fill="auto"/>
            <w:vAlign w:val="center"/>
            <w:hideMark/>
          </w:tcPr>
          <w:p w14:paraId="5287ACFE" w14:textId="77777777" w:rsidR="00B740A8" w:rsidRPr="00C73365" w:rsidRDefault="00B740A8" w:rsidP="00D1541A">
            <w:pP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lastRenderedPageBreak/>
              <w:t>Catégorie</w:t>
            </w:r>
          </w:p>
        </w:tc>
        <w:tc>
          <w:tcPr>
            <w:tcW w:w="324" w:type="pct"/>
            <w:tcBorders>
              <w:top w:val="single" w:sz="12" w:space="0" w:color="7030A0"/>
              <w:left w:val="nil"/>
              <w:bottom w:val="single" w:sz="8" w:space="0" w:color="7030A0"/>
              <w:right w:val="nil"/>
            </w:tcBorders>
            <w:shd w:val="clear" w:color="auto" w:fill="auto"/>
            <w:vAlign w:val="center"/>
            <w:hideMark/>
          </w:tcPr>
          <w:p w14:paraId="3A047CE4"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BSA-2014-1</w:t>
            </w:r>
          </w:p>
        </w:tc>
        <w:tc>
          <w:tcPr>
            <w:tcW w:w="56" w:type="pct"/>
            <w:tcBorders>
              <w:top w:val="nil"/>
              <w:left w:val="nil"/>
              <w:bottom w:val="nil"/>
              <w:right w:val="nil"/>
            </w:tcBorders>
            <w:shd w:val="clear" w:color="auto" w:fill="auto"/>
            <w:vAlign w:val="center"/>
            <w:hideMark/>
          </w:tcPr>
          <w:p w14:paraId="593810E4"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4" w:type="pct"/>
            <w:tcBorders>
              <w:top w:val="single" w:sz="12" w:space="0" w:color="7030A0"/>
              <w:left w:val="nil"/>
              <w:bottom w:val="single" w:sz="8" w:space="0" w:color="7030A0"/>
              <w:right w:val="nil"/>
            </w:tcBorders>
            <w:shd w:val="clear" w:color="auto" w:fill="auto"/>
            <w:vAlign w:val="center"/>
            <w:hideMark/>
          </w:tcPr>
          <w:p w14:paraId="56ECE167"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BSA-2014-2</w:t>
            </w:r>
          </w:p>
        </w:tc>
        <w:tc>
          <w:tcPr>
            <w:tcW w:w="56" w:type="pct"/>
            <w:tcBorders>
              <w:top w:val="nil"/>
              <w:left w:val="nil"/>
              <w:bottom w:val="nil"/>
              <w:right w:val="nil"/>
            </w:tcBorders>
            <w:shd w:val="clear" w:color="auto" w:fill="auto"/>
            <w:vAlign w:val="center"/>
            <w:hideMark/>
          </w:tcPr>
          <w:p w14:paraId="58901FCE"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4" w:type="pct"/>
            <w:tcBorders>
              <w:top w:val="single" w:sz="12" w:space="0" w:color="7030A0"/>
              <w:left w:val="nil"/>
              <w:bottom w:val="single" w:sz="8" w:space="0" w:color="7030A0"/>
              <w:right w:val="nil"/>
            </w:tcBorders>
            <w:shd w:val="clear" w:color="auto" w:fill="auto"/>
            <w:vAlign w:val="center"/>
            <w:hideMark/>
          </w:tcPr>
          <w:p w14:paraId="2C21178D"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BSA-2014-3</w:t>
            </w:r>
          </w:p>
        </w:tc>
        <w:tc>
          <w:tcPr>
            <w:tcW w:w="57" w:type="pct"/>
            <w:tcBorders>
              <w:top w:val="nil"/>
              <w:left w:val="nil"/>
              <w:bottom w:val="nil"/>
              <w:right w:val="nil"/>
            </w:tcBorders>
            <w:shd w:val="clear" w:color="auto" w:fill="auto"/>
            <w:vAlign w:val="center"/>
            <w:hideMark/>
          </w:tcPr>
          <w:p w14:paraId="0C913D6A"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4" w:type="pct"/>
            <w:tcBorders>
              <w:top w:val="single" w:sz="12" w:space="0" w:color="7030A0"/>
              <w:left w:val="nil"/>
              <w:bottom w:val="single" w:sz="8" w:space="0" w:color="7030A0"/>
              <w:right w:val="nil"/>
            </w:tcBorders>
            <w:shd w:val="clear" w:color="auto" w:fill="auto"/>
            <w:vAlign w:val="center"/>
            <w:hideMark/>
          </w:tcPr>
          <w:p w14:paraId="3AEDC008"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BSA-2014-4</w:t>
            </w:r>
          </w:p>
        </w:tc>
        <w:tc>
          <w:tcPr>
            <w:tcW w:w="57" w:type="pct"/>
            <w:tcBorders>
              <w:top w:val="nil"/>
              <w:left w:val="nil"/>
              <w:bottom w:val="nil"/>
              <w:right w:val="nil"/>
            </w:tcBorders>
            <w:shd w:val="clear" w:color="auto" w:fill="auto"/>
            <w:vAlign w:val="center"/>
            <w:hideMark/>
          </w:tcPr>
          <w:p w14:paraId="4DECD968"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4" w:type="pct"/>
            <w:tcBorders>
              <w:top w:val="single" w:sz="12" w:space="0" w:color="7030A0"/>
              <w:left w:val="nil"/>
              <w:bottom w:val="single" w:sz="8" w:space="0" w:color="7030A0"/>
              <w:right w:val="nil"/>
            </w:tcBorders>
            <w:shd w:val="clear" w:color="auto" w:fill="auto"/>
            <w:vAlign w:val="center"/>
            <w:hideMark/>
          </w:tcPr>
          <w:p w14:paraId="125D5735"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BSA-2014-5</w:t>
            </w:r>
          </w:p>
        </w:tc>
        <w:tc>
          <w:tcPr>
            <w:tcW w:w="57" w:type="pct"/>
            <w:tcBorders>
              <w:top w:val="nil"/>
              <w:left w:val="nil"/>
              <w:bottom w:val="nil"/>
              <w:right w:val="nil"/>
            </w:tcBorders>
            <w:shd w:val="clear" w:color="auto" w:fill="auto"/>
            <w:vAlign w:val="center"/>
            <w:hideMark/>
          </w:tcPr>
          <w:p w14:paraId="21E7395D"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4" w:type="pct"/>
            <w:tcBorders>
              <w:top w:val="single" w:sz="12" w:space="0" w:color="7030A0"/>
              <w:left w:val="nil"/>
              <w:bottom w:val="single" w:sz="8" w:space="0" w:color="7030A0"/>
              <w:right w:val="nil"/>
            </w:tcBorders>
            <w:shd w:val="clear" w:color="auto" w:fill="auto"/>
            <w:vAlign w:val="center"/>
            <w:hideMark/>
          </w:tcPr>
          <w:p w14:paraId="3E906599"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BSA-2014-6</w:t>
            </w:r>
          </w:p>
        </w:tc>
        <w:tc>
          <w:tcPr>
            <w:tcW w:w="57" w:type="pct"/>
            <w:tcBorders>
              <w:top w:val="nil"/>
              <w:left w:val="nil"/>
              <w:bottom w:val="nil"/>
              <w:right w:val="nil"/>
            </w:tcBorders>
            <w:shd w:val="clear" w:color="auto" w:fill="auto"/>
            <w:vAlign w:val="center"/>
            <w:hideMark/>
          </w:tcPr>
          <w:p w14:paraId="44967CFE"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4" w:type="pct"/>
            <w:tcBorders>
              <w:top w:val="single" w:sz="12" w:space="0" w:color="7030A0"/>
              <w:left w:val="nil"/>
              <w:bottom w:val="single" w:sz="8" w:space="0" w:color="7030A0"/>
              <w:right w:val="nil"/>
            </w:tcBorders>
            <w:shd w:val="clear" w:color="auto" w:fill="auto"/>
            <w:vAlign w:val="center"/>
            <w:hideMark/>
          </w:tcPr>
          <w:p w14:paraId="5C45F104"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BSA-2014-7</w:t>
            </w:r>
          </w:p>
        </w:tc>
        <w:tc>
          <w:tcPr>
            <w:tcW w:w="60" w:type="pct"/>
            <w:tcBorders>
              <w:top w:val="nil"/>
              <w:left w:val="nil"/>
              <w:bottom w:val="nil"/>
              <w:right w:val="nil"/>
            </w:tcBorders>
            <w:shd w:val="clear" w:color="auto" w:fill="auto"/>
            <w:vAlign w:val="center"/>
            <w:hideMark/>
          </w:tcPr>
          <w:p w14:paraId="023C1101"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34" w:type="pct"/>
            <w:gridSpan w:val="2"/>
            <w:tcBorders>
              <w:top w:val="single" w:sz="12" w:space="0" w:color="7030A0"/>
              <w:left w:val="nil"/>
              <w:bottom w:val="single" w:sz="8" w:space="0" w:color="7030A0"/>
              <w:right w:val="nil"/>
            </w:tcBorders>
            <w:shd w:val="clear" w:color="auto" w:fill="auto"/>
            <w:vAlign w:val="center"/>
            <w:hideMark/>
          </w:tcPr>
          <w:p w14:paraId="55651214"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BSA-2015-11- Santé Holding SRL</w:t>
            </w:r>
          </w:p>
        </w:tc>
        <w:tc>
          <w:tcPr>
            <w:tcW w:w="57" w:type="pct"/>
            <w:tcBorders>
              <w:top w:val="nil"/>
              <w:left w:val="nil"/>
              <w:bottom w:val="nil"/>
              <w:right w:val="nil"/>
            </w:tcBorders>
            <w:shd w:val="clear" w:color="auto" w:fill="auto"/>
            <w:vAlign w:val="center"/>
            <w:hideMark/>
          </w:tcPr>
          <w:p w14:paraId="21736462"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8" w:type="pct"/>
            <w:tcBorders>
              <w:top w:val="single" w:sz="12" w:space="0" w:color="7030A0"/>
              <w:left w:val="nil"/>
              <w:bottom w:val="single" w:sz="8" w:space="0" w:color="7030A0"/>
              <w:right w:val="nil"/>
            </w:tcBorders>
            <w:shd w:val="clear" w:color="auto" w:fill="auto"/>
            <w:vAlign w:val="center"/>
            <w:hideMark/>
          </w:tcPr>
          <w:p w14:paraId="62DEC948"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BSA-2015-12</w:t>
            </w:r>
          </w:p>
        </w:tc>
        <w:tc>
          <w:tcPr>
            <w:tcW w:w="324" w:type="pct"/>
            <w:tcBorders>
              <w:top w:val="single" w:sz="12" w:space="0" w:color="7030A0"/>
              <w:left w:val="nil"/>
              <w:bottom w:val="single" w:sz="8" w:space="0" w:color="7030A0"/>
              <w:right w:val="nil"/>
            </w:tcBorders>
            <w:vAlign w:val="center"/>
          </w:tcPr>
          <w:p w14:paraId="17DCCC84"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BSA-2017-1</w:t>
            </w:r>
          </w:p>
        </w:tc>
        <w:tc>
          <w:tcPr>
            <w:tcW w:w="320" w:type="pct"/>
            <w:tcBorders>
              <w:top w:val="single" w:sz="12" w:space="0" w:color="7030A0"/>
              <w:left w:val="nil"/>
              <w:bottom w:val="single" w:sz="8" w:space="0" w:color="7030A0"/>
              <w:right w:val="nil"/>
            </w:tcBorders>
            <w:vAlign w:val="center"/>
          </w:tcPr>
          <w:p w14:paraId="0C9E9303"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BSA-2018-1</w:t>
            </w:r>
          </w:p>
        </w:tc>
      </w:tr>
      <w:tr w:rsidR="00B740A8" w:rsidRPr="00C73365" w14:paraId="56C87079" w14:textId="77777777" w:rsidTr="00D1541A">
        <w:trPr>
          <w:trHeight w:val="3"/>
        </w:trPr>
        <w:tc>
          <w:tcPr>
            <w:tcW w:w="968" w:type="pct"/>
            <w:tcBorders>
              <w:top w:val="nil"/>
              <w:left w:val="nil"/>
              <w:bottom w:val="single" w:sz="4" w:space="0" w:color="7030A0"/>
              <w:right w:val="nil"/>
            </w:tcBorders>
            <w:shd w:val="clear" w:color="auto" w:fill="auto"/>
            <w:vAlign w:val="center"/>
            <w:hideMark/>
          </w:tcPr>
          <w:p w14:paraId="0AFD40B2" w14:textId="77777777"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Point de départ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exercice des options</w:t>
            </w:r>
          </w:p>
        </w:tc>
        <w:tc>
          <w:tcPr>
            <w:tcW w:w="324" w:type="pct"/>
            <w:tcBorders>
              <w:top w:val="nil"/>
              <w:left w:val="nil"/>
              <w:bottom w:val="single" w:sz="4" w:space="0" w:color="7030A0"/>
              <w:right w:val="nil"/>
            </w:tcBorders>
            <w:shd w:val="clear" w:color="auto" w:fill="auto"/>
            <w:hideMark/>
          </w:tcPr>
          <w:p w14:paraId="30A7A4C9"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6" w:type="pct"/>
            <w:tcBorders>
              <w:top w:val="nil"/>
              <w:left w:val="nil"/>
              <w:bottom w:val="nil"/>
              <w:right w:val="nil"/>
            </w:tcBorders>
            <w:shd w:val="clear" w:color="auto" w:fill="auto"/>
            <w:noWrap/>
            <w:hideMark/>
          </w:tcPr>
          <w:p w14:paraId="2A698EBC"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hideMark/>
          </w:tcPr>
          <w:p w14:paraId="2E95825D"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6" w:type="pct"/>
            <w:tcBorders>
              <w:top w:val="nil"/>
              <w:left w:val="nil"/>
              <w:bottom w:val="nil"/>
              <w:right w:val="nil"/>
            </w:tcBorders>
            <w:shd w:val="clear" w:color="auto" w:fill="auto"/>
            <w:noWrap/>
            <w:hideMark/>
          </w:tcPr>
          <w:p w14:paraId="38B6E8E0"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hideMark/>
          </w:tcPr>
          <w:p w14:paraId="5C10B0F7"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7" w:type="pct"/>
            <w:tcBorders>
              <w:top w:val="nil"/>
              <w:left w:val="nil"/>
              <w:bottom w:val="nil"/>
              <w:right w:val="nil"/>
            </w:tcBorders>
            <w:shd w:val="clear" w:color="auto" w:fill="auto"/>
            <w:noWrap/>
            <w:hideMark/>
          </w:tcPr>
          <w:p w14:paraId="0761DA89"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hideMark/>
          </w:tcPr>
          <w:p w14:paraId="5009755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7" w:type="pct"/>
            <w:tcBorders>
              <w:top w:val="nil"/>
              <w:left w:val="nil"/>
              <w:bottom w:val="nil"/>
              <w:right w:val="nil"/>
            </w:tcBorders>
            <w:shd w:val="clear" w:color="auto" w:fill="auto"/>
            <w:noWrap/>
            <w:hideMark/>
          </w:tcPr>
          <w:p w14:paraId="15E74D98"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hideMark/>
          </w:tcPr>
          <w:p w14:paraId="65988287"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r w:rsidRPr="00C73365">
              <w:rPr>
                <w:rFonts w:asciiTheme="minorHAnsi" w:hAnsiTheme="minorHAnsi" w:cstheme="minorHAnsi"/>
                <w:color w:val="000000"/>
                <w:sz w:val="18"/>
                <w:szCs w:val="18"/>
                <w:lang w:val="fr-FR" w:eastAsia="fr-FR"/>
              </w:rPr>
              <w:t>)</w:t>
            </w:r>
          </w:p>
        </w:tc>
        <w:tc>
          <w:tcPr>
            <w:tcW w:w="57" w:type="pct"/>
            <w:tcBorders>
              <w:top w:val="nil"/>
              <w:left w:val="nil"/>
              <w:bottom w:val="nil"/>
              <w:right w:val="nil"/>
            </w:tcBorders>
            <w:shd w:val="clear" w:color="auto" w:fill="auto"/>
            <w:noWrap/>
            <w:hideMark/>
          </w:tcPr>
          <w:p w14:paraId="26D46BBB"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hideMark/>
          </w:tcPr>
          <w:p w14:paraId="3E35B3FC"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14:paraId="2D46963A"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2014</w:t>
            </w:r>
          </w:p>
        </w:tc>
        <w:tc>
          <w:tcPr>
            <w:tcW w:w="57" w:type="pct"/>
            <w:tcBorders>
              <w:top w:val="nil"/>
              <w:left w:val="nil"/>
              <w:bottom w:val="nil"/>
              <w:right w:val="nil"/>
            </w:tcBorders>
            <w:shd w:val="clear" w:color="auto" w:fill="auto"/>
            <w:noWrap/>
            <w:hideMark/>
          </w:tcPr>
          <w:p w14:paraId="07FDF415"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hideMark/>
          </w:tcPr>
          <w:p w14:paraId="34898845"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14:paraId="1B3D9337"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2014</w:t>
            </w:r>
          </w:p>
        </w:tc>
        <w:tc>
          <w:tcPr>
            <w:tcW w:w="60" w:type="pct"/>
            <w:tcBorders>
              <w:top w:val="nil"/>
              <w:left w:val="nil"/>
              <w:bottom w:val="nil"/>
              <w:right w:val="nil"/>
            </w:tcBorders>
            <w:shd w:val="clear" w:color="auto" w:fill="auto"/>
            <w:noWrap/>
            <w:hideMark/>
          </w:tcPr>
          <w:p w14:paraId="244557C9"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34" w:type="pct"/>
            <w:gridSpan w:val="2"/>
            <w:tcBorders>
              <w:top w:val="nil"/>
              <w:left w:val="nil"/>
              <w:bottom w:val="single" w:sz="4" w:space="0" w:color="7030A0"/>
              <w:right w:val="nil"/>
            </w:tcBorders>
            <w:shd w:val="clear" w:color="auto" w:fill="auto"/>
            <w:hideMark/>
          </w:tcPr>
          <w:p w14:paraId="13457358"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10/12/</w:t>
            </w:r>
          </w:p>
          <w:p w14:paraId="6A66A8B8"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2015</w:t>
            </w:r>
          </w:p>
        </w:tc>
        <w:tc>
          <w:tcPr>
            <w:tcW w:w="57" w:type="pct"/>
            <w:tcBorders>
              <w:top w:val="nil"/>
              <w:left w:val="nil"/>
              <w:bottom w:val="nil"/>
              <w:right w:val="nil"/>
            </w:tcBorders>
            <w:shd w:val="clear" w:color="auto" w:fill="auto"/>
            <w:noWrap/>
            <w:hideMark/>
          </w:tcPr>
          <w:p w14:paraId="7F638C0F"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8" w:type="pct"/>
            <w:tcBorders>
              <w:top w:val="nil"/>
              <w:left w:val="nil"/>
              <w:bottom w:val="single" w:sz="4" w:space="0" w:color="7030A0"/>
              <w:right w:val="nil"/>
            </w:tcBorders>
            <w:shd w:val="clear" w:color="auto" w:fill="auto"/>
            <w:hideMark/>
          </w:tcPr>
          <w:p w14:paraId="290106E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14:paraId="27726B51"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2016</w:t>
            </w:r>
          </w:p>
        </w:tc>
        <w:tc>
          <w:tcPr>
            <w:tcW w:w="324" w:type="pct"/>
            <w:tcBorders>
              <w:top w:val="nil"/>
              <w:left w:val="nil"/>
              <w:bottom w:val="single" w:sz="4" w:space="0" w:color="7030A0"/>
              <w:right w:val="nil"/>
            </w:tcBorders>
          </w:tcPr>
          <w:p w14:paraId="6B8BBA05"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w:t>
            </w:r>
          </w:p>
          <w:p w14:paraId="6A6C497A"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2017</w:t>
            </w:r>
          </w:p>
        </w:tc>
        <w:tc>
          <w:tcPr>
            <w:tcW w:w="320" w:type="pct"/>
            <w:tcBorders>
              <w:top w:val="nil"/>
              <w:left w:val="nil"/>
              <w:bottom w:val="single" w:sz="4" w:space="0" w:color="7030A0"/>
              <w:right w:val="nil"/>
            </w:tcBorders>
          </w:tcPr>
          <w:p w14:paraId="574BAA4E"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w:t>
            </w:r>
          </w:p>
          <w:p w14:paraId="0CD15C23"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2018</w:t>
            </w:r>
          </w:p>
        </w:tc>
      </w:tr>
      <w:tr w:rsidR="00B740A8" w:rsidRPr="00C73365" w14:paraId="1EBA4F95" w14:textId="77777777" w:rsidTr="00D1541A">
        <w:trPr>
          <w:trHeight w:val="3"/>
        </w:trPr>
        <w:tc>
          <w:tcPr>
            <w:tcW w:w="968" w:type="pct"/>
            <w:vMerge w:val="restart"/>
            <w:tcBorders>
              <w:top w:val="nil"/>
              <w:left w:val="nil"/>
              <w:right w:val="nil"/>
            </w:tcBorders>
            <w:shd w:val="clear" w:color="auto" w:fill="auto"/>
            <w:vAlign w:val="center"/>
          </w:tcPr>
          <w:p w14:paraId="628FAFEA" w14:textId="77777777"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22Date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expiration</w:t>
            </w:r>
          </w:p>
        </w:tc>
        <w:tc>
          <w:tcPr>
            <w:tcW w:w="324" w:type="pct"/>
            <w:tcBorders>
              <w:top w:val="nil"/>
              <w:left w:val="nil"/>
              <w:bottom w:val="single" w:sz="4" w:space="0" w:color="7030A0"/>
              <w:right w:val="nil"/>
            </w:tcBorders>
            <w:shd w:val="clear" w:color="auto" w:fill="auto"/>
          </w:tcPr>
          <w:p w14:paraId="3D5C9BAB"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14:paraId="24CCCC09"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14:paraId="5FBC31BC"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tcPr>
          <w:p w14:paraId="51CCE98A"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14:paraId="3D2830B8"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14:paraId="49E1D7AA"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tcPr>
          <w:p w14:paraId="781B5FE8"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14:paraId="4D3B4E9A"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7" w:type="pct"/>
            <w:tcBorders>
              <w:top w:val="nil"/>
              <w:left w:val="nil"/>
              <w:bottom w:val="nil"/>
              <w:right w:val="nil"/>
            </w:tcBorders>
            <w:shd w:val="clear" w:color="auto" w:fill="auto"/>
            <w:noWrap/>
          </w:tcPr>
          <w:p w14:paraId="77434594"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tcPr>
          <w:p w14:paraId="6AD1449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14:paraId="7941183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7" w:type="pct"/>
            <w:tcBorders>
              <w:top w:val="nil"/>
              <w:left w:val="nil"/>
              <w:bottom w:val="nil"/>
              <w:right w:val="nil"/>
            </w:tcBorders>
            <w:shd w:val="clear" w:color="auto" w:fill="auto"/>
            <w:noWrap/>
          </w:tcPr>
          <w:p w14:paraId="514ADB35"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tcPr>
          <w:p w14:paraId="3FC86961"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14:paraId="067F8203"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7" w:type="pct"/>
            <w:tcBorders>
              <w:top w:val="nil"/>
              <w:left w:val="nil"/>
              <w:bottom w:val="nil"/>
              <w:right w:val="nil"/>
            </w:tcBorders>
            <w:shd w:val="clear" w:color="auto" w:fill="auto"/>
            <w:noWrap/>
          </w:tcPr>
          <w:p w14:paraId="64AB6369"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tcPr>
          <w:p w14:paraId="1E11A770"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14:paraId="26512392"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7" w:type="pct"/>
            <w:tcBorders>
              <w:top w:val="nil"/>
              <w:left w:val="nil"/>
              <w:bottom w:val="nil"/>
              <w:right w:val="nil"/>
            </w:tcBorders>
            <w:shd w:val="clear" w:color="auto" w:fill="auto"/>
            <w:noWrap/>
          </w:tcPr>
          <w:p w14:paraId="11CE4E24"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tcPr>
          <w:p w14:paraId="3298741A"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14:paraId="1DAAC5B1"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60" w:type="pct"/>
            <w:tcBorders>
              <w:top w:val="nil"/>
              <w:left w:val="nil"/>
              <w:bottom w:val="nil"/>
              <w:right w:val="nil"/>
            </w:tcBorders>
            <w:shd w:val="clear" w:color="auto" w:fill="auto"/>
            <w:noWrap/>
          </w:tcPr>
          <w:p w14:paraId="3B6ECC47"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34" w:type="pct"/>
            <w:gridSpan w:val="2"/>
            <w:tcBorders>
              <w:top w:val="nil"/>
              <w:left w:val="nil"/>
              <w:bottom w:val="single" w:sz="4" w:space="0" w:color="7030A0"/>
              <w:right w:val="nil"/>
            </w:tcBorders>
            <w:shd w:val="clear" w:color="auto" w:fill="auto"/>
          </w:tcPr>
          <w:p w14:paraId="249F8361"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14:paraId="167FF3F0"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2025  </w:t>
            </w:r>
          </w:p>
        </w:tc>
        <w:tc>
          <w:tcPr>
            <w:tcW w:w="57" w:type="pct"/>
            <w:tcBorders>
              <w:top w:val="nil"/>
              <w:left w:val="nil"/>
              <w:bottom w:val="nil"/>
              <w:right w:val="nil"/>
            </w:tcBorders>
            <w:shd w:val="clear" w:color="auto" w:fill="auto"/>
            <w:noWrap/>
          </w:tcPr>
          <w:p w14:paraId="45BDED8B"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8" w:type="pct"/>
            <w:tcBorders>
              <w:top w:val="nil"/>
              <w:left w:val="nil"/>
              <w:bottom w:val="single" w:sz="4" w:space="0" w:color="7030A0"/>
              <w:right w:val="nil"/>
            </w:tcBorders>
            <w:shd w:val="clear" w:color="auto" w:fill="auto"/>
          </w:tcPr>
          <w:p w14:paraId="224EBF8B"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14:paraId="42170D5D"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2025  </w:t>
            </w:r>
          </w:p>
        </w:tc>
        <w:tc>
          <w:tcPr>
            <w:tcW w:w="324" w:type="pct"/>
            <w:tcBorders>
              <w:top w:val="nil"/>
              <w:left w:val="nil"/>
              <w:bottom w:val="single" w:sz="4" w:space="0" w:color="7030A0"/>
              <w:right w:val="nil"/>
            </w:tcBorders>
          </w:tcPr>
          <w:p w14:paraId="096888C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w:t>
            </w:r>
          </w:p>
          <w:p w14:paraId="0A53BB32"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2027</w:t>
            </w:r>
          </w:p>
        </w:tc>
        <w:tc>
          <w:tcPr>
            <w:tcW w:w="320" w:type="pct"/>
            <w:tcBorders>
              <w:top w:val="nil"/>
              <w:left w:val="nil"/>
              <w:bottom w:val="single" w:sz="4" w:space="0" w:color="7030A0"/>
              <w:right w:val="nil"/>
            </w:tcBorders>
          </w:tcPr>
          <w:p w14:paraId="49412788"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w:t>
            </w:r>
          </w:p>
          <w:p w14:paraId="6396795A"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2028</w:t>
            </w:r>
          </w:p>
        </w:tc>
      </w:tr>
      <w:tr w:rsidR="00B740A8" w:rsidRPr="00036317" w14:paraId="6D3D912A" w14:textId="77777777" w:rsidTr="00D1541A">
        <w:trPr>
          <w:trHeight w:val="3"/>
        </w:trPr>
        <w:tc>
          <w:tcPr>
            <w:tcW w:w="968" w:type="pct"/>
            <w:vMerge/>
            <w:tcBorders>
              <w:left w:val="nil"/>
              <w:bottom w:val="single" w:sz="4" w:space="0" w:color="7030A0"/>
              <w:right w:val="nil"/>
            </w:tcBorders>
            <w:shd w:val="clear" w:color="auto" w:fill="auto"/>
            <w:vAlign w:val="center"/>
            <w:hideMark/>
          </w:tcPr>
          <w:p w14:paraId="6C8BD175" w14:textId="77777777" w:rsidR="00B740A8" w:rsidRPr="00C73365" w:rsidRDefault="00B740A8" w:rsidP="00D1541A">
            <w:pPr>
              <w:rPr>
                <w:rFonts w:asciiTheme="minorHAnsi" w:hAnsiTheme="minorHAnsi" w:cstheme="minorHAnsi"/>
                <w:color w:val="000000"/>
                <w:sz w:val="18"/>
                <w:szCs w:val="18"/>
                <w:lang w:val="fr-FR" w:eastAsia="fr-FR"/>
              </w:rPr>
            </w:pPr>
          </w:p>
        </w:tc>
        <w:tc>
          <w:tcPr>
            <w:tcW w:w="2669" w:type="pct"/>
            <w:gridSpan w:val="14"/>
            <w:tcBorders>
              <w:top w:val="nil"/>
              <w:left w:val="nil"/>
              <w:bottom w:val="single" w:sz="4" w:space="0" w:color="7030A0"/>
              <w:right w:val="nil"/>
            </w:tcBorders>
            <w:shd w:val="clear" w:color="auto" w:fill="auto"/>
            <w:hideMark/>
          </w:tcPr>
          <w:p w14:paraId="4AEF5689" w14:textId="77777777" w:rsidR="00B740A8" w:rsidRPr="00C73365" w:rsidRDefault="00B740A8" w:rsidP="00D1541A">
            <w:pPr>
              <w:jc w:val="right"/>
              <w:rPr>
                <w:rFonts w:asciiTheme="minorHAnsi" w:hAnsiTheme="minorHAnsi" w:cstheme="minorHAnsi"/>
                <w:color w:val="000000"/>
                <w:sz w:val="18"/>
                <w:szCs w:val="18"/>
                <w:lang w:val="fr-FR" w:eastAsia="fr-FR"/>
              </w:rPr>
            </w:pPr>
          </w:p>
          <w:p w14:paraId="5AD7A84D"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ou au terme d’un délai de 90 jours suivant la date de cessation de l’activité exercée par le Bénéficiaire au bénéfice de la Société</w:t>
            </w:r>
          </w:p>
        </w:tc>
        <w:tc>
          <w:tcPr>
            <w:tcW w:w="57" w:type="pct"/>
            <w:tcBorders>
              <w:top w:val="nil"/>
              <w:left w:val="nil"/>
              <w:bottom w:val="nil"/>
              <w:right w:val="nil"/>
            </w:tcBorders>
            <w:shd w:val="clear" w:color="auto" w:fill="auto"/>
            <w:noWrap/>
            <w:hideMark/>
          </w:tcPr>
          <w:p w14:paraId="1E606658"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1306" w:type="pct"/>
            <w:gridSpan w:val="5"/>
            <w:tcBorders>
              <w:top w:val="nil"/>
              <w:left w:val="nil"/>
              <w:bottom w:val="single" w:sz="4" w:space="0" w:color="7030A0"/>
              <w:right w:val="nil"/>
            </w:tcBorders>
            <w:shd w:val="clear" w:color="auto" w:fill="auto"/>
            <w:hideMark/>
          </w:tcPr>
          <w:p w14:paraId="734305AC"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ou au terme d’un délai de 90 jours suivant l’expiration du mandat du Bénéficiaire</w:t>
            </w:r>
          </w:p>
        </w:tc>
      </w:tr>
      <w:tr w:rsidR="00B740A8" w:rsidRPr="00C73365" w14:paraId="1EE54081" w14:textId="77777777" w:rsidTr="00D1541A">
        <w:trPr>
          <w:trHeight w:val="3"/>
        </w:trPr>
        <w:tc>
          <w:tcPr>
            <w:tcW w:w="968" w:type="pct"/>
            <w:tcBorders>
              <w:top w:val="nil"/>
              <w:left w:val="nil"/>
              <w:bottom w:val="single" w:sz="4" w:space="0" w:color="7030A0"/>
              <w:right w:val="nil"/>
            </w:tcBorders>
            <w:shd w:val="clear" w:color="auto" w:fill="auto"/>
            <w:vAlign w:val="center"/>
            <w:hideMark/>
          </w:tcPr>
          <w:p w14:paraId="6DF6F7DC" w14:textId="77777777"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Prix de souscription ou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achat</w:t>
            </w:r>
          </w:p>
        </w:tc>
        <w:tc>
          <w:tcPr>
            <w:tcW w:w="324" w:type="pct"/>
            <w:tcBorders>
              <w:top w:val="nil"/>
              <w:left w:val="nil"/>
              <w:bottom w:val="single" w:sz="4" w:space="0" w:color="7030A0"/>
              <w:right w:val="nil"/>
            </w:tcBorders>
            <w:shd w:val="clear" w:color="auto" w:fill="auto"/>
            <w:vAlign w:val="center"/>
            <w:hideMark/>
          </w:tcPr>
          <w:p w14:paraId="368F99A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14:paraId="3E065058"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13450E0C"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14:paraId="5B38A02D"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2665B292"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7" w:type="pct"/>
            <w:tcBorders>
              <w:top w:val="nil"/>
              <w:left w:val="nil"/>
              <w:bottom w:val="nil"/>
              <w:right w:val="nil"/>
            </w:tcBorders>
            <w:shd w:val="clear" w:color="auto" w:fill="auto"/>
            <w:noWrap/>
            <w:vAlign w:val="bottom"/>
            <w:hideMark/>
          </w:tcPr>
          <w:p w14:paraId="268044D0"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21DC94C4"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7" w:type="pct"/>
            <w:tcBorders>
              <w:top w:val="nil"/>
              <w:left w:val="nil"/>
              <w:bottom w:val="nil"/>
              <w:right w:val="nil"/>
            </w:tcBorders>
            <w:shd w:val="clear" w:color="auto" w:fill="auto"/>
            <w:noWrap/>
            <w:vAlign w:val="bottom"/>
            <w:hideMark/>
          </w:tcPr>
          <w:p w14:paraId="2643D555"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135BE537"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7" w:type="pct"/>
            <w:tcBorders>
              <w:top w:val="nil"/>
              <w:left w:val="nil"/>
              <w:bottom w:val="nil"/>
              <w:right w:val="nil"/>
            </w:tcBorders>
            <w:shd w:val="clear" w:color="auto" w:fill="auto"/>
            <w:noWrap/>
            <w:vAlign w:val="bottom"/>
            <w:hideMark/>
          </w:tcPr>
          <w:p w14:paraId="47751F75"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7344B959"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7" w:type="pct"/>
            <w:tcBorders>
              <w:top w:val="nil"/>
              <w:left w:val="nil"/>
              <w:bottom w:val="nil"/>
              <w:right w:val="nil"/>
            </w:tcBorders>
            <w:shd w:val="clear" w:color="auto" w:fill="auto"/>
            <w:noWrap/>
            <w:vAlign w:val="bottom"/>
            <w:hideMark/>
          </w:tcPr>
          <w:p w14:paraId="2E87701D"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1CE4C7DA"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60" w:type="pct"/>
            <w:tcBorders>
              <w:top w:val="nil"/>
              <w:left w:val="nil"/>
              <w:bottom w:val="nil"/>
              <w:right w:val="nil"/>
            </w:tcBorders>
            <w:shd w:val="clear" w:color="auto" w:fill="auto"/>
            <w:noWrap/>
            <w:vAlign w:val="bottom"/>
            <w:hideMark/>
          </w:tcPr>
          <w:p w14:paraId="0FD3BC55"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34" w:type="pct"/>
            <w:gridSpan w:val="2"/>
            <w:tcBorders>
              <w:top w:val="nil"/>
              <w:left w:val="nil"/>
              <w:bottom w:val="single" w:sz="4" w:space="0" w:color="7030A0"/>
              <w:right w:val="nil"/>
            </w:tcBorders>
            <w:shd w:val="clear" w:color="auto" w:fill="auto"/>
            <w:vAlign w:val="center"/>
            <w:hideMark/>
          </w:tcPr>
          <w:p w14:paraId="48ECBCF4"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1,78</w:t>
            </w:r>
          </w:p>
        </w:tc>
        <w:tc>
          <w:tcPr>
            <w:tcW w:w="57" w:type="pct"/>
            <w:tcBorders>
              <w:top w:val="nil"/>
              <w:left w:val="nil"/>
              <w:bottom w:val="nil"/>
              <w:right w:val="nil"/>
            </w:tcBorders>
            <w:shd w:val="clear" w:color="auto" w:fill="auto"/>
            <w:noWrap/>
            <w:vAlign w:val="bottom"/>
            <w:hideMark/>
          </w:tcPr>
          <w:p w14:paraId="3D19BFB2"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8" w:type="pct"/>
            <w:tcBorders>
              <w:top w:val="nil"/>
              <w:left w:val="nil"/>
              <w:bottom w:val="single" w:sz="4" w:space="0" w:color="7030A0"/>
              <w:right w:val="nil"/>
            </w:tcBorders>
            <w:shd w:val="clear" w:color="auto" w:fill="auto"/>
            <w:vAlign w:val="center"/>
            <w:hideMark/>
          </w:tcPr>
          <w:p w14:paraId="1FDBEE73"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1,78</w:t>
            </w:r>
          </w:p>
        </w:tc>
        <w:tc>
          <w:tcPr>
            <w:tcW w:w="324" w:type="pct"/>
            <w:tcBorders>
              <w:top w:val="nil"/>
              <w:left w:val="nil"/>
              <w:bottom w:val="single" w:sz="4" w:space="0" w:color="7030A0"/>
              <w:right w:val="nil"/>
            </w:tcBorders>
          </w:tcPr>
          <w:p w14:paraId="53578300"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1,29</w:t>
            </w:r>
          </w:p>
        </w:tc>
        <w:tc>
          <w:tcPr>
            <w:tcW w:w="320" w:type="pct"/>
            <w:tcBorders>
              <w:top w:val="nil"/>
              <w:left w:val="nil"/>
              <w:bottom w:val="single" w:sz="4" w:space="0" w:color="7030A0"/>
              <w:right w:val="nil"/>
            </w:tcBorders>
          </w:tcPr>
          <w:p w14:paraId="5F496CF1"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0,90</w:t>
            </w:r>
          </w:p>
        </w:tc>
      </w:tr>
      <w:tr w:rsidR="00B740A8" w:rsidRPr="00C73365" w14:paraId="371E9FC8" w14:textId="77777777" w:rsidTr="00D1541A">
        <w:trPr>
          <w:trHeight w:val="3"/>
        </w:trPr>
        <w:tc>
          <w:tcPr>
            <w:tcW w:w="968" w:type="pct"/>
            <w:tcBorders>
              <w:top w:val="nil"/>
              <w:left w:val="nil"/>
              <w:bottom w:val="single" w:sz="4" w:space="0" w:color="7030A0"/>
              <w:right w:val="nil"/>
            </w:tcBorders>
            <w:shd w:val="clear" w:color="auto" w:fill="auto"/>
            <w:vAlign w:val="center"/>
            <w:hideMark/>
          </w:tcPr>
          <w:p w14:paraId="5BE85E5E" w14:textId="77777777"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Prix d’exercice par action</w:t>
            </w:r>
          </w:p>
        </w:tc>
        <w:tc>
          <w:tcPr>
            <w:tcW w:w="324" w:type="pct"/>
            <w:tcBorders>
              <w:top w:val="nil"/>
              <w:left w:val="nil"/>
              <w:bottom w:val="single" w:sz="4" w:space="0" w:color="7030A0"/>
              <w:right w:val="nil"/>
            </w:tcBorders>
            <w:shd w:val="clear" w:color="auto" w:fill="auto"/>
            <w:vAlign w:val="center"/>
            <w:hideMark/>
          </w:tcPr>
          <w:p w14:paraId="7C791D41"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14:paraId="4D643009"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1793B8FE"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14:paraId="192C9515"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5E6011EE"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7" w:type="pct"/>
            <w:tcBorders>
              <w:top w:val="nil"/>
              <w:left w:val="nil"/>
              <w:bottom w:val="nil"/>
              <w:right w:val="nil"/>
            </w:tcBorders>
            <w:shd w:val="clear" w:color="auto" w:fill="auto"/>
            <w:noWrap/>
            <w:vAlign w:val="bottom"/>
            <w:hideMark/>
          </w:tcPr>
          <w:p w14:paraId="269CC65B"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6772644D"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7" w:type="pct"/>
            <w:tcBorders>
              <w:top w:val="nil"/>
              <w:left w:val="nil"/>
              <w:bottom w:val="nil"/>
              <w:right w:val="nil"/>
            </w:tcBorders>
            <w:shd w:val="clear" w:color="auto" w:fill="auto"/>
            <w:noWrap/>
            <w:vAlign w:val="bottom"/>
            <w:hideMark/>
          </w:tcPr>
          <w:p w14:paraId="2A7ED69C"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5EFBE314"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7" w:type="pct"/>
            <w:tcBorders>
              <w:top w:val="nil"/>
              <w:left w:val="nil"/>
              <w:bottom w:val="nil"/>
              <w:right w:val="nil"/>
            </w:tcBorders>
            <w:shd w:val="clear" w:color="auto" w:fill="auto"/>
            <w:noWrap/>
            <w:vAlign w:val="bottom"/>
            <w:hideMark/>
          </w:tcPr>
          <w:p w14:paraId="00437041"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36361600"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7" w:type="pct"/>
            <w:tcBorders>
              <w:top w:val="nil"/>
              <w:left w:val="nil"/>
              <w:bottom w:val="nil"/>
              <w:right w:val="nil"/>
            </w:tcBorders>
            <w:shd w:val="clear" w:color="auto" w:fill="auto"/>
            <w:noWrap/>
            <w:vAlign w:val="bottom"/>
            <w:hideMark/>
          </w:tcPr>
          <w:p w14:paraId="53F6D42B"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3F365980"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60" w:type="pct"/>
            <w:tcBorders>
              <w:top w:val="nil"/>
              <w:left w:val="nil"/>
              <w:bottom w:val="nil"/>
              <w:right w:val="nil"/>
            </w:tcBorders>
            <w:shd w:val="clear" w:color="auto" w:fill="auto"/>
            <w:noWrap/>
            <w:vAlign w:val="bottom"/>
            <w:hideMark/>
          </w:tcPr>
          <w:p w14:paraId="23146236"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34" w:type="pct"/>
            <w:gridSpan w:val="2"/>
            <w:tcBorders>
              <w:top w:val="nil"/>
              <w:left w:val="nil"/>
              <w:bottom w:val="single" w:sz="4" w:space="0" w:color="7030A0"/>
              <w:right w:val="nil"/>
            </w:tcBorders>
            <w:shd w:val="clear" w:color="auto" w:fill="auto"/>
            <w:vAlign w:val="center"/>
            <w:hideMark/>
          </w:tcPr>
          <w:p w14:paraId="60087BDF"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17,79</w:t>
            </w:r>
          </w:p>
        </w:tc>
        <w:tc>
          <w:tcPr>
            <w:tcW w:w="57" w:type="pct"/>
            <w:tcBorders>
              <w:top w:val="nil"/>
              <w:left w:val="nil"/>
              <w:bottom w:val="nil"/>
              <w:right w:val="nil"/>
            </w:tcBorders>
            <w:shd w:val="clear" w:color="auto" w:fill="auto"/>
            <w:noWrap/>
            <w:vAlign w:val="bottom"/>
            <w:hideMark/>
          </w:tcPr>
          <w:p w14:paraId="4084F413"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8" w:type="pct"/>
            <w:tcBorders>
              <w:top w:val="nil"/>
              <w:left w:val="nil"/>
              <w:bottom w:val="single" w:sz="4" w:space="0" w:color="7030A0"/>
              <w:right w:val="nil"/>
            </w:tcBorders>
            <w:shd w:val="clear" w:color="auto" w:fill="auto"/>
            <w:vAlign w:val="center"/>
            <w:hideMark/>
          </w:tcPr>
          <w:p w14:paraId="4794637B"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17,79</w:t>
            </w:r>
          </w:p>
        </w:tc>
        <w:tc>
          <w:tcPr>
            <w:tcW w:w="324" w:type="pct"/>
            <w:tcBorders>
              <w:top w:val="nil"/>
              <w:left w:val="nil"/>
              <w:bottom w:val="single" w:sz="4" w:space="0" w:color="7030A0"/>
              <w:right w:val="nil"/>
            </w:tcBorders>
          </w:tcPr>
          <w:p w14:paraId="22B932B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11,57</w:t>
            </w:r>
          </w:p>
        </w:tc>
        <w:tc>
          <w:tcPr>
            <w:tcW w:w="320" w:type="pct"/>
            <w:tcBorders>
              <w:top w:val="nil"/>
              <w:left w:val="nil"/>
              <w:bottom w:val="single" w:sz="4" w:space="0" w:color="7030A0"/>
              <w:right w:val="nil"/>
            </w:tcBorders>
          </w:tcPr>
          <w:p w14:paraId="35DB3F78"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8,05</w:t>
            </w:r>
          </w:p>
        </w:tc>
      </w:tr>
      <w:tr w:rsidR="00B740A8" w:rsidRPr="00C73365" w14:paraId="25908B33" w14:textId="77777777" w:rsidTr="00D1541A">
        <w:trPr>
          <w:trHeight w:val="3"/>
        </w:trPr>
        <w:tc>
          <w:tcPr>
            <w:tcW w:w="968" w:type="pct"/>
            <w:tcBorders>
              <w:top w:val="nil"/>
              <w:left w:val="nil"/>
              <w:bottom w:val="single" w:sz="4" w:space="0" w:color="7030A0"/>
              <w:right w:val="nil"/>
            </w:tcBorders>
            <w:shd w:val="clear" w:color="auto" w:fill="auto"/>
            <w:vAlign w:val="center"/>
            <w:hideMark/>
          </w:tcPr>
          <w:p w14:paraId="2CE4968C" w14:textId="77777777"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Modalités d’exercice</w:t>
            </w:r>
          </w:p>
        </w:tc>
        <w:tc>
          <w:tcPr>
            <w:tcW w:w="324" w:type="pct"/>
            <w:tcBorders>
              <w:top w:val="nil"/>
              <w:left w:val="nil"/>
              <w:bottom w:val="single" w:sz="4" w:space="0" w:color="7030A0"/>
              <w:right w:val="nil"/>
            </w:tcBorders>
            <w:shd w:val="clear" w:color="auto" w:fill="auto"/>
            <w:vAlign w:val="center"/>
            <w:hideMark/>
          </w:tcPr>
          <w:p w14:paraId="587038FF"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p>
        </w:tc>
        <w:tc>
          <w:tcPr>
            <w:tcW w:w="56" w:type="pct"/>
            <w:tcBorders>
              <w:top w:val="nil"/>
              <w:left w:val="nil"/>
              <w:bottom w:val="nil"/>
              <w:right w:val="nil"/>
            </w:tcBorders>
            <w:shd w:val="clear" w:color="auto" w:fill="auto"/>
            <w:noWrap/>
            <w:vAlign w:val="bottom"/>
            <w:hideMark/>
          </w:tcPr>
          <w:p w14:paraId="64477B0E"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tcPr>
          <w:p w14:paraId="2548C1EC"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56" w:type="pct"/>
            <w:tcBorders>
              <w:top w:val="nil"/>
              <w:left w:val="nil"/>
              <w:bottom w:val="nil"/>
              <w:right w:val="nil"/>
            </w:tcBorders>
            <w:shd w:val="clear" w:color="auto" w:fill="auto"/>
            <w:noWrap/>
            <w:vAlign w:val="bottom"/>
          </w:tcPr>
          <w:p w14:paraId="73443B8B"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1BAD484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(13)</w:t>
            </w:r>
          </w:p>
        </w:tc>
        <w:tc>
          <w:tcPr>
            <w:tcW w:w="57" w:type="pct"/>
            <w:tcBorders>
              <w:top w:val="nil"/>
              <w:left w:val="nil"/>
              <w:bottom w:val="nil"/>
              <w:right w:val="nil"/>
            </w:tcBorders>
            <w:shd w:val="clear" w:color="auto" w:fill="auto"/>
            <w:noWrap/>
            <w:vAlign w:val="bottom"/>
            <w:hideMark/>
          </w:tcPr>
          <w:p w14:paraId="61BA53CF"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442E16BF"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(14)</w:t>
            </w:r>
          </w:p>
        </w:tc>
        <w:tc>
          <w:tcPr>
            <w:tcW w:w="57" w:type="pct"/>
            <w:tcBorders>
              <w:top w:val="nil"/>
              <w:left w:val="nil"/>
              <w:bottom w:val="nil"/>
              <w:right w:val="nil"/>
            </w:tcBorders>
            <w:shd w:val="clear" w:color="auto" w:fill="auto"/>
            <w:noWrap/>
            <w:vAlign w:val="bottom"/>
            <w:hideMark/>
          </w:tcPr>
          <w:p w14:paraId="372B8277"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1B38EA59"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(15)</w:t>
            </w:r>
          </w:p>
        </w:tc>
        <w:tc>
          <w:tcPr>
            <w:tcW w:w="57" w:type="pct"/>
            <w:tcBorders>
              <w:top w:val="nil"/>
              <w:left w:val="nil"/>
              <w:bottom w:val="nil"/>
              <w:right w:val="nil"/>
            </w:tcBorders>
            <w:shd w:val="clear" w:color="auto" w:fill="auto"/>
            <w:noWrap/>
            <w:vAlign w:val="bottom"/>
            <w:hideMark/>
          </w:tcPr>
          <w:p w14:paraId="71830702"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4AB0DE2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w:t>
            </w:r>
          </w:p>
        </w:tc>
        <w:tc>
          <w:tcPr>
            <w:tcW w:w="57" w:type="pct"/>
            <w:tcBorders>
              <w:top w:val="nil"/>
              <w:left w:val="nil"/>
              <w:bottom w:val="nil"/>
              <w:right w:val="nil"/>
            </w:tcBorders>
            <w:shd w:val="clear" w:color="auto" w:fill="auto"/>
            <w:noWrap/>
            <w:vAlign w:val="bottom"/>
            <w:hideMark/>
          </w:tcPr>
          <w:p w14:paraId="7E472C8C"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0B84E169"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w:t>
            </w:r>
          </w:p>
        </w:tc>
        <w:tc>
          <w:tcPr>
            <w:tcW w:w="60" w:type="pct"/>
            <w:tcBorders>
              <w:top w:val="nil"/>
              <w:left w:val="nil"/>
              <w:bottom w:val="nil"/>
              <w:right w:val="nil"/>
            </w:tcBorders>
            <w:shd w:val="clear" w:color="auto" w:fill="auto"/>
            <w:noWrap/>
            <w:vAlign w:val="bottom"/>
            <w:hideMark/>
          </w:tcPr>
          <w:p w14:paraId="03C83803"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34" w:type="pct"/>
            <w:gridSpan w:val="2"/>
            <w:tcBorders>
              <w:top w:val="nil"/>
              <w:left w:val="nil"/>
              <w:bottom w:val="single" w:sz="4" w:space="0" w:color="7030A0"/>
              <w:right w:val="nil"/>
            </w:tcBorders>
            <w:shd w:val="clear" w:color="auto" w:fill="auto"/>
            <w:vAlign w:val="center"/>
            <w:hideMark/>
          </w:tcPr>
          <w:p w14:paraId="33198DC7"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(16)</w:t>
            </w:r>
          </w:p>
        </w:tc>
        <w:tc>
          <w:tcPr>
            <w:tcW w:w="57" w:type="pct"/>
            <w:tcBorders>
              <w:top w:val="nil"/>
              <w:left w:val="nil"/>
              <w:bottom w:val="nil"/>
              <w:right w:val="nil"/>
            </w:tcBorders>
            <w:shd w:val="clear" w:color="auto" w:fill="auto"/>
            <w:noWrap/>
            <w:vAlign w:val="bottom"/>
            <w:hideMark/>
          </w:tcPr>
          <w:p w14:paraId="7660D817"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8" w:type="pct"/>
            <w:tcBorders>
              <w:top w:val="nil"/>
              <w:left w:val="nil"/>
              <w:bottom w:val="single" w:sz="4" w:space="0" w:color="7030A0"/>
              <w:right w:val="nil"/>
            </w:tcBorders>
            <w:shd w:val="clear" w:color="auto" w:fill="auto"/>
            <w:vAlign w:val="center"/>
            <w:hideMark/>
          </w:tcPr>
          <w:p w14:paraId="7C4EF18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(17)</w:t>
            </w:r>
          </w:p>
        </w:tc>
        <w:tc>
          <w:tcPr>
            <w:tcW w:w="324" w:type="pct"/>
            <w:tcBorders>
              <w:top w:val="nil"/>
              <w:left w:val="nil"/>
              <w:bottom w:val="single" w:sz="4" w:space="0" w:color="7030A0"/>
              <w:right w:val="nil"/>
            </w:tcBorders>
          </w:tcPr>
          <w:p w14:paraId="7B949597"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0" w:type="pct"/>
            <w:tcBorders>
              <w:top w:val="nil"/>
              <w:left w:val="nil"/>
              <w:bottom w:val="single" w:sz="4" w:space="0" w:color="7030A0"/>
              <w:right w:val="nil"/>
            </w:tcBorders>
          </w:tcPr>
          <w:p w14:paraId="0E3BC210" w14:textId="77777777"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14:paraId="5BBE277A" w14:textId="77777777" w:rsidTr="00D1541A">
        <w:trPr>
          <w:trHeight w:val="3"/>
        </w:trPr>
        <w:tc>
          <w:tcPr>
            <w:tcW w:w="968" w:type="pct"/>
            <w:tcBorders>
              <w:top w:val="nil"/>
              <w:left w:val="nil"/>
              <w:bottom w:val="single" w:sz="4" w:space="0" w:color="7030A0"/>
              <w:right w:val="nil"/>
            </w:tcBorders>
            <w:shd w:val="clear" w:color="auto" w:fill="auto"/>
            <w:vAlign w:val="center"/>
            <w:hideMark/>
          </w:tcPr>
          <w:p w14:paraId="3538DD86" w14:textId="77777777"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Nombre d’actions souscrites</w:t>
            </w:r>
          </w:p>
        </w:tc>
        <w:tc>
          <w:tcPr>
            <w:tcW w:w="324" w:type="pct"/>
            <w:tcBorders>
              <w:top w:val="nil"/>
              <w:left w:val="nil"/>
              <w:bottom w:val="single" w:sz="4" w:space="0" w:color="7030A0"/>
              <w:right w:val="nil"/>
            </w:tcBorders>
            <w:shd w:val="clear" w:color="auto" w:fill="auto"/>
            <w:vAlign w:val="center"/>
            <w:hideMark/>
          </w:tcPr>
          <w:p w14:paraId="619727C8"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39 400</w:t>
            </w:r>
          </w:p>
        </w:tc>
        <w:tc>
          <w:tcPr>
            <w:tcW w:w="56" w:type="pct"/>
            <w:tcBorders>
              <w:top w:val="nil"/>
              <w:left w:val="nil"/>
              <w:bottom w:val="nil"/>
              <w:right w:val="nil"/>
            </w:tcBorders>
            <w:shd w:val="clear" w:color="auto" w:fill="auto"/>
            <w:noWrap/>
            <w:vAlign w:val="bottom"/>
            <w:hideMark/>
          </w:tcPr>
          <w:p w14:paraId="7EDE1625"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29047843"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44.800</w:t>
            </w:r>
          </w:p>
        </w:tc>
        <w:tc>
          <w:tcPr>
            <w:tcW w:w="56" w:type="pct"/>
            <w:tcBorders>
              <w:top w:val="nil"/>
              <w:left w:val="nil"/>
              <w:bottom w:val="nil"/>
              <w:right w:val="nil"/>
            </w:tcBorders>
            <w:shd w:val="clear" w:color="auto" w:fill="auto"/>
            <w:noWrap/>
            <w:vAlign w:val="bottom"/>
            <w:hideMark/>
          </w:tcPr>
          <w:p w14:paraId="2B866EB1"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5F5159A9"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6.400</w:t>
            </w:r>
          </w:p>
        </w:tc>
        <w:tc>
          <w:tcPr>
            <w:tcW w:w="57" w:type="pct"/>
            <w:tcBorders>
              <w:top w:val="nil"/>
              <w:left w:val="nil"/>
              <w:bottom w:val="nil"/>
              <w:right w:val="nil"/>
            </w:tcBorders>
            <w:shd w:val="clear" w:color="auto" w:fill="auto"/>
            <w:noWrap/>
            <w:vAlign w:val="bottom"/>
            <w:hideMark/>
          </w:tcPr>
          <w:p w14:paraId="4EE98EAC"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711333FF"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47.340</w:t>
            </w:r>
          </w:p>
        </w:tc>
        <w:tc>
          <w:tcPr>
            <w:tcW w:w="57" w:type="pct"/>
            <w:tcBorders>
              <w:top w:val="nil"/>
              <w:left w:val="nil"/>
              <w:bottom w:val="nil"/>
              <w:right w:val="nil"/>
            </w:tcBorders>
            <w:shd w:val="clear" w:color="auto" w:fill="auto"/>
            <w:noWrap/>
            <w:vAlign w:val="bottom"/>
            <w:hideMark/>
          </w:tcPr>
          <w:p w14:paraId="08BEC3D6"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196BA882"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7" w:type="pct"/>
            <w:tcBorders>
              <w:top w:val="nil"/>
              <w:left w:val="nil"/>
              <w:bottom w:val="nil"/>
              <w:right w:val="nil"/>
            </w:tcBorders>
            <w:shd w:val="clear" w:color="auto" w:fill="auto"/>
            <w:noWrap/>
            <w:vAlign w:val="bottom"/>
            <w:hideMark/>
          </w:tcPr>
          <w:p w14:paraId="522C4CCE"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088B62EA"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5.200</w:t>
            </w:r>
          </w:p>
        </w:tc>
        <w:tc>
          <w:tcPr>
            <w:tcW w:w="57" w:type="pct"/>
            <w:tcBorders>
              <w:top w:val="nil"/>
              <w:left w:val="nil"/>
              <w:bottom w:val="nil"/>
              <w:right w:val="nil"/>
            </w:tcBorders>
            <w:shd w:val="clear" w:color="auto" w:fill="auto"/>
            <w:noWrap/>
            <w:vAlign w:val="bottom"/>
            <w:hideMark/>
          </w:tcPr>
          <w:p w14:paraId="665E69F2"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4F1358EE"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2.900</w:t>
            </w:r>
          </w:p>
        </w:tc>
        <w:tc>
          <w:tcPr>
            <w:tcW w:w="60" w:type="pct"/>
            <w:tcBorders>
              <w:top w:val="nil"/>
              <w:left w:val="nil"/>
              <w:bottom w:val="nil"/>
              <w:right w:val="nil"/>
            </w:tcBorders>
            <w:shd w:val="clear" w:color="auto" w:fill="auto"/>
            <w:noWrap/>
            <w:vAlign w:val="bottom"/>
            <w:hideMark/>
          </w:tcPr>
          <w:p w14:paraId="34479181"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34" w:type="pct"/>
            <w:gridSpan w:val="2"/>
            <w:tcBorders>
              <w:top w:val="nil"/>
              <w:left w:val="nil"/>
              <w:bottom w:val="single" w:sz="4" w:space="0" w:color="7030A0"/>
              <w:right w:val="nil"/>
            </w:tcBorders>
            <w:shd w:val="clear" w:color="auto" w:fill="auto"/>
            <w:vAlign w:val="center"/>
            <w:hideMark/>
          </w:tcPr>
          <w:p w14:paraId="38A5E30C"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7" w:type="pct"/>
            <w:tcBorders>
              <w:top w:val="nil"/>
              <w:left w:val="nil"/>
              <w:bottom w:val="nil"/>
              <w:right w:val="nil"/>
            </w:tcBorders>
            <w:shd w:val="clear" w:color="auto" w:fill="auto"/>
            <w:noWrap/>
            <w:vAlign w:val="bottom"/>
            <w:hideMark/>
          </w:tcPr>
          <w:p w14:paraId="4F040D63"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8" w:type="pct"/>
            <w:tcBorders>
              <w:top w:val="nil"/>
              <w:left w:val="nil"/>
              <w:bottom w:val="single" w:sz="4" w:space="0" w:color="7030A0"/>
              <w:right w:val="nil"/>
            </w:tcBorders>
            <w:shd w:val="clear" w:color="auto" w:fill="auto"/>
            <w:vAlign w:val="center"/>
            <w:hideMark/>
          </w:tcPr>
          <w:p w14:paraId="69827A7C"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4" w:type="pct"/>
            <w:tcBorders>
              <w:top w:val="nil"/>
              <w:left w:val="nil"/>
              <w:bottom w:val="single" w:sz="4" w:space="0" w:color="7030A0"/>
              <w:right w:val="nil"/>
            </w:tcBorders>
          </w:tcPr>
          <w:p w14:paraId="4DA1D9FD"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0" w:type="pct"/>
            <w:tcBorders>
              <w:top w:val="nil"/>
              <w:left w:val="nil"/>
              <w:bottom w:val="single" w:sz="4" w:space="0" w:color="7030A0"/>
              <w:right w:val="nil"/>
            </w:tcBorders>
          </w:tcPr>
          <w:p w14:paraId="55348AD0"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r>
      <w:tr w:rsidR="00B740A8" w:rsidRPr="00C73365" w14:paraId="348FD332" w14:textId="77777777" w:rsidTr="00D1541A">
        <w:trPr>
          <w:trHeight w:val="3"/>
        </w:trPr>
        <w:tc>
          <w:tcPr>
            <w:tcW w:w="968" w:type="pct"/>
            <w:tcBorders>
              <w:top w:val="nil"/>
              <w:left w:val="nil"/>
              <w:bottom w:val="single" w:sz="4" w:space="0" w:color="7030A0"/>
              <w:right w:val="nil"/>
            </w:tcBorders>
            <w:shd w:val="clear" w:color="auto" w:fill="auto"/>
            <w:noWrap/>
            <w:vAlign w:val="center"/>
            <w:hideMark/>
          </w:tcPr>
          <w:p w14:paraId="28FD4BF6" w14:textId="77777777"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Nombre cumulé de BSA ou BCE annulés ou caduques</w:t>
            </w:r>
          </w:p>
        </w:tc>
        <w:tc>
          <w:tcPr>
            <w:tcW w:w="324" w:type="pct"/>
            <w:tcBorders>
              <w:top w:val="nil"/>
              <w:left w:val="nil"/>
              <w:bottom w:val="single" w:sz="4" w:space="0" w:color="7030A0"/>
              <w:right w:val="nil"/>
            </w:tcBorders>
            <w:shd w:val="clear" w:color="auto" w:fill="auto"/>
            <w:vAlign w:val="center"/>
            <w:hideMark/>
          </w:tcPr>
          <w:p w14:paraId="1857F1A3"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14:paraId="00DDC8D2"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576DC228"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229</w:t>
            </w:r>
          </w:p>
        </w:tc>
        <w:tc>
          <w:tcPr>
            <w:tcW w:w="56" w:type="pct"/>
            <w:tcBorders>
              <w:top w:val="nil"/>
              <w:left w:val="nil"/>
              <w:bottom w:val="nil"/>
              <w:right w:val="nil"/>
            </w:tcBorders>
            <w:shd w:val="clear" w:color="auto" w:fill="auto"/>
            <w:noWrap/>
            <w:vAlign w:val="bottom"/>
            <w:hideMark/>
          </w:tcPr>
          <w:p w14:paraId="28BE5645"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29005CED"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100</w:t>
            </w:r>
          </w:p>
        </w:tc>
        <w:tc>
          <w:tcPr>
            <w:tcW w:w="57" w:type="pct"/>
            <w:tcBorders>
              <w:top w:val="nil"/>
              <w:left w:val="nil"/>
              <w:bottom w:val="nil"/>
              <w:right w:val="nil"/>
            </w:tcBorders>
            <w:shd w:val="clear" w:color="auto" w:fill="auto"/>
            <w:noWrap/>
            <w:vAlign w:val="bottom"/>
            <w:hideMark/>
          </w:tcPr>
          <w:p w14:paraId="0DF9AAFF"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3E21A345"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7" w:type="pct"/>
            <w:tcBorders>
              <w:top w:val="nil"/>
              <w:left w:val="nil"/>
              <w:bottom w:val="nil"/>
              <w:right w:val="nil"/>
            </w:tcBorders>
            <w:shd w:val="clear" w:color="auto" w:fill="auto"/>
            <w:noWrap/>
            <w:vAlign w:val="bottom"/>
            <w:hideMark/>
          </w:tcPr>
          <w:p w14:paraId="2B817578"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2084498C"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7" w:type="pct"/>
            <w:tcBorders>
              <w:top w:val="nil"/>
              <w:left w:val="nil"/>
              <w:bottom w:val="nil"/>
              <w:right w:val="nil"/>
            </w:tcBorders>
            <w:shd w:val="clear" w:color="auto" w:fill="auto"/>
            <w:noWrap/>
            <w:vAlign w:val="bottom"/>
            <w:hideMark/>
          </w:tcPr>
          <w:p w14:paraId="0E06483E"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220E37D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7" w:type="pct"/>
            <w:tcBorders>
              <w:top w:val="nil"/>
              <w:left w:val="nil"/>
              <w:bottom w:val="nil"/>
              <w:right w:val="nil"/>
            </w:tcBorders>
            <w:shd w:val="clear" w:color="auto" w:fill="auto"/>
            <w:noWrap/>
            <w:vAlign w:val="bottom"/>
            <w:hideMark/>
          </w:tcPr>
          <w:p w14:paraId="1680C0E5"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4" w:type="pct"/>
            <w:tcBorders>
              <w:top w:val="nil"/>
              <w:left w:val="nil"/>
              <w:bottom w:val="single" w:sz="4" w:space="0" w:color="7030A0"/>
              <w:right w:val="nil"/>
            </w:tcBorders>
            <w:shd w:val="clear" w:color="auto" w:fill="auto"/>
            <w:vAlign w:val="center"/>
            <w:hideMark/>
          </w:tcPr>
          <w:p w14:paraId="6474D4DA"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60" w:type="pct"/>
            <w:tcBorders>
              <w:top w:val="nil"/>
              <w:left w:val="nil"/>
              <w:bottom w:val="nil"/>
              <w:right w:val="nil"/>
            </w:tcBorders>
            <w:shd w:val="clear" w:color="auto" w:fill="auto"/>
            <w:noWrap/>
            <w:vAlign w:val="bottom"/>
            <w:hideMark/>
          </w:tcPr>
          <w:p w14:paraId="711689DB"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34" w:type="pct"/>
            <w:gridSpan w:val="2"/>
            <w:tcBorders>
              <w:top w:val="nil"/>
              <w:left w:val="nil"/>
              <w:bottom w:val="single" w:sz="4" w:space="0" w:color="7030A0"/>
              <w:right w:val="nil"/>
            </w:tcBorders>
            <w:shd w:val="clear" w:color="auto" w:fill="auto"/>
            <w:vAlign w:val="center"/>
            <w:hideMark/>
          </w:tcPr>
          <w:p w14:paraId="08B38E86"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7" w:type="pct"/>
            <w:tcBorders>
              <w:top w:val="nil"/>
              <w:left w:val="nil"/>
              <w:bottom w:val="nil"/>
              <w:right w:val="nil"/>
            </w:tcBorders>
            <w:shd w:val="clear" w:color="auto" w:fill="auto"/>
            <w:noWrap/>
            <w:vAlign w:val="bottom"/>
            <w:hideMark/>
          </w:tcPr>
          <w:p w14:paraId="6B6F56CF" w14:textId="77777777" w:rsidR="00B740A8" w:rsidRPr="00C73365" w:rsidRDefault="00B740A8" w:rsidP="00D1541A">
            <w:pPr>
              <w:jc w:val="right"/>
              <w:rPr>
                <w:rFonts w:asciiTheme="minorHAnsi" w:hAnsiTheme="minorHAnsi" w:cstheme="minorHAnsi"/>
                <w:color w:val="000000"/>
                <w:sz w:val="18"/>
                <w:szCs w:val="18"/>
                <w:lang w:val="fr-FR" w:eastAsia="fr-FR"/>
              </w:rPr>
            </w:pPr>
          </w:p>
        </w:tc>
        <w:tc>
          <w:tcPr>
            <w:tcW w:w="328" w:type="pct"/>
            <w:tcBorders>
              <w:top w:val="nil"/>
              <w:left w:val="nil"/>
              <w:bottom w:val="single" w:sz="4" w:space="0" w:color="7030A0"/>
              <w:right w:val="nil"/>
            </w:tcBorders>
            <w:shd w:val="clear" w:color="auto" w:fill="auto"/>
            <w:vAlign w:val="center"/>
            <w:hideMark/>
          </w:tcPr>
          <w:p w14:paraId="296242E1"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4" w:type="pct"/>
            <w:tcBorders>
              <w:top w:val="nil"/>
              <w:left w:val="nil"/>
              <w:bottom w:val="single" w:sz="4" w:space="0" w:color="7030A0"/>
              <w:right w:val="nil"/>
            </w:tcBorders>
          </w:tcPr>
          <w:p w14:paraId="39AC78FF"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0" w:type="pct"/>
            <w:tcBorders>
              <w:top w:val="nil"/>
              <w:left w:val="nil"/>
              <w:bottom w:val="single" w:sz="4" w:space="0" w:color="7030A0"/>
              <w:right w:val="nil"/>
            </w:tcBorders>
          </w:tcPr>
          <w:p w14:paraId="28AA9E83"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r>
      <w:tr w:rsidR="00B740A8" w:rsidRPr="00C73365" w14:paraId="46280E64" w14:textId="77777777" w:rsidTr="00D1541A">
        <w:trPr>
          <w:trHeight w:val="73"/>
        </w:trPr>
        <w:tc>
          <w:tcPr>
            <w:tcW w:w="968" w:type="pct"/>
            <w:tcBorders>
              <w:top w:val="nil"/>
              <w:left w:val="nil"/>
              <w:bottom w:val="single" w:sz="4" w:space="0" w:color="7030A0"/>
              <w:right w:val="nil"/>
            </w:tcBorders>
            <w:shd w:val="clear" w:color="auto" w:fill="auto"/>
            <w:vAlign w:val="center"/>
            <w:hideMark/>
          </w:tcPr>
          <w:p w14:paraId="0CA5E335" w14:textId="77777777"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BSA à la date du présent document de référence</w:t>
            </w:r>
          </w:p>
        </w:tc>
        <w:tc>
          <w:tcPr>
            <w:tcW w:w="324" w:type="pct"/>
            <w:tcBorders>
              <w:top w:val="nil"/>
              <w:left w:val="nil"/>
              <w:bottom w:val="single" w:sz="4" w:space="0" w:color="7030A0"/>
              <w:right w:val="nil"/>
            </w:tcBorders>
            <w:shd w:val="clear" w:color="auto" w:fill="auto"/>
            <w:vAlign w:val="center"/>
            <w:hideMark/>
          </w:tcPr>
          <w:p w14:paraId="530A2B04"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p>
        </w:tc>
        <w:tc>
          <w:tcPr>
            <w:tcW w:w="56" w:type="pct"/>
            <w:tcBorders>
              <w:top w:val="nil"/>
              <w:left w:val="nil"/>
              <w:bottom w:val="nil"/>
              <w:right w:val="nil"/>
            </w:tcBorders>
            <w:shd w:val="clear" w:color="auto" w:fill="auto"/>
            <w:noWrap/>
            <w:vAlign w:val="center"/>
            <w:hideMark/>
          </w:tcPr>
          <w:p w14:paraId="48210C39" w14:textId="77777777" w:rsidR="00B740A8" w:rsidRPr="00C73365" w:rsidRDefault="00B740A8" w:rsidP="00D1541A">
            <w:pPr>
              <w:jc w:val="right"/>
              <w:rPr>
                <w:rFonts w:asciiTheme="minorHAnsi" w:hAnsiTheme="minorHAnsi" w:cstheme="minorHAnsi"/>
                <w:color w:val="000000"/>
                <w:sz w:val="18"/>
                <w:lang w:val="fr-FR"/>
              </w:rPr>
            </w:pPr>
          </w:p>
        </w:tc>
        <w:tc>
          <w:tcPr>
            <w:tcW w:w="324" w:type="pct"/>
            <w:tcBorders>
              <w:top w:val="nil"/>
              <w:left w:val="nil"/>
              <w:bottom w:val="single" w:sz="4" w:space="0" w:color="7030A0"/>
              <w:right w:val="nil"/>
            </w:tcBorders>
            <w:shd w:val="clear" w:color="auto" w:fill="auto"/>
            <w:vAlign w:val="center"/>
            <w:hideMark/>
          </w:tcPr>
          <w:p w14:paraId="36DEC365" w14:textId="77777777" w:rsidR="00B740A8" w:rsidRPr="00C73365" w:rsidRDefault="00B740A8" w:rsidP="00D1541A">
            <w:pPr>
              <w:jc w:val="right"/>
              <w:rPr>
                <w:rFonts w:asciiTheme="minorHAnsi" w:hAnsiTheme="minorHAnsi" w:cstheme="minorHAnsi"/>
                <w:sz w:val="18"/>
                <w:lang w:val="fr-FR"/>
              </w:rPr>
            </w:pPr>
            <w:r w:rsidRPr="00C73365">
              <w:rPr>
                <w:rFonts w:asciiTheme="minorHAnsi" w:hAnsiTheme="minorHAnsi" w:cstheme="minorHAnsi"/>
                <w:sz w:val="18"/>
                <w:lang w:val="fr-FR"/>
              </w:rPr>
              <w:footnoteReference w:customMarkFollows="1" w:id="23"/>
              <w:t>0</w:t>
            </w:r>
          </w:p>
        </w:tc>
        <w:tc>
          <w:tcPr>
            <w:tcW w:w="56" w:type="pct"/>
            <w:tcBorders>
              <w:top w:val="nil"/>
              <w:left w:val="nil"/>
              <w:bottom w:val="nil"/>
              <w:right w:val="nil"/>
            </w:tcBorders>
            <w:shd w:val="clear" w:color="auto" w:fill="auto"/>
            <w:noWrap/>
            <w:vAlign w:val="center"/>
            <w:hideMark/>
          </w:tcPr>
          <w:p w14:paraId="1AFAC79F" w14:textId="77777777" w:rsidR="00B740A8" w:rsidRPr="00C73365" w:rsidRDefault="00B740A8" w:rsidP="00D1541A">
            <w:pPr>
              <w:jc w:val="right"/>
              <w:rPr>
                <w:rFonts w:asciiTheme="minorHAnsi" w:hAnsiTheme="minorHAnsi" w:cstheme="minorHAnsi"/>
                <w:sz w:val="18"/>
                <w:lang w:val="fr-FR"/>
              </w:rPr>
            </w:pPr>
          </w:p>
        </w:tc>
        <w:tc>
          <w:tcPr>
            <w:tcW w:w="324" w:type="pct"/>
            <w:tcBorders>
              <w:top w:val="nil"/>
              <w:left w:val="nil"/>
              <w:bottom w:val="single" w:sz="4" w:space="0" w:color="7030A0"/>
              <w:right w:val="nil"/>
            </w:tcBorders>
            <w:shd w:val="clear" w:color="auto" w:fill="auto"/>
            <w:vAlign w:val="center"/>
            <w:hideMark/>
          </w:tcPr>
          <w:p w14:paraId="21C8CEA5" w14:textId="77777777" w:rsidR="00B740A8" w:rsidRPr="00C73365" w:rsidRDefault="00B740A8" w:rsidP="00D1541A">
            <w:pPr>
              <w:jc w:val="right"/>
              <w:rPr>
                <w:rFonts w:asciiTheme="minorHAnsi" w:hAnsiTheme="minorHAnsi" w:cstheme="minorHAnsi"/>
                <w:sz w:val="18"/>
                <w:lang w:val="fr-FR"/>
              </w:rPr>
            </w:pPr>
            <w:r w:rsidRPr="00C73365">
              <w:rPr>
                <w:rFonts w:asciiTheme="minorHAnsi" w:hAnsiTheme="minorHAnsi" w:cstheme="minorHAnsi"/>
                <w:sz w:val="18"/>
                <w:lang w:val="fr-FR"/>
              </w:rPr>
              <w:footnoteReference w:customMarkFollows="1" w:id="24"/>
              <w:t>8</w:t>
            </w:r>
            <w:r w:rsidRPr="00C73365">
              <w:rPr>
                <w:rFonts w:asciiTheme="minorHAnsi" w:hAnsiTheme="minorHAnsi" w:cstheme="minorHAnsi"/>
                <w:sz w:val="18"/>
                <w:szCs w:val="18"/>
                <w:lang w:val="fr-FR" w:eastAsia="fr-FR"/>
              </w:rPr>
              <w:t>44</w:t>
            </w:r>
          </w:p>
        </w:tc>
        <w:tc>
          <w:tcPr>
            <w:tcW w:w="57" w:type="pct"/>
            <w:tcBorders>
              <w:top w:val="nil"/>
              <w:left w:val="nil"/>
              <w:bottom w:val="nil"/>
              <w:right w:val="nil"/>
            </w:tcBorders>
            <w:shd w:val="clear" w:color="auto" w:fill="auto"/>
            <w:noWrap/>
            <w:vAlign w:val="center"/>
            <w:hideMark/>
          </w:tcPr>
          <w:p w14:paraId="2FAC460A" w14:textId="77777777" w:rsidR="00B740A8" w:rsidRPr="00C73365" w:rsidRDefault="00B740A8" w:rsidP="00D1541A">
            <w:pPr>
              <w:jc w:val="right"/>
              <w:rPr>
                <w:rFonts w:asciiTheme="minorHAnsi" w:hAnsiTheme="minorHAnsi" w:cstheme="minorHAnsi"/>
                <w:sz w:val="18"/>
                <w:lang w:val="fr-FR"/>
              </w:rPr>
            </w:pPr>
          </w:p>
        </w:tc>
        <w:tc>
          <w:tcPr>
            <w:tcW w:w="324" w:type="pct"/>
            <w:tcBorders>
              <w:top w:val="nil"/>
              <w:left w:val="nil"/>
              <w:bottom w:val="single" w:sz="4" w:space="0" w:color="7030A0"/>
              <w:right w:val="nil"/>
            </w:tcBorders>
            <w:shd w:val="clear" w:color="auto" w:fill="auto"/>
            <w:vAlign w:val="center"/>
            <w:hideMark/>
          </w:tcPr>
          <w:p w14:paraId="7F07CD03" w14:textId="77777777" w:rsidR="00B740A8" w:rsidRPr="00C73365" w:rsidRDefault="00B740A8" w:rsidP="00D1541A">
            <w:pPr>
              <w:jc w:val="right"/>
              <w:rPr>
                <w:rFonts w:asciiTheme="minorHAnsi" w:hAnsiTheme="minorHAnsi" w:cstheme="minorHAnsi"/>
                <w:sz w:val="18"/>
                <w:lang w:val="fr-FR"/>
              </w:rPr>
            </w:pPr>
            <w:r w:rsidRPr="00C73365">
              <w:rPr>
                <w:rFonts w:asciiTheme="minorHAnsi" w:hAnsiTheme="minorHAnsi" w:cstheme="minorHAnsi"/>
                <w:sz w:val="18"/>
                <w:szCs w:val="18"/>
                <w:lang w:val="fr-FR" w:eastAsia="fr-FR"/>
              </w:rPr>
              <w:t>842</w:t>
            </w:r>
          </w:p>
        </w:tc>
        <w:tc>
          <w:tcPr>
            <w:tcW w:w="57" w:type="pct"/>
            <w:tcBorders>
              <w:top w:val="nil"/>
              <w:left w:val="nil"/>
              <w:bottom w:val="nil"/>
              <w:right w:val="nil"/>
            </w:tcBorders>
            <w:shd w:val="clear" w:color="auto" w:fill="auto"/>
            <w:noWrap/>
            <w:vAlign w:val="center"/>
            <w:hideMark/>
          </w:tcPr>
          <w:p w14:paraId="6950F50E" w14:textId="77777777" w:rsidR="00B740A8" w:rsidRPr="00C73365" w:rsidRDefault="00B740A8" w:rsidP="00D1541A">
            <w:pPr>
              <w:jc w:val="right"/>
              <w:rPr>
                <w:rFonts w:asciiTheme="minorHAnsi" w:hAnsiTheme="minorHAnsi" w:cstheme="minorHAnsi"/>
                <w:sz w:val="18"/>
                <w:lang w:val="fr-FR"/>
              </w:rPr>
            </w:pPr>
          </w:p>
        </w:tc>
        <w:tc>
          <w:tcPr>
            <w:tcW w:w="324" w:type="pct"/>
            <w:tcBorders>
              <w:top w:val="nil"/>
              <w:left w:val="nil"/>
              <w:bottom w:val="single" w:sz="4" w:space="0" w:color="7030A0"/>
              <w:right w:val="nil"/>
            </w:tcBorders>
            <w:shd w:val="clear" w:color="auto" w:fill="auto"/>
            <w:vAlign w:val="center"/>
            <w:hideMark/>
          </w:tcPr>
          <w:p w14:paraId="61D61BC9" w14:textId="77777777" w:rsidR="00B740A8" w:rsidRPr="00C73365" w:rsidRDefault="00B740A8" w:rsidP="00D1541A">
            <w:pPr>
              <w:jc w:val="right"/>
              <w:rPr>
                <w:rFonts w:asciiTheme="minorHAnsi" w:hAnsiTheme="minorHAnsi" w:cstheme="minorHAnsi"/>
                <w:sz w:val="18"/>
                <w:lang w:val="fr-FR"/>
              </w:rPr>
            </w:pPr>
            <w:r w:rsidRPr="00C73365">
              <w:rPr>
                <w:rFonts w:asciiTheme="minorHAnsi" w:hAnsiTheme="minorHAnsi" w:cstheme="minorHAnsi"/>
                <w:sz w:val="18"/>
                <w:lang w:val="fr-FR"/>
              </w:rPr>
              <w:t>787</w:t>
            </w:r>
          </w:p>
        </w:tc>
        <w:tc>
          <w:tcPr>
            <w:tcW w:w="57" w:type="pct"/>
            <w:tcBorders>
              <w:top w:val="nil"/>
              <w:left w:val="nil"/>
              <w:bottom w:val="nil"/>
              <w:right w:val="nil"/>
            </w:tcBorders>
            <w:shd w:val="clear" w:color="auto" w:fill="auto"/>
            <w:noWrap/>
            <w:vAlign w:val="center"/>
            <w:hideMark/>
          </w:tcPr>
          <w:p w14:paraId="6DF4D7F7" w14:textId="77777777" w:rsidR="00B740A8" w:rsidRPr="00C73365" w:rsidRDefault="00B740A8" w:rsidP="00D1541A">
            <w:pPr>
              <w:jc w:val="right"/>
              <w:rPr>
                <w:rFonts w:asciiTheme="minorHAnsi" w:hAnsiTheme="minorHAnsi" w:cstheme="minorHAnsi"/>
                <w:color w:val="000000"/>
                <w:sz w:val="18"/>
                <w:lang w:val="fr-FR"/>
              </w:rPr>
            </w:pPr>
          </w:p>
        </w:tc>
        <w:tc>
          <w:tcPr>
            <w:tcW w:w="324" w:type="pct"/>
            <w:tcBorders>
              <w:top w:val="nil"/>
              <w:left w:val="nil"/>
              <w:bottom w:val="single" w:sz="4" w:space="0" w:color="7030A0"/>
              <w:right w:val="nil"/>
            </w:tcBorders>
            <w:shd w:val="clear" w:color="auto" w:fill="auto"/>
            <w:vAlign w:val="center"/>
            <w:hideMark/>
          </w:tcPr>
          <w:p w14:paraId="650E18C9"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p>
        </w:tc>
        <w:tc>
          <w:tcPr>
            <w:tcW w:w="57" w:type="pct"/>
            <w:tcBorders>
              <w:top w:val="nil"/>
              <w:left w:val="nil"/>
              <w:bottom w:val="nil"/>
              <w:right w:val="nil"/>
            </w:tcBorders>
            <w:shd w:val="clear" w:color="auto" w:fill="auto"/>
            <w:noWrap/>
            <w:vAlign w:val="center"/>
            <w:hideMark/>
          </w:tcPr>
          <w:p w14:paraId="68D9D32C" w14:textId="77777777" w:rsidR="00B740A8" w:rsidRPr="00C73365" w:rsidRDefault="00B740A8" w:rsidP="00D1541A">
            <w:pPr>
              <w:jc w:val="right"/>
              <w:rPr>
                <w:rFonts w:asciiTheme="minorHAnsi" w:hAnsiTheme="minorHAnsi" w:cstheme="minorHAnsi"/>
                <w:color w:val="000000"/>
                <w:sz w:val="18"/>
                <w:lang w:val="fr-FR"/>
              </w:rPr>
            </w:pPr>
          </w:p>
        </w:tc>
        <w:tc>
          <w:tcPr>
            <w:tcW w:w="324" w:type="pct"/>
            <w:tcBorders>
              <w:top w:val="nil"/>
              <w:left w:val="nil"/>
              <w:bottom w:val="single" w:sz="4" w:space="0" w:color="7030A0"/>
              <w:right w:val="nil"/>
            </w:tcBorders>
            <w:shd w:val="clear" w:color="auto" w:fill="auto"/>
            <w:vAlign w:val="center"/>
            <w:hideMark/>
          </w:tcPr>
          <w:p w14:paraId="07873E5E"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52</w:t>
            </w:r>
          </w:p>
        </w:tc>
        <w:tc>
          <w:tcPr>
            <w:tcW w:w="60" w:type="pct"/>
            <w:tcBorders>
              <w:top w:val="nil"/>
              <w:left w:val="nil"/>
              <w:bottom w:val="nil"/>
              <w:right w:val="nil"/>
            </w:tcBorders>
            <w:shd w:val="clear" w:color="auto" w:fill="auto"/>
            <w:noWrap/>
            <w:vAlign w:val="center"/>
            <w:hideMark/>
          </w:tcPr>
          <w:p w14:paraId="6A704788" w14:textId="77777777" w:rsidR="00B740A8" w:rsidRPr="00C73365" w:rsidRDefault="00B740A8" w:rsidP="00D1541A">
            <w:pPr>
              <w:jc w:val="right"/>
              <w:rPr>
                <w:rFonts w:asciiTheme="minorHAnsi" w:hAnsiTheme="minorHAnsi" w:cstheme="minorHAnsi"/>
                <w:color w:val="000000"/>
                <w:sz w:val="18"/>
                <w:lang w:val="fr-FR"/>
              </w:rPr>
            </w:pPr>
          </w:p>
        </w:tc>
        <w:tc>
          <w:tcPr>
            <w:tcW w:w="334" w:type="pct"/>
            <w:gridSpan w:val="2"/>
            <w:tcBorders>
              <w:top w:val="nil"/>
              <w:left w:val="nil"/>
              <w:bottom w:val="single" w:sz="4" w:space="0" w:color="7030A0"/>
              <w:right w:val="nil"/>
            </w:tcBorders>
            <w:shd w:val="clear" w:color="auto" w:fill="auto"/>
            <w:vAlign w:val="center"/>
            <w:hideMark/>
          </w:tcPr>
          <w:p w14:paraId="70750CC3"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96.924</w:t>
            </w:r>
          </w:p>
        </w:tc>
        <w:tc>
          <w:tcPr>
            <w:tcW w:w="57" w:type="pct"/>
            <w:tcBorders>
              <w:top w:val="nil"/>
              <w:left w:val="nil"/>
              <w:bottom w:val="nil"/>
              <w:right w:val="nil"/>
            </w:tcBorders>
            <w:shd w:val="clear" w:color="auto" w:fill="auto"/>
            <w:noWrap/>
            <w:vAlign w:val="center"/>
            <w:hideMark/>
          </w:tcPr>
          <w:p w14:paraId="5577854E" w14:textId="77777777" w:rsidR="00B740A8" w:rsidRPr="00C73365" w:rsidRDefault="00B740A8" w:rsidP="00D1541A">
            <w:pPr>
              <w:jc w:val="right"/>
              <w:rPr>
                <w:rFonts w:asciiTheme="minorHAnsi" w:hAnsiTheme="minorHAnsi" w:cstheme="minorHAnsi"/>
                <w:color w:val="000000"/>
                <w:sz w:val="18"/>
                <w:lang w:val="fr-FR"/>
              </w:rPr>
            </w:pPr>
          </w:p>
        </w:tc>
        <w:tc>
          <w:tcPr>
            <w:tcW w:w="328" w:type="pct"/>
            <w:tcBorders>
              <w:top w:val="nil"/>
              <w:left w:val="nil"/>
              <w:bottom w:val="single" w:sz="4" w:space="0" w:color="7030A0"/>
              <w:right w:val="nil"/>
            </w:tcBorders>
            <w:shd w:val="clear" w:color="auto" w:fill="auto"/>
            <w:vAlign w:val="center"/>
            <w:hideMark/>
          </w:tcPr>
          <w:p w14:paraId="6541F3E6" w14:textId="77777777"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32.800</w:t>
            </w:r>
          </w:p>
        </w:tc>
        <w:tc>
          <w:tcPr>
            <w:tcW w:w="324" w:type="pct"/>
            <w:tcBorders>
              <w:top w:val="nil"/>
              <w:left w:val="nil"/>
              <w:bottom w:val="single" w:sz="4" w:space="0" w:color="7030A0"/>
              <w:right w:val="nil"/>
            </w:tcBorders>
            <w:vAlign w:val="center"/>
          </w:tcPr>
          <w:p w14:paraId="2E36B458"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16.400</w:t>
            </w:r>
          </w:p>
        </w:tc>
        <w:tc>
          <w:tcPr>
            <w:tcW w:w="320" w:type="pct"/>
            <w:tcBorders>
              <w:top w:val="nil"/>
              <w:left w:val="nil"/>
              <w:bottom w:val="single" w:sz="4" w:space="0" w:color="7030A0"/>
              <w:right w:val="nil"/>
            </w:tcBorders>
            <w:vAlign w:val="center"/>
          </w:tcPr>
          <w:p w14:paraId="03B15C21" w14:textId="77777777"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49.200</w:t>
            </w:r>
          </w:p>
        </w:tc>
      </w:tr>
    </w:tbl>
    <w:p w14:paraId="35306685" w14:textId="77777777" w:rsidR="00872F5A" w:rsidRPr="00C73365" w:rsidRDefault="00872F5A" w:rsidP="001D15EF">
      <w:pPr>
        <w:pStyle w:val="ConmainL3"/>
        <w:tabs>
          <w:tab w:val="clear" w:pos="360"/>
        </w:tabs>
        <w:ind w:left="0" w:firstLine="0"/>
        <w:rPr>
          <w:rFonts w:asciiTheme="minorHAnsi" w:hAnsiTheme="minorHAnsi" w:cstheme="minorHAnsi"/>
          <w:lang w:val="fr-FR"/>
        </w:rPr>
        <w:sectPr w:rsidR="00872F5A" w:rsidRPr="00C73365" w:rsidSect="00D1541A">
          <w:pgSz w:w="16840" w:h="11900" w:orient="landscape"/>
          <w:pgMar w:top="1134" w:right="1134" w:bottom="1134" w:left="1134" w:header="720" w:footer="720" w:gutter="0"/>
          <w:cols w:space="720" w:equalWidth="0">
            <w:col w:w="9573"/>
          </w:cols>
          <w:noEndnote/>
        </w:sectPr>
      </w:pPr>
    </w:p>
    <w:p w14:paraId="31B128CB" w14:textId="77777777" w:rsidR="00B740A8" w:rsidRPr="001D15EF" w:rsidRDefault="00B740A8" w:rsidP="004572A0">
      <w:pPr>
        <w:pStyle w:val="Corpsdetexte"/>
        <w:rPr>
          <w:rFonts w:asciiTheme="minorHAnsi" w:hAnsiTheme="minorHAnsi" w:cstheme="minorHAnsi"/>
          <w:lang w:val="fr-FR"/>
        </w:rPr>
      </w:pPr>
      <w:r w:rsidRPr="001D15EF">
        <w:rPr>
          <w:rFonts w:asciiTheme="minorHAnsi" w:hAnsiTheme="minorHAnsi" w:cstheme="minorHAnsi"/>
          <w:u w:val="single"/>
          <w:lang w:val="fr-FR"/>
        </w:rPr>
        <w:lastRenderedPageBreak/>
        <w:t>Note (13):</w:t>
      </w:r>
      <w:r w:rsidRPr="001D15EF">
        <w:rPr>
          <w:rFonts w:asciiTheme="minorHAnsi" w:hAnsiTheme="minorHAnsi" w:cstheme="minorHAnsi"/>
          <w:lang w:val="fr-FR"/>
        </w:rPr>
        <w:t xml:space="preserve"> Exerçables par période mensuelle complète selon la règle suivante : X = [nombre de BSA 2014-3 attribué au bénéficiaire] multiplié par (nombre de mois écoulé à compter de la date de constitution de la Société /48.</w:t>
      </w:r>
    </w:p>
    <w:p w14:paraId="7476B29C" w14:textId="77777777" w:rsidR="00B740A8" w:rsidRPr="001D15EF" w:rsidRDefault="00B740A8" w:rsidP="004572A0">
      <w:pPr>
        <w:pStyle w:val="Corpsdetexte"/>
        <w:rPr>
          <w:rFonts w:asciiTheme="minorHAnsi" w:hAnsiTheme="minorHAnsi" w:cstheme="minorHAnsi"/>
          <w:lang w:val="fr-FR"/>
        </w:rPr>
      </w:pPr>
      <w:r w:rsidRPr="001D15EF">
        <w:rPr>
          <w:rFonts w:asciiTheme="minorHAnsi" w:hAnsiTheme="minorHAnsi" w:cstheme="minorHAnsi"/>
          <w:u w:val="single"/>
          <w:lang w:val="fr-FR"/>
        </w:rPr>
        <w:t>Note (14):</w:t>
      </w:r>
      <w:r w:rsidRPr="001D15EF">
        <w:rPr>
          <w:rFonts w:asciiTheme="minorHAnsi" w:hAnsiTheme="minorHAnsi" w:cstheme="minorHAnsi"/>
          <w:lang w:val="fr-FR"/>
        </w:rPr>
        <w:t xml:space="preserve"> 263 BSA-2014-4 sont exerçables à tout moment à compter du 11 mars 2014. 1 052 BSA-2014-4 sont exerçables exclusivement en cas d’atteinte d’objectifs qualitatifs et/ou quantitatifs, tels que fixés par le conseil d’administration du 8 </w:t>
      </w:r>
      <w:r w:rsidR="006B119E" w:rsidRPr="001D15EF">
        <w:rPr>
          <w:rFonts w:asciiTheme="minorHAnsi" w:hAnsiTheme="minorHAnsi" w:cstheme="minorHAnsi"/>
          <w:lang w:val="fr-FR"/>
        </w:rPr>
        <w:t>septembre</w:t>
      </w:r>
      <w:r w:rsidRPr="001D15EF">
        <w:rPr>
          <w:rFonts w:asciiTheme="minorHAnsi" w:hAnsiTheme="minorHAnsi" w:cstheme="minorHAnsi"/>
          <w:lang w:val="fr-FR"/>
        </w:rPr>
        <w:t xml:space="preserve"> 2014.</w:t>
      </w:r>
    </w:p>
    <w:p w14:paraId="08AEF3BA" w14:textId="77777777" w:rsidR="00B740A8" w:rsidRPr="001D15EF" w:rsidRDefault="00B740A8" w:rsidP="004572A0">
      <w:pPr>
        <w:pStyle w:val="Corpsdetexte"/>
        <w:rPr>
          <w:rFonts w:asciiTheme="minorHAnsi" w:hAnsiTheme="minorHAnsi" w:cstheme="minorHAnsi"/>
          <w:lang w:val="fr-FR"/>
        </w:rPr>
      </w:pPr>
      <w:r w:rsidRPr="001D15EF">
        <w:rPr>
          <w:rFonts w:asciiTheme="minorHAnsi" w:hAnsiTheme="minorHAnsi" w:cstheme="minorHAnsi"/>
          <w:u w:val="single"/>
          <w:lang w:val="fr-FR"/>
        </w:rPr>
        <w:t>Note (15):</w:t>
      </w:r>
      <w:r w:rsidRPr="001D15EF">
        <w:rPr>
          <w:rFonts w:asciiTheme="minorHAnsi" w:hAnsiTheme="minorHAnsi" w:cstheme="minorHAnsi"/>
          <w:lang w:val="fr-FR"/>
        </w:rPr>
        <w:t xml:space="preserve"> Exerçables par leur bénéficiaire selon les conditions d’exercice fixées par le conseil d’administration du 8 </w:t>
      </w:r>
      <w:r w:rsidR="006B119E" w:rsidRPr="001D15EF">
        <w:rPr>
          <w:rFonts w:asciiTheme="minorHAnsi" w:hAnsiTheme="minorHAnsi" w:cstheme="minorHAnsi"/>
          <w:lang w:val="fr-FR"/>
        </w:rPr>
        <w:t>septembre</w:t>
      </w:r>
      <w:r w:rsidRPr="001D15EF">
        <w:rPr>
          <w:rFonts w:asciiTheme="minorHAnsi" w:hAnsiTheme="minorHAnsi" w:cstheme="minorHAnsi"/>
          <w:lang w:val="fr-FR"/>
        </w:rPr>
        <w:t xml:space="preserve"> 2014.</w:t>
      </w:r>
    </w:p>
    <w:p w14:paraId="3AC8CD29" w14:textId="77777777" w:rsidR="00B740A8" w:rsidRPr="001D15EF" w:rsidRDefault="00B740A8" w:rsidP="00B740A8">
      <w:pPr>
        <w:pStyle w:val="Notedebasdepage"/>
        <w:rPr>
          <w:rFonts w:asciiTheme="minorHAnsi" w:hAnsiTheme="minorHAnsi" w:cstheme="minorHAnsi"/>
          <w:lang w:val="fr-FR"/>
        </w:rPr>
      </w:pPr>
      <w:r w:rsidRPr="001D15EF">
        <w:rPr>
          <w:rFonts w:asciiTheme="minorHAnsi" w:hAnsiTheme="minorHAnsi" w:cstheme="minorHAnsi"/>
          <w:u w:val="single"/>
          <w:lang w:val="fr-FR"/>
        </w:rPr>
        <w:t>Note (16):</w:t>
      </w:r>
      <w:r w:rsidRPr="001D15EF">
        <w:rPr>
          <w:rFonts w:asciiTheme="minorHAnsi" w:hAnsiTheme="minorHAnsi" w:cstheme="minorHAnsi"/>
          <w:lang w:val="fr-FR"/>
        </w:rPr>
        <w:t xml:space="preserve"> les BSA-2015-11 SANTE HOLDING SRL attribués à la Société Santé Holding SRL pourront être exercés par période mensuelle complète de participation continue de Santé Holding Srl représentée par Monsieur Antonino Ligresti, au Conseil d’administration de la Société à hauteur d’un nombre X de BSA-2015-11 SANTE HOLDING SRL calculé selon la règle suivante :</w:t>
      </w:r>
    </w:p>
    <w:p w14:paraId="44736646" w14:textId="77777777" w:rsidR="00B740A8" w:rsidRPr="001D15EF" w:rsidRDefault="00B740A8" w:rsidP="00B740A8">
      <w:pPr>
        <w:pStyle w:val="Notedebasdepage"/>
        <w:rPr>
          <w:rFonts w:asciiTheme="minorHAnsi" w:hAnsiTheme="minorHAnsi" w:cstheme="minorHAnsi"/>
          <w:lang w:val="fr-FR"/>
        </w:rPr>
      </w:pPr>
      <w:r w:rsidRPr="001D15EF">
        <w:rPr>
          <w:rFonts w:asciiTheme="minorHAnsi" w:hAnsiTheme="minorHAnsi" w:cstheme="minorHAnsi"/>
          <w:lang w:val="fr-FR"/>
        </w:rPr>
        <w:t>X= 96.924 multiplié par (nombre de mois écoulés à compter du 6 juillet 2015/36).</w:t>
      </w:r>
    </w:p>
    <w:p w14:paraId="1A27771B" w14:textId="77777777" w:rsidR="00B740A8" w:rsidRPr="001D15EF" w:rsidRDefault="00B740A8" w:rsidP="004572A0">
      <w:pPr>
        <w:pStyle w:val="Corpsdetexte"/>
        <w:rPr>
          <w:rFonts w:asciiTheme="minorHAnsi" w:hAnsiTheme="minorHAnsi" w:cstheme="minorHAnsi"/>
          <w:lang w:val="fr-FR"/>
        </w:rPr>
      </w:pPr>
      <w:r w:rsidRPr="001D15EF">
        <w:rPr>
          <w:rFonts w:asciiTheme="minorHAnsi" w:hAnsiTheme="minorHAnsi" w:cstheme="minorHAnsi"/>
          <w:u w:val="single"/>
          <w:lang w:val="fr-FR"/>
        </w:rPr>
        <w:t>Note (17)</w:t>
      </w:r>
      <w:r w:rsidRPr="001D15EF">
        <w:rPr>
          <w:rFonts w:asciiTheme="minorHAnsi" w:hAnsiTheme="minorHAnsi" w:cstheme="minorHAnsi"/>
          <w:lang w:val="fr-FR"/>
        </w:rPr>
        <w:t>: les BSA-2015-12 pourront être exercés au prorata du nombre de mois écoulés de participation continue au comité scientifique ou au conseil d’administration de la Société sur une durée totale de 48 mois, soit un nombre X de BSA calculé selon la règle suivante :</w:t>
      </w:r>
    </w:p>
    <w:p w14:paraId="7710FAF5" w14:textId="77777777" w:rsidR="00B740A8" w:rsidRPr="00C73365" w:rsidRDefault="00B740A8" w:rsidP="004572A0">
      <w:pPr>
        <w:pStyle w:val="Corpsdetexte"/>
        <w:rPr>
          <w:rFonts w:asciiTheme="minorHAnsi" w:hAnsiTheme="minorHAnsi" w:cstheme="minorHAnsi"/>
          <w:lang w:val="fr-FR"/>
        </w:rPr>
      </w:pPr>
      <w:r w:rsidRPr="001D15EF">
        <w:rPr>
          <w:rFonts w:asciiTheme="minorHAnsi" w:hAnsiTheme="minorHAnsi" w:cstheme="minorHAnsi"/>
          <w:lang w:val="fr-FR"/>
        </w:rPr>
        <w:t>X= 16.400 multiplié par (nombre de mois écoulés à compter du 4 décembre 2015/48), étant précisé que chaque bénéficiaire ne pourra exercer ses BSA qu’à l’issue d’une durée d’un an à compter de leur attribution</w:t>
      </w:r>
      <w:r w:rsidRPr="00C73365">
        <w:rPr>
          <w:rFonts w:asciiTheme="minorHAnsi" w:hAnsiTheme="minorHAnsi" w:cstheme="minorHAnsi"/>
          <w:lang w:val="fr-FR"/>
        </w:rPr>
        <w:t>.</w:t>
      </w:r>
    </w:p>
    <w:p w14:paraId="09C0BDE1" w14:textId="6BEDBEFB" w:rsidR="00505903" w:rsidRDefault="00505903" w:rsidP="00505903">
      <w:pPr>
        <w:pStyle w:val="Corpsdetexte"/>
        <w:rPr>
          <w:rFonts w:asciiTheme="minorHAnsi" w:hAnsiTheme="minorHAnsi" w:cstheme="minorHAnsi"/>
          <w:b/>
          <w:lang w:val="fr-FR"/>
        </w:rPr>
      </w:pPr>
      <w:r>
        <w:rPr>
          <w:rFonts w:asciiTheme="minorHAnsi" w:hAnsiTheme="minorHAnsi" w:cstheme="minorHAnsi"/>
          <w:b/>
          <w:lang w:val="fr-FR"/>
        </w:rPr>
        <w:t>Synthèse des instruments dilutifs</w:t>
      </w:r>
      <w:r w:rsidR="00522788">
        <w:rPr>
          <w:rFonts w:asciiTheme="minorHAnsi" w:hAnsiTheme="minorHAnsi" w:cstheme="minorHAnsi"/>
          <w:b/>
          <w:lang w:val="fr-FR"/>
        </w:rPr>
        <w:t xml:space="preserve"> au 31 mars 2018</w:t>
      </w:r>
    </w:p>
    <w:tbl>
      <w:tblPr>
        <w:tblW w:w="5000" w:type="pct"/>
        <w:tblCellMar>
          <w:left w:w="70" w:type="dxa"/>
          <w:right w:w="70" w:type="dxa"/>
        </w:tblCellMar>
        <w:tblLook w:val="04A0" w:firstRow="1" w:lastRow="0" w:firstColumn="1" w:lastColumn="0" w:noHBand="0" w:noVBand="1"/>
      </w:tblPr>
      <w:tblGrid>
        <w:gridCol w:w="7367"/>
        <w:gridCol w:w="1042"/>
        <w:gridCol w:w="161"/>
        <w:gridCol w:w="1003"/>
      </w:tblGrid>
      <w:tr w:rsidR="00505903" w:rsidRPr="00C73365" w14:paraId="1316C8B0" w14:textId="77777777" w:rsidTr="006A7073">
        <w:trPr>
          <w:trHeight w:val="532"/>
        </w:trPr>
        <w:tc>
          <w:tcPr>
            <w:tcW w:w="3848" w:type="pct"/>
            <w:tcBorders>
              <w:top w:val="single" w:sz="12" w:space="0" w:color="7030A0"/>
              <w:left w:val="nil"/>
              <w:bottom w:val="single" w:sz="8" w:space="0" w:color="7030A0"/>
              <w:right w:val="nil"/>
            </w:tcBorders>
            <w:shd w:val="clear" w:color="auto" w:fill="auto"/>
            <w:vAlign w:val="center"/>
            <w:hideMark/>
          </w:tcPr>
          <w:p w14:paraId="56A2C8CA" w14:textId="51B40247" w:rsidR="00505903" w:rsidRPr="00C73365" w:rsidRDefault="00505903" w:rsidP="00522788">
            <w:pP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Catégorie</w:t>
            </w:r>
          </w:p>
        </w:tc>
        <w:tc>
          <w:tcPr>
            <w:tcW w:w="544" w:type="pct"/>
            <w:tcBorders>
              <w:top w:val="single" w:sz="12" w:space="0" w:color="7030A0"/>
              <w:left w:val="nil"/>
              <w:bottom w:val="single" w:sz="8" w:space="0" w:color="7030A0"/>
              <w:right w:val="nil"/>
            </w:tcBorders>
            <w:shd w:val="clear" w:color="auto" w:fill="auto"/>
            <w:vAlign w:val="center"/>
            <w:hideMark/>
          </w:tcPr>
          <w:p w14:paraId="3DFDC5E0" w14:textId="5A0D83A8" w:rsidR="00505903" w:rsidRPr="00C73365" w:rsidRDefault="00505903" w:rsidP="00432828">
            <w:pPr>
              <w:jc w:val="center"/>
              <w:rPr>
                <w:rFonts w:asciiTheme="minorHAnsi" w:hAnsiTheme="minorHAnsi" w:cstheme="minorHAnsi"/>
                <w:b/>
                <w:bCs/>
                <w:color w:val="000000"/>
                <w:sz w:val="18"/>
                <w:szCs w:val="18"/>
                <w:lang w:val="fr-FR" w:eastAsia="fr-FR"/>
              </w:rPr>
            </w:pPr>
            <w:r>
              <w:rPr>
                <w:rFonts w:asciiTheme="minorHAnsi" w:hAnsiTheme="minorHAnsi" w:cstheme="minorHAnsi"/>
                <w:b/>
                <w:bCs/>
                <w:color w:val="000000"/>
                <w:sz w:val="18"/>
                <w:szCs w:val="18"/>
                <w:lang w:val="fr-FR" w:eastAsia="fr-FR"/>
              </w:rPr>
              <w:t>BSA</w:t>
            </w:r>
          </w:p>
        </w:tc>
        <w:tc>
          <w:tcPr>
            <w:tcW w:w="84" w:type="pct"/>
            <w:tcBorders>
              <w:top w:val="nil"/>
              <w:left w:val="nil"/>
              <w:bottom w:val="nil"/>
              <w:right w:val="nil"/>
            </w:tcBorders>
            <w:shd w:val="clear" w:color="auto" w:fill="auto"/>
            <w:vAlign w:val="center"/>
            <w:hideMark/>
          </w:tcPr>
          <w:p w14:paraId="4B9CE9B5" w14:textId="77777777" w:rsidR="00505903" w:rsidRPr="00C73365" w:rsidRDefault="00505903" w:rsidP="00432828">
            <w:pPr>
              <w:jc w:val="center"/>
              <w:rPr>
                <w:rFonts w:asciiTheme="minorHAnsi" w:hAnsiTheme="minorHAnsi" w:cstheme="minorHAnsi"/>
                <w:b/>
                <w:bCs/>
                <w:color w:val="000000"/>
                <w:sz w:val="18"/>
                <w:szCs w:val="18"/>
                <w:lang w:val="fr-FR" w:eastAsia="fr-FR"/>
              </w:rPr>
            </w:pPr>
          </w:p>
        </w:tc>
        <w:tc>
          <w:tcPr>
            <w:tcW w:w="524" w:type="pct"/>
            <w:tcBorders>
              <w:top w:val="single" w:sz="12" w:space="0" w:color="7030A0"/>
              <w:left w:val="nil"/>
              <w:bottom w:val="single" w:sz="8" w:space="0" w:color="7030A0"/>
              <w:right w:val="nil"/>
            </w:tcBorders>
            <w:shd w:val="clear" w:color="auto" w:fill="auto"/>
            <w:vAlign w:val="center"/>
            <w:hideMark/>
          </w:tcPr>
          <w:p w14:paraId="5DBE9B98" w14:textId="2D7C8B76" w:rsidR="00505903" w:rsidRPr="00C73365" w:rsidRDefault="00505903" w:rsidP="00432828">
            <w:pPr>
              <w:jc w:val="center"/>
              <w:rPr>
                <w:rFonts w:asciiTheme="minorHAnsi" w:hAnsiTheme="minorHAnsi" w:cstheme="minorHAnsi"/>
                <w:b/>
                <w:bCs/>
                <w:color w:val="000000"/>
                <w:sz w:val="18"/>
                <w:szCs w:val="18"/>
                <w:lang w:val="fr-FR" w:eastAsia="fr-FR"/>
              </w:rPr>
            </w:pPr>
            <w:r>
              <w:rPr>
                <w:rFonts w:asciiTheme="minorHAnsi" w:hAnsiTheme="minorHAnsi" w:cstheme="minorHAnsi"/>
                <w:b/>
                <w:bCs/>
                <w:color w:val="000000"/>
                <w:sz w:val="18"/>
                <w:szCs w:val="18"/>
                <w:lang w:val="fr-FR" w:eastAsia="fr-FR"/>
              </w:rPr>
              <w:t>BCE</w:t>
            </w:r>
          </w:p>
        </w:tc>
      </w:tr>
      <w:tr w:rsidR="00505903" w:rsidRPr="00C73365" w14:paraId="05D78076" w14:textId="77777777" w:rsidTr="006A7073">
        <w:trPr>
          <w:trHeight w:val="3"/>
        </w:trPr>
        <w:tc>
          <w:tcPr>
            <w:tcW w:w="3848" w:type="pct"/>
            <w:tcBorders>
              <w:top w:val="nil"/>
              <w:left w:val="nil"/>
              <w:bottom w:val="single" w:sz="4" w:space="0" w:color="7030A0"/>
              <w:right w:val="nil"/>
            </w:tcBorders>
            <w:shd w:val="clear" w:color="auto" w:fill="auto"/>
            <w:hideMark/>
          </w:tcPr>
          <w:p w14:paraId="6C1DC5E7" w14:textId="2A32EE6F" w:rsidR="00505903" w:rsidRPr="00C73365" w:rsidRDefault="00505903" w:rsidP="006A487E">
            <w:pPr>
              <w:rPr>
                <w:rFonts w:asciiTheme="minorHAnsi" w:hAnsiTheme="minorHAnsi" w:cstheme="minorHAnsi"/>
                <w:color w:val="000000"/>
                <w:sz w:val="18"/>
                <w:szCs w:val="18"/>
                <w:lang w:val="fr-FR" w:eastAsia="fr-FR"/>
              </w:rPr>
            </w:pPr>
            <w:r w:rsidRPr="007A0460">
              <w:rPr>
                <w:rFonts w:asciiTheme="minorHAnsi" w:eastAsiaTheme="minorHAnsi" w:hAnsiTheme="minorHAnsi" w:cstheme="minorHAnsi"/>
                <w:szCs w:val="20"/>
                <w:lang w:val="fr-FR"/>
              </w:rPr>
              <w:t>Nombre total des BSA/B</w:t>
            </w:r>
            <w:r>
              <w:rPr>
                <w:rFonts w:asciiTheme="minorHAnsi" w:eastAsiaTheme="minorHAnsi" w:hAnsiTheme="minorHAnsi" w:cstheme="minorHAnsi"/>
                <w:szCs w:val="20"/>
                <w:lang w:val="fr-FR"/>
              </w:rPr>
              <w:t xml:space="preserve">CE </w:t>
            </w:r>
            <w:r w:rsidR="006A487E">
              <w:rPr>
                <w:rFonts w:asciiTheme="minorHAnsi" w:eastAsiaTheme="minorHAnsi" w:hAnsiTheme="minorHAnsi" w:cstheme="minorHAnsi"/>
                <w:szCs w:val="20"/>
                <w:lang w:val="fr-FR"/>
              </w:rPr>
              <w:t>émis</w:t>
            </w:r>
          </w:p>
        </w:tc>
        <w:tc>
          <w:tcPr>
            <w:tcW w:w="544" w:type="pct"/>
            <w:tcBorders>
              <w:top w:val="nil"/>
              <w:left w:val="nil"/>
              <w:bottom w:val="single" w:sz="4" w:space="0" w:color="7030A0"/>
              <w:right w:val="nil"/>
            </w:tcBorders>
            <w:shd w:val="clear" w:color="auto" w:fill="auto"/>
            <w:hideMark/>
          </w:tcPr>
          <w:p w14:paraId="4D3E1113" w14:textId="0D052991" w:rsidR="006A487E" w:rsidRPr="00C73365" w:rsidRDefault="006A487E" w:rsidP="006A487E">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371 276</w:t>
            </w:r>
          </w:p>
        </w:tc>
        <w:tc>
          <w:tcPr>
            <w:tcW w:w="84" w:type="pct"/>
            <w:tcBorders>
              <w:top w:val="nil"/>
              <w:left w:val="nil"/>
              <w:bottom w:val="nil"/>
              <w:right w:val="nil"/>
            </w:tcBorders>
            <w:shd w:val="clear" w:color="auto" w:fill="auto"/>
            <w:noWrap/>
            <w:hideMark/>
          </w:tcPr>
          <w:p w14:paraId="6121DDF1" w14:textId="77777777" w:rsidR="00505903" w:rsidRPr="00C73365" w:rsidRDefault="00505903" w:rsidP="00505903">
            <w:pPr>
              <w:jc w:val="right"/>
              <w:rPr>
                <w:rFonts w:asciiTheme="minorHAnsi" w:hAnsiTheme="minorHAnsi" w:cstheme="minorHAnsi"/>
                <w:color w:val="000000"/>
                <w:sz w:val="18"/>
                <w:szCs w:val="18"/>
                <w:lang w:val="fr-FR" w:eastAsia="fr-FR"/>
              </w:rPr>
            </w:pPr>
          </w:p>
        </w:tc>
        <w:tc>
          <w:tcPr>
            <w:tcW w:w="524" w:type="pct"/>
            <w:tcBorders>
              <w:top w:val="nil"/>
              <w:left w:val="nil"/>
              <w:bottom w:val="single" w:sz="4" w:space="0" w:color="7030A0"/>
              <w:right w:val="nil"/>
            </w:tcBorders>
            <w:shd w:val="clear" w:color="auto" w:fill="auto"/>
            <w:hideMark/>
          </w:tcPr>
          <w:p w14:paraId="6B4C50CC" w14:textId="53D1DF12" w:rsidR="00505903" w:rsidRPr="00C73365" w:rsidRDefault="006A7073" w:rsidP="00505903">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749 550</w:t>
            </w:r>
          </w:p>
        </w:tc>
      </w:tr>
      <w:tr w:rsidR="006A487E" w:rsidRPr="006A487E" w14:paraId="57C9BB8B" w14:textId="77777777" w:rsidTr="006A7073">
        <w:trPr>
          <w:trHeight w:val="3"/>
        </w:trPr>
        <w:tc>
          <w:tcPr>
            <w:tcW w:w="3848" w:type="pct"/>
            <w:tcBorders>
              <w:top w:val="nil"/>
              <w:left w:val="nil"/>
              <w:bottom w:val="single" w:sz="4" w:space="0" w:color="7030A0"/>
              <w:right w:val="nil"/>
            </w:tcBorders>
            <w:shd w:val="clear" w:color="auto" w:fill="auto"/>
            <w:vAlign w:val="center"/>
          </w:tcPr>
          <w:p w14:paraId="29A8E079" w14:textId="74C6B158" w:rsidR="006A487E" w:rsidRPr="007A0460" w:rsidRDefault="006A487E" w:rsidP="006A487E">
            <w:pPr>
              <w:rPr>
                <w:rFonts w:asciiTheme="minorHAnsi" w:eastAsiaTheme="minorHAnsi" w:hAnsiTheme="minorHAnsi" w:cstheme="minorHAnsi"/>
                <w:szCs w:val="20"/>
                <w:lang w:val="fr-FR"/>
              </w:rPr>
            </w:pPr>
            <w:r w:rsidRPr="007A0460">
              <w:rPr>
                <w:rFonts w:asciiTheme="minorHAnsi" w:eastAsiaTheme="minorHAnsi" w:hAnsiTheme="minorHAnsi" w:cstheme="minorHAnsi"/>
                <w:szCs w:val="20"/>
                <w:lang w:val="fr-FR"/>
              </w:rPr>
              <w:t>Nombre total des BSA/B</w:t>
            </w:r>
            <w:r>
              <w:rPr>
                <w:rFonts w:asciiTheme="minorHAnsi" w:eastAsiaTheme="minorHAnsi" w:hAnsiTheme="minorHAnsi" w:cstheme="minorHAnsi"/>
                <w:szCs w:val="20"/>
                <w:lang w:val="fr-FR"/>
              </w:rPr>
              <w:t>CE souscrits</w:t>
            </w:r>
          </w:p>
        </w:tc>
        <w:tc>
          <w:tcPr>
            <w:tcW w:w="544" w:type="pct"/>
            <w:tcBorders>
              <w:top w:val="nil"/>
              <w:left w:val="nil"/>
              <w:bottom w:val="single" w:sz="4" w:space="0" w:color="7030A0"/>
              <w:right w:val="nil"/>
            </w:tcBorders>
            <w:shd w:val="clear" w:color="auto" w:fill="auto"/>
          </w:tcPr>
          <w:p w14:paraId="4EB83A27" w14:textId="1027F014" w:rsidR="006A487E" w:rsidRDefault="006A487E" w:rsidP="006A487E">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199 638</w:t>
            </w:r>
          </w:p>
        </w:tc>
        <w:tc>
          <w:tcPr>
            <w:tcW w:w="84" w:type="pct"/>
            <w:tcBorders>
              <w:top w:val="nil"/>
              <w:left w:val="nil"/>
              <w:bottom w:val="nil"/>
              <w:right w:val="nil"/>
            </w:tcBorders>
            <w:shd w:val="clear" w:color="auto" w:fill="auto"/>
            <w:noWrap/>
            <w:vAlign w:val="bottom"/>
          </w:tcPr>
          <w:p w14:paraId="0C9BCCDA" w14:textId="77777777" w:rsidR="006A487E" w:rsidRPr="00C73365" w:rsidRDefault="006A487E" w:rsidP="006A487E">
            <w:pPr>
              <w:jc w:val="right"/>
              <w:rPr>
                <w:rFonts w:asciiTheme="minorHAnsi" w:hAnsiTheme="minorHAnsi" w:cstheme="minorHAnsi"/>
                <w:color w:val="000000"/>
                <w:sz w:val="18"/>
                <w:szCs w:val="18"/>
                <w:lang w:val="fr-FR" w:eastAsia="fr-FR"/>
              </w:rPr>
            </w:pPr>
          </w:p>
        </w:tc>
        <w:tc>
          <w:tcPr>
            <w:tcW w:w="524" w:type="pct"/>
            <w:tcBorders>
              <w:top w:val="nil"/>
              <w:left w:val="nil"/>
              <w:bottom w:val="single" w:sz="4" w:space="0" w:color="7030A0"/>
              <w:right w:val="nil"/>
            </w:tcBorders>
            <w:shd w:val="clear" w:color="auto" w:fill="auto"/>
          </w:tcPr>
          <w:p w14:paraId="500E8323" w14:textId="61A601E1" w:rsidR="006A487E" w:rsidRDefault="006A487E" w:rsidP="006A487E">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749 550</w:t>
            </w:r>
          </w:p>
        </w:tc>
      </w:tr>
      <w:tr w:rsidR="00505903" w:rsidRPr="00C73365" w14:paraId="4C3D5A60" w14:textId="77777777" w:rsidTr="006A7073">
        <w:trPr>
          <w:trHeight w:val="3"/>
        </w:trPr>
        <w:tc>
          <w:tcPr>
            <w:tcW w:w="3848" w:type="pct"/>
            <w:tcBorders>
              <w:top w:val="nil"/>
              <w:left w:val="nil"/>
              <w:bottom w:val="single" w:sz="4" w:space="0" w:color="7030A0"/>
              <w:right w:val="nil"/>
            </w:tcBorders>
            <w:shd w:val="clear" w:color="auto" w:fill="auto"/>
            <w:vAlign w:val="center"/>
            <w:hideMark/>
          </w:tcPr>
          <w:p w14:paraId="7FE46312" w14:textId="65E4102F" w:rsidR="00505903" w:rsidRPr="00C73365" w:rsidRDefault="00505903" w:rsidP="00505903">
            <w:pPr>
              <w:rPr>
                <w:rFonts w:asciiTheme="minorHAnsi" w:hAnsiTheme="minorHAnsi" w:cstheme="minorHAnsi"/>
                <w:color w:val="000000"/>
                <w:sz w:val="18"/>
                <w:szCs w:val="18"/>
                <w:lang w:val="fr-FR" w:eastAsia="fr-FR"/>
              </w:rPr>
            </w:pPr>
            <w:r w:rsidRPr="007A0460">
              <w:rPr>
                <w:rFonts w:asciiTheme="minorHAnsi" w:eastAsiaTheme="minorHAnsi" w:hAnsiTheme="minorHAnsi" w:cstheme="minorHAnsi"/>
                <w:szCs w:val="20"/>
                <w:lang w:val="fr-FR"/>
              </w:rPr>
              <w:t>Nombre total de BSA/</w:t>
            </w:r>
            <w:r>
              <w:rPr>
                <w:rFonts w:asciiTheme="minorHAnsi" w:eastAsiaTheme="minorHAnsi" w:hAnsiTheme="minorHAnsi" w:cstheme="minorHAnsi"/>
                <w:szCs w:val="20"/>
                <w:lang w:val="fr-FR"/>
              </w:rPr>
              <w:t>BCE</w:t>
            </w:r>
            <w:r w:rsidRPr="007A0460">
              <w:rPr>
                <w:rFonts w:asciiTheme="minorHAnsi" w:eastAsiaTheme="minorHAnsi" w:hAnsiTheme="minorHAnsi" w:cstheme="minorHAnsi"/>
                <w:szCs w:val="20"/>
                <w:lang w:val="fr-FR"/>
              </w:rPr>
              <w:t xml:space="preserve"> annulés ou caducs</w:t>
            </w:r>
          </w:p>
        </w:tc>
        <w:tc>
          <w:tcPr>
            <w:tcW w:w="544" w:type="pct"/>
            <w:tcBorders>
              <w:top w:val="nil"/>
              <w:left w:val="nil"/>
              <w:bottom w:val="single" w:sz="4" w:space="0" w:color="7030A0"/>
              <w:right w:val="nil"/>
            </w:tcBorders>
            <w:shd w:val="clear" w:color="auto" w:fill="auto"/>
            <w:vAlign w:val="center"/>
            <w:hideMark/>
          </w:tcPr>
          <w:p w14:paraId="77B9ACF6" w14:textId="416DD8EB" w:rsidR="00505903" w:rsidRPr="00C73365" w:rsidRDefault="006A7073" w:rsidP="00432828">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329</w:t>
            </w:r>
          </w:p>
        </w:tc>
        <w:tc>
          <w:tcPr>
            <w:tcW w:w="84" w:type="pct"/>
            <w:tcBorders>
              <w:top w:val="nil"/>
              <w:left w:val="nil"/>
              <w:bottom w:val="nil"/>
              <w:right w:val="nil"/>
            </w:tcBorders>
            <w:shd w:val="clear" w:color="auto" w:fill="auto"/>
            <w:noWrap/>
            <w:vAlign w:val="bottom"/>
            <w:hideMark/>
          </w:tcPr>
          <w:p w14:paraId="292D4A49" w14:textId="77777777" w:rsidR="00505903" w:rsidRPr="00C73365" w:rsidRDefault="00505903" w:rsidP="00432828">
            <w:pPr>
              <w:jc w:val="right"/>
              <w:rPr>
                <w:rFonts w:asciiTheme="minorHAnsi" w:hAnsiTheme="minorHAnsi" w:cstheme="minorHAnsi"/>
                <w:color w:val="000000"/>
                <w:sz w:val="18"/>
                <w:szCs w:val="18"/>
                <w:lang w:val="fr-FR" w:eastAsia="fr-FR"/>
              </w:rPr>
            </w:pPr>
          </w:p>
        </w:tc>
        <w:tc>
          <w:tcPr>
            <w:tcW w:w="524" w:type="pct"/>
            <w:tcBorders>
              <w:top w:val="nil"/>
              <w:left w:val="nil"/>
              <w:bottom w:val="single" w:sz="4" w:space="0" w:color="7030A0"/>
              <w:right w:val="nil"/>
            </w:tcBorders>
            <w:shd w:val="clear" w:color="auto" w:fill="auto"/>
            <w:vAlign w:val="center"/>
            <w:hideMark/>
          </w:tcPr>
          <w:p w14:paraId="4987A22B" w14:textId="639EEEEB" w:rsidR="00505903" w:rsidRPr="00C73365" w:rsidRDefault="006A7073" w:rsidP="00432828">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210 574</w:t>
            </w:r>
          </w:p>
        </w:tc>
      </w:tr>
      <w:tr w:rsidR="00505903" w:rsidRPr="00C73365" w14:paraId="5B53542E" w14:textId="77777777" w:rsidTr="006A7073">
        <w:trPr>
          <w:trHeight w:val="3"/>
        </w:trPr>
        <w:tc>
          <w:tcPr>
            <w:tcW w:w="3848" w:type="pct"/>
            <w:tcBorders>
              <w:top w:val="nil"/>
              <w:left w:val="nil"/>
              <w:bottom w:val="single" w:sz="4" w:space="0" w:color="7030A0"/>
              <w:right w:val="nil"/>
            </w:tcBorders>
            <w:shd w:val="clear" w:color="auto" w:fill="auto"/>
            <w:hideMark/>
          </w:tcPr>
          <w:p w14:paraId="68C0F7A1" w14:textId="1DEEEF50" w:rsidR="00505903" w:rsidRPr="00C73365" w:rsidRDefault="00505903" w:rsidP="00505903">
            <w:pPr>
              <w:rPr>
                <w:rFonts w:asciiTheme="minorHAnsi" w:hAnsiTheme="minorHAnsi" w:cstheme="minorHAnsi"/>
                <w:color w:val="000000"/>
                <w:sz w:val="18"/>
                <w:szCs w:val="18"/>
                <w:lang w:val="fr-FR" w:eastAsia="fr-FR"/>
              </w:rPr>
            </w:pPr>
            <w:r>
              <w:rPr>
                <w:rFonts w:asciiTheme="minorHAnsi" w:eastAsiaTheme="minorHAnsi" w:hAnsiTheme="minorHAnsi" w:cstheme="minorHAnsi"/>
                <w:szCs w:val="20"/>
                <w:lang w:val="fr-FR"/>
              </w:rPr>
              <w:t>Nombre total de BSA/B</w:t>
            </w:r>
            <w:r w:rsidRPr="007A0460">
              <w:rPr>
                <w:rFonts w:asciiTheme="minorHAnsi" w:eastAsiaTheme="minorHAnsi" w:hAnsiTheme="minorHAnsi" w:cstheme="minorHAnsi"/>
                <w:szCs w:val="20"/>
                <w:lang w:val="fr-FR"/>
              </w:rPr>
              <w:t>CE exercés</w:t>
            </w:r>
          </w:p>
        </w:tc>
        <w:tc>
          <w:tcPr>
            <w:tcW w:w="544" w:type="pct"/>
            <w:tcBorders>
              <w:top w:val="nil"/>
              <w:left w:val="nil"/>
              <w:bottom w:val="single" w:sz="4" w:space="0" w:color="7030A0"/>
              <w:right w:val="nil"/>
            </w:tcBorders>
            <w:shd w:val="clear" w:color="auto" w:fill="auto"/>
            <w:vAlign w:val="center"/>
            <w:hideMark/>
          </w:tcPr>
          <w:p w14:paraId="4DE8C4C3" w14:textId="07A6BDCA" w:rsidR="00505903" w:rsidRPr="00C73365" w:rsidRDefault="006A7073" w:rsidP="00505903">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1 460</w:t>
            </w:r>
          </w:p>
        </w:tc>
        <w:tc>
          <w:tcPr>
            <w:tcW w:w="84" w:type="pct"/>
            <w:tcBorders>
              <w:top w:val="nil"/>
              <w:left w:val="nil"/>
              <w:bottom w:val="nil"/>
              <w:right w:val="nil"/>
            </w:tcBorders>
            <w:shd w:val="clear" w:color="auto" w:fill="auto"/>
            <w:noWrap/>
            <w:vAlign w:val="bottom"/>
            <w:hideMark/>
          </w:tcPr>
          <w:p w14:paraId="75D14E8B" w14:textId="77777777" w:rsidR="00505903" w:rsidRPr="00C73365" w:rsidRDefault="00505903" w:rsidP="00505903">
            <w:pPr>
              <w:jc w:val="right"/>
              <w:rPr>
                <w:rFonts w:asciiTheme="minorHAnsi" w:hAnsiTheme="minorHAnsi" w:cstheme="minorHAnsi"/>
                <w:color w:val="000000"/>
                <w:sz w:val="18"/>
                <w:szCs w:val="18"/>
                <w:lang w:val="fr-FR" w:eastAsia="fr-FR"/>
              </w:rPr>
            </w:pPr>
          </w:p>
        </w:tc>
        <w:tc>
          <w:tcPr>
            <w:tcW w:w="524" w:type="pct"/>
            <w:tcBorders>
              <w:top w:val="nil"/>
              <w:left w:val="nil"/>
              <w:bottom w:val="single" w:sz="4" w:space="0" w:color="7030A0"/>
              <w:right w:val="nil"/>
            </w:tcBorders>
            <w:shd w:val="clear" w:color="auto" w:fill="auto"/>
            <w:vAlign w:val="center"/>
          </w:tcPr>
          <w:p w14:paraId="79BF254D" w14:textId="22CBA981" w:rsidR="00505903" w:rsidRPr="00C73365" w:rsidRDefault="006A7073" w:rsidP="00505903">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4 193</w:t>
            </w:r>
          </w:p>
        </w:tc>
      </w:tr>
      <w:tr w:rsidR="00505903" w:rsidRPr="00C73365" w14:paraId="0E970B00" w14:textId="77777777" w:rsidTr="006A7073">
        <w:trPr>
          <w:trHeight w:val="3"/>
        </w:trPr>
        <w:tc>
          <w:tcPr>
            <w:tcW w:w="3848" w:type="pct"/>
            <w:tcBorders>
              <w:top w:val="nil"/>
              <w:left w:val="nil"/>
              <w:bottom w:val="single" w:sz="4" w:space="0" w:color="7030A0"/>
              <w:right w:val="nil"/>
            </w:tcBorders>
            <w:shd w:val="clear" w:color="auto" w:fill="auto"/>
            <w:hideMark/>
          </w:tcPr>
          <w:p w14:paraId="26D14373" w14:textId="3E65E8A5" w:rsidR="00505903" w:rsidRPr="00C73365" w:rsidRDefault="00505903" w:rsidP="00505903">
            <w:pPr>
              <w:rPr>
                <w:rFonts w:asciiTheme="minorHAnsi" w:hAnsiTheme="minorHAnsi" w:cstheme="minorHAnsi"/>
                <w:color w:val="000000"/>
                <w:sz w:val="18"/>
                <w:szCs w:val="18"/>
                <w:lang w:val="fr-FR" w:eastAsia="fr-FR"/>
              </w:rPr>
            </w:pPr>
            <w:r w:rsidRPr="007A0460">
              <w:rPr>
                <w:rFonts w:asciiTheme="minorHAnsi" w:eastAsiaTheme="minorHAnsi" w:hAnsiTheme="minorHAnsi" w:cstheme="minorHAnsi"/>
                <w:szCs w:val="20"/>
                <w:lang w:val="fr-FR"/>
              </w:rPr>
              <w:t>Nombre total de BSA/</w:t>
            </w:r>
            <w:r>
              <w:rPr>
                <w:rFonts w:asciiTheme="minorHAnsi" w:eastAsiaTheme="minorHAnsi" w:hAnsiTheme="minorHAnsi" w:cstheme="minorHAnsi"/>
                <w:szCs w:val="20"/>
                <w:lang w:val="fr-FR"/>
              </w:rPr>
              <w:t>BCE</w:t>
            </w:r>
            <w:r w:rsidRPr="007A0460">
              <w:rPr>
                <w:rFonts w:asciiTheme="minorHAnsi" w:eastAsiaTheme="minorHAnsi" w:hAnsiTheme="minorHAnsi" w:cstheme="minorHAnsi"/>
                <w:szCs w:val="20"/>
                <w:lang w:val="fr-FR"/>
              </w:rPr>
              <w:t xml:space="preserve"> restants</w:t>
            </w:r>
          </w:p>
        </w:tc>
        <w:tc>
          <w:tcPr>
            <w:tcW w:w="544" w:type="pct"/>
            <w:tcBorders>
              <w:top w:val="nil"/>
              <w:left w:val="nil"/>
              <w:bottom w:val="single" w:sz="4" w:space="0" w:color="7030A0"/>
              <w:right w:val="nil"/>
            </w:tcBorders>
            <w:shd w:val="clear" w:color="auto" w:fill="auto"/>
            <w:vAlign w:val="center"/>
            <w:hideMark/>
          </w:tcPr>
          <w:p w14:paraId="45156B58" w14:textId="3F8DF766" w:rsidR="00505903" w:rsidRPr="00C73365" w:rsidRDefault="006A7073" w:rsidP="00505903">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197 849</w:t>
            </w:r>
          </w:p>
        </w:tc>
        <w:tc>
          <w:tcPr>
            <w:tcW w:w="84" w:type="pct"/>
            <w:tcBorders>
              <w:top w:val="nil"/>
              <w:left w:val="nil"/>
              <w:bottom w:val="nil"/>
              <w:right w:val="nil"/>
            </w:tcBorders>
            <w:shd w:val="clear" w:color="auto" w:fill="auto"/>
            <w:noWrap/>
            <w:vAlign w:val="bottom"/>
            <w:hideMark/>
          </w:tcPr>
          <w:p w14:paraId="61C3DD44" w14:textId="77777777" w:rsidR="00505903" w:rsidRPr="00C73365" w:rsidRDefault="00505903" w:rsidP="00505903">
            <w:pPr>
              <w:jc w:val="right"/>
              <w:rPr>
                <w:rFonts w:asciiTheme="minorHAnsi" w:hAnsiTheme="minorHAnsi" w:cstheme="minorHAnsi"/>
                <w:color w:val="000000"/>
                <w:sz w:val="18"/>
                <w:szCs w:val="18"/>
                <w:lang w:val="fr-FR" w:eastAsia="fr-FR"/>
              </w:rPr>
            </w:pPr>
          </w:p>
        </w:tc>
        <w:tc>
          <w:tcPr>
            <w:tcW w:w="524" w:type="pct"/>
            <w:tcBorders>
              <w:top w:val="nil"/>
              <w:left w:val="nil"/>
              <w:bottom w:val="single" w:sz="4" w:space="0" w:color="7030A0"/>
              <w:right w:val="nil"/>
            </w:tcBorders>
            <w:shd w:val="clear" w:color="auto" w:fill="auto"/>
            <w:vAlign w:val="center"/>
            <w:hideMark/>
          </w:tcPr>
          <w:p w14:paraId="320C72CA" w14:textId="2266F3C9" w:rsidR="00505903" w:rsidRPr="00C73365" w:rsidRDefault="006A7073" w:rsidP="00505903">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534 783</w:t>
            </w:r>
          </w:p>
        </w:tc>
      </w:tr>
      <w:tr w:rsidR="00505903" w:rsidRPr="00C73365" w14:paraId="07A30F56" w14:textId="77777777" w:rsidTr="006A7073">
        <w:trPr>
          <w:trHeight w:val="3"/>
        </w:trPr>
        <w:tc>
          <w:tcPr>
            <w:tcW w:w="3848" w:type="pct"/>
            <w:tcBorders>
              <w:top w:val="nil"/>
              <w:left w:val="nil"/>
              <w:bottom w:val="single" w:sz="4" w:space="0" w:color="7030A0"/>
              <w:right w:val="nil"/>
            </w:tcBorders>
            <w:shd w:val="clear" w:color="auto" w:fill="auto"/>
            <w:noWrap/>
            <w:hideMark/>
          </w:tcPr>
          <w:p w14:paraId="538DA5BD" w14:textId="01C82C8C" w:rsidR="00505903" w:rsidRPr="00C73365" w:rsidRDefault="00505903" w:rsidP="00505903">
            <w:pPr>
              <w:rPr>
                <w:rFonts w:asciiTheme="minorHAnsi" w:hAnsiTheme="minorHAnsi" w:cstheme="minorHAnsi"/>
                <w:color w:val="000000"/>
                <w:sz w:val="18"/>
                <w:szCs w:val="18"/>
                <w:lang w:val="fr-FR" w:eastAsia="fr-FR"/>
              </w:rPr>
            </w:pPr>
            <w:r w:rsidRPr="007A0460">
              <w:rPr>
                <w:rFonts w:asciiTheme="minorHAnsi" w:eastAsiaTheme="minorHAnsi" w:hAnsiTheme="minorHAnsi" w:cstheme="minorHAnsi"/>
                <w:szCs w:val="20"/>
                <w:lang w:val="fr-FR"/>
              </w:rPr>
              <w:t>Nombre total d’actions pouvant être souscrites sur la base des BSA/</w:t>
            </w:r>
            <w:r>
              <w:rPr>
                <w:rFonts w:asciiTheme="minorHAnsi" w:eastAsiaTheme="minorHAnsi" w:hAnsiTheme="minorHAnsi" w:cstheme="minorHAnsi"/>
                <w:szCs w:val="20"/>
                <w:lang w:val="fr-FR"/>
              </w:rPr>
              <w:t>BCE</w:t>
            </w:r>
            <w:r w:rsidRPr="007A0460">
              <w:rPr>
                <w:rFonts w:asciiTheme="minorHAnsi" w:eastAsiaTheme="minorHAnsi" w:hAnsiTheme="minorHAnsi" w:cstheme="minorHAnsi"/>
                <w:szCs w:val="20"/>
                <w:lang w:val="fr-FR"/>
              </w:rPr>
              <w:t xml:space="preserve"> restants</w:t>
            </w:r>
            <w:r w:rsidR="00522788">
              <w:rPr>
                <w:rFonts w:asciiTheme="minorHAnsi" w:hAnsiTheme="minorHAnsi" w:cstheme="minorHAnsi"/>
                <w:b/>
                <w:bCs/>
                <w:color w:val="000000"/>
                <w:sz w:val="18"/>
                <w:szCs w:val="18"/>
                <w:lang w:val="fr-FR" w:eastAsia="fr-FR"/>
              </w:rPr>
              <w:t>*</w:t>
            </w:r>
          </w:p>
        </w:tc>
        <w:tc>
          <w:tcPr>
            <w:tcW w:w="544" w:type="pct"/>
            <w:tcBorders>
              <w:top w:val="nil"/>
              <w:left w:val="nil"/>
              <w:bottom w:val="single" w:sz="4" w:space="0" w:color="7030A0"/>
              <w:right w:val="nil"/>
            </w:tcBorders>
            <w:shd w:val="clear" w:color="auto" w:fill="auto"/>
            <w:vAlign w:val="center"/>
            <w:hideMark/>
          </w:tcPr>
          <w:p w14:paraId="7C1C19F9" w14:textId="069ACE60" w:rsidR="00505903" w:rsidRPr="00C73365" w:rsidRDefault="00522788" w:rsidP="00505903">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447 784</w:t>
            </w:r>
          </w:p>
        </w:tc>
        <w:tc>
          <w:tcPr>
            <w:tcW w:w="84" w:type="pct"/>
            <w:tcBorders>
              <w:top w:val="nil"/>
              <w:left w:val="nil"/>
              <w:bottom w:val="nil"/>
              <w:right w:val="nil"/>
            </w:tcBorders>
            <w:shd w:val="clear" w:color="auto" w:fill="auto"/>
            <w:noWrap/>
            <w:vAlign w:val="bottom"/>
            <w:hideMark/>
          </w:tcPr>
          <w:p w14:paraId="5D1D6F40" w14:textId="77777777" w:rsidR="00505903" w:rsidRPr="00C73365" w:rsidRDefault="00505903" w:rsidP="00505903">
            <w:pPr>
              <w:jc w:val="right"/>
              <w:rPr>
                <w:rFonts w:asciiTheme="minorHAnsi" w:hAnsiTheme="minorHAnsi" w:cstheme="minorHAnsi"/>
                <w:color w:val="000000"/>
                <w:sz w:val="18"/>
                <w:szCs w:val="18"/>
                <w:lang w:val="fr-FR" w:eastAsia="fr-FR"/>
              </w:rPr>
            </w:pPr>
          </w:p>
        </w:tc>
        <w:tc>
          <w:tcPr>
            <w:tcW w:w="524" w:type="pct"/>
            <w:tcBorders>
              <w:top w:val="nil"/>
              <w:left w:val="nil"/>
              <w:bottom w:val="single" w:sz="4" w:space="0" w:color="7030A0"/>
              <w:right w:val="nil"/>
            </w:tcBorders>
            <w:shd w:val="clear" w:color="auto" w:fill="auto"/>
            <w:vAlign w:val="center"/>
            <w:hideMark/>
          </w:tcPr>
          <w:p w14:paraId="4D41C596" w14:textId="35084FEB" w:rsidR="00505903" w:rsidRPr="00C73365" w:rsidRDefault="00522788" w:rsidP="00505903">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1 204 914</w:t>
            </w:r>
          </w:p>
        </w:tc>
      </w:tr>
    </w:tbl>
    <w:p w14:paraId="783D45DA" w14:textId="77777777" w:rsidR="006A487E" w:rsidRPr="00C73365" w:rsidRDefault="00505903" w:rsidP="006A487E">
      <w:pPr>
        <w:pStyle w:val="Notedebasdepage"/>
        <w:rPr>
          <w:rFonts w:asciiTheme="minorHAnsi" w:hAnsiTheme="minorHAnsi" w:cstheme="minorHAnsi"/>
          <w:sz w:val="18"/>
          <w:szCs w:val="18"/>
          <w:lang w:val="fr-FR"/>
        </w:rPr>
      </w:pPr>
      <w:r>
        <w:rPr>
          <w:rFonts w:asciiTheme="minorHAnsi" w:hAnsiTheme="minorHAnsi" w:cstheme="minorHAnsi"/>
          <w:b/>
          <w:lang w:val="fr-FR"/>
        </w:rPr>
        <w:t xml:space="preserve"> </w:t>
      </w:r>
      <w:r w:rsidR="006A487E" w:rsidRPr="00C73365">
        <w:rPr>
          <w:rFonts w:asciiTheme="minorHAnsi" w:hAnsiTheme="minorHAnsi" w:cstheme="minorHAnsi"/>
          <w:color w:val="000000" w:themeColor="text1"/>
          <w:sz w:val="18"/>
          <w:szCs w:val="18"/>
          <w:lang w:val="fr-FR"/>
        </w:rPr>
        <w:t>(</w:t>
      </w:r>
      <w:r w:rsidR="006A487E" w:rsidRPr="00C73365">
        <w:rPr>
          <w:rFonts w:asciiTheme="minorHAnsi" w:hAnsiTheme="minorHAnsi" w:cstheme="minorHAnsi"/>
          <w:color w:val="000000" w:themeColor="text1"/>
          <w:sz w:val="18"/>
          <w:szCs w:val="18"/>
          <w:vertAlign w:val="superscript"/>
          <w:lang w:val="fr-FR"/>
        </w:rPr>
        <w:t>*</w:t>
      </w:r>
      <w:r w:rsidR="006A487E" w:rsidRPr="00C73365">
        <w:rPr>
          <w:rFonts w:asciiTheme="minorHAnsi" w:hAnsiTheme="minorHAnsi" w:cstheme="minorHAnsi"/>
          <w:color w:val="000000" w:themeColor="text1"/>
          <w:sz w:val="18"/>
          <w:szCs w:val="18"/>
          <w:lang w:val="fr-FR"/>
        </w:rPr>
        <w:t xml:space="preserve">) </w:t>
      </w:r>
      <w:r w:rsidR="006A487E" w:rsidRPr="00C73365">
        <w:rPr>
          <w:rFonts w:asciiTheme="minorHAnsi" w:hAnsiTheme="minorHAnsi" w:cstheme="minorHAnsi"/>
          <w:sz w:val="18"/>
          <w:szCs w:val="18"/>
          <w:lang w:val="fr-FR"/>
        </w:rPr>
        <w:t>Le nombre d’actions auquel donne droit l’exercice des BSA et BCE a été multiplié par 100 pour tous les BSA et BCE émis antérieurement à la division par 100 du nominal des actions, décidée par l’assemblée générale de la Société en date du 20 février 2015.</w:t>
      </w:r>
    </w:p>
    <w:p w14:paraId="40E12A7F" w14:textId="77777777" w:rsidR="00872F5A" w:rsidRDefault="00505903" w:rsidP="00505903">
      <w:pPr>
        <w:rPr>
          <w:rFonts w:asciiTheme="minorHAnsi" w:hAnsiTheme="minorHAnsi" w:cstheme="minorHAnsi"/>
          <w:szCs w:val="22"/>
          <w:lang w:val="fr-FR"/>
        </w:rPr>
      </w:pPr>
      <w:r w:rsidRPr="00FF73A1">
        <w:rPr>
          <w:iCs/>
          <w:lang w:val="fr-FR"/>
        </w:rPr>
        <w:t>La dilution totale susceptible de résulter de l’exercice de l’intégralité des instruments financiers donnant accès au capital soit de l’exercice de la totalité des BSA/</w:t>
      </w:r>
      <w:r w:rsidR="00432828">
        <w:rPr>
          <w:iCs/>
          <w:lang w:val="fr-FR"/>
        </w:rPr>
        <w:t>BCE</w:t>
      </w:r>
      <w:r>
        <w:rPr>
          <w:iCs/>
          <w:lang w:val="fr-FR"/>
        </w:rPr>
        <w:t xml:space="preserve"> </w:t>
      </w:r>
      <w:r w:rsidRPr="00FF73A1">
        <w:rPr>
          <w:iCs/>
          <w:lang w:val="fr-FR"/>
        </w:rPr>
        <w:t xml:space="preserve">donnant droit à </w:t>
      </w:r>
      <w:r w:rsidR="00522788">
        <w:rPr>
          <w:bCs/>
          <w:iCs/>
          <w:lang w:val="fr-FR"/>
        </w:rPr>
        <w:t>1 652 698</w:t>
      </w:r>
      <w:r>
        <w:rPr>
          <w:bCs/>
          <w:iCs/>
          <w:lang w:val="fr-FR"/>
        </w:rPr>
        <w:t xml:space="preserve"> </w:t>
      </w:r>
      <w:r w:rsidRPr="00FF73A1">
        <w:rPr>
          <w:iCs/>
          <w:lang w:val="fr-FR"/>
        </w:rPr>
        <w:t xml:space="preserve">actions de la Société correspond à une dilution potentielle de </w:t>
      </w:r>
      <w:r w:rsidR="003C0551">
        <w:rPr>
          <w:iCs/>
          <w:lang w:val="fr-FR"/>
        </w:rPr>
        <w:t>14</w:t>
      </w:r>
      <w:r w:rsidR="00522788">
        <w:rPr>
          <w:iCs/>
          <w:lang w:val="fr-FR"/>
        </w:rPr>
        <w:t>,</w:t>
      </w:r>
      <w:r w:rsidR="003C0551">
        <w:rPr>
          <w:iCs/>
          <w:lang w:val="fr-FR"/>
        </w:rPr>
        <w:t>3</w:t>
      </w:r>
      <w:r>
        <w:rPr>
          <w:iCs/>
          <w:lang w:val="fr-FR"/>
        </w:rPr>
        <w:t xml:space="preserve"> </w:t>
      </w:r>
      <w:r w:rsidRPr="00B92791">
        <w:rPr>
          <w:iCs/>
          <w:lang w:val="fr-FR"/>
        </w:rPr>
        <w:t xml:space="preserve">% sur une base pleinement diluée, soit </w:t>
      </w:r>
      <w:r w:rsidR="00522788">
        <w:rPr>
          <w:rFonts w:asciiTheme="minorHAnsi" w:hAnsiTheme="minorHAnsi" w:cstheme="minorHAnsi"/>
          <w:szCs w:val="22"/>
          <w:lang w:val="fr-FR"/>
        </w:rPr>
        <w:t>11 556 929</w:t>
      </w:r>
      <w:r w:rsidRPr="00B92791">
        <w:rPr>
          <w:rFonts w:asciiTheme="minorHAnsi" w:hAnsiTheme="minorHAnsi" w:cstheme="minorHAnsi"/>
          <w:szCs w:val="22"/>
          <w:lang w:val="fr-FR"/>
        </w:rPr>
        <w:t xml:space="preserve"> actions au total</w:t>
      </w:r>
      <w:r>
        <w:rPr>
          <w:rFonts w:asciiTheme="minorHAnsi" w:hAnsiTheme="minorHAnsi" w:cstheme="minorHAnsi"/>
          <w:szCs w:val="22"/>
          <w:lang w:val="fr-FR"/>
        </w:rPr>
        <w:t>.</w:t>
      </w:r>
      <w:r w:rsidR="00522788">
        <w:rPr>
          <w:rFonts w:asciiTheme="minorHAnsi" w:hAnsiTheme="minorHAnsi" w:cstheme="minorHAnsi"/>
          <w:szCs w:val="22"/>
          <w:lang w:val="fr-FR"/>
        </w:rPr>
        <w:t xml:space="preserve"> </w:t>
      </w:r>
    </w:p>
    <w:p w14:paraId="61787307" w14:textId="1A04BC91" w:rsidR="00B740A8" w:rsidRPr="000C259A" w:rsidRDefault="00522788" w:rsidP="00B740A8">
      <w:pPr>
        <w:rPr>
          <w:iCs/>
          <w:lang w:val="fr-FR"/>
        </w:rPr>
      </w:pPr>
      <w:r>
        <w:rPr>
          <w:rFonts w:asciiTheme="minorHAnsi" w:hAnsiTheme="minorHAnsi" w:cstheme="minorHAnsi"/>
          <w:szCs w:val="22"/>
          <w:lang w:val="fr-FR"/>
        </w:rPr>
        <w:t xml:space="preserve">Il existe par ailleurs, une Equity Line mise en place avec Kepler Cheuvreux (se référer au pragraphe 10.5 du présent document de référence) </w:t>
      </w:r>
      <w:r w:rsidR="00872F5A">
        <w:rPr>
          <w:rFonts w:asciiTheme="minorHAnsi" w:hAnsiTheme="minorHAnsi" w:cstheme="minorHAnsi"/>
          <w:szCs w:val="22"/>
          <w:lang w:val="fr-FR"/>
        </w:rPr>
        <w:t>dans le cadre de laquelle</w:t>
      </w:r>
      <w:r>
        <w:rPr>
          <w:rFonts w:asciiTheme="minorHAnsi" w:hAnsiTheme="minorHAnsi" w:cstheme="minorHAnsi"/>
          <w:szCs w:val="22"/>
          <w:lang w:val="fr-FR"/>
        </w:rPr>
        <w:t xml:space="preserve"> un</w:t>
      </w:r>
      <w:r w:rsidRPr="00C73365">
        <w:rPr>
          <w:rFonts w:asciiTheme="minorHAnsi" w:hAnsiTheme="minorHAnsi" w:cstheme="minorHAnsi"/>
          <w:lang w:val="fr-FR"/>
        </w:rPr>
        <w:t xml:space="preserve"> montant </w:t>
      </w:r>
      <w:r>
        <w:rPr>
          <w:rFonts w:asciiTheme="minorHAnsi" w:hAnsiTheme="minorHAnsi" w:cstheme="minorHAnsi"/>
          <w:lang w:val="fr-FR"/>
        </w:rPr>
        <w:t>maximum</w:t>
      </w:r>
      <w:r w:rsidRPr="00C73365">
        <w:rPr>
          <w:rFonts w:asciiTheme="minorHAnsi" w:hAnsiTheme="minorHAnsi" w:cstheme="minorHAnsi"/>
          <w:lang w:val="fr-FR"/>
        </w:rPr>
        <w:t xml:space="preserve"> </w:t>
      </w:r>
      <w:r>
        <w:rPr>
          <w:rFonts w:asciiTheme="minorHAnsi" w:hAnsiTheme="minorHAnsi" w:cstheme="minorHAnsi"/>
          <w:lang w:val="fr-FR"/>
        </w:rPr>
        <w:t xml:space="preserve">de </w:t>
      </w:r>
      <w:r w:rsidRPr="00C73365">
        <w:rPr>
          <w:rFonts w:asciiTheme="minorHAnsi" w:hAnsiTheme="minorHAnsi" w:cstheme="minorHAnsi"/>
          <w:lang w:val="fr-FR"/>
        </w:rPr>
        <w:t xml:space="preserve">910 000 </w:t>
      </w:r>
      <w:r>
        <w:rPr>
          <w:rFonts w:asciiTheme="minorHAnsi" w:hAnsiTheme="minorHAnsi" w:cstheme="minorHAnsi"/>
          <w:lang w:val="fr-FR"/>
        </w:rPr>
        <w:t xml:space="preserve">actions complémentaires </w:t>
      </w:r>
      <w:r w:rsidR="000C259A">
        <w:rPr>
          <w:rFonts w:asciiTheme="minorHAnsi" w:hAnsiTheme="minorHAnsi" w:cstheme="minorHAnsi"/>
          <w:lang w:val="fr-FR"/>
        </w:rPr>
        <w:t>pourrait</w:t>
      </w:r>
      <w:r>
        <w:rPr>
          <w:rFonts w:asciiTheme="minorHAnsi" w:hAnsiTheme="minorHAnsi" w:cstheme="minorHAnsi"/>
          <w:lang w:val="fr-FR"/>
        </w:rPr>
        <w:t xml:space="preserve"> être émises</w:t>
      </w:r>
      <w:r w:rsidRPr="00C73365">
        <w:rPr>
          <w:rFonts w:asciiTheme="minorHAnsi" w:hAnsiTheme="minorHAnsi" w:cstheme="minorHAnsi"/>
          <w:lang w:val="fr-FR"/>
        </w:rPr>
        <w:t>.</w:t>
      </w:r>
      <w:r w:rsidR="00B740A8" w:rsidRPr="00C73365">
        <w:rPr>
          <w:rFonts w:asciiTheme="minorHAnsi" w:hAnsiTheme="minorHAnsi" w:cstheme="minorHAnsi"/>
          <w:color w:val="7030A0"/>
          <w:sz w:val="18"/>
          <w:szCs w:val="18"/>
          <w:lang w:val="fr-FR"/>
        </w:rPr>
        <w:br w:type="page"/>
      </w:r>
    </w:p>
    <w:p w14:paraId="64E1AE47" w14:textId="77777777" w:rsidR="00B740A8" w:rsidRPr="00C73365" w:rsidRDefault="00B740A8" w:rsidP="00B740A8">
      <w:pPr>
        <w:pStyle w:val="ConmainL3"/>
        <w:tabs>
          <w:tab w:val="clear" w:pos="360"/>
        </w:tabs>
        <w:ind w:left="0" w:firstLine="0"/>
        <w:rPr>
          <w:rFonts w:asciiTheme="minorHAnsi" w:hAnsiTheme="minorHAnsi" w:cstheme="minorHAnsi"/>
          <w:color w:val="7030A0"/>
          <w:sz w:val="18"/>
          <w:szCs w:val="18"/>
          <w:lang w:val="fr-FR"/>
        </w:rPr>
        <w:sectPr w:rsidR="00B740A8" w:rsidRPr="00C73365" w:rsidSect="00D1541A">
          <w:pgSz w:w="11900" w:h="16840"/>
          <w:pgMar w:top="1134" w:right="1134" w:bottom="1134" w:left="1134" w:header="720" w:footer="720" w:gutter="0"/>
          <w:cols w:space="720" w:equalWidth="0">
            <w:col w:w="9573"/>
          </w:cols>
          <w:noEndnote/>
        </w:sectPr>
      </w:pPr>
    </w:p>
    <w:p w14:paraId="40E7D8B9" w14:textId="77777777"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Capital autorisé</w:t>
      </w:r>
      <w:bookmarkStart w:id="1549" w:name="_Toc290245461"/>
      <w:bookmarkStart w:id="1550" w:name="_Toc290293384"/>
      <w:bookmarkStart w:id="1551" w:name="_Toc290295018"/>
      <w:bookmarkEnd w:id="1538"/>
      <w:bookmarkEnd w:id="1539"/>
      <w:bookmarkEnd w:id="1540"/>
      <w:bookmarkEnd w:id="1541"/>
      <w:bookmarkEnd w:id="1542"/>
      <w:bookmarkEnd w:id="1543"/>
      <w:bookmarkEnd w:id="1544"/>
      <w:bookmarkEnd w:id="1545"/>
      <w:bookmarkEnd w:id="1546"/>
      <w:bookmarkEnd w:id="1547"/>
      <w:r w:rsidRPr="00C73365">
        <w:rPr>
          <w:rFonts w:asciiTheme="minorHAnsi" w:hAnsiTheme="minorHAnsi" w:cstheme="minorHAnsi"/>
          <w:b/>
          <w:color w:val="7030A0"/>
          <w:lang w:val="fr-FR"/>
        </w:rPr>
        <w:t xml:space="preserve"> non émis</w:t>
      </w:r>
      <w:bookmarkStart w:id="1552" w:name="_Toc291712786"/>
      <w:bookmarkStart w:id="1553" w:name="_Toc292267624"/>
      <w:bookmarkStart w:id="1554" w:name="_Toc292876544"/>
      <w:bookmarkStart w:id="1555" w:name="_Toc293328380"/>
      <w:bookmarkStart w:id="1556" w:name="_Toc299090773"/>
      <w:bookmarkStart w:id="1557" w:name="_Toc299093072"/>
      <w:bookmarkStart w:id="1558" w:name="_Toc299094557"/>
    </w:p>
    <w:p w14:paraId="1971FF83" w14:textId="77777777" w:rsidR="00B740A8" w:rsidRPr="00C73365" w:rsidRDefault="00B740A8" w:rsidP="00B740A8">
      <w:pPr>
        <w:pStyle w:val="ConmainL3"/>
        <w:tabs>
          <w:tab w:val="clear" w:pos="360"/>
        </w:tabs>
        <w:ind w:left="0" w:firstLine="0"/>
        <w:outlineLvl w:val="9"/>
        <w:rPr>
          <w:rFonts w:asciiTheme="minorHAnsi" w:hAnsiTheme="minorHAnsi" w:cstheme="minorHAnsi"/>
          <w:b/>
          <w:color w:val="7030A0"/>
          <w:lang w:val="fr-FR"/>
        </w:rPr>
      </w:pPr>
    </w:p>
    <w:p w14:paraId="4563F0F3" w14:textId="77777777" w:rsidR="00B740A8" w:rsidRPr="00C73365" w:rsidRDefault="00B740A8" w:rsidP="00B740A8">
      <w:pPr>
        <w:pStyle w:val="ConmainL3"/>
        <w:tabs>
          <w:tab w:val="clear" w:pos="360"/>
        </w:tabs>
        <w:ind w:left="0" w:firstLine="0"/>
        <w:outlineLvl w:val="9"/>
        <w:rPr>
          <w:rFonts w:asciiTheme="minorHAnsi" w:hAnsiTheme="minorHAnsi" w:cstheme="minorHAnsi"/>
          <w:color w:val="000000"/>
          <w:lang w:val="fr-FR"/>
        </w:rPr>
      </w:pPr>
      <w:r w:rsidRPr="00C73365">
        <w:rPr>
          <w:rFonts w:asciiTheme="minorHAnsi" w:hAnsiTheme="minorHAnsi" w:cstheme="minorHAnsi"/>
          <w:color w:val="000000"/>
          <w:lang w:val="fr-FR"/>
        </w:rPr>
        <w:t xml:space="preserve">Les résolutions d’émission approuvées par les assemblées générales du 24 juin 2016 </w:t>
      </w:r>
      <w:r w:rsidRPr="00C73365">
        <w:rPr>
          <w:rFonts w:asciiTheme="minorHAnsi" w:hAnsiTheme="minorHAnsi" w:cstheme="minorHAnsi"/>
          <w:color w:val="000000"/>
          <w:lang w:val="fr-FR"/>
        </w:rPr>
        <w:br/>
        <w:t>et 23 juin 2017 statuant à titre extraordinaire sont synthétisées ci-dessous.</w:t>
      </w:r>
    </w:p>
    <w:p w14:paraId="261F6223" w14:textId="77777777" w:rsidR="00B740A8" w:rsidRPr="00C73365" w:rsidRDefault="00B740A8" w:rsidP="00B740A8">
      <w:pPr>
        <w:pStyle w:val="ConmainL3"/>
        <w:tabs>
          <w:tab w:val="clear" w:pos="360"/>
        </w:tabs>
        <w:ind w:left="0" w:firstLine="0"/>
        <w:outlineLvl w:val="9"/>
        <w:rPr>
          <w:rFonts w:asciiTheme="minorHAnsi" w:hAnsiTheme="minorHAnsi" w:cstheme="minorHAnsi"/>
          <w:b/>
          <w:color w:val="000000"/>
          <w:u w:val="single"/>
          <w:lang w:val="fr-FR"/>
        </w:rPr>
      </w:pPr>
      <w:r w:rsidRPr="00C73365">
        <w:rPr>
          <w:rFonts w:asciiTheme="minorHAnsi" w:hAnsiTheme="minorHAnsi" w:cstheme="minorHAnsi"/>
          <w:b/>
          <w:color w:val="000000"/>
          <w:u w:val="single"/>
          <w:lang w:val="fr-FR"/>
        </w:rPr>
        <w:t>Assemblée générale du 24 juin 2016</w:t>
      </w:r>
    </w:p>
    <w:tbl>
      <w:tblPr>
        <w:tblW w:w="14352" w:type="dxa"/>
        <w:tblLayout w:type="fixed"/>
        <w:tblCellMar>
          <w:left w:w="70" w:type="dxa"/>
          <w:right w:w="70" w:type="dxa"/>
        </w:tblCellMar>
        <w:tblLook w:val="04A0" w:firstRow="1" w:lastRow="0" w:firstColumn="1" w:lastColumn="0" w:noHBand="0" w:noVBand="1"/>
      </w:tblPr>
      <w:tblGrid>
        <w:gridCol w:w="6653"/>
        <w:gridCol w:w="160"/>
        <w:gridCol w:w="1407"/>
        <w:gridCol w:w="160"/>
        <w:gridCol w:w="1401"/>
        <w:gridCol w:w="160"/>
        <w:gridCol w:w="1523"/>
        <w:gridCol w:w="160"/>
        <w:gridCol w:w="2728"/>
      </w:tblGrid>
      <w:tr w:rsidR="00B740A8" w:rsidRPr="00C73365" w14:paraId="01BB43E0" w14:textId="77777777" w:rsidTr="00D1541A">
        <w:trPr>
          <w:cantSplit/>
          <w:trHeight w:val="676"/>
        </w:trPr>
        <w:tc>
          <w:tcPr>
            <w:tcW w:w="6653" w:type="dxa"/>
            <w:tcBorders>
              <w:top w:val="single" w:sz="12" w:space="0" w:color="7030A0"/>
              <w:left w:val="nil"/>
              <w:bottom w:val="single" w:sz="8" w:space="0" w:color="7030A0"/>
              <w:right w:val="nil"/>
            </w:tcBorders>
            <w:vAlign w:val="center"/>
            <w:hideMark/>
          </w:tcPr>
          <w:p w14:paraId="1D04939C" w14:textId="77777777" w:rsidR="00B740A8" w:rsidRPr="00C73365" w:rsidRDefault="00B740A8" w:rsidP="00D1541A">
            <w:pPr>
              <w:spacing w:line="256" w:lineRule="auto"/>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de la délégation ou autorisation</w:t>
            </w:r>
          </w:p>
        </w:tc>
        <w:tc>
          <w:tcPr>
            <w:tcW w:w="160" w:type="dxa"/>
            <w:vAlign w:val="center"/>
            <w:hideMark/>
          </w:tcPr>
          <w:p w14:paraId="539F98AB" w14:textId="77777777" w:rsidR="00B740A8" w:rsidRPr="00C73365" w:rsidRDefault="00B740A8" w:rsidP="00D1541A">
            <w:pPr>
              <w:rPr>
                <w:rFonts w:asciiTheme="minorHAnsi" w:hAnsiTheme="minorHAnsi" w:cstheme="minorHAnsi"/>
                <w:b/>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14:paraId="2CB0BF86" w14:textId="77777777"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 l’assemblée générale</w:t>
            </w:r>
          </w:p>
        </w:tc>
        <w:tc>
          <w:tcPr>
            <w:tcW w:w="160" w:type="dxa"/>
            <w:vAlign w:val="center"/>
            <w:hideMark/>
          </w:tcPr>
          <w:p w14:paraId="13B044A2" w14:textId="77777777" w:rsidR="00B740A8" w:rsidRPr="00C73365" w:rsidRDefault="00B740A8" w:rsidP="00D1541A">
            <w:pPr>
              <w:rPr>
                <w:rFonts w:asciiTheme="minorHAnsi" w:hAnsiTheme="minorHAnsi" w:cstheme="minorHAnsi"/>
                <w:b/>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14:paraId="6C45C33B" w14:textId="77777777"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Durée de validité/ Expiration</w:t>
            </w:r>
          </w:p>
        </w:tc>
        <w:tc>
          <w:tcPr>
            <w:tcW w:w="160" w:type="dxa"/>
            <w:vAlign w:val="center"/>
            <w:hideMark/>
          </w:tcPr>
          <w:p w14:paraId="4B5F9A1B" w14:textId="77777777" w:rsidR="00B740A8" w:rsidRPr="00C73365" w:rsidRDefault="00B740A8" w:rsidP="00D1541A">
            <w:pPr>
              <w:rPr>
                <w:rFonts w:asciiTheme="minorHAnsi" w:hAnsiTheme="minorHAnsi" w:cstheme="minorHAnsi"/>
                <w:b/>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14:paraId="2DA7D866" w14:textId="77777777"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Utilisation</w:t>
            </w:r>
          </w:p>
        </w:tc>
        <w:tc>
          <w:tcPr>
            <w:tcW w:w="160" w:type="dxa"/>
            <w:vAlign w:val="center"/>
            <w:hideMark/>
          </w:tcPr>
          <w:p w14:paraId="1B258BB0" w14:textId="77777777" w:rsidR="00B740A8" w:rsidRPr="00C73365" w:rsidRDefault="00B740A8" w:rsidP="00D1541A">
            <w:pPr>
              <w:rPr>
                <w:rFonts w:asciiTheme="minorHAnsi" w:hAnsiTheme="minorHAnsi" w:cstheme="minorHAnsi"/>
                <w:b/>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14:paraId="0A6C8F1F" w14:textId="77777777" w:rsidR="00B740A8" w:rsidRPr="00C73365" w:rsidRDefault="00B740A8" w:rsidP="00D1541A">
            <w:pPr>
              <w:spacing w:line="256" w:lineRule="auto"/>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Plafond maximum autorisé</w:t>
            </w:r>
          </w:p>
        </w:tc>
      </w:tr>
      <w:tr w:rsidR="00B740A8" w:rsidRPr="00C73365" w14:paraId="703AB2F1" w14:textId="77777777" w:rsidTr="00D1541A">
        <w:trPr>
          <w:cantSplit/>
          <w:trHeight w:val="676"/>
        </w:trPr>
        <w:tc>
          <w:tcPr>
            <w:tcW w:w="6653" w:type="dxa"/>
            <w:tcBorders>
              <w:top w:val="single" w:sz="12" w:space="0" w:color="7030A0"/>
              <w:left w:val="nil"/>
              <w:bottom w:val="single" w:sz="8" w:space="0" w:color="7030A0"/>
              <w:right w:val="nil"/>
            </w:tcBorders>
            <w:vAlign w:val="center"/>
            <w:hideMark/>
          </w:tcPr>
          <w:p w14:paraId="082790EA" w14:textId="77777777"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avec maintien du droit préférentiel de souscription, d</w:t>
            </w:r>
            <w:r w:rsidR="004572A0" w:rsidRPr="00C73365">
              <w:rPr>
                <w:rFonts w:asciiTheme="minorHAnsi" w:hAnsiTheme="minorHAnsi" w:cstheme="minorHAnsi"/>
                <w:bCs/>
                <w:color w:val="000000"/>
                <w:szCs w:val="20"/>
                <w:lang w:val="fr-FR" w:eastAsia="fr-FR"/>
              </w:rPr>
              <w:t>’</w:t>
            </w:r>
            <w:r w:rsidRPr="00C73365">
              <w:rPr>
                <w:rFonts w:asciiTheme="minorHAnsi" w:hAnsiTheme="minorHAnsi" w:cstheme="minorHAnsi"/>
                <w:bCs/>
                <w:color w:val="000000"/>
                <w:szCs w:val="20"/>
                <w:lang w:val="fr-FR" w:eastAsia="fr-FR"/>
              </w:rPr>
              <w:t>actions et/ou de valeurs mobilières donnant accès immédiatement et/ou à terme au capital de la Société (dixième résolution)</w:t>
            </w:r>
          </w:p>
        </w:tc>
        <w:tc>
          <w:tcPr>
            <w:tcW w:w="160" w:type="dxa"/>
            <w:vAlign w:val="center"/>
            <w:hideMark/>
          </w:tcPr>
          <w:p w14:paraId="70EF1EC0" w14:textId="77777777"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14:paraId="207B8FFF"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14:paraId="3F4FF5B0" w14:textId="77777777"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14:paraId="799148C9"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14:paraId="55A23DC8" w14:textId="77777777"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14:paraId="4C28F7C0"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14:paraId="5AB54F46" w14:textId="77777777"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14:paraId="78AF180D" w14:textId="77777777"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(1)</w:t>
            </w:r>
          </w:p>
        </w:tc>
      </w:tr>
      <w:tr w:rsidR="00B740A8" w:rsidRPr="00C73365" w14:paraId="1BC1E33C" w14:textId="77777777" w:rsidTr="00D1541A">
        <w:trPr>
          <w:cantSplit/>
          <w:trHeight w:val="676"/>
        </w:trPr>
        <w:tc>
          <w:tcPr>
            <w:tcW w:w="6653" w:type="dxa"/>
            <w:tcBorders>
              <w:top w:val="single" w:sz="12" w:space="0" w:color="7030A0"/>
              <w:left w:val="nil"/>
              <w:bottom w:val="single" w:sz="8" w:space="0" w:color="7030A0"/>
              <w:right w:val="nil"/>
            </w:tcBorders>
            <w:vAlign w:val="center"/>
            <w:hideMark/>
          </w:tcPr>
          <w:p w14:paraId="16EFAA16" w14:textId="77777777"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avec suppression du droit préférentiel de souscription, par une offre au public, d</w:t>
            </w:r>
            <w:r w:rsidR="004572A0" w:rsidRPr="00C73365">
              <w:rPr>
                <w:rFonts w:asciiTheme="minorHAnsi" w:hAnsiTheme="minorHAnsi" w:cstheme="minorHAnsi"/>
                <w:bCs/>
                <w:color w:val="000000"/>
                <w:szCs w:val="20"/>
                <w:lang w:val="fr-FR" w:eastAsia="fr-FR"/>
              </w:rPr>
              <w:t>’</w:t>
            </w:r>
            <w:r w:rsidRPr="00C73365">
              <w:rPr>
                <w:rFonts w:asciiTheme="minorHAnsi" w:hAnsiTheme="minorHAnsi" w:cstheme="minorHAnsi"/>
                <w:bCs/>
                <w:color w:val="000000"/>
                <w:szCs w:val="20"/>
                <w:lang w:val="fr-FR" w:eastAsia="fr-FR"/>
              </w:rPr>
              <w:t>actions et/ou de valeurs mobilières donnant accès immédiatement et/ou à terme au capital de la Société et faculté de conférer un droit de priorité (onzième résolution)</w:t>
            </w:r>
          </w:p>
        </w:tc>
        <w:tc>
          <w:tcPr>
            <w:tcW w:w="160" w:type="dxa"/>
            <w:vAlign w:val="center"/>
            <w:hideMark/>
          </w:tcPr>
          <w:p w14:paraId="035CBC14" w14:textId="77777777"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14:paraId="17A7F394"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14:paraId="213843F8" w14:textId="77777777"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14:paraId="06943459"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14:paraId="7EA8F718" w14:textId="77777777"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14:paraId="331C5FD6"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14:paraId="629561FE" w14:textId="77777777"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14:paraId="17DD3188" w14:textId="77777777"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(1)</w:t>
            </w:r>
          </w:p>
        </w:tc>
      </w:tr>
      <w:tr w:rsidR="00B740A8" w:rsidRPr="00036317" w14:paraId="7C8325B7" w14:textId="77777777" w:rsidTr="00D1541A">
        <w:trPr>
          <w:cantSplit/>
          <w:trHeight w:val="676"/>
        </w:trPr>
        <w:tc>
          <w:tcPr>
            <w:tcW w:w="6653" w:type="dxa"/>
            <w:tcBorders>
              <w:top w:val="single" w:sz="12" w:space="0" w:color="7030A0"/>
              <w:left w:val="nil"/>
              <w:bottom w:val="single" w:sz="8" w:space="0" w:color="7030A0"/>
              <w:right w:val="nil"/>
            </w:tcBorders>
            <w:vAlign w:val="center"/>
            <w:hideMark/>
          </w:tcPr>
          <w:p w14:paraId="78372A71" w14:textId="77777777"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Augmentation de capital immédiatement ou à terme par émission d’actions ordinaires ou de toutes valeurs mobilières donnant accès au capital, dans la limite de 20 % du capital social par an, avec suppression du droit préférentiel de souscription des actionnaires, par une offre à des investisseurs qualifiés ou à un cercle restreint d’investisseurs au sens du paragraphe II de l’article L. 411-2 du code monétaire et financier (placement privé) (douzième résolution)</w:t>
            </w:r>
          </w:p>
        </w:tc>
        <w:tc>
          <w:tcPr>
            <w:tcW w:w="160" w:type="dxa"/>
            <w:vAlign w:val="center"/>
            <w:hideMark/>
          </w:tcPr>
          <w:p w14:paraId="77643359" w14:textId="77777777"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14:paraId="5A12D8BD"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14:paraId="2011AACC" w14:textId="77777777"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14:paraId="60D2094F"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14:paraId="74BBF430" w14:textId="77777777"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14:paraId="6993C321"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 CA du 18 </w:t>
            </w:r>
            <w:r w:rsidR="006B119E" w:rsidRPr="00C73365">
              <w:rPr>
                <w:rFonts w:asciiTheme="minorHAnsi" w:hAnsiTheme="minorHAnsi" w:cstheme="minorHAnsi"/>
                <w:bCs/>
                <w:color w:val="000000"/>
                <w:szCs w:val="20"/>
                <w:lang w:val="fr-FR" w:eastAsia="fr-FR"/>
              </w:rPr>
              <w:t>septembre</w:t>
            </w:r>
            <w:r w:rsidRPr="00C73365">
              <w:rPr>
                <w:rFonts w:asciiTheme="minorHAnsi" w:hAnsiTheme="minorHAnsi" w:cstheme="minorHAnsi"/>
                <w:bCs/>
                <w:color w:val="000000"/>
                <w:szCs w:val="20"/>
                <w:lang w:val="fr-FR" w:eastAsia="fr-FR"/>
              </w:rPr>
              <w:t xml:space="preserve"> 2017 (émission de BSA Kepler pour un maximum de 970 000 BSA Kepler)  </w:t>
            </w:r>
          </w:p>
        </w:tc>
        <w:tc>
          <w:tcPr>
            <w:tcW w:w="160" w:type="dxa"/>
            <w:vAlign w:val="center"/>
            <w:hideMark/>
          </w:tcPr>
          <w:p w14:paraId="64B1C631" w14:textId="77777777"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14:paraId="130D33A6" w14:textId="77777777"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et dans la limite de 20% du capital social existant à la date de l’opération et par an (1)</w:t>
            </w:r>
          </w:p>
        </w:tc>
      </w:tr>
      <w:tr w:rsidR="00B740A8" w:rsidRPr="00036317" w14:paraId="1ADDE1C4" w14:textId="77777777" w:rsidTr="00D1541A">
        <w:trPr>
          <w:cantSplit/>
          <w:trHeight w:val="676"/>
        </w:trPr>
        <w:tc>
          <w:tcPr>
            <w:tcW w:w="6653" w:type="dxa"/>
            <w:tcBorders>
              <w:top w:val="single" w:sz="12" w:space="0" w:color="7030A0"/>
              <w:left w:val="nil"/>
              <w:bottom w:val="single" w:sz="8" w:space="0" w:color="7030A0"/>
              <w:right w:val="nil"/>
            </w:tcBorders>
            <w:vAlign w:val="center"/>
            <w:hideMark/>
          </w:tcPr>
          <w:p w14:paraId="4E4AE972" w14:textId="77777777"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au conseil, en cas d’émission d’actions ou de toute valeur mobilière donnant accès au capital avec suppression du droit préférentiel de souscription des actionnaires, de fixer le prix d’émission dans la limite de 10% du capital social et dans les limites prévues par l’assemblée générale (treizième résolution)</w:t>
            </w:r>
          </w:p>
        </w:tc>
        <w:tc>
          <w:tcPr>
            <w:tcW w:w="160" w:type="dxa"/>
            <w:vAlign w:val="center"/>
            <w:hideMark/>
          </w:tcPr>
          <w:p w14:paraId="2AEA9FF2" w14:textId="77777777"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14:paraId="0606BF1D"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14:paraId="4BDE77DA" w14:textId="77777777"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14:paraId="30A8C881"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14:paraId="5620BC54" w14:textId="77777777"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14:paraId="40E5B696"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14:paraId="479A6AB0" w14:textId="77777777"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14:paraId="09FBC5BF" w14:textId="77777777"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Dans la limite de 10% du capital social par an </w:t>
            </w:r>
          </w:p>
        </w:tc>
      </w:tr>
      <w:tr w:rsidR="00B740A8" w:rsidRPr="00C73365" w14:paraId="04A3EE77" w14:textId="77777777" w:rsidTr="00D1541A">
        <w:trPr>
          <w:cantSplit/>
          <w:trHeight w:val="676"/>
        </w:trPr>
        <w:tc>
          <w:tcPr>
            <w:tcW w:w="6653" w:type="dxa"/>
            <w:tcBorders>
              <w:top w:val="single" w:sz="12" w:space="0" w:color="7030A0"/>
              <w:left w:val="nil"/>
              <w:bottom w:val="single" w:sz="12" w:space="0" w:color="7030A0"/>
              <w:right w:val="nil"/>
            </w:tcBorders>
            <w:vAlign w:val="center"/>
            <w:hideMark/>
          </w:tcPr>
          <w:p w14:paraId="4D2AEA94" w14:textId="77777777"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d’actions ordinaires ou de valeurs mobilières donnant accès au capital destinées à rémunérer des apports de titres en cas d’offre publique comportant une composante d’échange initiée par la Société (quinzième résolution)</w:t>
            </w:r>
          </w:p>
        </w:tc>
        <w:tc>
          <w:tcPr>
            <w:tcW w:w="160" w:type="dxa"/>
            <w:vAlign w:val="center"/>
            <w:hideMark/>
          </w:tcPr>
          <w:p w14:paraId="02760975" w14:textId="77777777"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12" w:space="0" w:color="7030A0"/>
              <w:right w:val="nil"/>
            </w:tcBorders>
            <w:vAlign w:val="center"/>
            <w:hideMark/>
          </w:tcPr>
          <w:p w14:paraId="0555913E"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14:paraId="3EB1B2CB" w14:textId="77777777"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12" w:space="0" w:color="7030A0"/>
              <w:right w:val="nil"/>
            </w:tcBorders>
            <w:vAlign w:val="center"/>
            <w:hideMark/>
          </w:tcPr>
          <w:p w14:paraId="4224FA37"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14:paraId="1F9FF0CA" w14:textId="77777777"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12" w:space="0" w:color="7030A0"/>
              <w:right w:val="nil"/>
            </w:tcBorders>
            <w:vAlign w:val="center"/>
            <w:hideMark/>
          </w:tcPr>
          <w:p w14:paraId="55E542EF"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14:paraId="5745A496" w14:textId="77777777"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12" w:space="0" w:color="7030A0"/>
              <w:right w:val="nil"/>
            </w:tcBorders>
            <w:vAlign w:val="center"/>
            <w:hideMark/>
          </w:tcPr>
          <w:p w14:paraId="25C7FF90" w14:textId="77777777"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50 000 € (1) </w:t>
            </w:r>
          </w:p>
        </w:tc>
      </w:tr>
      <w:tr w:rsidR="00B740A8" w:rsidRPr="00036317" w14:paraId="2A805EFE" w14:textId="77777777" w:rsidTr="00D1541A">
        <w:trPr>
          <w:cantSplit/>
          <w:trHeight w:val="676"/>
        </w:trPr>
        <w:tc>
          <w:tcPr>
            <w:tcW w:w="6653" w:type="dxa"/>
            <w:tcBorders>
              <w:top w:val="single" w:sz="12" w:space="0" w:color="7030A0"/>
              <w:left w:val="nil"/>
              <w:right w:val="nil"/>
            </w:tcBorders>
            <w:vAlign w:val="center"/>
            <w:hideMark/>
          </w:tcPr>
          <w:p w14:paraId="1FFFF2B8" w14:textId="77777777"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lastRenderedPageBreak/>
              <w:t>Délégation de compétence consentie au conseil en vue d’augmenter le capital social, dans les limites de 10% du capital, pour rémunérer des apports en nature de titres de capital ou de valeurs mobilières donnant accès au capital de sociétés tierces en dehors d’une offre publique d’échange (seizième résolution)</w:t>
            </w:r>
          </w:p>
        </w:tc>
        <w:tc>
          <w:tcPr>
            <w:tcW w:w="160" w:type="dxa"/>
            <w:vAlign w:val="center"/>
            <w:hideMark/>
          </w:tcPr>
          <w:p w14:paraId="390F4C1E" w14:textId="77777777"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right w:val="nil"/>
            </w:tcBorders>
            <w:vAlign w:val="center"/>
            <w:hideMark/>
          </w:tcPr>
          <w:p w14:paraId="1AE7FB7C"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14:paraId="50A77CB1" w14:textId="77777777"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right w:val="nil"/>
            </w:tcBorders>
            <w:vAlign w:val="center"/>
            <w:hideMark/>
          </w:tcPr>
          <w:p w14:paraId="4467786E"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14:paraId="5083DD8A" w14:textId="77777777"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right w:val="nil"/>
            </w:tcBorders>
            <w:vAlign w:val="center"/>
            <w:hideMark/>
          </w:tcPr>
          <w:p w14:paraId="6DD6DF35"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14:paraId="673DD98E" w14:textId="77777777"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right w:val="nil"/>
            </w:tcBorders>
            <w:vAlign w:val="center"/>
            <w:hideMark/>
          </w:tcPr>
          <w:p w14:paraId="4AD00C9A" w14:textId="77777777"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et dans la limite de 10% du capital social par an (1)</w:t>
            </w:r>
          </w:p>
        </w:tc>
      </w:tr>
    </w:tbl>
    <w:p w14:paraId="19C8F118" w14:textId="77777777" w:rsidR="00B740A8" w:rsidRPr="00C73365" w:rsidRDefault="00B740A8" w:rsidP="00B740A8">
      <w:pPr>
        <w:rPr>
          <w:rFonts w:asciiTheme="minorHAnsi" w:hAnsiTheme="minorHAnsi" w:cstheme="minorHAnsi"/>
          <w:lang w:val="fr-FR"/>
        </w:rPr>
      </w:pPr>
    </w:p>
    <w:tbl>
      <w:tblPr>
        <w:tblW w:w="14522" w:type="dxa"/>
        <w:tblCellMar>
          <w:left w:w="70" w:type="dxa"/>
          <w:right w:w="70" w:type="dxa"/>
        </w:tblCellMar>
        <w:tblLook w:val="04A0" w:firstRow="1" w:lastRow="0" w:firstColumn="1" w:lastColumn="0" w:noHBand="0" w:noVBand="1"/>
      </w:tblPr>
      <w:tblGrid>
        <w:gridCol w:w="6663"/>
        <w:gridCol w:w="160"/>
        <w:gridCol w:w="1330"/>
        <w:gridCol w:w="159"/>
        <w:gridCol w:w="1469"/>
        <w:gridCol w:w="160"/>
        <w:gridCol w:w="1586"/>
        <w:gridCol w:w="159"/>
        <w:gridCol w:w="2836"/>
      </w:tblGrid>
      <w:tr w:rsidR="00B740A8" w:rsidRPr="00C73365" w14:paraId="0E2150FA" w14:textId="77777777" w:rsidTr="00D1541A">
        <w:trPr>
          <w:cantSplit/>
          <w:trHeight w:val="444"/>
        </w:trPr>
        <w:tc>
          <w:tcPr>
            <w:tcW w:w="6663" w:type="dxa"/>
            <w:tcBorders>
              <w:top w:val="single" w:sz="12" w:space="0" w:color="7030A0"/>
              <w:left w:val="nil"/>
              <w:bottom w:val="single" w:sz="8" w:space="0" w:color="7030A0"/>
              <w:right w:val="nil"/>
            </w:tcBorders>
            <w:vAlign w:val="center"/>
            <w:hideMark/>
          </w:tcPr>
          <w:p w14:paraId="4CD5EFBF" w14:textId="77777777"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Délégation de compétence consentie au conseil en vue d’augmenter le capital par incorporation de primes, réserves, bénéfices ou autres (dix-septième résolution)</w:t>
            </w:r>
          </w:p>
        </w:tc>
        <w:tc>
          <w:tcPr>
            <w:tcW w:w="160" w:type="dxa"/>
            <w:vAlign w:val="center"/>
            <w:hideMark/>
          </w:tcPr>
          <w:p w14:paraId="465B5DE9" w14:textId="77777777"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8" w:space="0" w:color="7030A0"/>
              <w:right w:val="nil"/>
            </w:tcBorders>
            <w:vAlign w:val="center"/>
            <w:hideMark/>
          </w:tcPr>
          <w:p w14:paraId="3A2E8039"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hideMark/>
          </w:tcPr>
          <w:p w14:paraId="24F9D69D" w14:textId="77777777"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8" w:space="0" w:color="7030A0"/>
              <w:right w:val="nil"/>
            </w:tcBorders>
            <w:vAlign w:val="center"/>
            <w:hideMark/>
          </w:tcPr>
          <w:p w14:paraId="1FAAF897"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14:paraId="7D0F6B21" w14:textId="77777777"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8" w:space="0" w:color="7030A0"/>
              <w:right w:val="nil"/>
            </w:tcBorders>
            <w:vAlign w:val="center"/>
            <w:hideMark/>
          </w:tcPr>
          <w:p w14:paraId="538DCC9E"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hideMark/>
          </w:tcPr>
          <w:p w14:paraId="01EFBE84" w14:textId="77777777"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8" w:space="0" w:color="7030A0"/>
              <w:right w:val="nil"/>
            </w:tcBorders>
            <w:vAlign w:val="center"/>
            <w:hideMark/>
          </w:tcPr>
          <w:p w14:paraId="656C7DC1" w14:textId="77777777"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w:t>
            </w:r>
          </w:p>
        </w:tc>
      </w:tr>
      <w:tr w:rsidR="00B740A8" w:rsidRPr="00036317" w14:paraId="5D84E2CE" w14:textId="77777777" w:rsidTr="00D1541A">
        <w:trPr>
          <w:cantSplit/>
          <w:trHeight w:val="613"/>
        </w:trPr>
        <w:tc>
          <w:tcPr>
            <w:tcW w:w="6663" w:type="dxa"/>
            <w:tcBorders>
              <w:top w:val="single" w:sz="12" w:space="0" w:color="7030A0"/>
              <w:left w:val="nil"/>
              <w:bottom w:val="single" w:sz="12" w:space="0" w:color="7030A0"/>
              <w:right w:val="nil"/>
            </w:tcBorders>
            <w:vAlign w:val="center"/>
            <w:hideMark/>
          </w:tcPr>
          <w:p w14:paraId="2F2C349A" w14:textId="77777777"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à donner au conseil de consentir des options de souscription ou d’achat d’actions de la Société (dix-huitième résolution)</w:t>
            </w:r>
          </w:p>
        </w:tc>
        <w:tc>
          <w:tcPr>
            <w:tcW w:w="160" w:type="dxa"/>
            <w:vAlign w:val="center"/>
            <w:hideMark/>
          </w:tcPr>
          <w:p w14:paraId="4DEAD11C" w14:textId="77777777"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8" w:space="0" w:color="7030A0"/>
              <w:right w:val="nil"/>
            </w:tcBorders>
            <w:vAlign w:val="center"/>
            <w:hideMark/>
          </w:tcPr>
          <w:p w14:paraId="4464FEDB"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hideMark/>
          </w:tcPr>
          <w:p w14:paraId="7191EFAC" w14:textId="77777777"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8" w:space="0" w:color="7030A0"/>
              <w:right w:val="nil"/>
            </w:tcBorders>
            <w:vAlign w:val="center"/>
            <w:hideMark/>
          </w:tcPr>
          <w:p w14:paraId="06A48AB4"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38 mois - 24/08/2019</w:t>
            </w:r>
          </w:p>
        </w:tc>
        <w:tc>
          <w:tcPr>
            <w:tcW w:w="160" w:type="dxa"/>
            <w:vAlign w:val="center"/>
            <w:hideMark/>
          </w:tcPr>
          <w:p w14:paraId="7169E08C" w14:textId="77777777"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8" w:space="0" w:color="7030A0"/>
              <w:right w:val="nil"/>
            </w:tcBorders>
            <w:vAlign w:val="center"/>
            <w:hideMark/>
          </w:tcPr>
          <w:p w14:paraId="05D84DCE"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hideMark/>
          </w:tcPr>
          <w:p w14:paraId="562D7D86" w14:textId="77777777"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8" w:space="0" w:color="7030A0"/>
              <w:right w:val="nil"/>
            </w:tcBorders>
            <w:vAlign w:val="center"/>
            <w:hideMark/>
          </w:tcPr>
          <w:p w14:paraId="2A356588" w14:textId="77777777"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036317" w14:paraId="6AD67F1A" w14:textId="77777777" w:rsidTr="00D1541A">
        <w:trPr>
          <w:cantSplit/>
          <w:trHeight w:val="613"/>
        </w:trPr>
        <w:tc>
          <w:tcPr>
            <w:tcW w:w="6663" w:type="dxa"/>
            <w:tcBorders>
              <w:top w:val="single" w:sz="12" w:space="0" w:color="7030A0"/>
              <w:left w:val="nil"/>
              <w:bottom w:val="single" w:sz="12" w:space="0" w:color="7030A0"/>
              <w:right w:val="nil"/>
            </w:tcBorders>
            <w:vAlign w:val="center"/>
          </w:tcPr>
          <w:p w14:paraId="4DFDCEDA" w14:textId="77777777"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à donner au conseil de procéder à l’attribution gratuite d’actions existantes ou à émettre (dix-neuvième résolution)</w:t>
            </w:r>
          </w:p>
        </w:tc>
        <w:tc>
          <w:tcPr>
            <w:tcW w:w="160" w:type="dxa"/>
            <w:vAlign w:val="center"/>
          </w:tcPr>
          <w:p w14:paraId="1CF56F1E" w14:textId="77777777"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12" w:space="0" w:color="7030A0"/>
              <w:right w:val="nil"/>
            </w:tcBorders>
            <w:vAlign w:val="center"/>
          </w:tcPr>
          <w:p w14:paraId="0EB49749"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tcPr>
          <w:p w14:paraId="411C86A3" w14:textId="77777777"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12" w:space="0" w:color="7030A0"/>
              <w:right w:val="nil"/>
            </w:tcBorders>
            <w:vAlign w:val="center"/>
          </w:tcPr>
          <w:p w14:paraId="7E66011D"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38 mois - 24/08/2019</w:t>
            </w:r>
          </w:p>
        </w:tc>
        <w:tc>
          <w:tcPr>
            <w:tcW w:w="160" w:type="dxa"/>
            <w:vAlign w:val="center"/>
          </w:tcPr>
          <w:p w14:paraId="2A45B6F0" w14:textId="77777777"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12" w:space="0" w:color="7030A0"/>
              <w:right w:val="nil"/>
            </w:tcBorders>
            <w:vAlign w:val="center"/>
          </w:tcPr>
          <w:p w14:paraId="4F87E356" w14:textId="77777777"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tcPr>
          <w:p w14:paraId="2B294564" w14:textId="77777777"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12" w:space="0" w:color="7030A0"/>
              <w:right w:val="nil"/>
            </w:tcBorders>
            <w:vAlign w:val="center"/>
          </w:tcPr>
          <w:p w14:paraId="6957DD6D" w14:textId="77777777"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bl>
    <w:p w14:paraId="41D706D9" w14:textId="77777777" w:rsidR="00B740A8" w:rsidRPr="00C73365" w:rsidRDefault="00B740A8" w:rsidP="00B740A8">
      <w:pPr>
        <w:pStyle w:val="ConmainL3"/>
        <w:tabs>
          <w:tab w:val="clear" w:pos="360"/>
        </w:tabs>
        <w:ind w:left="0" w:firstLine="0"/>
        <w:outlineLvl w:val="9"/>
        <w:rPr>
          <w:rFonts w:asciiTheme="minorHAnsi" w:hAnsiTheme="minorHAnsi" w:cstheme="minorHAnsi"/>
          <w:b/>
          <w:color w:val="000000"/>
          <w:u w:val="single"/>
          <w:lang w:val="fr-FR"/>
        </w:rPr>
      </w:pPr>
    </w:p>
    <w:p w14:paraId="712E9D27" w14:textId="77777777" w:rsidR="00B740A8" w:rsidRPr="00C73365" w:rsidRDefault="00B740A8" w:rsidP="00B740A8">
      <w:pPr>
        <w:pStyle w:val="ConmainL3"/>
        <w:tabs>
          <w:tab w:val="clear" w:pos="360"/>
        </w:tabs>
        <w:ind w:left="0" w:firstLine="0"/>
        <w:outlineLvl w:val="9"/>
        <w:rPr>
          <w:rFonts w:asciiTheme="minorHAnsi" w:hAnsiTheme="minorHAnsi" w:cstheme="minorHAnsi"/>
          <w:color w:val="000000"/>
          <w:lang w:val="fr-FR"/>
        </w:rPr>
      </w:pPr>
      <w:r w:rsidRPr="00C73365">
        <w:rPr>
          <w:rFonts w:asciiTheme="minorHAnsi" w:hAnsiTheme="minorHAnsi" w:cstheme="minorHAnsi"/>
          <w:b/>
          <w:color w:val="000000"/>
          <w:u w:val="single"/>
          <w:lang w:val="fr-FR"/>
        </w:rPr>
        <w:t>Assemblée générale du 23 juin 2017</w:t>
      </w:r>
    </w:p>
    <w:tbl>
      <w:tblPr>
        <w:tblW w:w="14475" w:type="dxa"/>
        <w:tblCellMar>
          <w:left w:w="70" w:type="dxa"/>
          <w:right w:w="70" w:type="dxa"/>
        </w:tblCellMar>
        <w:tblLook w:val="04A0" w:firstRow="1" w:lastRow="0" w:firstColumn="1" w:lastColumn="0" w:noHBand="0" w:noVBand="1"/>
      </w:tblPr>
      <w:tblGrid>
        <w:gridCol w:w="6888"/>
        <w:gridCol w:w="153"/>
        <w:gridCol w:w="1171"/>
        <w:gridCol w:w="153"/>
        <w:gridCol w:w="1516"/>
        <w:gridCol w:w="153"/>
        <w:gridCol w:w="1678"/>
        <w:gridCol w:w="153"/>
        <w:gridCol w:w="2610"/>
      </w:tblGrid>
      <w:tr w:rsidR="00B740A8" w:rsidRPr="00036317" w14:paraId="533F6A33" w14:textId="77777777"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14:paraId="244FD7B5" w14:textId="77777777"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et attribution à titre gratuit de bons de souscription de parts de créateurs d’entreprise aux salariés et dirigeants de la Société (seizième résolution).</w:t>
            </w:r>
          </w:p>
        </w:tc>
        <w:tc>
          <w:tcPr>
            <w:tcW w:w="153" w:type="dxa"/>
            <w:tcBorders>
              <w:top w:val="nil"/>
              <w:left w:val="nil"/>
              <w:bottom w:val="nil"/>
              <w:right w:val="nil"/>
            </w:tcBorders>
            <w:shd w:val="clear" w:color="auto" w:fill="auto"/>
            <w:vAlign w:val="center"/>
            <w:hideMark/>
          </w:tcPr>
          <w:p w14:paraId="2612FC05" w14:textId="77777777"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14:paraId="415B074F"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14:paraId="5C344414"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14:paraId="5C24A00F"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18 mois - 23/12/2018</w:t>
            </w:r>
          </w:p>
        </w:tc>
        <w:tc>
          <w:tcPr>
            <w:tcW w:w="153" w:type="dxa"/>
            <w:tcBorders>
              <w:top w:val="nil"/>
              <w:left w:val="nil"/>
              <w:bottom w:val="nil"/>
              <w:right w:val="nil"/>
            </w:tcBorders>
            <w:shd w:val="clear" w:color="auto" w:fill="auto"/>
            <w:vAlign w:val="center"/>
            <w:hideMark/>
          </w:tcPr>
          <w:p w14:paraId="041D55C4"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14:paraId="746FEC68"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CA du 20 novembre 2017 (émission de 150.000 BCE 2017-2, 101.061 BCE 2017-3, 67.374 BCE 2017-4, 67.374 BCE 2017-5)</w:t>
            </w:r>
          </w:p>
        </w:tc>
        <w:tc>
          <w:tcPr>
            <w:tcW w:w="153" w:type="dxa"/>
            <w:tcBorders>
              <w:top w:val="nil"/>
              <w:left w:val="nil"/>
              <w:bottom w:val="nil"/>
              <w:right w:val="nil"/>
            </w:tcBorders>
            <w:shd w:val="clear" w:color="auto" w:fill="auto"/>
            <w:vAlign w:val="center"/>
            <w:hideMark/>
          </w:tcPr>
          <w:p w14:paraId="04CD586E"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14:paraId="54C6372C" w14:textId="77777777"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036317" w14:paraId="52D6E288" w14:textId="77777777"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14:paraId="42DA10DA" w14:textId="77777777"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lastRenderedPageBreak/>
              <w:t>Emission de bons de souscription d’actions au profit de catégories de personnes définies (dix-septième résolution).</w:t>
            </w:r>
          </w:p>
        </w:tc>
        <w:tc>
          <w:tcPr>
            <w:tcW w:w="153" w:type="dxa"/>
            <w:tcBorders>
              <w:top w:val="nil"/>
              <w:left w:val="nil"/>
              <w:bottom w:val="nil"/>
              <w:right w:val="nil"/>
            </w:tcBorders>
            <w:shd w:val="clear" w:color="auto" w:fill="auto"/>
            <w:vAlign w:val="center"/>
            <w:hideMark/>
          </w:tcPr>
          <w:p w14:paraId="42C54B5E" w14:textId="77777777"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14:paraId="25E93CA0"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14:paraId="7FC79A0B"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14:paraId="276D829F"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- 23/12/2018</w:t>
            </w:r>
          </w:p>
        </w:tc>
        <w:tc>
          <w:tcPr>
            <w:tcW w:w="153" w:type="dxa"/>
            <w:tcBorders>
              <w:top w:val="nil"/>
              <w:left w:val="nil"/>
              <w:bottom w:val="nil"/>
              <w:right w:val="nil"/>
            </w:tcBorders>
            <w:shd w:val="clear" w:color="auto" w:fill="auto"/>
            <w:vAlign w:val="center"/>
            <w:hideMark/>
          </w:tcPr>
          <w:p w14:paraId="2F38D385"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14:paraId="32177347"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CA du 18 </w:t>
            </w:r>
            <w:r w:rsidR="006B119E" w:rsidRPr="00C73365">
              <w:rPr>
                <w:rFonts w:asciiTheme="minorHAnsi" w:hAnsiTheme="minorHAnsi" w:cstheme="minorHAnsi"/>
                <w:bCs/>
                <w:color w:val="000000"/>
                <w:szCs w:val="20"/>
                <w:lang w:val="fr-FR" w:eastAsia="fr-FR"/>
              </w:rPr>
              <w:t>septembre</w:t>
            </w:r>
            <w:r w:rsidRPr="00C73365">
              <w:rPr>
                <w:rFonts w:asciiTheme="minorHAnsi" w:hAnsiTheme="minorHAnsi" w:cstheme="minorHAnsi"/>
                <w:bCs/>
                <w:color w:val="000000"/>
                <w:szCs w:val="20"/>
                <w:lang w:val="fr-FR" w:eastAsia="fr-FR"/>
              </w:rPr>
              <w:t xml:space="preserve"> 2017 (émission de 16.400 BSA-2017-1) et CA du 22 janvier 2018 (émission de 49.200 BSA-2018-1)</w:t>
            </w:r>
          </w:p>
        </w:tc>
        <w:tc>
          <w:tcPr>
            <w:tcW w:w="153" w:type="dxa"/>
            <w:tcBorders>
              <w:top w:val="nil"/>
              <w:left w:val="nil"/>
              <w:bottom w:val="nil"/>
              <w:right w:val="nil"/>
            </w:tcBorders>
            <w:shd w:val="clear" w:color="auto" w:fill="auto"/>
            <w:vAlign w:val="center"/>
            <w:hideMark/>
          </w:tcPr>
          <w:p w14:paraId="48AE3C17"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14:paraId="5F441B44" w14:textId="77777777"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036317" w14:paraId="32277ECA" w14:textId="77777777"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14:paraId="18BD6BA7" w14:textId="77777777"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une augmentation de capital social dont la souscription serait réservée aux adhérents d’un plan d’épargne d’entreprise établi en application des articles L.3332-1 et suivants du Code du Travail, avec suppression du droit préférentiel de souscription au profit de ces derniers (dix-huitième résolution).</w:t>
            </w:r>
          </w:p>
        </w:tc>
        <w:tc>
          <w:tcPr>
            <w:tcW w:w="153" w:type="dxa"/>
            <w:tcBorders>
              <w:top w:val="nil"/>
              <w:left w:val="nil"/>
              <w:bottom w:val="nil"/>
              <w:right w:val="nil"/>
            </w:tcBorders>
            <w:shd w:val="clear" w:color="auto" w:fill="auto"/>
            <w:vAlign w:val="center"/>
            <w:hideMark/>
          </w:tcPr>
          <w:p w14:paraId="35D79CE4" w14:textId="77777777"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14:paraId="2BAAABA6"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14:paraId="4D87CA75"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14:paraId="6D6ECB75"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- 23/08/2019</w:t>
            </w:r>
          </w:p>
        </w:tc>
        <w:tc>
          <w:tcPr>
            <w:tcW w:w="153" w:type="dxa"/>
            <w:tcBorders>
              <w:top w:val="nil"/>
              <w:left w:val="nil"/>
              <w:bottom w:val="nil"/>
              <w:right w:val="nil"/>
            </w:tcBorders>
            <w:shd w:val="clear" w:color="auto" w:fill="auto"/>
            <w:vAlign w:val="center"/>
            <w:hideMark/>
          </w:tcPr>
          <w:p w14:paraId="4E80495B"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14:paraId="2A8AF9A8"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14:paraId="30987474"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14:paraId="63B8587C" w14:textId="77777777"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036317" w14:paraId="0A3F9FA5" w14:textId="77777777" w:rsidTr="00D1541A">
        <w:trPr>
          <w:cantSplit/>
          <w:trHeight w:val="700"/>
        </w:trPr>
        <w:tc>
          <w:tcPr>
            <w:tcW w:w="6888" w:type="dxa"/>
            <w:tcBorders>
              <w:top w:val="single" w:sz="12" w:space="0" w:color="7030A0"/>
              <w:left w:val="nil"/>
              <w:bottom w:val="single" w:sz="8" w:space="0" w:color="7030A0"/>
              <w:right w:val="nil"/>
            </w:tcBorders>
            <w:shd w:val="clear" w:color="auto" w:fill="auto"/>
            <w:vAlign w:val="center"/>
            <w:hideMark/>
          </w:tcPr>
          <w:p w14:paraId="3037DAE2" w14:textId="77777777"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la réduction du capital par annulation des actions auto détenues par la Société (dix-neuvième résolution).</w:t>
            </w:r>
          </w:p>
        </w:tc>
        <w:tc>
          <w:tcPr>
            <w:tcW w:w="153" w:type="dxa"/>
            <w:tcBorders>
              <w:top w:val="nil"/>
              <w:left w:val="nil"/>
              <w:bottom w:val="nil"/>
              <w:right w:val="nil"/>
            </w:tcBorders>
            <w:shd w:val="clear" w:color="auto" w:fill="auto"/>
            <w:vAlign w:val="center"/>
            <w:hideMark/>
          </w:tcPr>
          <w:p w14:paraId="69D4DF39" w14:textId="77777777"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8" w:space="0" w:color="7030A0"/>
              <w:right w:val="nil"/>
            </w:tcBorders>
            <w:shd w:val="clear" w:color="auto" w:fill="auto"/>
            <w:vAlign w:val="center"/>
            <w:hideMark/>
          </w:tcPr>
          <w:p w14:paraId="268486B8"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14:paraId="453101BB"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8" w:space="0" w:color="7030A0"/>
              <w:right w:val="nil"/>
            </w:tcBorders>
            <w:shd w:val="clear" w:color="auto" w:fill="auto"/>
            <w:vAlign w:val="center"/>
            <w:hideMark/>
          </w:tcPr>
          <w:p w14:paraId="041C4851"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 mois - 23/06/2019</w:t>
            </w:r>
          </w:p>
        </w:tc>
        <w:tc>
          <w:tcPr>
            <w:tcW w:w="153" w:type="dxa"/>
            <w:tcBorders>
              <w:top w:val="nil"/>
              <w:left w:val="nil"/>
              <w:bottom w:val="nil"/>
              <w:right w:val="nil"/>
            </w:tcBorders>
            <w:shd w:val="clear" w:color="auto" w:fill="auto"/>
            <w:vAlign w:val="center"/>
            <w:hideMark/>
          </w:tcPr>
          <w:p w14:paraId="4C0EF5AF"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8" w:space="0" w:color="7030A0"/>
              <w:right w:val="nil"/>
            </w:tcBorders>
            <w:shd w:val="clear" w:color="auto" w:fill="auto"/>
            <w:vAlign w:val="center"/>
            <w:hideMark/>
          </w:tcPr>
          <w:p w14:paraId="74F4257E"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14:paraId="554F5AB1"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8" w:space="0" w:color="7030A0"/>
              <w:right w:val="nil"/>
            </w:tcBorders>
            <w:shd w:val="clear" w:color="auto" w:fill="auto"/>
            <w:vAlign w:val="center"/>
            <w:hideMark/>
          </w:tcPr>
          <w:p w14:paraId="60572552" w14:textId="77777777"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Dans la limite de 10% du capital social par an </w:t>
            </w:r>
          </w:p>
        </w:tc>
      </w:tr>
      <w:tr w:rsidR="00B740A8" w:rsidRPr="00C73365" w14:paraId="43E02FC6" w14:textId="77777777" w:rsidTr="00D1541A">
        <w:trPr>
          <w:cantSplit/>
          <w:trHeight w:val="700"/>
        </w:trPr>
        <w:tc>
          <w:tcPr>
            <w:tcW w:w="6888" w:type="dxa"/>
            <w:tcBorders>
              <w:top w:val="single" w:sz="12" w:space="0" w:color="7030A0"/>
              <w:left w:val="nil"/>
              <w:bottom w:val="single" w:sz="8" w:space="0" w:color="7030A0"/>
              <w:right w:val="nil"/>
            </w:tcBorders>
            <w:shd w:val="clear" w:color="auto" w:fill="auto"/>
            <w:vAlign w:val="center"/>
            <w:hideMark/>
          </w:tcPr>
          <w:p w14:paraId="45DC4326" w14:textId="77777777"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une augmentation de capital par émission d’actions, de titres de capital donnant accès à d’autres titres de capital ou donnant droit à l’attribution de titres de créance et/ou de valeurs mobilières donnant accès à des titres de capital, avec suppression du droit préférentiel de souscription au profit d’une catégorie de personnes (vingtième résolution).</w:t>
            </w:r>
          </w:p>
        </w:tc>
        <w:tc>
          <w:tcPr>
            <w:tcW w:w="153" w:type="dxa"/>
            <w:tcBorders>
              <w:top w:val="nil"/>
              <w:left w:val="nil"/>
              <w:bottom w:val="nil"/>
              <w:right w:val="nil"/>
            </w:tcBorders>
            <w:shd w:val="clear" w:color="auto" w:fill="auto"/>
            <w:vAlign w:val="center"/>
            <w:hideMark/>
          </w:tcPr>
          <w:p w14:paraId="2E08EA36" w14:textId="77777777"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8" w:space="0" w:color="7030A0"/>
              <w:right w:val="nil"/>
            </w:tcBorders>
            <w:shd w:val="clear" w:color="auto" w:fill="auto"/>
            <w:vAlign w:val="center"/>
            <w:hideMark/>
          </w:tcPr>
          <w:p w14:paraId="270DF88E"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14:paraId="5E051861"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8" w:space="0" w:color="7030A0"/>
              <w:right w:val="nil"/>
            </w:tcBorders>
            <w:shd w:val="clear" w:color="auto" w:fill="auto"/>
            <w:vAlign w:val="center"/>
            <w:hideMark/>
          </w:tcPr>
          <w:p w14:paraId="0485354E"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- 23/06/2019</w:t>
            </w:r>
          </w:p>
        </w:tc>
        <w:tc>
          <w:tcPr>
            <w:tcW w:w="153" w:type="dxa"/>
            <w:tcBorders>
              <w:top w:val="nil"/>
              <w:left w:val="nil"/>
              <w:bottom w:val="nil"/>
              <w:right w:val="nil"/>
            </w:tcBorders>
            <w:shd w:val="clear" w:color="auto" w:fill="auto"/>
            <w:vAlign w:val="center"/>
            <w:hideMark/>
          </w:tcPr>
          <w:p w14:paraId="055AB2AD"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8" w:space="0" w:color="7030A0"/>
              <w:right w:val="nil"/>
            </w:tcBorders>
            <w:shd w:val="clear" w:color="auto" w:fill="auto"/>
            <w:vAlign w:val="center"/>
            <w:hideMark/>
          </w:tcPr>
          <w:p w14:paraId="03855950"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14:paraId="2DC009F6"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14:paraId="3B4AE92D" w14:textId="77777777"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50 000 € (1) </w:t>
            </w:r>
          </w:p>
        </w:tc>
      </w:tr>
      <w:tr w:rsidR="00B740A8" w:rsidRPr="00C73365" w14:paraId="37902151" w14:textId="77777777"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14:paraId="0A95A343" w14:textId="77777777"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d’une augmentation du nombre de titres à émettre en cas d’augmentation de capital avec ou sans droit préférentiel de souscription (vingt-et-unième résolution).</w:t>
            </w:r>
          </w:p>
        </w:tc>
        <w:tc>
          <w:tcPr>
            <w:tcW w:w="153" w:type="dxa"/>
            <w:tcBorders>
              <w:top w:val="nil"/>
              <w:left w:val="nil"/>
              <w:bottom w:val="nil"/>
              <w:right w:val="nil"/>
            </w:tcBorders>
            <w:shd w:val="clear" w:color="auto" w:fill="auto"/>
            <w:vAlign w:val="center"/>
            <w:hideMark/>
          </w:tcPr>
          <w:p w14:paraId="29A4FD22" w14:textId="77777777"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14:paraId="398FD93E"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14:paraId="5E8DFBD5"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14:paraId="08031231"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- 23/06/2019</w:t>
            </w:r>
          </w:p>
        </w:tc>
        <w:tc>
          <w:tcPr>
            <w:tcW w:w="153" w:type="dxa"/>
            <w:tcBorders>
              <w:top w:val="nil"/>
              <w:left w:val="nil"/>
              <w:bottom w:val="nil"/>
              <w:right w:val="nil"/>
            </w:tcBorders>
            <w:shd w:val="clear" w:color="auto" w:fill="auto"/>
            <w:vAlign w:val="center"/>
            <w:hideMark/>
          </w:tcPr>
          <w:p w14:paraId="78DDA648"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14:paraId="6A41191B" w14:textId="77777777"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14:paraId="5E6D11E0" w14:textId="77777777"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14:paraId="19539BE3" w14:textId="77777777"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15% de l’émission initiale </w:t>
            </w:r>
          </w:p>
        </w:tc>
      </w:tr>
    </w:tbl>
    <w:p w14:paraId="2F5AEFB4" w14:textId="77777777" w:rsidR="00B740A8" w:rsidRPr="00C73365" w:rsidRDefault="00B740A8" w:rsidP="00B740A8">
      <w:pPr>
        <w:pStyle w:val="Paragraphedeliste"/>
        <w:widowControl w:val="0"/>
        <w:autoSpaceDE w:val="0"/>
        <w:autoSpaceDN w:val="0"/>
        <w:adjustRightInd w:val="0"/>
        <w:spacing w:before="27"/>
        <w:ind w:left="0"/>
        <w:rPr>
          <w:rFonts w:asciiTheme="minorHAnsi" w:hAnsiTheme="minorHAnsi" w:cstheme="minorHAnsi"/>
          <w:sz w:val="18"/>
          <w:szCs w:val="18"/>
          <w:lang w:val="fr-FR"/>
        </w:rPr>
      </w:pPr>
    </w:p>
    <w:p w14:paraId="4EAA869C" w14:textId="77777777" w:rsidR="00B740A8" w:rsidRPr="00C73365" w:rsidRDefault="00B740A8" w:rsidP="00B740A8">
      <w:pPr>
        <w:pStyle w:val="Paragraphedeliste"/>
        <w:widowControl w:val="0"/>
        <w:autoSpaceDE w:val="0"/>
        <w:autoSpaceDN w:val="0"/>
        <w:adjustRightInd w:val="0"/>
        <w:spacing w:before="27"/>
        <w:ind w:left="0"/>
        <w:rPr>
          <w:rFonts w:asciiTheme="minorHAnsi" w:hAnsiTheme="minorHAnsi" w:cstheme="minorHAnsi"/>
          <w:sz w:val="18"/>
          <w:szCs w:val="18"/>
          <w:lang w:val="fr-FR"/>
        </w:rPr>
      </w:pPr>
      <w:r w:rsidRPr="00C73365">
        <w:rPr>
          <w:rFonts w:asciiTheme="minorHAnsi" w:hAnsiTheme="minorHAnsi" w:cstheme="minorHAnsi"/>
          <w:sz w:val="18"/>
          <w:szCs w:val="18"/>
          <w:lang w:val="fr-FR"/>
        </w:rPr>
        <w:t>1) Ces montants ne sont pas cumulatifs. Le plafond cumulé maximum autorisé par l’assemblée générale des augmentations de capital en valeur nominale est fixé à 50 000 €. Le montant nominal global des émissions de valeurs mobilières représentatives de créances sur la Société donnant accès au capital de la Société ne pourra pour sa part, excéder 50 000 000 € ;</w:t>
      </w:r>
    </w:p>
    <w:p w14:paraId="7EFAEDAD" w14:textId="77777777" w:rsidR="00B740A8" w:rsidRPr="00C73365" w:rsidRDefault="00B740A8" w:rsidP="00B740A8">
      <w:pPr>
        <w:pStyle w:val="Paragraphedeliste"/>
        <w:ind w:left="0"/>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(2) 5 % du capital social de la Société, sur une base pleinement diluée (c’est-à-dire en supposant exercés l’ensemble des valeurs mobilières et autres droits donnant accès au capital de la Société en circulation) au jour de la décision du conseil d’administration de consentir les options de souscription ou d’achat d’actions, d’attribuer les actions gratuites ou d’attribuer les bons de souscription de parts de créateur d’entreprise ou les bons de souscription d’actions. </w:t>
      </w:r>
    </w:p>
    <w:p w14:paraId="7B7D1256" w14:textId="77777777" w:rsidR="00B740A8" w:rsidRPr="00C73365" w:rsidRDefault="00B740A8" w:rsidP="00B740A8">
      <w:pPr>
        <w:widowControl w:val="0"/>
        <w:autoSpaceDE w:val="0"/>
        <w:autoSpaceDN w:val="0"/>
        <w:adjustRightInd w:val="0"/>
        <w:rPr>
          <w:rFonts w:asciiTheme="minorHAnsi" w:hAnsiTheme="minorHAnsi" w:cstheme="minorHAnsi"/>
          <w:sz w:val="18"/>
          <w:szCs w:val="18"/>
          <w:lang w:val="fr-FR"/>
        </w:rPr>
      </w:pPr>
    </w:p>
    <w:p w14:paraId="08355D44" w14:textId="77777777" w:rsidR="00B740A8" w:rsidRPr="00C73365" w:rsidRDefault="00B740A8" w:rsidP="004572A0">
      <w:pPr>
        <w:pStyle w:val="Corpsdetexte"/>
        <w:rPr>
          <w:rFonts w:asciiTheme="minorHAnsi" w:hAnsiTheme="minorHAnsi" w:cstheme="minorHAnsi"/>
          <w:lang w:val="fr-FR"/>
        </w:rPr>
        <w:sectPr w:rsidR="00B740A8" w:rsidRPr="00C73365" w:rsidSect="00D1541A">
          <w:pgSz w:w="16840" w:h="11900" w:orient="landscape"/>
          <w:pgMar w:top="1134" w:right="1134" w:bottom="1134" w:left="1134" w:header="720" w:footer="720" w:gutter="0"/>
          <w:cols w:space="720" w:equalWidth="0">
            <w:col w:w="9352"/>
          </w:cols>
          <w:noEndnote/>
        </w:sectPr>
      </w:pPr>
    </w:p>
    <w:p w14:paraId="02479C19" w14:textId="77777777" w:rsidR="00B740A8" w:rsidRPr="00C73365" w:rsidRDefault="00B740A8" w:rsidP="00434C49">
      <w:pPr>
        <w:pStyle w:val="ConmainL3"/>
        <w:keepNext w:val="0"/>
        <w:widowControl w:val="0"/>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Informations sur le capital de la Société faisant l’objet d’une option ou d’un accord conditionnel ou inconditionnel prévoyant de le placer sous option</w:t>
      </w:r>
    </w:p>
    <w:p w14:paraId="103C2CDF"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Néant.</w:t>
      </w:r>
    </w:p>
    <w:p w14:paraId="6F922CEB" w14:textId="77777777" w:rsidR="00B740A8" w:rsidRPr="00C73365" w:rsidRDefault="00B740A8" w:rsidP="00434C49">
      <w:pPr>
        <w:pStyle w:val="ConmainL3"/>
        <w:keepNext w:val="0"/>
        <w:widowControl w:val="0"/>
        <w:numPr>
          <w:ilvl w:val="2"/>
          <w:numId w:val="102"/>
        </w:numPr>
        <w:ind w:left="1440"/>
        <w:rPr>
          <w:rFonts w:asciiTheme="minorHAnsi" w:hAnsiTheme="minorHAnsi" w:cstheme="minorHAnsi"/>
          <w:b/>
          <w:color w:val="7030A0"/>
          <w:lang w:val="fr-FR"/>
        </w:rPr>
      </w:pPr>
      <w:bookmarkStart w:id="1559" w:name="_Toc290245462"/>
      <w:bookmarkStart w:id="1560" w:name="_Toc290293385"/>
      <w:bookmarkStart w:id="1561" w:name="_Toc290295019"/>
      <w:bookmarkStart w:id="1562" w:name="_Toc291712787"/>
      <w:bookmarkStart w:id="1563" w:name="_Toc292267625"/>
      <w:bookmarkStart w:id="1564" w:name="_Toc292876545"/>
      <w:bookmarkStart w:id="1565" w:name="_Toc293328381"/>
      <w:bookmarkStart w:id="1566" w:name="_Toc299090774"/>
      <w:bookmarkStart w:id="1567" w:name="_Toc299093073"/>
      <w:bookmarkStart w:id="1568" w:name="_Toc299094558"/>
      <w:r w:rsidRPr="00C73365">
        <w:rPr>
          <w:rFonts w:asciiTheme="minorHAnsi" w:hAnsiTheme="minorHAnsi" w:cstheme="minorHAnsi"/>
          <w:b/>
          <w:color w:val="7030A0"/>
          <w:lang w:val="fr-FR"/>
        </w:rPr>
        <w:t>Historique du capital social</w:t>
      </w:r>
      <w:bookmarkStart w:id="1569" w:name="_Toc290245463"/>
      <w:bookmarkStart w:id="1570" w:name="_Toc290293386"/>
      <w:bookmarkStart w:id="1571" w:name="_Toc290295020"/>
      <w:bookmarkStart w:id="1572" w:name="_Toc291712788"/>
      <w:bookmarkStart w:id="1573" w:name="_Toc292267626"/>
      <w:bookmarkStart w:id="1574" w:name="_Toc292876546"/>
      <w:bookmarkStart w:id="1575" w:name="_Toc293328382"/>
      <w:bookmarkStart w:id="1576" w:name="_Toc299090775"/>
      <w:bookmarkStart w:id="1577" w:name="_Toc299093074"/>
      <w:bookmarkStart w:id="1578" w:name="_Toc299094559"/>
      <w:bookmarkEnd w:id="1559"/>
      <w:bookmarkEnd w:id="1560"/>
      <w:bookmarkEnd w:id="1561"/>
      <w:bookmarkEnd w:id="1562"/>
      <w:bookmarkEnd w:id="1563"/>
      <w:bookmarkEnd w:id="1564"/>
      <w:bookmarkEnd w:id="1565"/>
      <w:bookmarkEnd w:id="1566"/>
      <w:bookmarkEnd w:id="1567"/>
      <w:bookmarkEnd w:id="1568"/>
    </w:p>
    <w:p w14:paraId="55D23645"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Evolution </w:t>
      </w:r>
      <w:bookmarkEnd w:id="1569"/>
      <w:bookmarkEnd w:id="1570"/>
      <w:bookmarkEnd w:id="1571"/>
      <w:bookmarkEnd w:id="1572"/>
      <w:bookmarkEnd w:id="1573"/>
      <w:bookmarkEnd w:id="1574"/>
      <w:bookmarkEnd w:id="1575"/>
      <w:bookmarkEnd w:id="1576"/>
      <w:bookmarkEnd w:id="1577"/>
      <w:bookmarkEnd w:id="1578"/>
      <w:r w:rsidRPr="00C73365">
        <w:rPr>
          <w:rFonts w:asciiTheme="minorHAnsi" w:hAnsiTheme="minorHAnsi" w:cstheme="minorHAnsi"/>
          <w:b/>
          <w:lang w:val="fr-FR"/>
        </w:rPr>
        <w:t>historique :</w:t>
      </w:r>
    </w:p>
    <w:tbl>
      <w:tblPr>
        <w:tblW w:w="10206" w:type="dxa"/>
        <w:tblCellMar>
          <w:left w:w="70" w:type="dxa"/>
          <w:right w:w="70" w:type="dxa"/>
        </w:tblCellMar>
        <w:tblLook w:val="04A0" w:firstRow="1" w:lastRow="0" w:firstColumn="1" w:lastColumn="0" w:noHBand="0" w:noVBand="1"/>
      </w:tblPr>
      <w:tblGrid>
        <w:gridCol w:w="1427"/>
        <w:gridCol w:w="160"/>
        <w:gridCol w:w="1189"/>
        <w:gridCol w:w="146"/>
        <w:gridCol w:w="869"/>
        <w:gridCol w:w="146"/>
        <w:gridCol w:w="961"/>
        <w:gridCol w:w="146"/>
        <w:gridCol w:w="870"/>
        <w:gridCol w:w="160"/>
        <w:gridCol w:w="992"/>
        <w:gridCol w:w="181"/>
        <w:gridCol w:w="845"/>
        <w:gridCol w:w="146"/>
        <w:gridCol w:w="869"/>
        <w:gridCol w:w="146"/>
        <w:gridCol w:w="953"/>
      </w:tblGrid>
      <w:tr w:rsidR="00B740A8" w:rsidRPr="00036317" w14:paraId="70914659" w14:textId="77777777" w:rsidTr="00D1541A">
        <w:trPr>
          <w:trHeight w:val="1383"/>
        </w:trPr>
        <w:tc>
          <w:tcPr>
            <w:tcW w:w="1427" w:type="dxa"/>
            <w:tcBorders>
              <w:top w:val="single" w:sz="12" w:space="0" w:color="7030A0"/>
              <w:left w:val="nil"/>
              <w:bottom w:val="single" w:sz="8" w:space="0" w:color="7030A0"/>
              <w:right w:val="nil"/>
            </w:tcBorders>
            <w:shd w:val="clear" w:color="auto" w:fill="auto"/>
            <w:vAlign w:val="center"/>
            <w:hideMark/>
          </w:tcPr>
          <w:bookmarkEnd w:id="1549"/>
          <w:bookmarkEnd w:id="1550"/>
          <w:bookmarkEnd w:id="1551"/>
          <w:bookmarkEnd w:id="1552"/>
          <w:bookmarkEnd w:id="1553"/>
          <w:bookmarkEnd w:id="1554"/>
          <w:bookmarkEnd w:id="1555"/>
          <w:bookmarkEnd w:id="1556"/>
          <w:bookmarkEnd w:id="1557"/>
          <w:bookmarkEnd w:id="1558"/>
          <w:p w14:paraId="7C78DB7D"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Date des émissions</w:t>
            </w:r>
          </w:p>
        </w:tc>
        <w:tc>
          <w:tcPr>
            <w:tcW w:w="160" w:type="dxa"/>
            <w:tcBorders>
              <w:top w:val="nil"/>
              <w:left w:val="nil"/>
              <w:bottom w:val="nil"/>
              <w:right w:val="nil"/>
            </w:tcBorders>
            <w:shd w:val="clear" w:color="auto" w:fill="auto"/>
            <w:vAlign w:val="center"/>
            <w:hideMark/>
          </w:tcPr>
          <w:p w14:paraId="4389563A"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1189" w:type="dxa"/>
            <w:tcBorders>
              <w:top w:val="single" w:sz="12" w:space="0" w:color="7030A0"/>
              <w:left w:val="nil"/>
              <w:bottom w:val="single" w:sz="8" w:space="0" w:color="7030A0"/>
              <w:right w:val="nil"/>
            </w:tcBorders>
            <w:shd w:val="clear" w:color="auto" w:fill="auto"/>
            <w:vAlign w:val="center"/>
            <w:hideMark/>
          </w:tcPr>
          <w:p w14:paraId="06BDC6D1"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Nature des opérations</w:t>
            </w:r>
          </w:p>
        </w:tc>
        <w:tc>
          <w:tcPr>
            <w:tcW w:w="146" w:type="dxa"/>
            <w:tcBorders>
              <w:top w:val="nil"/>
              <w:left w:val="nil"/>
              <w:bottom w:val="nil"/>
              <w:right w:val="nil"/>
            </w:tcBorders>
            <w:shd w:val="clear" w:color="auto" w:fill="auto"/>
            <w:vAlign w:val="center"/>
            <w:hideMark/>
          </w:tcPr>
          <w:p w14:paraId="3980E7F0"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69" w:type="dxa"/>
            <w:tcBorders>
              <w:top w:val="single" w:sz="12" w:space="0" w:color="7030A0"/>
              <w:left w:val="nil"/>
              <w:bottom w:val="single" w:sz="8" w:space="0" w:color="7030A0"/>
              <w:right w:val="nil"/>
            </w:tcBorders>
            <w:shd w:val="clear" w:color="auto" w:fill="auto"/>
            <w:vAlign w:val="center"/>
            <w:hideMark/>
          </w:tcPr>
          <w:p w14:paraId="214EBBE1"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Capital</w:t>
            </w:r>
          </w:p>
        </w:tc>
        <w:tc>
          <w:tcPr>
            <w:tcW w:w="146" w:type="dxa"/>
            <w:tcBorders>
              <w:top w:val="nil"/>
              <w:left w:val="nil"/>
              <w:bottom w:val="nil"/>
              <w:right w:val="nil"/>
            </w:tcBorders>
            <w:shd w:val="clear" w:color="auto" w:fill="auto"/>
            <w:vAlign w:val="center"/>
            <w:hideMark/>
          </w:tcPr>
          <w:p w14:paraId="648A6A79"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61" w:type="dxa"/>
            <w:tcBorders>
              <w:top w:val="single" w:sz="12" w:space="0" w:color="7030A0"/>
              <w:left w:val="nil"/>
              <w:bottom w:val="single" w:sz="8" w:space="0" w:color="7030A0"/>
              <w:right w:val="nil"/>
            </w:tcBorders>
            <w:shd w:val="clear" w:color="auto" w:fill="auto"/>
            <w:vAlign w:val="center"/>
            <w:hideMark/>
          </w:tcPr>
          <w:p w14:paraId="2D238597"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Prime d’émission</w:t>
            </w:r>
          </w:p>
        </w:tc>
        <w:tc>
          <w:tcPr>
            <w:tcW w:w="146" w:type="dxa"/>
            <w:tcBorders>
              <w:top w:val="nil"/>
              <w:left w:val="nil"/>
              <w:bottom w:val="nil"/>
              <w:right w:val="nil"/>
            </w:tcBorders>
            <w:shd w:val="clear" w:color="auto" w:fill="auto"/>
            <w:vAlign w:val="center"/>
            <w:hideMark/>
          </w:tcPr>
          <w:p w14:paraId="46C8BF55"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70" w:type="dxa"/>
            <w:tcBorders>
              <w:top w:val="single" w:sz="12" w:space="0" w:color="7030A0"/>
              <w:left w:val="nil"/>
              <w:bottom w:val="single" w:sz="8" w:space="0" w:color="7030A0"/>
              <w:right w:val="nil"/>
            </w:tcBorders>
            <w:shd w:val="clear" w:color="auto" w:fill="auto"/>
            <w:vAlign w:val="center"/>
            <w:hideMark/>
          </w:tcPr>
          <w:p w14:paraId="1E60F2AD"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Nombre d’actions créées</w:t>
            </w:r>
          </w:p>
        </w:tc>
        <w:tc>
          <w:tcPr>
            <w:tcW w:w="160" w:type="dxa"/>
            <w:tcBorders>
              <w:top w:val="nil"/>
              <w:left w:val="nil"/>
              <w:bottom w:val="nil"/>
              <w:right w:val="nil"/>
            </w:tcBorders>
            <w:shd w:val="clear" w:color="auto" w:fill="auto"/>
            <w:vAlign w:val="center"/>
            <w:hideMark/>
          </w:tcPr>
          <w:p w14:paraId="084AA5AD"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92" w:type="dxa"/>
            <w:tcBorders>
              <w:top w:val="single" w:sz="12" w:space="0" w:color="7030A0"/>
              <w:left w:val="nil"/>
              <w:bottom w:val="single" w:sz="8" w:space="0" w:color="7030A0"/>
              <w:right w:val="nil"/>
            </w:tcBorders>
            <w:shd w:val="clear" w:color="auto" w:fill="auto"/>
            <w:vAlign w:val="center"/>
            <w:hideMark/>
          </w:tcPr>
          <w:p w14:paraId="32C2949F"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Nombre d’actions cumulés composant le capital social après opération</w:t>
            </w:r>
          </w:p>
        </w:tc>
        <w:tc>
          <w:tcPr>
            <w:tcW w:w="181" w:type="dxa"/>
            <w:tcBorders>
              <w:top w:val="nil"/>
              <w:left w:val="nil"/>
              <w:bottom w:val="nil"/>
              <w:right w:val="nil"/>
            </w:tcBorders>
            <w:shd w:val="clear" w:color="auto" w:fill="auto"/>
            <w:vAlign w:val="center"/>
            <w:hideMark/>
          </w:tcPr>
          <w:p w14:paraId="6DCC6922"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45" w:type="dxa"/>
            <w:tcBorders>
              <w:top w:val="single" w:sz="12" w:space="0" w:color="7030A0"/>
              <w:left w:val="nil"/>
              <w:bottom w:val="single" w:sz="8" w:space="0" w:color="7030A0"/>
              <w:right w:val="nil"/>
            </w:tcBorders>
            <w:shd w:val="clear" w:color="auto" w:fill="auto"/>
            <w:vAlign w:val="center"/>
            <w:hideMark/>
          </w:tcPr>
          <w:p w14:paraId="55EA213B"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Valeur nominale</w:t>
            </w:r>
          </w:p>
        </w:tc>
        <w:tc>
          <w:tcPr>
            <w:tcW w:w="146" w:type="dxa"/>
            <w:tcBorders>
              <w:top w:val="nil"/>
              <w:left w:val="nil"/>
              <w:bottom w:val="nil"/>
              <w:right w:val="nil"/>
            </w:tcBorders>
            <w:shd w:val="clear" w:color="auto" w:fill="auto"/>
            <w:vAlign w:val="center"/>
            <w:hideMark/>
          </w:tcPr>
          <w:p w14:paraId="1209B339"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69" w:type="dxa"/>
            <w:tcBorders>
              <w:top w:val="single" w:sz="12" w:space="0" w:color="7030A0"/>
              <w:left w:val="nil"/>
              <w:bottom w:val="single" w:sz="8" w:space="0" w:color="7030A0"/>
              <w:right w:val="nil"/>
            </w:tcBorders>
            <w:shd w:val="clear" w:color="auto" w:fill="auto"/>
            <w:vAlign w:val="center"/>
            <w:hideMark/>
          </w:tcPr>
          <w:p w14:paraId="192D3C92"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Capital social</w:t>
            </w:r>
          </w:p>
        </w:tc>
        <w:tc>
          <w:tcPr>
            <w:tcW w:w="146" w:type="dxa"/>
            <w:tcBorders>
              <w:top w:val="nil"/>
              <w:left w:val="nil"/>
              <w:bottom w:val="nil"/>
              <w:right w:val="nil"/>
            </w:tcBorders>
            <w:shd w:val="clear" w:color="auto" w:fill="auto"/>
            <w:vAlign w:val="center"/>
            <w:hideMark/>
          </w:tcPr>
          <w:p w14:paraId="77795C9E" w14:textId="77777777"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53" w:type="dxa"/>
            <w:tcBorders>
              <w:top w:val="single" w:sz="12" w:space="0" w:color="7030A0"/>
              <w:left w:val="nil"/>
              <w:bottom w:val="single" w:sz="8" w:space="0" w:color="7030A0"/>
              <w:right w:val="nil"/>
            </w:tcBorders>
            <w:shd w:val="clear" w:color="auto" w:fill="auto"/>
            <w:vAlign w:val="center"/>
            <w:hideMark/>
          </w:tcPr>
          <w:p w14:paraId="05E3005B" w14:textId="77777777"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Prix d’émission par action avant division par 100 de la valeur nominale des actions</w:t>
            </w:r>
          </w:p>
        </w:tc>
      </w:tr>
      <w:tr w:rsidR="00B740A8" w:rsidRPr="00C73365" w14:paraId="27F66936" w14:textId="77777777" w:rsidTr="00D1541A">
        <w:trPr>
          <w:trHeight w:val="1766"/>
        </w:trPr>
        <w:tc>
          <w:tcPr>
            <w:tcW w:w="1427" w:type="dxa"/>
            <w:tcBorders>
              <w:top w:val="nil"/>
              <w:left w:val="nil"/>
              <w:bottom w:val="single" w:sz="8" w:space="0" w:color="7030A0"/>
              <w:right w:val="nil"/>
            </w:tcBorders>
            <w:shd w:val="clear" w:color="auto" w:fill="auto"/>
            <w:vAlign w:val="center"/>
            <w:hideMark/>
          </w:tcPr>
          <w:p w14:paraId="1044B361"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25.04.2014</w:t>
            </w:r>
          </w:p>
        </w:tc>
        <w:tc>
          <w:tcPr>
            <w:tcW w:w="160" w:type="dxa"/>
            <w:tcBorders>
              <w:top w:val="nil"/>
              <w:left w:val="nil"/>
              <w:bottom w:val="nil"/>
              <w:right w:val="nil"/>
            </w:tcBorders>
            <w:shd w:val="clear" w:color="auto" w:fill="auto"/>
            <w:noWrap/>
            <w:vAlign w:val="center"/>
            <w:hideMark/>
          </w:tcPr>
          <w:p w14:paraId="36A24B3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14:paraId="0B2C0839"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apport en nature et augmentation de capital par émission d’actions nouvelles</w:t>
            </w:r>
          </w:p>
        </w:tc>
        <w:tc>
          <w:tcPr>
            <w:tcW w:w="146" w:type="dxa"/>
            <w:tcBorders>
              <w:top w:val="nil"/>
              <w:left w:val="nil"/>
              <w:bottom w:val="nil"/>
              <w:right w:val="nil"/>
            </w:tcBorders>
            <w:shd w:val="clear" w:color="auto" w:fill="auto"/>
            <w:noWrap/>
            <w:vAlign w:val="center"/>
            <w:hideMark/>
          </w:tcPr>
          <w:p w14:paraId="33442FA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59E3DA73"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46" w:type="dxa"/>
            <w:tcBorders>
              <w:top w:val="nil"/>
              <w:left w:val="nil"/>
              <w:bottom w:val="nil"/>
              <w:right w:val="nil"/>
            </w:tcBorders>
            <w:shd w:val="clear" w:color="auto" w:fill="auto"/>
            <w:noWrap/>
            <w:vAlign w:val="center"/>
            <w:hideMark/>
          </w:tcPr>
          <w:p w14:paraId="15405901"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14:paraId="60A32C11"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32.467.755</w:t>
            </w:r>
          </w:p>
        </w:tc>
        <w:tc>
          <w:tcPr>
            <w:tcW w:w="146" w:type="dxa"/>
            <w:tcBorders>
              <w:top w:val="nil"/>
              <w:left w:val="nil"/>
              <w:bottom w:val="nil"/>
              <w:right w:val="nil"/>
            </w:tcBorders>
            <w:shd w:val="clear" w:color="auto" w:fill="auto"/>
            <w:noWrap/>
            <w:vAlign w:val="center"/>
            <w:hideMark/>
          </w:tcPr>
          <w:p w14:paraId="6EDE648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14:paraId="64C4C0BA"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25.995</w:t>
            </w:r>
          </w:p>
        </w:tc>
        <w:tc>
          <w:tcPr>
            <w:tcW w:w="160" w:type="dxa"/>
            <w:tcBorders>
              <w:top w:val="nil"/>
              <w:left w:val="nil"/>
              <w:bottom w:val="nil"/>
              <w:right w:val="nil"/>
            </w:tcBorders>
            <w:shd w:val="clear" w:color="auto" w:fill="auto"/>
            <w:noWrap/>
            <w:vAlign w:val="center"/>
            <w:hideMark/>
          </w:tcPr>
          <w:p w14:paraId="6B22864B"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14:paraId="2686EC93"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81" w:type="dxa"/>
            <w:tcBorders>
              <w:top w:val="nil"/>
              <w:left w:val="nil"/>
              <w:bottom w:val="single" w:sz="8" w:space="0" w:color="7030A0"/>
              <w:right w:val="nil"/>
            </w:tcBorders>
            <w:shd w:val="clear" w:color="auto" w:fill="auto"/>
            <w:vAlign w:val="center"/>
            <w:hideMark/>
          </w:tcPr>
          <w:p w14:paraId="212E8AA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14:paraId="118A4545"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14:paraId="009033A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371B0B8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46" w:type="dxa"/>
            <w:tcBorders>
              <w:top w:val="nil"/>
              <w:left w:val="nil"/>
              <w:bottom w:val="nil"/>
              <w:right w:val="nil"/>
            </w:tcBorders>
            <w:shd w:val="clear" w:color="auto" w:fill="auto"/>
            <w:noWrap/>
            <w:vAlign w:val="center"/>
            <w:hideMark/>
          </w:tcPr>
          <w:p w14:paraId="2395FCC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14:paraId="4C104A12"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1.250 €</w:t>
            </w:r>
          </w:p>
        </w:tc>
      </w:tr>
      <w:tr w:rsidR="00B740A8" w:rsidRPr="00C73365" w14:paraId="6AFF84A5" w14:textId="77777777" w:rsidTr="00D1541A">
        <w:trPr>
          <w:trHeight w:val="396"/>
        </w:trPr>
        <w:tc>
          <w:tcPr>
            <w:tcW w:w="1427" w:type="dxa"/>
            <w:tcBorders>
              <w:top w:val="nil"/>
              <w:left w:val="nil"/>
              <w:bottom w:val="single" w:sz="8" w:space="0" w:color="7030A0"/>
              <w:right w:val="nil"/>
            </w:tcBorders>
            <w:shd w:val="clear" w:color="auto" w:fill="auto"/>
            <w:vAlign w:val="center"/>
            <w:hideMark/>
          </w:tcPr>
          <w:p w14:paraId="332EF9D6"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21.05.2014</w:t>
            </w:r>
          </w:p>
        </w:tc>
        <w:tc>
          <w:tcPr>
            <w:tcW w:w="160" w:type="dxa"/>
            <w:tcBorders>
              <w:top w:val="nil"/>
              <w:left w:val="nil"/>
              <w:bottom w:val="nil"/>
              <w:right w:val="nil"/>
            </w:tcBorders>
            <w:shd w:val="clear" w:color="auto" w:fill="auto"/>
            <w:noWrap/>
            <w:vAlign w:val="center"/>
            <w:hideMark/>
          </w:tcPr>
          <w:p w14:paraId="2C33499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14:paraId="469A8D81"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BCE-2014-3</w:t>
            </w:r>
          </w:p>
        </w:tc>
        <w:tc>
          <w:tcPr>
            <w:tcW w:w="146" w:type="dxa"/>
            <w:tcBorders>
              <w:top w:val="nil"/>
              <w:left w:val="nil"/>
              <w:bottom w:val="nil"/>
              <w:right w:val="nil"/>
            </w:tcBorders>
            <w:shd w:val="clear" w:color="auto" w:fill="auto"/>
            <w:noWrap/>
            <w:vAlign w:val="center"/>
            <w:hideMark/>
          </w:tcPr>
          <w:p w14:paraId="3233666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78ED5842"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46" w:type="dxa"/>
            <w:tcBorders>
              <w:top w:val="nil"/>
              <w:left w:val="nil"/>
              <w:bottom w:val="nil"/>
              <w:right w:val="nil"/>
            </w:tcBorders>
            <w:shd w:val="clear" w:color="auto" w:fill="auto"/>
            <w:noWrap/>
            <w:vAlign w:val="center"/>
            <w:hideMark/>
          </w:tcPr>
          <w:p w14:paraId="445FD51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14:paraId="2B7D8EA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14:paraId="0AD7176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14:paraId="78A8B53C"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555</w:t>
            </w:r>
          </w:p>
        </w:tc>
        <w:tc>
          <w:tcPr>
            <w:tcW w:w="160" w:type="dxa"/>
            <w:tcBorders>
              <w:top w:val="nil"/>
              <w:left w:val="nil"/>
              <w:bottom w:val="nil"/>
              <w:right w:val="nil"/>
            </w:tcBorders>
            <w:shd w:val="clear" w:color="auto" w:fill="auto"/>
            <w:noWrap/>
            <w:vAlign w:val="center"/>
            <w:hideMark/>
          </w:tcPr>
          <w:p w14:paraId="7B3DA63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14:paraId="071DBF7C"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81" w:type="dxa"/>
            <w:tcBorders>
              <w:top w:val="nil"/>
              <w:left w:val="nil"/>
              <w:bottom w:val="single" w:sz="8" w:space="0" w:color="7030A0"/>
              <w:right w:val="nil"/>
            </w:tcBorders>
            <w:shd w:val="clear" w:color="auto" w:fill="auto"/>
            <w:vAlign w:val="center"/>
            <w:hideMark/>
          </w:tcPr>
          <w:p w14:paraId="1B479A2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14:paraId="24F1235B"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14:paraId="51E63073"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06DD962E"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46" w:type="dxa"/>
            <w:tcBorders>
              <w:top w:val="nil"/>
              <w:left w:val="nil"/>
              <w:bottom w:val="nil"/>
              <w:right w:val="nil"/>
            </w:tcBorders>
            <w:shd w:val="clear" w:color="auto" w:fill="auto"/>
            <w:noWrap/>
            <w:vAlign w:val="center"/>
            <w:hideMark/>
          </w:tcPr>
          <w:p w14:paraId="7DD7137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14:paraId="3F1385C4"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r>
      <w:tr w:rsidR="00B740A8" w:rsidRPr="00C73365" w14:paraId="6E61D130" w14:textId="77777777" w:rsidTr="00D1541A">
        <w:trPr>
          <w:trHeight w:val="984"/>
        </w:trPr>
        <w:tc>
          <w:tcPr>
            <w:tcW w:w="1427" w:type="dxa"/>
            <w:tcBorders>
              <w:top w:val="nil"/>
              <w:left w:val="nil"/>
              <w:bottom w:val="single" w:sz="8" w:space="0" w:color="7030A0"/>
              <w:right w:val="nil"/>
            </w:tcBorders>
            <w:shd w:val="clear" w:color="auto" w:fill="auto"/>
            <w:vAlign w:val="center"/>
            <w:hideMark/>
          </w:tcPr>
          <w:p w14:paraId="6790A2FA"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30.07.2014</w:t>
            </w:r>
          </w:p>
        </w:tc>
        <w:tc>
          <w:tcPr>
            <w:tcW w:w="160" w:type="dxa"/>
            <w:tcBorders>
              <w:top w:val="nil"/>
              <w:left w:val="nil"/>
              <w:bottom w:val="nil"/>
              <w:right w:val="nil"/>
            </w:tcBorders>
            <w:shd w:val="clear" w:color="auto" w:fill="auto"/>
            <w:noWrap/>
            <w:vAlign w:val="center"/>
            <w:hideMark/>
          </w:tcPr>
          <w:p w14:paraId="32C9468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14:paraId="6EA3B6F4"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émissions d’actions nouvelles</w:t>
            </w:r>
          </w:p>
        </w:tc>
        <w:tc>
          <w:tcPr>
            <w:tcW w:w="146" w:type="dxa"/>
            <w:tcBorders>
              <w:top w:val="nil"/>
              <w:left w:val="nil"/>
              <w:bottom w:val="nil"/>
              <w:right w:val="nil"/>
            </w:tcBorders>
            <w:shd w:val="clear" w:color="auto" w:fill="auto"/>
            <w:noWrap/>
            <w:vAlign w:val="center"/>
            <w:hideMark/>
          </w:tcPr>
          <w:p w14:paraId="19AEAFE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5D9EA46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46" w:type="dxa"/>
            <w:tcBorders>
              <w:top w:val="nil"/>
              <w:left w:val="nil"/>
              <w:bottom w:val="nil"/>
              <w:right w:val="nil"/>
            </w:tcBorders>
            <w:shd w:val="clear" w:color="auto" w:fill="auto"/>
            <w:noWrap/>
            <w:vAlign w:val="center"/>
            <w:hideMark/>
          </w:tcPr>
          <w:p w14:paraId="2A15F6C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14:paraId="27AA328D"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3.247.400</w:t>
            </w:r>
          </w:p>
        </w:tc>
        <w:tc>
          <w:tcPr>
            <w:tcW w:w="146" w:type="dxa"/>
            <w:tcBorders>
              <w:top w:val="nil"/>
              <w:left w:val="nil"/>
              <w:bottom w:val="nil"/>
              <w:right w:val="nil"/>
            </w:tcBorders>
            <w:shd w:val="clear" w:color="auto" w:fill="auto"/>
            <w:noWrap/>
            <w:vAlign w:val="center"/>
            <w:hideMark/>
          </w:tcPr>
          <w:p w14:paraId="47620C6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14:paraId="1782F309"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2.600</w:t>
            </w:r>
          </w:p>
        </w:tc>
        <w:tc>
          <w:tcPr>
            <w:tcW w:w="160" w:type="dxa"/>
            <w:tcBorders>
              <w:top w:val="nil"/>
              <w:left w:val="nil"/>
              <w:bottom w:val="nil"/>
              <w:right w:val="nil"/>
            </w:tcBorders>
            <w:shd w:val="clear" w:color="auto" w:fill="auto"/>
            <w:noWrap/>
            <w:vAlign w:val="center"/>
            <w:hideMark/>
          </w:tcPr>
          <w:p w14:paraId="15B2606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14:paraId="77296233"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81" w:type="dxa"/>
            <w:tcBorders>
              <w:top w:val="nil"/>
              <w:left w:val="nil"/>
              <w:bottom w:val="single" w:sz="8" w:space="0" w:color="7030A0"/>
              <w:right w:val="nil"/>
            </w:tcBorders>
            <w:shd w:val="clear" w:color="auto" w:fill="auto"/>
            <w:vAlign w:val="center"/>
            <w:hideMark/>
          </w:tcPr>
          <w:p w14:paraId="09A9385D"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14:paraId="3BE408C0"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14:paraId="363073B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7BD4BFCC"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14:paraId="2BCEE06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14:paraId="3A83D3D1"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1.250 €</w:t>
            </w:r>
          </w:p>
        </w:tc>
      </w:tr>
      <w:tr w:rsidR="00B740A8" w:rsidRPr="00C73365" w14:paraId="3CD31D8A" w14:textId="77777777" w:rsidTr="00D1541A">
        <w:trPr>
          <w:trHeight w:val="396"/>
        </w:trPr>
        <w:tc>
          <w:tcPr>
            <w:tcW w:w="1427" w:type="dxa"/>
            <w:tcBorders>
              <w:top w:val="nil"/>
              <w:left w:val="nil"/>
              <w:bottom w:val="single" w:sz="8" w:space="0" w:color="7030A0"/>
              <w:right w:val="nil"/>
            </w:tcBorders>
            <w:shd w:val="clear" w:color="auto" w:fill="auto"/>
            <w:vAlign w:val="center"/>
            <w:hideMark/>
          </w:tcPr>
          <w:p w14:paraId="39A31D9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20.02.2015</w:t>
            </w:r>
          </w:p>
        </w:tc>
        <w:tc>
          <w:tcPr>
            <w:tcW w:w="160" w:type="dxa"/>
            <w:tcBorders>
              <w:top w:val="nil"/>
              <w:left w:val="nil"/>
              <w:bottom w:val="nil"/>
              <w:right w:val="nil"/>
            </w:tcBorders>
            <w:shd w:val="clear" w:color="auto" w:fill="auto"/>
            <w:noWrap/>
            <w:vAlign w:val="center"/>
            <w:hideMark/>
          </w:tcPr>
          <w:p w14:paraId="41B30D23"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14:paraId="0D0BC50B"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Division du nominal</w:t>
            </w:r>
          </w:p>
        </w:tc>
        <w:tc>
          <w:tcPr>
            <w:tcW w:w="146" w:type="dxa"/>
            <w:tcBorders>
              <w:top w:val="nil"/>
              <w:left w:val="nil"/>
              <w:bottom w:val="nil"/>
              <w:right w:val="nil"/>
            </w:tcBorders>
            <w:shd w:val="clear" w:color="auto" w:fill="auto"/>
            <w:noWrap/>
            <w:vAlign w:val="center"/>
            <w:hideMark/>
          </w:tcPr>
          <w:p w14:paraId="1792FBD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7CD4D79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14:paraId="0C60F18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14:paraId="7E1E071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14:paraId="610277F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14:paraId="36C0EF3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60" w:type="dxa"/>
            <w:tcBorders>
              <w:top w:val="nil"/>
              <w:left w:val="nil"/>
              <w:bottom w:val="nil"/>
              <w:right w:val="nil"/>
            </w:tcBorders>
            <w:shd w:val="clear" w:color="auto" w:fill="auto"/>
            <w:noWrap/>
            <w:vAlign w:val="center"/>
            <w:hideMark/>
          </w:tcPr>
          <w:p w14:paraId="22A5B21A"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14:paraId="49AE4DDC"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6.915.000</w:t>
            </w:r>
          </w:p>
        </w:tc>
        <w:tc>
          <w:tcPr>
            <w:tcW w:w="181" w:type="dxa"/>
            <w:tcBorders>
              <w:top w:val="nil"/>
              <w:left w:val="nil"/>
              <w:bottom w:val="single" w:sz="8" w:space="0" w:color="7030A0"/>
              <w:right w:val="nil"/>
            </w:tcBorders>
            <w:shd w:val="clear" w:color="auto" w:fill="auto"/>
            <w:vAlign w:val="center"/>
            <w:hideMark/>
          </w:tcPr>
          <w:p w14:paraId="3EEDD68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14:paraId="454BB835"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14:paraId="04E6A7D1"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1FC0B93F"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14:paraId="3F8F61D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14:paraId="7AA8E7D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w:t>
            </w:r>
          </w:p>
        </w:tc>
      </w:tr>
      <w:tr w:rsidR="00B740A8" w:rsidRPr="00C73365" w14:paraId="1BF19C47" w14:textId="77777777" w:rsidTr="00D1541A">
        <w:trPr>
          <w:trHeight w:val="396"/>
        </w:trPr>
        <w:tc>
          <w:tcPr>
            <w:tcW w:w="1427" w:type="dxa"/>
            <w:tcBorders>
              <w:top w:val="nil"/>
              <w:left w:val="nil"/>
              <w:bottom w:val="single" w:sz="8" w:space="0" w:color="7030A0"/>
              <w:right w:val="nil"/>
            </w:tcBorders>
            <w:shd w:val="clear" w:color="auto" w:fill="auto"/>
            <w:vAlign w:val="center"/>
            <w:hideMark/>
          </w:tcPr>
          <w:p w14:paraId="0A21097C"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24.03.2015</w:t>
            </w:r>
          </w:p>
        </w:tc>
        <w:tc>
          <w:tcPr>
            <w:tcW w:w="160" w:type="dxa"/>
            <w:tcBorders>
              <w:top w:val="nil"/>
              <w:left w:val="nil"/>
              <w:bottom w:val="nil"/>
              <w:right w:val="nil"/>
            </w:tcBorders>
            <w:shd w:val="clear" w:color="auto" w:fill="auto"/>
            <w:noWrap/>
            <w:vAlign w:val="center"/>
            <w:hideMark/>
          </w:tcPr>
          <w:p w14:paraId="30757F1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14:paraId="26985850"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BCE-2014-5</w:t>
            </w:r>
          </w:p>
        </w:tc>
        <w:tc>
          <w:tcPr>
            <w:tcW w:w="146" w:type="dxa"/>
            <w:tcBorders>
              <w:top w:val="nil"/>
              <w:left w:val="nil"/>
              <w:bottom w:val="nil"/>
              <w:right w:val="nil"/>
            </w:tcBorders>
            <w:shd w:val="clear" w:color="auto" w:fill="auto"/>
            <w:noWrap/>
            <w:vAlign w:val="center"/>
            <w:hideMark/>
          </w:tcPr>
          <w:p w14:paraId="3D80C43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0FF33816"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14:paraId="00BB64E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14:paraId="3019F11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14:paraId="6E43DC8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14:paraId="3C6FD0BE"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2.800</w:t>
            </w:r>
          </w:p>
        </w:tc>
        <w:tc>
          <w:tcPr>
            <w:tcW w:w="160" w:type="dxa"/>
            <w:tcBorders>
              <w:top w:val="nil"/>
              <w:left w:val="nil"/>
              <w:bottom w:val="nil"/>
              <w:right w:val="nil"/>
            </w:tcBorders>
            <w:shd w:val="clear" w:color="auto" w:fill="auto"/>
            <w:noWrap/>
            <w:vAlign w:val="center"/>
            <w:hideMark/>
          </w:tcPr>
          <w:p w14:paraId="28A7D2FB"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14:paraId="4955A560"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6.917.800</w:t>
            </w:r>
          </w:p>
        </w:tc>
        <w:tc>
          <w:tcPr>
            <w:tcW w:w="181" w:type="dxa"/>
            <w:tcBorders>
              <w:top w:val="nil"/>
              <w:left w:val="nil"/>
              <w:bottom w:val="single" w:sz="8" w:space="0" w:color="7030A0"/>
              <w:right w:val="nil"/>
            </w:tcBorders>
            <w:shd w:val="clear" w:color="auto" w:fill="auto"/>
            <w:vAlign w:val="center"/>
            <w:hideMark/>
          </w:tcPr>
          <w:p w14:paraId="75B6249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14:paraId="67A5E6EE"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14:paraId="629915E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25E9DF70"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w:t>
            </w:r>
          </w:p>
        </w:tc>
        <w:tc>
          <w:tcPr>
            <w:tcW w:w="146" w:type="dxa"/>
            <w:tcBorders>
              <w:top w:val="nil"/>
              <w:left w:val="nil"/>
              <w:bottom w:val="nil"/>
              <w:right w:val="nil"/>
            </w:tcBorders>
            <w:shd w:val="clear" w:color="auto" w:fill="auto"/>
            <w:noWrap/>
            <w:vAlign w:val="center"/>
            <w:hideMark/>
          </w:tcPr>
          <w:p w14:paraId="182D9F1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14:paraId="293CC8D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w:t>
            </w:r>
          </w:p>
        </w:tc>
      </w:tr>
      <w:tr w:rsidR="00B740A8" w:rsidRPr="00C73365" w14:paraId="367E683E" w14:textId="77777777" w:rsidTr="00D1541A">
        <w:trPr>
          <w:trHeight w:val="984"/>
        </w:trPr>
        <w:tc>
          <w:tcPr>
            <w:tcW w:w="1427" w:type="dxa"/>
            <w:tcBorders>
              <w:top w:val="nil"/>
              <w:left w:val="nil"/>
              <w:bottom w:val="single" w:sz="8" w:space="0" w:color="7030A0"/>
              <w:right w:val="nil"/>
            </w:tcBorders>
            <w:shd w:val="clear" w:color="auto" w:fill="auto"/>
            <w:vAlign w:val="center"/>
            <w:hideMark/>
          </w:tcPr>
          <w:p w14:paraId="1F04FDCD"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06.07.2015</w:t>
            </w:r>
          </w:p>
        </w:tc>
        <w:tc>
          <w:tcPr>
            <w:tcW w:w="160" w:type="dxa"/>
            <w:tcBorders>
              <w:top w:val="nil"/>
              <w:left w:val="nil"/>
              <w:bottom w:val="nil"/>
              <w:right w:val="nil"/>
            </w:tcBorders>
            <w:shd w:val="clear" w:color="auto" w:fill="auto"/>
            <w:noWrap/>
            <w:vAlign w:val="center"/>
            <w:hideMark/>
          </w:tcPr>
          <w:p w14:paraId="1D89692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14:paraId="3B94DD08"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émission d’actions nouvelles</w:t>
            </w:r>
          </w:p>
        </w:tc>
        <w:tc>
          <w:tcPr>
            <w:tcW w:w="146" w:type="dxa"/>
            <w:tcBorders>
              <w:top w:val="nil"/>
              <w:left w:val="nil"/>
              <w:bottom w:val="nil"/>
              <w:right w:val="nil"/>
            </w:tcBorders>
            <w:shd w:val="clear" w:color="auto" w:fill="auto"/>
            <w:noWrap/>
            <w:vAlign w:val="center"/>
            <w:hideMark/>
          </w:tcPr>
          <w:p w14:paraId="58F0552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16FF5319"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w:t>
            </w:r>
          </w:p>
        </w:tc>
        <w:tc>
          <w:tcPr>
            <w:tcW w:w="146" w:type="dxa"/>
            <w:tcBorders>
              <w:top w:val="nil"/>
              <w:left w:val="nil"/>
              <w:bottom w:val="nil"/>
              <w:right w:val="nil"/>
            </w:tcBorders>
            <w:shd w:val="clear" w:color="auto" w:fill="auto"/>
            <w:noWrap/>
            <w:vAlign w:val="center"/>
            <w:hideMark/>
          </w:tcPr>
          <w:p w14:paraId="5C2393B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14:paraId="5BE69EB5"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57.633.924</w:t>
            </w:r>
          </w:p>
        </w:tc>
        <w:tc>
          <w:tcPr>
            <w:tcW w:w="146" w:type="dxa"/>
            <w:tcBorders>
              <w:top w:val="nil"/>
              <w:left w:val="nil"/>
              <w:bottom w:val="nil"/>
              <w:right w:val="nil"/>
            </w:tcBorders>
            <w:shd w:val="clear" w:color="auto" w:fill="auto"/>
            <w:noWrap/>
            <w:vAlign w:val="center"/>
            <w:hideMark/>
          </w:tcPr>
          <w:p w14:paraId="39636DA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14:paraId="36738394"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2.707.089</w:t>
            </w:r>
          </w:p>
        </w:tc>
        <w:tc>
          <w:tcPr>
            <w:tcW w:w="160" w:type="dxa"/>
            <w:tcBorders>
              <w:top w:val="nil"/>
              <w:left w:val="nil"/>
              <w:bottom w:val="nil"/>
              <w:right w:val="nil"/>
            </w:tcBorders>
            <w:shd w:val="clear" w:color="auto" w:fill="auto"/>
            <w:noWrap/>
            <w:vAlign w:val="center"/>
            <w:hideMark/>
          </w:tcPr>
          <w:p w14:paraId="088B96AA"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14:paraId="6E1FBFB0"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81" w:type="dxa"/>
            <w:tcBorders>
              <w:top w:val="nil"/>
              <w:left w:val="nil"/>
              <w:bottom w:val="single" w:sz="8" w:space="0" w:color="7030A0"/>
              <w:right w:val="nil"/>
            </w:tcBorders>
            <w:shd w:val="clear" w:color="auto" w:fill="auto"/>
            <w:vAlign w:val="center"/>
            <w:hideMark/>
          </w:tcPr>
          <w:p w14:paraId="5309AB2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14:paraId="34F83736"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14:paraId="316ADB0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6B60544E"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46" w:type="dxa"/>
            <w:tcBorders>
              <w:top w:val="nil"/>
              <w:left w:val="nil"/>
              <w:bottom w:val="nil"/>
              <w:right w:val="nil"/>
            </w:tcBorders>
            <w:shd w:val="clear" w:color="auto" w:fill="auto"/>
            <w:noWrap/>
            <w:vAlign w:val="center"/>
            <w:hideMark/>
          </w:tcPr>
          <w:p w14:paraId="698F353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14:paraId="35F942A4"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21,30 €</w:t>
            </w:r>
          </w:p>
        </w:tc>
      </w:tr>
      <w:tr w:rsidR="00B740A8" w:rsidRPr="00C73365" w14:paraId="75D27D6E" w14:textId="77777777" w:rsidTr="00D1541A">
        <w:trPr>
          <w:trHeight w:val="396"/>
        </w:trPr>
        <w:tc>
          <w:tcPr>
            <w:tcW w:w="1427" w:type="dxa"/>
            <w:tcBorders>
              <w:top w:val="nil"/>
              <w:left w:val="nil"/>
              <w:bottom w:val="single" w:sz="8" w:space="0" w:color="7030A0"/>
              <w:right w:val="nil"/>
            </w:tcBorders>
            <w:shd w:val="clear" w:color="auto" w:fill="auto"/>
            <w:vAlign w:val="center"/>
            <w:hideMark/>
          </w:tcPr>
          <w:p w14:paraId="2A71E41F"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25.09.2015</w:t>
            </w:r>
          </w:p>
        </w:tc>
        <w:tc>
          <w:tcPr>
            <w:tcW w:w="160" w:type="dxa"/>
            <w:tcBorders>
              <w:top w:val="nil"/>
              <w:left w:val="nil"/>
              <w:bottom w:val="nil"/>
              <w:right w:val="nil"/>
            </w:tcBorders>
            <w:shd w:val="clear" w:color="auto" w:fill="auto"/>
            <w:noWrap/>
            <w:vAlign w:val="center"/>
            <w:hideMark/>
          </w:tcPr>
          <w:p w14:paraId="6E494BA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14:paraId="0CE94AED"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BSA-2014-3</w:t>
            </w:r>
          </w:p>
        </w:tc>
        <w:tc>
          <w:tcPr>
            <w:tcW w:w="146" w:type="dxa"/>
            <w:tcBorders>
              <w:top w:val="nil"/>
              <w:left w:val="nil"/>
              <w:bottom w:val="nil"/>
              <w:right w:val="nil"/>
            </w:tcBorders>
            <w:shd w:val="clear" w:color="auto" w:fill="auto"/>
            <w:noWrap/>
            <w:vAlign w:val="center"/>
            <w:hideMark/>
          </w:tcPr>
          <w:p w14:paraId="6CEC0B2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367606E8"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46" w:type="dxa"/>
            <w:tcBorders>
              <w:top w:val="nil"/>
              <w:left w:val="nil"/>
              <w:bottom w:val="nil"/>
              <w:right w:val="nil"/>
            </w:tcBorders>
            <w:shd w:val="clear" w:color="auto" w:fill="auto"/>
            <w:noWrap/>
            <w:vAlign w:val="center"/>
            <w:hideMark/>
          </w:tcPr>
          <w:p w14:paraId="68F3BD6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14:paraId="69B72C47"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14:paraId="332AA1A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14:paraId="05880878"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6.400</w:t>
            </w:r>
          </w:p>
        </w:tc>
        <w:tc>
          <w:tcPr>
            <w:tcW w:w="160" w:type="dxa"/>
            <w:tcBorders>
              <w:top w:val="nil"/>
              <w:left w:val="nil"/>
              <w:bottom w:val="nil"/>
              <w:right w:val="nil"/>
            </w:tcBorders>
            <w:shd w:val="clear" w:color="auto" w:fill="auto"/>
            <w:noWrap/>
            <w:vAlign w:val="center"/>
            <w:hideMark/>
          </w:tcPr>
          <w:p w14:paraId="4EB988A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14:paraId="3EBD780B"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81" w:type="dxa"/>
            <w:tcBorders>
              <w:top w:val="nil"/>
              <w:left w:val="nil"/>
              <w:bottom w:val="single" w:sz="8" w:space="0" w:color="7030A0"/>
              <w:right w:val="nil"/>
            </w:tcBorders>
            <w:shd w:val="clear" w:color="auto" w:fill="auto"/>
            <w:vAlign w:val="center"/>
            <w:hideMark/>
          </w:tcPr>
          <w:p w14:paraId="05B30901"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14:paraId="406D1805"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14:paraId="343F5B8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7DA7DAA1"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46" w:type="dxa"/>
            <w:tcBorders>
              <w:top w:val="nil"/>
              <w:left w:val="nil"/>
              <w:bottom w:val="nil"/>
              <w:right w:val="nil"/>
            </w:tcBorders>
            <w:shd w:val="clear" w:color="auto" w:fill="auto"/>
            <w:noWrap/>
            <w:vAlign w:val="center"/>
            <w:hideMark/>
          </w:tcPr>
          <w:p w14:paraId="2B7B4B5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14:paraId="34066EB9"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587D715E" w14:textId="77777777" w:rsidTr="00D1541A">
        <w:trPr>
          <w:trHeight w:val="396"/>
        </w:trPr>
        <w:tc>
          <w:tcPr>
            <w:tcW w:w="1427" w:type="dxa"/>
            <w:tcBorders>
              <w:top w:val="nil"/>
              <w:left w:val="nil"/>
              <w:bottom w:val="single" w:sz="8" w:space="0" w:color="7030A0"/>
              <w:right w:val="nil"/>
            </w:tcBorders>
            <w:shd w:val="clear" w:color="auto" w:fill="auto"/>
            <w:vAlign w:val="center"/>
            <w:hideMark/>
          </w:tcPr>
          <w:p w14:paraId="2722D714"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26.09.2015</w:t>
            </w:r>
          </w:p>
        </w:tc>
        <w:tc>
          <w:tcPr>
            <w:tcW w:w="160" w:type="dxa"/>
            <w:tcBorders>
              <w:top w:val="nil"/>
              <w:left w:val="nil"/>
              <w:bottom w:val="nil"/>
              <w:right w:val="nil"/>
            </w:tcBorders>
            <w:shd w:val="clear" w:color="auto" w:fill="auto"/>
            <w:noWrap/>
            <w:vAlign w:val="center"/>
            <w:hideMark/>
          </w:tcPr>
          <w:p w14:paraId="7EA1E65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14:paraId="240D994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BSA-2014-2</w:t>
            </w:r>
          </w:p>
        </w:tc>
        <w:tc>
          <w:tcPr>
            <w:tcW w:w="146" w:type="dxa"/>
            <w:tcBorders>
              <w:top w:val="nil"/>
              <w:left w:val="nil"/>
              <w:bottom w:val="nil"/>
              <w:right w:val="nil"/>
            </w:tcBorders>
            <w:shd w:val="clear" w:color="auto" w:fill="auto"/>
            <w:noWrap/>
            <w:vAlign w:val="center"/>
            <w:hideMark/>
          </w:tcPr>
          <w:p w14:paraId="38BE0957"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6D79328F"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46" w:type="dxa"/>
            <w:tcBorders>
              <w:top w:val="nil"/>
              <w:left w:val="nil"/>
              <w:bottom w:val="nil"/>
              <w:right w:val="nil"/>
            </w:tcBorders>
            <w:shd w:val="clear" w:color="auto" w:fill="auto"/>
            <w:noWrap/>
            <w:vAlign w:val="center"/>
            <w:hideMark/>
          </w:tcPr>
          <w:p w14:paraId="5D957DA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14:paraId="4B014FB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14:paraId="0C5B4113"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14:paraId="23DC2E7A"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44.800</w:t>
            </w:r>
          </w:p>
        </w:tc>
        <w:tc>
          <w:tcPr>
            <w:tcW w:w="160" w:type="dxa"/>
            <w:tcBorders>
              <w:top w:val="nil"/>
              <w:left w:val="nil"/>
              <w:bottom w:val="nil"/>
              <w:right w:val="nil"/>
            </w:tcBorders>
            <w:shd w:val="clear" w:color="auto" w:fill="auto"/>
            <w:noWrap/>
            <w:vAlign w:val="center"/>
            <w:hideMark/>
          </w:tcPr>
          <w:p w14:paraId="50EFB71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14:paraId="1750C79A"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81" w:type="dxa"/>
            <w:tcBorders>
              <w:top w:val="nil"/>
              <w:left w:val="nil"/>
              <w:bottom w:val="single" w:sz="8" w:space="0" w:color="7030A0"/>
              <w:right w:val="nil"/>
            </w:tcBorders>
            <w:shd w:val="clear" w:color="auto" w:fill="auto"/>
            <w:vAlign w:val="center"/>
            <w:hideMark/>
          </w:tcPr>
          <w:p w14:paraId="1106204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14:paraId="331152FB"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14:paraId="3AA9457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0AD9ED3A"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46" w:type="dxa"/>
            <w:tcBorders>
              <w:top w:val="nil"/>
              <w:left w:val="nil"/>
              <w:bottom w:val="nil"/>
              <w:right w:val="nil"/>
            </w:tcBorders>
            <w:shd w:val="clear" w:color="auto" w:fill="auto"/>
            <w:noWrap/>
            <w:vAlign w:val="center"/>
            <w:hideMark/>
          </w:tcPr>
          <w:p w14:paraId="656E702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14:paraId="58D0ACAE"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2B8E9A4E" w14:textId="77777777" w:rsidTr="00D1541A">
        <w:trPr>
          <w:trHeight w:val="396"/>
        </w:trPr>
        <w:tc>
          <w:tcPr>
            <w:tcW w:w="1427" w:type="dxa"/>
            <w:tcBorders>
              <w:top w:val="nil"/>
              <w:left w:val="nil"/>
              <w:bottom w:val="single" w:sz="8" w:space="0" w:color="7030A0"/>
              <w:right w:val="nil"/>
            </w:tcBorders>
            <w:shd w:val="clear" w:color="auto" w:fill="auto"/>
            <w:vAlign w:val="center"/>
            <w:hideMark/>
          </w:tcPr>
          <w:p w14:paraId="5F72FB0A"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22.12.2015</w:t>
            </w:r>
          </w:p>
        </w:tc>
        <w:tc>
          <w:tcPr>
            <w:tcW w:w="160" w:type="dxa"/>
            <w:tcBorders>
              <w:top w:val="nil"/>
              <w:left w:val="nil"/>
              <w:bottom w:val="nil"/>
              <w:right w:val="nil"/>
            </w:tcBorders>
            <w:shd w:val="clear" w:color="auto" w:fill="auto"/>
            <w:noWrap/>
            <w:vAlign w:val="center"/>
            <w:hideMark/>
          </w:tcPr>
          <w:p w14:paraId="59158AF1"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14:paraId="2A80375D"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BCE-2014-3</w:t>
            </w:r>
          </w:p>
        </w:tc>
        <w:tc>
          <w:tcPr>
            <w:tcW w:w="146" w:type="dxa"/>
            <w:tcBorders>
              <w:top w:val="nil"/>
              <w:left w:val="nil"/>
              <w:bottom w:val="nil"/>
              <w:right w:val="nil"/>
            </w:tcBorders>
            <w:shd w:val="clear" w:color="auto" w:fill="auto"/>
            <w:noWrap/>
            <w:vAlign w:val="center"/>
            <w:hideMark/>
          </w:tcPr>
          <w:p w14:paraId="13D8AF4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7AC8C4A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46" w:type="dxa"/>
            <w:tcBorders>
              <w:top w:val="nil"/>
              <w:left w:val="nil"/>
              <w:bottom w:val="nil"/>
              <w:right w:val="nil"/>
            </w:tcBorders>
            <w:shd w:val="clear" w:color="auto" w:fill="auto"/>
            <w:noWrap/>
            <w:vAlign w:val="center"/>
            <w:hideMark/>
          </w:tcPr>
          <w:p w14:paraId="032D2BAA"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14:paraId="76F0C8E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14:paraId="0E59712A"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14:paraId="185717E0"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20.800</w:t>
            </w:r>
          </w:p>
        </w:tc>
        <w:tc>
          <w:tcPr>
            <w:tcW w:w="160" w:type="dxa"/>
            <w:tcBorders>
              <w:top w:val="nil"/>
              <w:left w:val="nil"/>
              <w:bottom w:val="nil"/>
              <w:right w:val="nil"/>
            </w:tcBorders>
            <w:shd w:val="clear" w:color="auto" w:fill="auto"/>
            <w:noWrap/>
            <w:vAlign w:val="center"/>
            <w:hideMark/>
          </w:tcPr>
          <w:p w14:paraId="603BA80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14:paraId="6BA991C5"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81" w:type="dxa"/>
            <w:tcBorders>
              <w:top w:val="nil"/>
              <w:left w:val="nil"/>
              <w:bottom w:val="single" w:sz="8" w:space="0" w:color="7030A0"/>
              <w:right w:val="nil"/>
            </w:tcBorders>
            <w:shd w:val="clear" w:color="auto" w:fill="auto"/>
            <w:vAlign w:val="center"/>
            <w:hideMark/>
          </w:tcPr>
          <w:p w14:paraId="634A171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14:paraId="2C65D11C"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14:paraId="5913F8A3"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14:paraId="6E365A68"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46" w:type="dxa"/>
            <w:tcBorders>
              <w:top w:val="nil"/>
              <w:left w:val="nil"/>
              <w:bottom w:val="nil"/>
              <w:right w:val="nil"/>
            </w:tcBorders>
            <w:shd w:val="clear" w:color="auto" w:fill="auto"/>
            <w:noWrap/>
            <w:vAlign w:val="center"/>
            <w:hideMark/>
          </w:tcPr>
          <w:p w14:paraId="363735C7"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14:paraId="7F16DFA4"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1DAAB225" w14:textId="77777777" w:rsidTr="00D1541A">
        <w:trPr>
          <w:trHeight w:val="396"/>
        </w:trPr>
        <w:tc>
          <w:tcPr>
            <w:tcW w:w="1427" w:type="dxa"/>
            <w:tcBorders>
              <w:top w:val="nil"/>
              <w:left w:val="nil"/>
              <w:bottom w:val="single" w:sz="8" w:space="0" w:color="7030A0"/>
              <w:right w:val="nil"/>
            </w:tcBorders>
            <w:shd w:val="clear" w:color="auto" w:fill="auto"/>
            <w:vAlign w:val="center"/>
          </w:tcPr>
          <w:p w14:paraId="18C2626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11.04.2016</w:t>
            </w:r>
          </w:p>
        </w:tc>
        <w:tc>
          <w:tcPr>
            <w:tcW w:w="160" w:type="dxa"/>
            <w:tcBorders>
              <w:top w:val="nil"/>
              <w:left w:val="nil"/>
              <w:bottom w:val="nil"/>
              <w:right w:val="nil"/>
            </w:tcBorders>
            <w:shd w:val="clear" w:color="auto" w:fill="auto"/>
            <w:noWrap/>
            <w:vAlign w:val="center"/>
          </w:tcPr>
          <w:p w14:paraId="7445C881"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14:paraId="3429FAD2"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BSA-2014-6</w:t>
            </w:r>
          </w:p>
        </w:tc>
        <w:tc>
          <w:tcPr>
            <w:tcW w:w="146" w:type="dxa"/>
            <w:tcBorders>
              <w:top w:val="nil"/>
              <w:left w:val="nil"/>
              <w:bottom w:val="nil"/>
              <w:right w:val="nil"/>
            </w:tcBorders>
            <w:shd w:val="clear" w:color="auto" w:fill="auto"/>
            <w:noWrap/>
            <w:vAlign w:val="center"/>
          </w:tcPr>
          <w:p w14:paraId="49880ACD"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03134360"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46" w:type="dxa"/>
            <w:tcBorders>
              <w:top w:val="nil"/>
              <w:left w:val="nil"/>
              <w:bottom w:val="nil"/>
              <w:right w:val="nil"/>
            </w:tcBorders>
            <w:shd w:val="clear" w:color="auto" w:fill="auto"/>
            <w:noWrap/>
            <w:vAlign w:val="center"/>
          </w:tcPr>
          <w:p w14:paraId="150C78B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14:paraId="1A80D3B7"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14:paraId="5B46D0E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14:paraId="46C9C57A"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5.200</w:t>
            </w:r>
          </w:p>
        </w:tc>
        <w:tc>
          <w:tcPr>
            <w:tcW w:w="160" w:type="dxa"/>
            <w:tcBorders>
              <w:top w:val="nil"/>
              <w:left w:val="nil"/>
              <w:bottom w:val="nil"/>
              <w:right w:val="nil"/>
            </w:tcBorders>
            <w:shd w:val="clear" w:color="auto" w:fill="auto"/>
            <w:noWrap/>
            <w:vAlign w:val="center"/>
          </w:tcPr>
          <w:p w14:paraId="45A9A7B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14:paraId="1893315B"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9.702.089</w:t>
            </w:r>
          </w:p>
        </w:tc>
        <w:tc>
          <w:tcPr>
            <w:tcW w:w="181" w:type="dxa"/>
            <w:tcBorders>
              <w:top w:val="nil"/>
              <w:left w:val="nil"/>
              <w:bottom w:val="single" w:sz="8" w:space="0" w:color="7030A0"/>
              <w:right w:val="nil"/>
            </w:tcBorders>
            <w:shd w:val="clear" w:color="auto" w:fill="auto"/>
            <w:vAlign w:val="center"/>
          </w:tcPr>
          <w:p w14:paraId="61D933CB"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14:paraId="64A4D460"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14:paraId="22745AB7"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64C8F146"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97.020,89</w:t>
            </w:r>
          </w:p>
        </w:tc>
        <w:tc>
          <w:tcPr>
            <w:tcW w:w="146" w:type="dxa"/>
            <w:tcBorders>
              <w:top w:val="nil"/>
              <w:left w:val="nil"/>
              <w:bottom w:val="nil"/>
              <w:right w:val="nil"/>
            </w:tcBorders>
            <w:shd w:val="clear" w:color="auto" w:fill="auto"/>
            <w:noWrap/>
            <w:vAlign w:val="center"/>
          </w:tcPr>
          <w:p w14:paraId="0BDCFF9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14:paraId="38472D89"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7AB69C47" w14:textId="77777777" w:rsidTr="00D1541A">
        <w:trPr>
          <w:trHeight w:val="396"/>
        </w:trPr>
        <w:tc>
          <w:tcPr>
            <w:tcW w:w="1427" w:type="dxa"/>
            <w:tcBorders>
              <w:top w:val="nil"/>
              <w:left w:val="nil"/>
              <w:bottom w:val="single" w:sz="8" w:space="0" w:color="7030A0"/>
              <w:right w:val="nil"/>
            </w:tcBorders>
            <w:shd w:val="clear" w:color="auto" w:fill="auto"/>
            <w:vAlign w:val="center"/>
          </w:tcPr>
          <w:p w14:paraId="3880F2F5"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17.03.2017</w:t>
            </w:r>
          </w:p>
        </w:tc>
        <w:tc>
          <w:tcPr>
            <w:tcW w:w="160" w:type="dxa"/>
            <w:tcBorders>
              <w:top w:val="nil"/>
              <w:left w:val="nil"/>
              <w:bottom w:val="nil"/>
              <w:right w:val="nil"/>
            </w:tcBorders>
            <w:shd w:val="clear" w:color="auto" w:fill="auto"/>
            <w:noWrap/>
            <w:vAlign w:val="center"/>
          </w:tcPr>
          <w:p w14:paraId="45F57FB7"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14:paraId="763159BB"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BSA-2014-1</w:t>
            </w:r>
          </w:p>
        </w:tc>
        <w:tc>
          <w:tcPr>
            <w:tcW w:w="146" w:type="dxa"/>
            <w:tcBorders>
              <w:top w:val="nil"/>
              <w:left w:val="nil"/>
              <w:bottom w:val="nil"/>
              <w:right w:val="nil"/>
            </w:tcBorders>
            <w:shd w:val="clear" w:color="auto" w:fill="auto"/>
            <w:noWrap/>
            <w:vAlign w:val="center"/>
          </w:tcPr>
          <w:p w14:paraId="5E4C5B5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3259BF26"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97 020,89</w:t>
            </w:r>
          </w:p>
        </w:tc>
        <w:tc>
          <w:tcPr>
            <w:tcW w:w="146" w:type="dxa"/>
            <w:tcBorders>
              <w:top w:val="nil"/>
              <w:left w:val="nil"/>
              <w:bottom w:val="nil"/>
              <w:right w:val="nil"/>
            </w:tcBorders>
            <w:shd w:val="clear" w:color="auto" w:fill="auto"/>
            <w:noWrap/>
            <w:vAlign w:val="center"/>
          </w:tcPr>
          <w:p w14:paraId="3806EFC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14:paraId="7D291FA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14:paraId="2DB0F1C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14:paraId="78387FDC"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39.400</w:t>
            </w:r>
          </w:p>
        </w:tc>
        <w:tc>
          <w:tcPr>
            <w:tcW w:w="160" w:type="dxa"/>
            <w:tcBorders>
              <w:top w:val="nil"/>
              <w:left w:val="nil"/>
              <w:bottom w:val="nil"/>
              <w:right w:val="nil"/>
            </w:tcBorders>
            <w:shd w:val="clear" w:color="auto" w:fill="auto"/>
            <w:noWrap/>
            <w:vAlign w:val="center"/>
          </w:tcPr>
          <w:p w14:paraId="2A8E24F1"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14:paraId="2A2BFB82"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81" w:type="dxa"/>
            <w:tcBorders>
              <w:top w:val="nil"/>
              <w:left w:val="nil"/>
              <w:bottom w:val="single" w:sz="8" w:space="0" w:color="7030A0"/>
              <w:right w:val="nil"/>
            </w:tcBorders>
            <w:shd w:val="clear" w:color="auto" w:fill="auto"/>
            <w:vAlign w:val="center"/>
          </w:tcPr>
          <w:p w14:paraId="745C686A"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14:paraId="181EA192"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146" w:type="dxa"/>
            <w:tcBorders>
              <w:top w:val="nil"/>
              <w:left w:val="nil"/>
              <w:bottom w:val="nil"/>
              <w:right w:val="nil"/>
            </w:tcBorders>
            <w:shd w:val="clear" w:color="auto" w:fill="auto"/>
            <w:noWrap/>
            <w:vAlign w:val="center"/>
          </w:tcPr>
          <w:p w14:paraId="6A2929A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482F5CFB"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46" w:type="dxa"/>
            <w:tcBorders>
              <w:top w:val="nil"/>
              <w:left w:val="nil"/>
              <w:bottom w:val="nil"/>
              <w:right w:val="nil"/>
            </w:tcBorders>
            <w:shd w:val="clear" w:color="auto" w:fill="auto"/>
            <w:noWrap/>
            <w:vAlign w:val="center"/>
          </w:tcPr>
          <w:p w14:paraId="5C0EF24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14:paraId="44729478"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3761697A" w14:textId="77777777" w:rsidTr="00D1541A">
        <w:trPr>
          <w:trHeight w:val="396"/>
        </w:trPr>
        <w:tc>
          <w:tcPr>
            <w:tcW w:w="1427" w:type="dxa"/>
            <w:tcBorders>
              <w:top w:val="nil"/>
              <w:left w:val="nil"/>
              <w:bottom w:val="single" w:sz="8" w:space="0" w:color="7030A0"/>
              <w:right w:val="nil"/>
            </w:tcBorders>
            <w:shd w:val="clear" w:color="auto" w:fill="auto"/>
            <w:vAlign w:val="center"/>
          </w:tcPr>
          <w:p w14:paraId="4A964415"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01.08.2017</w:t>
            </w:r>
          </w:p>
        </w:tc>
        <w:tc>
          <w:tcPr>
            <w:tcW w:w="160" w:type="dxa"/>
            <w:tcBorders>
              <w:top w:val="nil"/>
              <w:left w:val="nil"/>
              <w:bottom w:val="nil"/>
              <w:right w:val="nil"/>
            </w:tcBorders>
            <w:shd w:val="clear" w:color="auto" w:fill="auto"/>
            <w:noWrap/>
            <w:vAlign w:val="center"/>
          </w:tcPr>
          <w:p w14:paraId="01BEAFE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14:paraId="0B6DDA7A"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2014-4</w:t>
            </w:r>
          </w:p>
        </w:tc>
        <w:tc>
          <w:tcPr>
            <w:tcW w:w="146" w:type="dxa"/>
            <w:tcBorders>
              <w:top w:val="nil"/>
              <w:left w:val="nil"/>
              <w:bottom w:val="nil"/>
              <w:right w:val="nil"/>
            </w:tcBorders>
            <w:shd w:val="clear" w:color="auto" w:fill="auto"/>
            <w:noWrap/>
            <w:vAlign w:val="center"/>
          </w:tcPr>
          <w:p w14:paraId="1063335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48B58A34"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46" w:type="dxa"/>
            <w:tcBorders>
              <w:top w:val="nil"/>
              <w:left w:val="nil"/>
              <w:bottom w:val="nil"/>
              <w:right w:val="nil"/>
            </w:tcBorders>
            <w:shd w:val="clear" w:color="auto" w:fill="auto"/>
            <w:noWrap/>
            <w:vAlign w:val="center"/>
          </w:tcPr>
          <w:p w14:paraId="7783D64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14:paraId="17C03AD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14:paraId="449CE8F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14:paraId="52A16C45"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47.340</w:t>
            </w:r>
          </w:p>
        </w:tc>
        <w:tc>
          <w:tcPr>
            <w:tcW w:w="160" w:type="dxa"/>
            <w:tcBorders>
              <w:top w:val="nil"/>
              <w:left w:val="nil"/>
              <w:bottom w:val="nil"/>
              <w:right w:val="nil"/>
            </w:tcBorders>
            <w:shd w:val="clear" w:color="auto" w:fill="auto"/>
            <w:noWrap/>
            <w:vAlign w:val="center"/>
          </w:tcPr>
          <w:p w14:paraId="15C3838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14:paraId="0899EAE6"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9.788.829</w:t>
            </w:r>
          </w:p>
        </w:tc>
        <w:tc>
          <w:tcPr>
            <w:tcW w:w="181" w:type="dxa"/>
            <w:tcBorders>
              <w:top w:val="nil"/>
              <w:left w:val="nil"/>
              <w:bottom w:val="single" w:sz="8" w:space="0" w:color="7030A0"/>
              <w:right w:val="nil"/>
            </w:tcBorders>
            <w:shd w:val="clear" w:color="auto" w:fill="auto"/>
            <w:vAlign w:val="center"/>
          </w:tcPr>
          <w:p w14:paraId="13D54203"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14:paraId="7752395D"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14:paraId="286FA18B"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5D95159B"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14:paraId="3B6AB96B"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14:paraId="08581D1C"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3E2C8391" w14:textId="77777777" w:rsidTr="00D1541A">
        <w:trPr>
          <w:trHeight w:val="396"/>
        </w:trPr>
        <w:tc>
          <w:tcPr>
            <w:tcW w:w="1427" w:type="dxa"/>
            <w:tcBorders>
              <w:top w:val="nil"/>
              <w:left w:val="nil"/>
              <w:bottom w:val="single" w:sz="8" w:space="0" w:color="7030A0"/>
              <w:right w:val="nil"/>
            </w:tcBorders>
            <w:shd w:val="clear" w:color="auto" w:fill="auto"/>
            <w:vAlign w:val="center"/>
          </w:tcPr>
          <w:p w14:paraId="2F1850E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lastRenderedPageBreak/>
              <w:t>01.08.2017</w:t>
            </w:r>
          </w:p>
        </w:tc>
        <w:tc>
          <w:tcPr>
            <w:tcW w:w="160" w:type="dxa"/>
            <w:tcBorders>
              <w:top w:val="nil"/>
              <w:left w:val="nil"/>
              <w:bottom w:val="nil"/>
              <w:right w:val="nil"/>
            </w:tcBorders>
            <w:shd w:val="clear" w:color="auto" w:fill="auto"/>
            <w:noWrap/>
            <w:vAlign w:val="center"/>
          </w:tcPr>
          <w:p w14:paraId="52E470C1"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14:paraId="20C676DB"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2014-4</w:t>
            </w:r>
          </w:p>
        </w:tc>
        <w:tc>
          <w:tcPr>
            <w:tcW w:w="146" w:type="dxa"/>
            <w:tcBorders>
              <w:top w:val="nil"/>
              <w:left w:val="nil"/>
              <w:bottom w:val="nil"/>
              <w:right w:val="nil"/>
            </w:tcBorders>
            <w:shd w:val="clear" w:color="auto" w:fill="auto"/>
            <w:noWrap/>
            <w:vAlign w:val="center"/>
          </w:tcPr>
          <w:p w14:paraId="78CA61C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07154425"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14:paraId="55E3EBD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14:paraId="23DCBF3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14:paraId="669FE4A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14:paraId="1F141F22"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10.000</w:t>
            </w:r>
          </w:p>
        </w:tc>
        <w:tc>
          <w:tcPr>
            <w:tcW w:w="160" w:type="dxa"/>
            <w:tcBorders>
              <w:top w:val="nil"/>
              <w:left w:val="nil"/>
              <w:bottom w:val="nil"/>
              <w:right w:val="nil"/>
            </w:tcBorders>
            <w:shd w:val="clear" w:color="auto" w:fill="auto"/>
            <w:noWrap/>
            <w:vAlign w:val="center"/>
          </w:tcPr>
          <w:p w14:paraId="61FB18D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14:paraId="78F5DB5B"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81" w:type="dxa"/>
            <w:tcBorders>
              <w:top w:val="nil"/>
              <w:left w:val="nil"/>
              <w:bottom w:val="single" w:sz="8" w:space="0" w:color="7030A0"/>
              <w:right w:val="nil"/>
            </w:tcBorders>
            <w:shd w:val="clear" w:color="auto" w:fill="auto"/>
            <w:vAlign w:val="center"/>
          </w:tcPr>
          <w:p w14:paraId="0AED22A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14:paraId="465820FD"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14:paraId="3DF65118"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2D91CEA0"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14:paraId="4DB09FD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14:paraId="0BF12BDD"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0AE914F2" w14:textId="77777777" w:rsidTr="00D1541A">
        <w:trPr>
          <w:trHeight w:val="396"/>
        </w:trPr>
        <w:tc>
          <w:tcPr>
            <w:tcW w:w="1427" w:type="dxa"/>
            <w:tcBorders>
              <w:top w:val="nil"/>
              <w:left w:val="nil"/>
              <w:bottom w:val="single" w:sz="8" w:space="0" w:color="7030A0"/>
              <w:right w:val="nil"/>
            </w:tcBorders>
            <w:shd w:val="clear" w:color="auto" w:fill="auto"/>
            <w:vAlign w:val="center"/>
          </w:tcPr>
          <w:p w14:paraId="4CC03A0D"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28.09.2017</w:t>
            </w:r>
          </w:p>
        </w:tc>
        <w:tc>
          <w:tcPr>
            <w:tcW w:w="160" w:type="dxa"/>
            <w:tcBorders>
              <w:top w:val="nil"/>
              <w:left w:val="nil"/>
              <w:bottom w:val="nil"/>
              <w:right w:val="nil"/>
            </w:tcBorders>
            <w:shd w:val="clear" w:color="auto" w:fill="auto"/>
            <w:noWrap/>
            <w:vAlign w:val="center"/>
          </w:tcPr>
          <w:p w14:paraId="057FDF8A"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14:paraId="15AF6A4E"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BCE-2014-2</w:t>
            </w:r>
          </w:p>
        </w:tc>
        <w:tc>
          <w:tcPr>
            <w:tcW w:w="146" w:type="dxa"/>
            <w:tcBorders>
              <w:top w:val="nil"/>
              <w:left w:val="nil"/>
              <w:bottom w:val="nil"/>
              <w:right w:val="nil"/>
            </w:tcBorders>
            <w:shd w:val="clear" w:color="auto" w:fill="auto"/>
            <w:noWrap/>
            <w:vAlign w:val="center"/>
          </w:tcPr>
          <w:p w14:paraId="058DFC8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331D270D"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14:paraId="006FE21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14:paraId="5F40261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14:paraId="3B028651"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14:paraId="6AE7B2AE"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60" w:type="dxa"/>
            <w:tcBorders>
              <w:top w:val="nil"/>
              <w:left w:val="nil"/>
              <w:bottom w:val="nil"/>
              <w:right w:val="nil"/>
            </w:tcBorders>
            <w:shd w:val="clear" w:color="auto" w:fill="auto"/>
            <w:noWrap/>
            <w:vAlign w:val="center"/>
          </w:tcPr>
          <w:p w14:paraId="55BEB49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14:paraId="10222C85"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81" w:type="dxa"/>
            <w:tcBorders>
              <w:top w:val="nil"/>
              <w:left w:val="nil"/>
              <w:bottom w:val="single" w:sz="8" w:space="0" w:color="7030A0"/>
              <w:right w:val="nil"/>
            </w:tcBorders>
            <w:shd w:val="clear" w:color="auto" w:fill="auto"/>
            <w:vAlign w:val="center"/>
          </w:tcPr>
          <w:p w14:paraId="0A1297E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14:paraId="065930A3"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14:paraId="26ABA2E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2195288C"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46" w:type="dxa"/>
            <w:tcBorders>
              <w:top w:val="nil"/>
              <w:left w:val="nil"/>
              <w:bottom w:val="nil"/>
              <w:right w:val="nil"/>
            </w:tcBorders>
            <w:shd w:val="clear" w:color="auto" w:fill="auto"/>
            <w:noWrap/>
            <w:vAlign w:val="center"/>
          </w:tcPr>
          <w:p w14:paraId="7241584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14:paraId="4FE47854"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06CC315B" w14:textId="77777777" w:rsidTr="00D1541A">
        <w:trPr>
          <w:trHeight w:val="396"/>
        </w:trPr>
        <w:tc>
          <w:tcPr>
            <w:tcW w:w="1427" w:type="dxa"/>
            <w:tcBorders>
              <w:top w:val="nil"/>
              <w:left w:val="nil"/>
              <w:bottom w:val="single" w:sz="8" w:space="0" w:color="7030A0"/>
              <w:right w:val="nil"/>
            </w:tcBorders>
            <w:shd w:val="clear" w:color="auto" w:fill="auto"/>
            <w:vAlign w:val="center"/>
          </w:tcPr>
          <w:p w14:paraId="2AD54701"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09.2017</w:t>
            </w:r>
          </w:p>
          <w:p w14:paraId="5311C8F4"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10.2017</w:t>
            </w:r>
          </w:p>
        </w:tc>
        <w:tc>
          <w:tcPr>
            <w:tcW w:w="160" w:type="dxa"/>
            <w:tcBorders>
              <w:top w:val="nil"/>
              <w:left w:val="nil"/>
              <w:bottom w:val="nil"/>
              <w:right w:val="nil"/>
            </w:tcBorders>
            <w:shd w:val="clear" w:color="auto" w:fill="auto"/>
            <w:noWrap/>
            <w:vAlign w:val="center"/>
          </w:tcPr>
          <w:p w14:paraId="6C571F71"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14:paraId="655E13FB"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Kepler</w:t>
            </w:r>
          </w:p>
        </w:tc>
        <w:tc>
          <w:tcPr>
            <w:tcW w:w="146" w:type="dxa"/>
            <w:tcBorders>
              <w:top w:val="nil"/>
              <w:left w:val="nil"/>
              <w:bottom w:val="nil"/>
              <w:right w:val="nil"/>
            </w:tcBorders>
            <w:shd w:val="clear" w:color="auto" w:fill="auto"/>
            <w:noWrap/>
            <w:vAlign w:val="center"/>
          </w:tcPr>
          <w:p w14:paraId="65316D9B"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3446C2F4"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46" w:type="dxa"/>
            <w:tcBorders>
              <w:top w:val="nil"/>
              <w:left w:val="nil"/>
              <w:bottom w:val="nil"/>
              <w:right w:val="nil"/>
            </w:tcBorders>
            <w:shd w:val="clear" w:color="auto" w:fill="auto"/>
            <w:noWrap/>
            <w:vAlign w:val="center"/>
          </w:tcPr>
          <w:p w14:paraId="19B1D6D8"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14:paraId="568BEBE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14:paraId="50E57859"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14:paraId="0E46C51A"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60.000</w:t>
            </w:r>
          </w:p>
        </w:tc>
        <w:tc>
          <w:tcPr>
            <w:tcW w:w="160" w:type="dxa"/>
            <w:tcBorders>
              <w:top w:val="nil"/>
              <w:left w:val="nil"/>
              <w:bottom w:val="nil"/>
              <w:right w:val="nil"/>
            </w:tcBorders>
            <w:shd w:val="clear" w:color="auto" w:fill="auto"/>
            <w:noWrap/>
            <w:vAlign w:val="center"/>
          </w:tcPr>
          <w:p w14:paraId="4C0436F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14:paraId="58BD3DE7"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81" w:type="dxa"/>
            <w:tcBorders>
              <w:top w:val="nil"/>
              <w:left w:val="nil"/>
              <w:bottom w:val="single" w:sz="8" w:space="0" w:color="7030A0"/>
              <w:right w:val="nil"/>
            </w:tcBorders>
            <w:shd w:val="clear" w:color="auto" w:fill="auto"/>
            <w:vAlign w:val="center"/>
          </w:tcPr>
          <w:p w14:paraId="6EFCAC2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14:paraId="6E64F07D"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14:paraId="316ADEBA"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6BEF4E06"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46" w:type="dxa"/>
            <w:tcBorders>
              <w:top w:val="nil"/>
              <w:left w:val="nil"/>
              <w:bottom w:val="nil"/>
              <w:right w:val="nil"/>
            </w:tcBorders>
            <w:shd w:val="clear" w:color="auto" w:fill="auto"/>
            <w:noWrap/>
            <w:vAlign w:val="center"/>
          </w:tcPr>
          <w:p w14:paraId="56912ED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14:paraId="1ABE04D5"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7050F35C" w14:textId="77777777" w:rsidTr="00D1541A">
        <w:trPr>
          <w:trHeight w:val="396"/>
        </w:trPr>
        <w:tc>
          <w:tcPr>
            <w:tcW w:w="1427" w:type="dxa"/>
            <w:tcBorders>
              <w:top w:val="nil"/>
              <w:left w:val="nil"/>
              <w:bottom w:val="single" w:sz="8" w:space="0" w:color="7030A0"/>
              <w:right w:val="nil"/>
            </w:tcBorders>
            <w:shd w:val="clear" w:color="auto" w:fill="auto"/>
            <w:vAlign w:val="center"/>
          </w:tcPr>
          <w:p w14:paraId="628E1898"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30.10.2017</w:t>
            </w:r>
          </w:p>
        </w:tc>
        <w:tc>
          <w:tcPr>
            <w:tcW w:w="160" w:type="dxa"/>
            <w:tcBorders>
              <w:top w:val="nil"/>
              <w:left w:val="nil"/>
              <w:bottom w:val="nil"/>
              <w:right w:val="nil"/>
            </w:tcBorders>
            <w:shd w:val="clear" w:color="auto" w:fill="auto"/>
            <w:noWrap/>
            <w:vAlign w:val="center"/>
          </w:tcPr>
          <w:p w14:paraId="0052635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14:paraId="73B9346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2014-7</w:t>
            </w:r>
          </w:p>
        </w:tc>
        <w:tc>
          <w:tcPr>
            <w:tcW w:w="146" w:type="dxa"/>
            <w:tcBorders>
              <w:top w:val="nil"/>
              <w:left w:val="nil"/>
              <w:bottom w:val="nil"/>
              <w:right w:val="nil"/>
            </w:tcBorders>
            <w:shd w:val="clear" w:color="auto" w:fill="auto"/>
            <w:noWrap/>
            <w:vAlign w:val="center"/>
          </w:tcPr>
          <w:p w14:paraId="231C37AD"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0C90AB10"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46" w:type="dxa"/>
            <w:tcBorders>
              <w:top w:val="nil"/>
              <w:left w:val="nil"/>
              <w:bottom w:val="nil"/>
              <w:right w:val="nil"/>
            </w:tcBorders>
            <w:shd w:val="clear" w:color="auto" w:fill="auto"/>
            <w:noWrap/>
            <w:vAlign w:val="center"/>
          </w:tcPr>
          <w:p w14:paraId="24FF35AB"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14:paraId="6DBAA51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14:paraId="2C5BE6C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14:paraId="5CB22E19"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2.900</w:t>
            </w:r>
          </w:p>
        </w:tc>
        <w:tc>
          <w:tcPr>
            <w:tcW w:w="160" w:type="dxa"/>
            <w:tcBorders>
              <w:top w:val="nil"/>
              <w:left w:val="nil"/>
              <w:bottom w:val="nil"/>
              <w:right w:val="nil"/>
            </w:tcBorders>
            <w:shd w:val="clear" w:color="auto" w:fill="auto"/>
            <w:noWrap/>
            <w:vAlign w:val="center"/>
          </w:tcPr>
          <w:p w14:paraId="3A9F56F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14:paraId="0DD71792"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9.901.729</w:t>
            </w:r>
          </w:p>
        </w:tc>
        <w:tc>
          <w:tcPr>
            <w:tcW w:w="181" w:type="dxa"/>
            <w:tcBorders>
              <w:top w:val="nil"/>
              <w:left w:val="nil"/>
              <w:bottom w:val="single" w:sz="8" w:space="0" w:color="7030A0"/>
              <w:right w:val="nil"/>
            </w:tcBorders>
            <w:shd w:val="clear" w:color="auto" w:fill="auto"/>
            <w:vAlign w:val="center"/>
          </w:tcPr>
          <w:p w14:paraId="0FB0027A"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14:paraId="6E5BABE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14:paraId="4DDEB5DA"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73F34CA0"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99.017,29</w:t>
            </w:r>
          </w:p>
        </w:tc>
        <w:tc>
          <w:tcPr>
            <w:tcW w:w="146" w:type="dxa"/>
            <w:tcBorders>
              <w:top w:val="nil"/>
              <w:left w:val="nil"/>
              <w:bottom w:val="nil"/>
              <w:right w:val="nil"/>
            </w:tcBorders>
            <w:shd w:val="clear" w:color="auto" w:fill="auto"/>
            <w:noWrap/>
            <w:vAlign w:val="center"/>
          </w:tcPr>
          <w:p w14:paraId="57CF8D8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14:paraId="50769578"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2A3722AE" w14:textId="77777777" w:rsidTr="00D1541A">
        <w:trPr>
          <w:trHeight w:val="396"/>
        </w:trPr>
        <w:tc>
          <w:tcPr>
            <w:tcW w:w="1427" w:type="dxa"/>
            <w:tcBorders>
              <w:top w:val="nil"/>
              <w:left w:val="nil"/>
              <w:bottom w:val="single" w:sz="8" w:space="0" w:color="7030A0"/>
              <w:right w:val="nil"/>
            </w:tcBorders>
            <w:shd w:val="clear" w:color="auto" w:fill="auto"/>
            <w:vAlign w:val="center"/>
          </w:tcPr>
          <w:p w14:paraId="6C94F74C"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20.12.2017</w:t>
            </w:r>
          </w:p>
        </w:tc>
        <w:tc>
          <w:tcPr>
            <w:tcW w:w="160" w:type="dxa"/>
            <w:tcBorders>
              <w:top w:val="nil"/>
              <w:left w:val="nil"/>
              <w:bottom w:val="nil"/>
              <w:right w:val="nil"/>
            </w:tcBorders>
            <w:shd w:val="clear" w:color="auto" w:fill="auto"/>
            <w:noWrap/>
            <w:vAlign w:val="center"/>
          </w:tcPr>
          <w:p w14:paraId="29E0079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14:paraId="128FCB6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2016-1</w:t>
            </w:r>
          </w:p>
        </w:tc>
        <w:tc>
          <w:tcPr>
            <w:tcW w:w="146" w:type="dxa"/>
            <w:tcBorders>
              <w:top w:val="nil"/>
              <w:left w:val="nil"/>
              <w:bottom w:val="nil"/>
              <w:right w:val="nil"/>
            </w:tcBorders>
            <w:shd w:val="clear" w:color="auto" w:fill="auto"/>
            <w:noWrap/>
            <w:vAlign w:val="center"/>
          </w:tcPr>
          <w:p w14:paraId="317AF3F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54EDA0B2" w14:textId="77777777"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99.017,29</w:t>
            </w:r>
          </w:p>
        </w:tc>
        <w:tc>
          <w:tcPr>
            <w:tcW w:w="146" w:type="dxa"/>
            <w:tcBorders>
              <w:top w:val="nil"/>
              <w:left w:val="nil"/>
              <w:bottom w:val="nil"/>
              <w:right w:val="nil"/>
            </w:tcBorders>
            <w:shd w:val="clear" w:color="auto" w:fill="auto"/>
            <w:noWrap/>
            <w:vAlign w:val="center"/>
          </w:tcPr>
          <w:p w14:paraId="3B3AAA53"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14:paraId="54A50DF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14:paraId="5B149D95"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14:paraId="40EE3E76"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2.500</w:t>
            </w:r>
          </w:p>
        </w:tc>
        <w:tc>
          <w:tcPr>
            <w:tcW w:w="160" w:type="dxa"/>
            <w:tcBorders>
              <w:top w:val="nil"/>
              <w:left w:val="nil"/>
              <w:bottom w:val="nil"/>
              <w:right w:val="nil"/>
            </w:tcBorders>
            <w:shd w:val="clear" w:color="auto" w:fill="auto"/>
            <w:noWrap/>
            <w:vAlign w:val="center"/>
          </w:tcPr>
          <w:p w14:paraId="0EDF0CD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14:paraId="1DFC2AA9" w14:textId="77777777"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81" w:type="dxa"/>
            <w:tcBorders>
              <w:top w:val="nil"/>
              <w:left w:val="nil"/>
              <w:bottom w:val="single" w:sz="8" w:space="0" w:color="7030A0"/>
              <w:right w:val="nil"/>
            </w:tcBorders>
            <w:shd w:val="clear" w:color="auto" w:fill="auto"/>
            <w:vAlign w:val="center"/>
          </w:tcPr>
          <w:p w14:paraId="6DFD62B8"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14:paraId="2CC11811"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14:paraId="06C51B5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52B5D5C8" w14:textId="77777777"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46" w:type="dxa"/>
            <w:tcBorders>
              <w:top w:val="nil"/>
              <w:left w:val="nil"/>
              <w:bottom w:val="nil"/>
              <w:right w:val="nil"/>
            </w:tcBorders>
            <w:shd w:val="clear" w:color="auto" w:fill="auto"/>
            <w:noWrap/>
            <w:vAlign w:val="center"/>
          </w:tcPr>
          <w:p w14:paraId="24D72DF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14:paraId="6E0AAA60"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72E03C73" w14:textId="77777777" w:rsidTr="00D1541A">
        <w:trPr>
          <w:trHeight w:val="396"/>
        </w:trPr>
        <w:tc>
          <w:tcPr>
            <w:tcW w:w="1427" w:type="dxa"/>
            <w:tcBorders>
              <w:top w:val="nil"/>
              <w:left w:val="nil"/>
              <w:bottom w:val="single" w:sz="8" w:space="0" w:color="7030A0"/>
              <w:right w:val="nil"/>
            </w:tcBorders>
            <w:shd w:val="clear" w:color="auto" w:fill="auto"/>
            <w:vAlign w:val="center"/>
          </w:tcPr>
          <w:p w14:paraId="203A462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14.02.2018</w:t>
            </w:r>
          </w:p>
        </w:tc>
        <w:tc>
          <w:tcPr>
            <w:tcW w:w="160" w:type="dxa"/>
            <w:tcBorders>
              <w:top w:val="nil"/>
              <w:left w:val="nil"/>
              <w:bottom w:val="nil"/>
              <w:right w:val="nil"/>
            </w:tcBorders>
            <w:shd w:val="clear" w:color="auto" w:fill="auto"/>
            <w:noWrap/>
            <w:vAlign w:val="center"/>
          </w:tcPr>
          <w:p w14:paraId="76A210F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14:paraId="4270F865"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BCE-2016-1</w:t>
            </w:r>
          </w:p>
        </w:tc>
        <w:tc>
          <w:tcPr>
            <w:tcW w:w="146" w:type="dxa"/>
            <w:tcBorders>
              <w:top w:val="nil"/>
              <w:left w:val="nil"/>
              <w:bottom w:val="nil"/>
              <w:right w:val="nil"/>
            </w:tcBorders>
            <w:shd w:val="clear" w:color="auto" w:fill="auto"/>
            <w:noWrap/>
            <w:vAlign w:val="center"/>
          </w:tcPr>
          <w:p w14:paraId="02F6048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331752C1" w14:textId="77777777"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46" w:type="dxa"/>
            <w:tcBorders>
              <w:top w:val="nil"/>
              <w:left w:val="nil"/>
              <w:bottom w:val="nil"/>
              <w:right w:val="nil"/>
            </w:tcBorders>
            <w:shd w:val="clear" w:color="auto" w:fill="auto"/>
            <w:noWrap/>
            <w:vAlign w:val="center"/>
          </w:tcPr>
          <w:p w14:paraId="20CE8F0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14:paraId="2F52EDDE"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14:paraId="1B7C391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14:paraId="07A5E55F"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w:t>
            </w:r>
          </w:p>
        </w:tc>
        <w:tc>
          <w:tcPr>
            <w:tcW w:w="160" w:type="dxa"/>
            <w:tcBorders>
              <w:top w:val="nil"/>
              <w:left w:val="nil"/>
              <w:bottom w:val="nil"/>
              <w:right w:val="nil"/>
            </w:tcBorders>
            <w:shd w:val="clear" w:color="auto" w:fill="auto"/>
            <w:noWrap/>
            <w:vAlign w:val="center"/>
          </w:tcPr>
          <w:p w14:paraId="025D16BA"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14:paraId="483D8D4D" w14:textId="77777777"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9.904.230</w:t>
            </w:r>
          </w:p>
        </w:tc>
        <w:tc>
          <w:tcPr>
            <w:tcW w:w="181" w:type="dxa"/>
            <w:tcBorders>
              <w:top w:val="nil"/>
              <w:left w:val="nil"/>
              <w:bottom w:val="single" w:sz="8" w:space="0" w:color="7030A0"/>
              <w:right w:val="nil"/>
            </w:tcBorders>
            <w:shd w:val="clear" w:color="auto" w:fill="auto"/>
            <w:vAlign w:val="center"/>
          </w:tcPr>
          <w:p w14:paraId="7C62917F"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14:paraId="6C74B3C3"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14:paraId="54213F2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1A80394C"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99.042,30</w:t>
            </w:r>
          </w:p>
        </w:tc>
        <w:tc>
          <w:tcPr>
            <w:tcW w:w="146" w:type="dxa"/>
            <w:tcBorders>
              <w:top w:val="nil"/>
              <w:left w:val="nil"/>
              <w:bottom w:val="nil"/>
              <w:right w:val="nil"/>
            </w:tcBorders>
            <w:shd w:val="clear" w:color="auto" w:fill="auto"/>
            <w:noWrap/>
            <w:vAlign w:val="center"/>
          </w:tcPr>
          <w:p w14:paraId="4422DDB1"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14:paraId="089FBB47"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0EF1A485" w14:textId="77777777" w:rsidTr="00D1541A">
        <w:trPr>
          <w:trHeight w:val="396"/>
        </w:trPr>
        <w:tc>
          <w:tcPr>
            <w:tcW w:w="1427" w:type="dxa"/>
            <w:tcBorders>
              <w:top w:val="nil"/>
              <w:left w:val="nil"/>
              <w:bottom w:val="single" w:sz="8" w:space="0" w:color="7030A0"/>
              <w:right w:val="nil"/>
            </w:tcBorders>
            <w:shd w:val="clear" w:color="auto" w:fill="auto"/>
            <w:vAlign w:val="center"/>
          </w:tcPr>
          <w:p w14:paraId="1F7C07AF"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20.03.2018</w:t>
            </w:r>
          </w:p>
        </w:tc>
        <w:tc>
          <w:tcPr>
            <w:tcW w:w="160" w:type="dxa"/>
            <w:tcBorders>
              <w:top w:val="nil"/>
              <w:left w:val="nil"/>
              <w:bottom w:val="nil"/>
              <w:right w:val="nil"/>
            </w:tcBorders>
            <w:shd w:val="clear" w:color="auto" w:fill="auto"/>
            <w:noWrap/>
            <w:vAlign w:val="center"/>
          </w:tcPr>
          <w:p w14:paraId="743F7A72"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14:paraId="42495842"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2014-2</w:t>
            </w:r>
          </w:p>
        </w:tc>
        <w:tc>
          <w:tcPr>
            <w:tcW w:w="146" w:type="dxa"/>
            <w:tcBorders>
              <w:top w:val="nil"/>
              <w:left w:val="nil"/>
              <w:bottom w:val="nil"/>
              <w:right w:val="nil"/>
            </w:tcBorders>
            <w:shd w:val="clear" w:color="auto" w:fill="auto"/>
            <w:noWrap/>
            <w:vAlign w:val="center"/>
          </w:tcPr>
          <w:p w14:paraId="12CBA4B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297B8216" w14:textId="77777777"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99.042,30</w:t>
            </w:r>
          </w:p>
        </w:tc>
        <w:tc>
          <w:tcPr>
            <w:tcW w:w="146" w:type="dxa"/>
            <w:tcBorders>
              <w:top w:val="nil"/>
              <w:left w:val="nil"/>
              <w:bottom w:val="nil"/>
              <w:right w:val="nil"/>
            </w:tcBorders>
            <w:shd w:val="clear" w:color="auto" w:fill="auto"/>
            <w:noWrap/>
            <w:vAlign w:val="center"/>
          </w:tcPr>
          <w:p w14:paraId="023A4BE8"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14:paraId="117EA27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14:paraId="422B0533"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14:paraId="077343D5"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60" w:type="dxa"/>
            <w:tcBorders>
              <w:top w:val="nil"/>
              <w:left w:val="nil"/>
              <w:bottom w:val="nil"/>
              <w:right w:val="nil"/>
            </w:tcBorders>
            <w:shd w:val="clear" w:color="auto" w:fill="auto"/>
            <w:noWrap/>
            <w:vAlign w:val="center"/>
          </w:tcPr>
          <w:p w14:paraId="6BFDEEB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14:paraId="07BC9085" w14:textId="77777777"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9.944.230</w:t>
            </w:r>
          </w:p>
        </w:tc>
        <w:tc>
          <w:tcPr>
            <w:tcW w:w="181" w:type="dxa"/>
            <w:tcBorders>
              <w:top w:val="nil"/>
              <w:left w:val="nil"/>
              <w:bottom w:val="single" w:sz="8" w:space="0" w:color="7030A0"/>
              <w:right w:val="nil"/>
            </w:tcBorders>
            <w:shd w:val="clear" w:color="auto" w:fill="auto"/>
            <w:vAlign w:val="center"/>
          </w:tcPr>
          <w:p w14:paraId="6800F948"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14:paraId="08683D7D"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14:paraId="220BA15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14:paraId="3338E0D8"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99.442,30</w:t>
            </w:r>
          </w:p>
        </w:tc>
        <w:tc>
          <w:tcPr>
            <w:tcW w:w="146" w:type="dxa"/>
            <w:tcBorders>
              <w:top w:val="nil"/>
              <w:left w:val="nil"/>
              <w:bottom w:val="nil"/>
              <w:right w:val="nil"/>
            </w:tcBorders>
            <w:shd w:val="clear" w:color="auto" w:fill="auto"/>
            <w:noWrap/>
            <w:vAlign w:val="center"/>
          </w:tcPr>
          <w:p w14:paraId="28168354"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14:paraId="02B90496"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14:paraId="70A61BFE" w14:textId="77777777" w:rsidTr="00D1541A">
        <w:trPr>
          <w:trHeight w:val="396"/>
        </w:trPr>
        <w:tc>
          <w:tcPr>
            <w:tcW w:w="1427" w:type="dxa"/>
            <w:tcBorders>
              <w:top w:val="nil"/>
              <w:left w:val="nil"/>
              <w:bottom w:val="single" w:sz="4" w:space="0" w:color="7030A0"/>
              <w:right w:val="nil"/>
            </w:tcBorders>
            <w:shd w:val="clear" w:color="auto" w:fill="auto"/>
            <w:vAlign w:val="center"/>
          </w:tcPr>
          <w:p w14:paraId="6741345E"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20.03.2018</w:t>
            </w:r>
          </w:p>
        </w:tc>
        <w:tc>
          <w:tcPr>
            <w:tcW w:w="160" w:type="dxa"/>
            <w:tcBorders>
              <w:top w:val="nil"/>
              <w:left w:val="nil"/>
              <w:bottom w:val="single" w:sz="4" w:space="0" w:color="7030A0"/>
              <w:right w:val="nil"/>
            </w:tcBorders>
            <w:shd w:val="clear" w:color="auto" w:fill="auto"/>
            <w:noWrap/>
            <w:vAlign w:val="center"/>
          </w:tcPr>
          <w:p w14:paraId="4B82F7E1"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4" w:space="0" w:color="7030A0"/>
              <w:right w:val="nil"/>
            </w:tcBorders>
            <w:shd w:val="clear" w:color="auto" w:fill="auto"/>
            <w:vAlign w:val="center"/>
          </w:tcPr>
          <w:p w14:paraId="7A6C44A2"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2016-1</w:t>
            </w:r>
          </w:p>
        </w:tc>
        <w:tc>
          <w:tcPr>
            <w:tcW w:w="146" w:type="dxa"/>
            <w:tcBorders>
              <w:top w:val="nil"/>
              <w:left w:val="nil"/>
              <w:bottom w:val="single" w:sz="4" w:space="0" w:color="7030A0"/>
              <w:right w:val="nil"/>
            </w:tcBorders>
            <w:shd w:val="clear" w:color="auto" w:fill="auto"/>
            <w:noWrap/>
            <w:vAlign w:val="center"/>
          </w:tcPr>
          <w:p w14:paraId="2691E926"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4" w:space="0" w:color="7030A0"/>
              <w:right w:val="nil"/>
            </w:tcBorders>
            <w:shd w:val="clear" w:color="auto" w:fill="auto"/>
            <w:vAlign w:val="center"/>
          </w:tcPr>
          <w:p w14:paraId="46AA18AB"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99.042,30</w:t>
            </w:r>
          </w:p>
        </w:tc>
        <w:tc>
          <w:tcPr>
            <w:tcW w:w="146" w:type="dxa"/>
            <w:tcBorders>
              <w:top w:val="nil"/>
              <w:left w:val="nil"/>
              <w:bottom w:val="single" w:sz="4" w:space="0" w:color="7030A0"/>
              <w:right w:val="nil"/>
            </w:tcBorders>
            <w:shd w:val="clear" w:color="auto" w:fill="auto"/>
            <w:noWrap/>
            <w:vAlign w:val="center"/>
          </w:tcPr>
          <w:p w14:paraId="0681250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4" w:space="0" w:color="7030A0"/>
              <w:right w:val="nil"/>
            </w:tcBorders>
            <w:shd w:val="clear" w:color="auto" w:fill="auto"/>
            <w:vAlign w:val="center"/>
          </w:tcPr>
          <w:p w14:paraId="2375326A"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single" w:sz="4" w:space="0" w:color="7030A0"/>
              <w:right w:val="nil"/>
            </w:tcBorders>
            <w:shd w:val="clear" w:color="auto" w:fill="auto"/>
            <w:noWrap/>
            <w:vAlign w:val="center"/>
          </w:tcPr>
          <w:p w14:paraId="621BD5F0"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4" w:space="0" w:color="7030A0"/>
              <w:right w:val="nil"/>
            </w:tcBorders>
            <w:shd w:val="clear" w:color="auto" w:fill="auto"/>
            <w:vAlign w:val="center"/>
          </w:tcPr>
          <w:p w14:paraId="60EB3253"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w:t>
            </w:r>
          </w:p>
        </w:tc>
        <w:tc>
          <w:tcPr>
            <w:tcW w:w="160" w:type="dxa"/>
            <w:tcBorders>
              <w:top w:val="nil"/>
              <w:left w:val="nil"/>
              <w:bottom w:val="single" w:sz="4" w:space="0" w:color="7030A0"/>
              <w:right w:val="nil"/>
            </w:tcBorders>
            <w:shd w:val="clear" w:color="auto" w:fill="auto"/>
            <w:noWrap/>
            <w:vAlign w:val="center"/>
          </w:tcPr>
          <w:p w14:paraId="39F687B3"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4" w:space="0" w:color="7030A0"/>
              <w:right w:val="nil"/>
            </w:tcBorders>
            <w:shd w:val="clear" w:color="auto" w:fill="auto"/>
            <w:vAlign w:val="center"/>
          </w:tcPr>
          <w:p w14:paraId="41C0A6EF"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9.944.231</w:t>
            </w:r>
          </w:p>
        </w:tc>
        <w:tc>
          <w:tcPr>
            <w:tcW w:w="181" w:type="dxa"/>
            <w:tcBorders>
              <w:top w:val="nil"/>
              <w:left w:val="nil"/>
              <w:bottom w:val="single" w:sz="4" w:space="0" w:color="7030A0"/>
              <w:right w:val="nil"/>
            </w:tcBorders>
            <w:shd w:val="clear" w:color="auto" w:fill="auto"/>
            <w:vAlign w:val="center"/>
          </w:tcPr>
          <w:p w14:paraId="16D0EE8D"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4" w:space="0" w:color="7030A0"/>
              <w:right w:val="nil"/>
            </w:tcBorders>
            <w:shd w:val="clear" w:color="auto" w:fill="auto"/>
            <w:vAlign w:val="center"/>
          </w:tcPr>
          <w:p w14:paraId="685C54E3"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single" w:sz="4" w:space="0" w:color="7030A0"/>
              <w:right w:val="nil"/>
            </w:tcBorders>
            <w:shd w:val="clear" w:color="auto" w:fill="auto"/>
            <w:noWrap/>
            <w:vAlign w:val="center"/>
          </w:tcPr>
          <w:p w14:paraId="3931751D"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4" w:space="0" w:color="7030A0"/>
              <w:right w:val="nil"/>
            </w:tcBorders>
            <w:shd w:val="clear" w:color="auto" w:fill="auto"/>
            <w:vAlign w:val="center"/>
          </w:tcPr>
          <w:p w14:paraId="39669B8C" w14:textId="77777777"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99.442,31</w:t>
            </w:r>
          </w:p>
        </w:tc>
        <w:tc>
          <w:tcPr>
            <w:tcW w:w="146" w:type="dxa"/>
            <w:tcBorders>
              <w:top w:val="nil"/>
              <w:left w:val="nil"/>
              <w:bottom w:val="single" w:sz="4" w:space="0" w:color="7030A0"/>
              <w:right w:val="nil"/>
            </w:tcBorders>
            <w:shd w:val="clear" w:color="auto" w:fill="auto"/>
            <w:noWrap/>
            <w:vAlign w:val="center"/>
          </w:tcPr>
          <w:p w14:paraId="306A24AC" w14:textId="77777777"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4" w:space="0" w:color="7030A0"/>
              <w:right w:val="nil"/>
            </w:tcBorders>
            <w:shd w:val="clear" w:color="auto" w:fill="auto"/>
            <w:vAlign w:val="center"/>
          </w:tcPr>
          <w:p w14:paraId="730DBA04" w14:textId="77777777"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bl>
    <w:p w14:paraId="2F8CD8E2" w14:textId="77777777" w:rsidR="00B740A8" w:rsidRPr="00C73365" w:rsidRDefault="00B740A8" w:rsidP="00B740A8">
      <w:pPr>
        <w:rPr>
          <w:rFonts w:asciiTheme="minorHAnsi" w:hAnsiTheme="minorHAnsi" w:cstheme="minorHAnsi"/>
          <w:b/>
          <w:color w:val="7030A0"/>
          <w:lang w:val="fr-FR"/>
        </w:rPr>
      </w:pPr>
    </w:p>
    <w:p w14:paraId="49692873"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Répartition du capital et des droits de vote de la Société : </w:t>
      </w:r>
    </w:p>
    <w:p w14:paraId="62418F27"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Se reporter au tableau figurant à la section 18.1.</w:t>
      </w:r>
    </w:p>
    <w:p w14:paraId="081DC109" w14:textId="77777777" w:rsidR="00B740A8" w:rsidRPr="00C73365" w:rsidRDefault="00B740A8" w:rsidP="00B740A8">
      <w:pPr>
        <w:rPr>
          <w:rFonts w:asciiTheme="minorHAnsi" w:hAnsiTheme="minorHAnsi" w:cstheme="minorHAnsi"/>
          <w:szCs w:val="22"/>
          <w:lang w:val="fr-FR"/>
        </w:rPr>
      </w:pPr>
    </w:p>
    <w:p w14:paraId="78831F07" w14:textId="77777777" w:rsidR="00B740A8" w:rsidRPr="00C73365" w:rsidRDefault="00B740A8" w:rsidP="00434C49">
      <w:pPr>
        <w:pStyle w:val="ConmainL2"/>
        <w:numPr>
          <w:ilvl w:val="1"/>
          <w:numId w:val="102"/>
        </w:numPr>
        <w:rPr>
          <w:rFonts w:asciiTheme="minorHAnsi" w:hAnsiTheme="minorHAnsi" w:cstheme="minorHAnsi"/>
          <w:sz w:val="22"/>
          <w:szCs w:val="22"/>
          <w:lang w:val="fr-FR"/>
        </w:rPr>
      </w:pPr>
      <w:bookmarkStart w:id="1579" w:name="_Toc510548486"/>
      <w:bookmarkStart w:id="1580" w:name="_Toc401594145"/>
      <w:bookmarkStart w:id="1581" w:name="_Toc462673305"/>
      <w:bookmarkStart w:id="1582" w:name="_Toc467835654"/>
      <w:bookmarkStart w:id="1583" w:name="_Toc482695330"/>
      <w:r w:rsidRPr="00C73365">
        <w:rPr>
          <w:rFonts w:asciiTheme="minorHAnsi" w:hAnsiTheme="minorHAnsi" w:cstheme="minorHAnsi"/>
          <w:sz w:val="22"/>
          <w:szCs w:val="22"/>
          <w:lang w:val="fr-FR"/>
        </w:rPr>
        <w:t>Eléments susceptibles d’avoir une incidence en cas d’offre publique</w:t>
      </w:r>
      <w:bookmarkEnd w:id="1579"/>
    </w:p>
    <w:p w14:paraId="594A488D" w14:textId="77777777" w:rsidR="00B740A8" w:rsidRPr="00C73365" w:rsidRDefault="00B740A8" w:rsidP="004572A0">
      <w:pPr>
        <w:pStyle w:val="Listecontinue"/>
        <w:rPr>
          <w:rFonts w:asciiTheme="minorHAnsi" w:eastAsia="Calibri" w:hAnsiTheme="minorHAnsi" w:cstheme="minorHAnsi"/>
          <w:lang w:val="fr-FR"/>
        </w:rPr>
      </w:pPr>
      <w:r w:rsidRPr="00C73365">
        <w:rPr>
          <w:rFonts w:asciiTheme="minorHAnsi" w:eastAsia="Calibri" w:hAnsiTheme="minorHAnsi" w:cstheme="minorHAnsi"/>
          <w:lang w:val="fr-FR"/>
        </w:rPr>
        <w:t>Les éléments susceptibles d’avoir une incidence en cas d’offre publique sont exposés et expliqués conformément aux dispositions de l’article L. 225-37-5 du Code de commerce.</w:t>
      </w:r>
    </w:p>
    <w:p w14:paraId="11CE308D"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84" w:name="_Toc480795837"/>
      <w:r w:rsidRPr="00C73365">
        <w:rPr>
          <w:rFonts w:asciiTheme="minorHAnsi" w:hAnsiTheme="minorHAnsi" w:cstheme="minorHAnsi"/>
          <w:b/>
          <w:color w:val="7030A0"/>
          <w:lang w:val="fr-FR"/>
        </w:rPr>
        <w:t>Structure du capital de la Société</w:t>
      </w:r>
      <w:bookmarkEnd w:id="1584"/>
    </w:p>
    <w:p w14:paraId="2E295735" w14:textId="77777777" w:rsidR="00B740A8" w:rsidRPr="00C73365" w:rsidRDefault="00B740A8" w:rsidP="004572A0">
      <w:pPr>
        <w:pStyle w:val="Corpsdetexte"/>
        <w:rPr>
          <w:rFonts w:asciiTheme="minorHAnsi" w:eastAsiaTheme="minorHAnsi" w:hAnsiTheme="minorHAnsi" w:cstheme="minorHAnsi"/>
          <w:b/>
          <w:highlight w:val="green"/>
          <w:lang w:val="fr-FR"/>
        </w:rPr>
      </w:pPr>
      <w:r w:rsidRPr="00C73365">
        <w:rPr>
          <w:rFonts w:asciiTheme="minorHAnsi" w:hAnsiTheme="minorHAnsi" w:cstheme="minorHAnsi"/>
          <w:lang w:val="fr-FR"/>
        </w:rPr>
        <w:t>La structure du capital de la Société est décrite à la section 18.1 du présent document de référence.</w:t>
      </w:r>
    </w:p>
    <w:p w14:paraId="030358C2"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Restrictions statutaires à l’exercice des droits de vote et aux transferts d’actions ou les clauses portées à la connaissance de la Société en application de l’article L. 233-11 du Code de commerce</w:t>
      </w:r>
    </w:p>
    <w:p w14:paraId="3270CF69" w14:textId="77777777" w:rsidR="00B740A8" w:rsidRPr="00C73365" w:rsidRDefault="00B740A8" w:rsidP="004572A0">
      <w:pPr>
        <w:pStyle w:val="Corpsdetexte"/>
        <w:rPr>
          <w:rFonts w:asciiTheme="minorHAnsi" w:eastAsiaTheme="minorHAnsi" w:hAnsiTheme="minorHAnsi" w:cstheme="minorHAnsi"/>
        </w:rPr>
      </w:pPr>
      <w:r w:rsidRPr="00C73365">
        <w:rPr>
          <w:rFonts w:asciiTheme="minorHAnsi" w:eastAsiaTheme="minorHAnsi" w:hAnsiTheme="minorHAnsi" w:cstheme="minorHAnsi"/>
        </w:rPr>
        <w:t>Sans objet.</w:t>
      </w:r>
    </w:p>
    <w:p w14:paraId="2CD1CD2F"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Participations directes ou indirectes dans le capital de la Société dont elle a connaissance en vertu des articles L. 233-7 et L. 233-12 du Code de commerce</w:t>
      </w:r>
    </w:p>
    <w:p w14:paraId="07B94CFC" w14:textId="77777777" w:rsidR="00B740A8" w:rsidRPr="00C73365" w:rsidRDefault="00B740A8"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Les participations directes ou indirectes dans le capital dont la Société a connaissance en vertu des articles L. 233-7 (déclaration de franchissement de seuils) et L. 233-12 du Code de commerce sont décrites à la section 18.1 du présent document de référence.</w:t>
      </w:r>
    </w:p>
    <w:p w14:paraId="6ACB08E8"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Liste des détenteurs de tous titres comportant des droits de contrôle spéciaux et description de ceux-ci</w:t>
      </w:r>
    </w:p>
    <w:p w14:paraId="0A219050" w14:textId="77777777" w:rsidR="00B740A8" w:rsidRPr="00C73365" w:rsidRDefault="00B740A8"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 xml:space="preserve">La Société n’a pas connaissance de l’existence de droits de contrôle spéciaux. </w:t>
      </w:r>
    </w:p>
    <w:p w14:paraId="44AA136C"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Mécanismes de contrôle prévus dans un éventuel système d’actionnariat du personnel, quand les droits de contrôle ne sont pas exercés par ce dernier</w:t>
      </w:r>
    </w:p>
    <w:p w14:paraId="4BB7DF37" w14:textId="77777777" w:rsidR="00B740A8" w:rsidRPr="00C73365" w:rsidRDefault="00B740A8"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 xml:space="preserve">La Société n’a pas mis en place de système d’actionnariat du personnel susceptible de contenir des mécanismes de contrôle lorsque les droits de contrôle ne sont pas exercés par le personnel. </w:t>
      </w:r>
    </w:p>
    <w:p w14:paraId="67FB17AC" w14:textId="77777777" w:rsidR="00B740A8" w:rsidRPr="00C73365" w:rsidRDefault="00F225DC" w:rsidP="00434C49">
      <w:pPr>
        <w:pStyle w:val="ConmainL3"/>
        <w:numPr>
          <w:ilvl w:val="2"/>
          <w:numId w:val="102"/>
        </w:numPr>
        <w:ind w:left="1440"/>
        <w:rPr>
          <w:rFonts w:asciiTheme="minorHAnsi" w:hAnsiTheme="minorHAnsi" w:cstheme="minorHAnsi"/>
          <w:b/>
          <w:color w:val="7030A0"/>
          <w:lang w:val="fr-FR"/>
        </w:rPr>
      </w:pPr>
      <w:hyperlink w:anchor="_Toc480795842" w:history="1">
        <w:r w:rsidR="00B740A8" w:rsidRPr="00C73365">
          <w:rPr>
            <w:rFonts w:asciiTheme="minorHAnsi" w:hAnsiTheme="minorHAnsi" w:cstheme="minorHAnsi"/>
            <w:b/>
            <w:color w:val="7030A0"/>
            <w:lang w:val="fr-FR"/>
          </w:rPr>
          <w:t>Accords</w:t>
        </w:r>
      </w:hyperlink>
      <w:r w:rsidR="00B740A8" w:rsidRPr="00C73365">
        <w:rPr>
          <w:rFonts w:asciiTheme="minorHAnsi" w:hAnsiTheme="minorHAnsi" w:cstheme="minorHAnsi"/>
          <w:b/>
          <w:color w:val="7030A0"/>
          <w:lang w:val="fr-FR"/>
        </w:rPr>
        <w:t xml:space="preserve"> entre actionnaires dont la Société a connaissance qui peuvent entraîner des restrictions au transfert d</w:t>
      </w:r>
      <w:r w:rsidR="004572A0" w:rsidRPr="00C73365">
        <w:rPr>
          <w:rFonts w:asciiTheme="minorHAnsi" w:hAnsiTheme="minorHAnsi" w:cstheme="minorHAnsi"/>
          <w:b/>
          <w:color w:val="7030A0"/>
          <w:lang w:val="fr-FR"/>
        </w:rPr>
        <w:t>’</w:t>
      </w:r>
      <w:r w:rsidR="00B740A8" w:rsidRPr="00C73365">
        <w:rPr>
          <w:rFonts w:asciiTheme="minorHAnsi" w:hAnsiTheme="minorHAnsi" w:cstheme="minorHAnsi"/>
          <w:b/>
          <w:color w:val="7030A0"/>
          <w:lang w:val="fr-FR"/>
        </w:rPr>
        <w:t>actions et à l</w:t>
      </w:r>
      <w:r w:rsidR="004572A0" w:rsidRPr="00C73365">
        <w:rPr>
          <w:rFonts w:asciiTheme="minorHAnsi" w:hAnsiTheme="minorHAnsi" w:cstheme="minorHAnsi"/>
          <w:b/>
          <w:color w:val="7030A0"/>
          <w:lang w:val="fr-FR"/>
        </w:rPr>
        <w:t>’</w:t>
      </w:r>
      <w:r w:rsidR="00B740A8" w:rsidRPr="00C73365">
        <w:rPr>
          <w:rFonts w:asciiTheme="minorHAnsi" w:hAnsiTheme="minorHAnsi" w:cstheme="minorHAnsi"/>
          <w:b/>
          <w:color w:val="7030A0"/>
          <w:lang w:val="fr-FR"/>
        </w:rPr>
        <w:t>exercice des droits de vote</w:t>
      </w:r>
    </w:p>
    <w:p w14:paraId="26C80165" w14:textId="77777777" w:rsidR="00B740A8" w:rsidRPr="00C73365" w:rsidRDefault="00B740A8"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Sans objet.</w:t>
      </w:r>
    </w:p>
    <w:p w14:paraId="61EA4659"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Règles applicables à la nomination et au remplacement des membres du conseil d’administration ainsi qu’à la modification des statuts</w:t>
      </w:r>
    </w:p>
    <w:p w14:paraId="7399A92F" w14:textId="77777777" w:rsidR="00B740A8" w:rsidRPr="00C73365" w:rsidRDefault="00B740A8"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Les règles applicables en cette matière sont statutaires et sont conformes à la loi et à la règlementation en vigueur.</w:t>
      </w:r>
    </w:p>
    <w:p w14:paraId="68FC5CA5"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Pouvoirs du conseil d’administration, en particulier en ce qui concerne l’émission ou le rachat d’actions</w:t>
      </w:r>
    </w:p>
    <w:p w14:paraId="347B076D" w14:textId="77777777" w:rsidR="00B740A8" w:rsidRPr="00C73365" w:rsidRDefault="00B740A8" w:rsidP="004572A0">
      <w:pPr>
        <w:pStyle w:val="Corpsdetexte"/>
        <w:rPr>
          <w:rFonts w:asciiTheme="minorHAnsi" w:hAnsiTheme="minorHAnsi" w:cstheme="minorHAnsi"/>
          <w:lang w:val="fr-FR" w:eastAsia="fr-FR"/>
        </w:rPr>
      </w:pPr>
      <w:r w:rsidRPr="00C73365">
        <w:rPr>
          <w:rFonts w:asciiTheme="minorHAnsi" w:hAnsiTheme="minorHAnsi" w:cstheme="minorHAnsi"/>
          <w:lang w:val="fr-FR" w:eastAsia="fr-FR"/>
        </w:rPr>
        <w:t xml:space="preserve">Les renseignements sur les délégations de compétence figurent au paragraphe 21.1.5 du présent document de référence. </w:t>
      </w:r>
    </w:p>
    <w:p w14:paraId="6ED8A022"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Accords conclus par la Société qui sont modifiés ou prennent fin en cas de changement de contrôle de la Société</w:t>
      </w:r>
    </w:p>
    <w:p w14:paraId="078439C2" w14:textId="77777777" w:rsidR="00402C7C" w:rsidRPr="001D15EF" w:rsidRDefault="00A5021C" w:rsidP="004572A0">
      <w:pPr>
        <w:pStyle w:val="Corpsdetexte"/>
        <w:rPr>
          <w:rFonts w:asciiTheme="minorHAnsi" w:hAnsiTheme="minorHAnsi" w:cstheme="minorHAnsi"/>
          <w:lang w:val="fr-FR"/>
        </w:rPr>
      </w:pPr>
      <w:bookmarkStart w:id="1585" w:name="_Hlk510193236"/>
      <w:r w:rsidRPr="001D15EF">
        <w:rPr>
          <w:rFonts w:asciiTheme="minorHAnsi" w:hAnsiTheme="minorHAnsi" w:cstheme="minorHAnsi"/>
          <w:lang w:val="fr-FR"/>
        </w:rPr>
        <w:t>La Société a conclu certains accords qui peuvent prévoir le cas échéant des stipulations applicables en cas de changement de contrôle de la Société</w:t>
      </w:r>
      <w:r w:rsidR="00402C7C" w:rsidRPr="001D15EF">
        <w:rPr>
          <w:rFonts w:asciiTheme="minorHAnsi" w:hAnsiTheme="minorHAnsi" w:cstheme="minorHAnsi"/>
          <w:lang w:val="fr-FR"/>
        </w:rPr>
        <w:t>.</w:t>
      </w:r>
    </w:p>
    <w:bookmarkEnd w:id="1585"/>
    <w:p w14:paraId="76A86F43" w14:textId="77777777" w:rsidR="00B740A8" w:rsidRPr="00C73365" w:rsidRDefault="00B740A8" w:rsidP="004572A0">
      <w:pPr>
        <w:pStyle w:val="Corpsdetexte"/>
        <w:rPr>
          <w:rFonts w:asciiTheme="minorHAnsi" w:hAnsiTheme="minorHAnsi" w:cstheme="minorHAnsi"/>
          <w:lang w:val="fr-FR"/>
        </w:rPr>
      </w:pPr>
      <w:r w:rsidRPr="001D15EF">
        <w:rPr>
          <w:rFonts w:asciiTheme="minorHAnsi" w:hAnsiTheme="minorHAnsi" w:cstheme="minorHAnsi"/>
          <w:lang w:val="fr-FR"/>
        </w:rPr>
        <w:t>Certains termes et conditions des valeurs mobilières donnant accès au capital comportent également des stipulations tenant à une accélération de la période d’indisponibilité en cas de changement de contrôle de la Société (se référer au paragraphe 21.1.5 du présent document de référence).</w:t>
      </w:r>
      <w:r w:rsidRPr="00C73365">
        <w:rPr>
          <w:rFonts w:asciiTheme="minorHAnsi" w:hAnsiTheme="minorHAnsi" w:cstheme="minorHAnsi"/>
          <w:lang w:val="fr-FR"/>
        </w:rPr>
        <w:t xml:space="preserve"> </w:t>
      </w:r>
    </w:p>
    <w:p w14:paraId="36C1487D" w14:textId="77777777" w:rsidR="00B740A8" w:rsidRPr="00C73365" w:rsidRDefault="00B740A8" w:rsidP="00434C49">
      <w:pPr>
        <w:pStyle w:val="ConmainL2"/>
        <w:numPr>
          <w:ilvl w:val="1"/>
          <w:numId w:val="102"/>
        </w:numPr>
        <w:rPr>
          <w:rFonts w:asciiTheme="minorHAnsi" w:hAnsiTheme="minorHAnsi" w:cstheme="minorHAnsi"/>
          <w:sz w:val="22"/>
          <w:szCs w:val="22"/>
          <w:lang w:val="fr-FR"/>
        </w:rPr>
      </w:pPr>
      <w:bookmarkStart w:id="1586" w:name="_Toc510548487"/>
      <w:r w:rsidRPr="00C73365">
        <w:rPr>
          <w:rFonts w:asciiTheme="minorHAnsi" w:hAnsiTheme="minorHAnsi" w:cstheme="minorHAnsi"/>
          <w:sz w:val="22"/>
          <w:szCs w:val="22"/>
          <w:lang w:val="fr-FR"/>
        </w:rPr>
        <w:t>Acte constitutif et statuts</w:t>
      </w:r>
      <w:bookmarkEnd w:id="1580"/>
      <w:bookmarkEnd w:id="1581"/>
      <w:bookmarkEnd w:id="1582"/>
      <w:bookmarkEnd w:id="1583"/>
      <w:bookmarkEnd w:id="1586"/>
    </w:p>
    <w:p w14:paraId="3006B3A9" w14:textId="77777777" w:rsidR="00B740A8" w:rsidRPr="00C73365" w:rsidRDefault="00B740A8" w:rsidP="00434C49">
      <w:pPr>
        <w:pStyle w:val="ConmainL3"/>
        <w:numPr>
          <w:ilvl w:val="2"/>
          <w:numId w:val="102"/>
        </w:numPr>
        <w:ind w:left="1440"/>
        <w:rPr>
          <w:rFonts w:asciiTheme="minorHAnsi" w:hAnsiTheme="minorHAnsi" w:cstheme="minorHAnsi"/>
          <w:lang w:val="fr-FR"/>
        </w:rPr>
      </w:pPr>
      <w:r w:rsidRPr="00C73365">
        <w:rPr>
          <w:rFonts w:asciiTheme="minorHAnsi" w:hAnsiTheme="minorHAnsi" w:cstheme="minorHAnsi"/>
          <w:lang w:val="fr-FR"/>
        </w:rPr>
        <w:t>Objet social (article 4 des statuts de la Société)</w:t>
      </w:r>
    </w:p>
    <w:p w14:paraId="0C27227B"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La Société a pour objet, directement ou indirectement, en France et à l</w:t>
      </w:r>
      <w:r w:rsidR="004572A0" w:rsidRPr="00C73365">
        <w:rPr>
          <w:rFonts w:asciiTheme="minorHAnsi" w:hAnsiTheme="minorHAnsi" w:cstheme="minorHAnsi"/>
          <w:lang w:val="fr-FR"/>
        </w:rPr>
        <w:t>’</w:t>
      </w:r>
      <w:r w:rsidRPr="00C73365">
        <w:rPr>
          <w:rFonts w:asciiTheme="minorHAnsi" w:hAnsiTheme="minorHAnsi" w:cstheme="minorHAnsi"/>
          <w:lang w:val="fr-FR"/>
        </w:rPr>
        <w:t>étranger :</w:t>
      </w:r>
    </w:p>
    <w:p w14:paraId="5462721E" w14:textId="77777777" w:rsidR="00B740A8" w:rsidRPr="00C73365" w:rsidRDefault="00B740A8" w:rsidP="00434C49">
      <w:pPr>
        <w:pStyle w:val="Paragraphedeliste"/>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de toute activité liée à la recherche, au développement et à la commercialisation de vaccins thérapeutiques et prophylactiques et de petites molécules thérapeutiques ayant des applications principalement dans le domaine anti-infectieux ;</w:t>
      </w:r>
    </w:p>
    <w:p w14:paraId="5FC0D3E5" w14:textId="77777777" w:rsidR="00B740A8" w:rsidRPr="00C73365" w:rsidRDefault="00B740A8" w:rsidP="00434C49">
      <w:pPr>
        <w:pStyle w:val="Paragraphedeliste"/>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acquisition, la souscription, la détention, la gestion ou la cession sous quelque forme que ce soit, de toutes parts sociales et de toutes valeurs mobilières, dans toutes sociétés ou entités juridiques, créées ou à créer, françaises ou étrangères, et plus généralement, la gestion de participations dans le domaine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activité de la Société ;</w:t>
      </w:r>
    </w:p>
    <w:p w14:paraId="038DE0B8" w14:textId="77777777" w:rsidR="00B740A8" w:rsidRPr="00C73365" w:rsidRDefault="00B740A8" w:rsidP="00434C49">
      <w:pPr>
        <w:pStyle w:val="Paragraphedeliste"/>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la participation directe ou indirecte, dans toutes opérations pouvant se rattacher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 quelconque des objets précités, ou de nature à les favoriser, par voie de création de sociétés nouvelles,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apports ou de souscription ou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achat de titres ou de droits sociaux, de fusion,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association, de participation ou autre;</w:t>
      </w:r>
    </w:p>
    <w:p w14:paraId="74F2B53A" w14:textId="77777777" w:rsidR="00B740A8" w:rsidRPr="00C73365" w:rsidRDefault="00B740A8" w:rsidP="00434C49">
      <w:pPr>
        <w:pStyle w:val="Paragraphedeliste"/>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et, plus généralement, toutes opérations mobilières ou immobilières, industrielles, commerciales ou financières se rattachant, directement ou indirectement, à cet objet ou à tous objets similaires ou connexes, ou pouvant être utiles à cet objet ou de nature à en faciliter la réalisation.</w:t>
      </w:r>
    </w:p>
    <w:p w14:paraId="1E1F6FBA" w14:textId="77777777" w:rsidR="00B740A8" w:rsidRPr="00C73365" w:rsidRDefault="00B740A8" w:rsidP="00B740A8">
      <w:pPr>
        <w:rPr>
          <w:rFonts w:asciiTheme="minorHAnsi" w:hAnsiTheme="minorHAnsi" w:cstheme="minorHAnsi"/>
          <w:sz w:val="24"/>
          <w:lang w:val="fr-FR"/>
        </w:rPr>
      </w:pPr>
    </w:p>
    <w:p w14:paraId="370DFD93" w14:textId="77777777" w:rsidR="00B740A8" w:rsidRPr="00C73365" w:rsidRDefault="00B740A8" w:rsidP="00434C49">
      <w:pPr>
        <w:pStyle w:val="ConmainL3"/>
        <w:numPr>
          <w:ilvl w:val="2"/>
          <w:numId w:val="102"/>
        </w:numPr>
        <w:ind w:left="1440"/>
        <w:rPr>
          <w:rFonts w:asciiTheme="minorHAnsi" w:hAnsiTheme="minorHAnsi" w:cstheme="minorHAnsi"/>
          <w:lang w:val="fr-FR"/>
        </w:rPr>
      </w:pPr>
      <w:r w:rsidRPr="00C73365">
        <w:rPr>
          <w:rFonts w:asciiTheme="minorHAnsi" w:hAnsiTheme="minorHAnsi" w:cstheme="minorHAnsi"/>
          <w:lang w:val="fr-FR"/>
        </w:rPr>
        <w:t>Dispositions statutaires ou autres relatives aux membres des organes d’administration et de direction</w:t>
      </w:r>
    </w:p>
    <w:p w14:paraId="2EC5C36D"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Article 13</w:t>
      </w:r>
      <w:r w:rsidRPr="00C73365">
        <w:rPr>
          <w:rFonts w:asciiTheme="minorHAnsi" w:hAnsiTheme="minorHAnsi" w:cstheme="minorHAnsi"/>
          <w:b/>
          <w:lang w:val="fr-FR"/>
        </w:rPr>
        <w:tab/>
        <w:t>CONSEIL D’ADMINISTRATION</w:t>
      </w:r>
    </w:p>
    <w:p w14:paraId="73E6E9F6"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La Société est administrée par un Conseil d’administration composé de trois (3) membres au minimum et qui ne peut dépasser dix-huit (18) membres au plus, sous réserve de la dérogation prévue par la loi en cas de fusion.</w:t>
      </w:r>
    </w:p>
    <w:p w14:paraId="7CAA7980" w14:textId="77777777" w:rsidR="00B740A8" w:rsidRPr="00C73365" w:rsidRDefault="00B740A8" w:rsidP="00B740A8">
      <w:pPr>
        <w:rPr>
          <w:rFonts w:asciiTheme="minorHAnsi" w:hAnsiTheme="minorHAnsi" w:cstheme="minorHAnsi"/>
          <w:b/>
          <w:lang w:val="fr-FR"/>
        </w:rPr>
      </w:pPr>
      <w:r w:rsidRPr="00C73365">
        <w:rPr>
          <w:rFonts w:asciiTheme="minorHAnsi" w:hAnsiTheme="minorHAnsi" w:cstheme="minorHAnsi"/>
          <w:b/>
          <w:lang w:val="fr-FR"/>
        </w:rPr>
        <w:t>Article 14</w:t>
      </w:r>
      <w:r w:rsidRPr="00C73365">
        <w:rPr>
          <w:rFonts w:asciiTheme="minorHAnsi" w:hAnsiTheme="minorHAnsi" w:cstheme="minorHAnsi"/>
          <w:b/>
          <w:lang w:val="fr-FR"/>
        </w:rPr>
        <w:tab/>
        <w:t>MANDATS DES ADMINISTRATEURS</w:t>
      </w:r>
    </w:p>
    <w:p w14:paraId="33041C83" w14:textId="77777777" w:rsidR="00B740A8" w:rsidRPr="00C73365" w:rsidRDefault="00B740A8" w:rsidP="00B740A8">
      <w:pPr>
        <w:rPr>
          <w:rFonts w:asciiTheme="minorHAnsi" w:hAnsiTheme="minorHAnsi" w:cstheme="minorHAnsi"/>
          <w:b/>
          <w:lang w:val="fr-FR"/>
        </w:rPr>
      </w:pPr>
    </w:p>
    <w:p w14:paraId="3F57A392" w14:textId="5F14CCEB" w:rsidR="00B740A8" w:rsidRPr="004834A9" w:rsidRDefault="00B740A8" w:rsidP="004834A9">
      <w:pPr>
        <w:pStyle w:val="Liste"/>
        <w:rPr>
          <w:rFonts w:asciiTheme="minorHAnsi" w:hAnsiTheme="minorHAnsi" w:cstheme="minorHAnsi"/>
          <w:lang w:val="fr-FR"/>
        </w:rPr>
      </w:pPr>
      <w:r w:rsidRPr="00C73365">
        <w:rPr>
          <w:rFonts w:asciiTheme="minorHAnsi" w:hAnsiTheme="minorHAnsi" w:cstheme="minorHAnsi"/>
          <w:lang w:val="fr-FR"/>
        </w:rPr>
        <w:t>14.1</w:t>
      </w:r>
      <w:r w:rsidR="004572A0" w:rsidRPr="00C73365">
        <w:rPr>
          <w:rFonts w:asciiTheme="minorHAnsi" w:hAnsiTheme="minorHAnsi" w:cstheme="minorHAnsi"/>
          <w:lang w:val="fr-FR"/>
        </w:rPr>
        <w:tab/>
      </w:r>
      <w:r w:rsidRPr="00C73365">
        <w:rPr>
          <w:rFonts w:asciiTheme="minorHAnsi" w:hAnsiTheme="minorHAnsi" w:cstheme="minorHAnsi"/>
          <w:lang w:val="fr-FR"/>
        </w:rPr>
        <w:t>Nomination des administrateurs</w:t>
      </w:r>
    </w:p>
    <w:p w14:paraId="202AE48B" w14:textId="77777777" w:rsidR="00B740A8" w:rsidRPr="00C73365" w:rsidRDefault="00B740A8" w:rsidP="00846FBD">
      <w:pPr>
        <w:pStyle w:val="Listecontinue"/>
        <w:ind w:left="283"/>
        <w:rPr>
          <w:rFonts w:asciiTheme="minorHAnsi" w:hAnsiTheme="minorHAnsi" w:cstheme="minorHAnsi"/>
          <w:lang w:val="fr-FR"/>
        </w:rPr>
      </w:pPr>
      <w:r w:rsidRPr="00C73365">
        <w:rPr>
          <w:rFonts w:asciiTheme="minorHAnsi" w:hAnsiTheme="minorHAnsi" w:cstheme="minorHAnsi"/>
          <w:lang w:val="fr-FR"/>
        </w:rPr>
        <w:lastRenderedPageBreak/>
        <w:t>Les conditions de nomination des membres du conseil d’administration de la Société sont fixées à l’article 14 des statuts de la Société et sont reprises ci-dessous.</w:t>
      </w:r>
    </w:p>
    <w:p w14:paraId="288E6D6F" w14:textId="77777777" w:rsidR="00B740A8" w:rsidRPr="00C73365" w:rsidRDefault="00B740A8" w:rsidP="00846FBD">
      <w:pPr>
        <w:pStyle w:val="Listecontinue"/>
        <w:ind w:left="283"/>
        <w:rPr>
          <w:rFonts w:asciiTheme="minorHAnsi" w:hAnsiTheme="minorHAnsi" w:cstheme="minorHAnsi"/>
          <w:lang w:val="fr-FR"/>
        </w:rPr>
      </w:pPr>
      <w:r w:rsidRPr="00C73365">
        <w:rPr>
          <w:rFonts w:asciiTheme="minorHAnsi" w:hAnsiTheme="minorHAnsi" w:cstheme="minorHAnsi"/>
          <w:lang w:val="fr-FR"/>
        </w:rPr>
        <w:t>Au cours de la vie sociale, les administrateurs sont nommés par assemblée générale ordinaire. Toutefois, en cas de fusion ou de scission, la nomination peut être faite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La durée de leurs fonctions est de quatre (4) années. Elle prend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la réunion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 ayant statué sur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écoulé et tenue dans l</w:t>
      </w:r>
      <w:r w:rsidR="004572A0" w:rsidRPr="00C73365">
        <w:rPr>
          <w:rFonts w:asciiTheme="minorHAnsi" w:hAnsiTheme="minorHAnsi" w:cstheme="minorHAnsi"/>
          <w:lang w:val="fr-FR"/>
        </w:rPr>
        <w:t>’</w:t>
      </w:r>
      <w:r w:rsidRPr="00C73365">
        <w:rPr>
          <w:rFonts w:asciiTheme="minorHAnsi" w:hAnsiTheme="minorHAnsi" w:cstheme="minorHAnsi"/>
          <w:lang w:val="fr-FR"/>
        </w:rPr>
        <w:t>année au cours de laquelle expire le mandat dudit administrateur.</w:t>
      </w:r>
    </w:p>
    <w:p w14:paraId="7B08F2FE" w14:textId="77777777" w:rsidR="00B740A8" w:rsidRPr="00C73365" w:rsidRDefault="00B740A8" w:rsidP="00846FBD">
      <w:pPr>
        <w:pStyle w:val="Listecontinue"/>
        <w:ind w:left="283"/>
        <w:rPr>
          <w:rFonts w:asciiTheme="minorHAnsi" w:hAnsiTheme="minorHAnsi" w:cstheme="minorHAnsi"/>
          <w:lang w:val="fr-FR"/>
        </w:rPr>
      </w:pPr>
      <w:r w:rsidRPr="00C73365">
        <w:rPr>
          <w:rFonts w:asciiTheme="minorHAnsi" w:hAnsiTheme="minorHAnsi" w:cstheme="minorHAnsi"/>
          <w:lang w:val="fr-FR"/>
        </w:rPr>
        <w:t>Les administrateurs sont rééligibles. Ils peuvent être révoqués à tout moment par décision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w:t>
      </w:r>
    </w:p>
    <w:p w14:paraId="215EF8E8" w14:textId="77777777" w:rsidR="00B740A8" w:rsidRPr="00C73365" w:rsidRDefault="00B740A8" w:rsidP="00846FBD">
      <w:pPr>
        <w:pStyle w:val="Listecontinue"/>
        <w:ind w:left="283"/>
        <w:rPr>
          <w:rFonts w:asciiTheme="minorHAnsi" w:hAnsiTheme="minorHAnsi" w:cstheme="minorHAnsi"/>
          <w:lang w:val="fr-FR"/>
        </w:rPr>
      </w:pPr>
      <w:r w:rsidRPr="00C73365">
        <w:rPr>
          <w:rFonts w:asciiTheme="minorHAnsi" w:hAnsiTheme="minorHAnsi" w:cstheme="minorHAnsi"/>
          <w:lang w:val="fr-FR"/>
        </w:rPr>
        <w:t>Les personnes physiques âgées de plus de quatre-vingt-cinq (85) ans ne peuvent être administrateurs ; lorsqu</w:t>
      </w:r>
      <w:r w:rsidR="004572A0" w:rsidRPr="00C73365">
        <w:rPr>
          <w:rFonts w:asciiTheme="minorHAnsi" w:hAnsiTheme="minorHAnsi" w:cstheme="minorHAnsi"/>
          <w:lang w:val="fr-FR"/>
        </w:rPr>
        <w:t>’</w:t>
      </w:r>
      <w:r w:rsidRPr="00C73365">
        <w:rPr>
          <w:rFonts w:asciiTheme="minorHAnsi" w:hAnsiTheme="minorHAnsi" w:cstheme="minorHAnsi"/>
          <w:lang w:val="fr-FR"/>
        </w:rPr>
        <w:t>elles dépassent cet âge en cours de mandat, elles sont réputées démissionnaires d</w:t>
      </w:r>
      <w:r w:rsidR="004572A0" w:rsidRPr="00C73365">
        <w:rPr>
          <w:rFonts w:asciiTheme="minorHAnsi" w:hAnsiTheme="minorHAnsi" w:cstheme="minorHAnsi"/>
          <w:lang w:val="fr-FR"/>
        </w:rPr>
        <w:t>’</w:t>
      </w:r>
      <w:r w:rsidRPr="00C73365">
        <w:rPr>
          <w:rFonts w:asciiTheme="minorHAnsi" w:hAnsiTheme="minorHAnsi" w:cstheme="minorHAnsi"/>
          <w:lang w:val="fr-FR"/>
        </w:rPr>
        <w:t>office lors de la plus prochaine assemblée générale. Toute nomination intervenue en violation des dispositions précédentes est nulle, à l</w:t>
      </w:r>
      <w:r w:rsidR="004572A0" w:rsidRPr="00C73365">
        <w:rPr>
          <w:rFonts w:asciiTheme="minorHAnsi" w:hAnsiTheme="minorHAnsi" w:cstheme="minorHAnsi"/>
          <w:lang w:val="fr-FR"/>
        </w:rPr>
        <w:t>’</w:t>
      </w:r>
      <w:r w:rsidRPr="00C73365">
        <w:rPr>
          <w:rFonts w:asciiTheme="minorHAnsi" w:hAnsiTheme="minorHAnsi" w:cstheme="minorHAnsi"/>
          <w:lang w:val="fr-FR"/>
        </w:rPr>
        <w:t>exception de celles auxquelles il peut être procédé à titre provisoire.</w:t>
      </w:r>
    </w:p>
    <w:p w14:paraId="537F8EDB" w14:textId="77777777" w:rsidR="00B740A8" w:rsidRPr="00C73365" w:rsidRDefault="00B740A8" w:rsidP="00846FBD">
      <w:pPr>
        <w:pStyle w:val="Listecontinue"/>
        <w:ind w:left="283"/>
        <w:rPr>
          <w:rFonts w:asciiTheme="minorHAnsi" w:hAnsiTheme="minorHAnsi" w:cstheme="minorHAnsi"/>
          <w:lang w:val="fr-FR"/>
        </w:rPr>
      </w:pPr>
      <w:r w:rsidRPr="00C73365">
        <w:rPr>
          <w:rFonts w:asciiTheme="minorHAnsi" w:hAnsiTheme="minorHAnsi" w:cstheme="minorHAnsi"/>
          <w:lang w:val="fr-FR"/>
        </w:rPr>
        <w:t>Tout administrateur personne physique devra, tant lors de sa nomination que pendant toute la durée de son mandat, se conformer aux dispositions légales en matière de cumul de mandats qu</w:t>
      </w:r>
      <w:r w:rsidR="004572A0" w:rsidRPr="00C73365">
        <w:rPr>
          <w:rFonts w:asciiTheme="minorHAnsi" w:hAnsiTheme="minorHAnsi" w:cstheme="minorHAnsi"/>
          <w:lang w:val="fr-FR"/>
        </w:rPr>
        <w:t>’</w:t>
      </w:r>
      <w:r w:rsidRPr="00C73365">
        <w:rPr>
          <w:rFonts w:asciiTheme="minorHAnsi" w:hAnsiTheme="minorHAnsi" w:cstheme="minorHAnsi"/>
          <w:lang w:val="fr-FR"/>
        </w:rPr>
        <w:t>une même personne physique peut détenir au sein de sociétés anonymes ayant leur siège en France métropolitaine, sauf les exceptions prévues par la loi.</w:t>
      </w:r>
    </w:p>
    <w:p w14:paraId="5F9858B3" w14:textId="77777777" w:rsidR="00B740A8" w:rsidRPr="00C73365" w:rsidRDefault="00B740A8" w:rsidP="00846FBD">
      <w:pPr>
        <w:pStyle w:val="Listecontinue"/>
        <w:ind w:left="283"/>
        <w:rPr>
          <w:rFonts w:asciiTheme="minorHAnsi" w:hAnsiTheme="minorHAnsi" w:cstheme="minorHAnsi"/>
          <w:lang w:val="fr-FR"/>
        </w:rPr>
      </w:pPr>
      <w:r w:rsidRPr="00C73365">
        <w:rPr>
          <w:rFonts w:asciiTheme="minorHAnsi" w:hAnsiTheme="minorHAnsi" w:cstheme="minorHAnsi"/>
          <w:lang w:val="fr-FR"/>
        </w:rPr>
        <w:t>Un salarié de la Société ne peut être nommé administrateur que si son contrat de travail correspond à un emploi effectif. Le nombre des administrateurs liés à la Société par un contrat de travail ne peut dépasser le tiers des administrateurs en fonction.</w:t>
      </w:r>
    </w:p>
    <w:p w14:paraId="728FAF81"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14.2</w:t>
      </w:r>
      <w:r w:rsidR="004572A0" w:rsidRPr="00C73365">
        <w:rPr>
          <w:rFonts w:asciiTheme="minorHAnsi" w:hAnsiTheme="minorHAnsi" w:cstheme="minorHAnsi"/>
          <w:lang w:val="fr-FR"/>
        </w:rPr>
        <w:tab/>
      </w:r>
      <w:r w:rsidRPr="00C73365">
        <w:rPr>
          <w:rFonts w:asciiTheme="minorHAnsi" w:hAnsiTheme="minorHAnsi" w:cstheme="minorHAnsi"/>
          <w:lang w:val="fr-FR"/>
        </w:rPr>
        <w:t>Administrateur personne morale</w:t>
      </w:r>
    </w:p>
    <w:p w14:paraId="0D4CD7F6" w14:textId="77777777" w:rsidR="00B740A8" w:rsidRPr="00C73365" w:rsidRDefault="00B740A8" w:rsidP="00B740A8">
      <w:pPr>
        <w:rPr>
          <w:rFonts w:asciiTheme="minorHAnsi" w:hAnsiTheme="minorHAnsi" w:cstheme="minorHAnsi"/>
          <w:b/>
          <w:lang w:val="fr-FR"/>
        </w:rPr>
      </w:pPr>
    </w:p>
    <w:p w14:paraId="5805A1A7" w14:textId="77777777" w:rsidR="00B740A8" w:rsidRPr="00C73365" w:rsidRDefault="00B740A8" w:rsidP="00846FBD">
      <w:pPr>
        <w:pStyle w:val="Listecontinue"/>
        <w:ind w:left="283"/>
        <w:rPr>
          <w:rFonts w:asciiTheme="minorHAnsi" w:hAnsiTheme="minorHAnsi" w:cstheme="minorHAnsi"/>
          <w:lang w:val="fr-FR"/>
        </w:rPr>
      </w:pPr>
      <w:r w:rsidRPr="00C73365">
        <w:rPr>
          <w:rFonts w:asciiTheme="minorHAnsi" w:hAnsiTheme="minorHAnsi" w:cstheme="minorHAnsi"/>
          <w:lang w:val="fr-FR"/>
        </w:rPr>
        <w:t>Les administrateurs peuvent être des personnes physiques ou des personnes morales. Dans ce dernier cas, lors de sa nomination, la personne morale est tenue de désigner un représentant permanent qui est soumis aux mêmes conditions et obligations et qui encourt les mêmes responsabilités civile et pénale que s</w:t>
      </w:r>
      <w:r w:rsidR="004572A0" w:rsidRPr="00C73365">
        <w:rPr>
          <w:rFonts w:asciiTheme="minorHAnsi" w:hAnsiTheme="minorHAnsi" w:cstheme="minorHAnsi"/>
          <w:lang w:val="fr-FR"/>
        </w:rPr>
        <w:t>’</w:t>
      </w:r>
      <w:r w:rsidRPr="00C73365">
        <w:rPr>
          <w:rFonts w:asciiTheme="minorHAnsi" w:hAnsiTheme="minorHAnsi" w:cstheme="minorHAnsi"/>
          <w:lang w:val="fr-FR"/>
        </w:rPr>
        <w:t>il était administrateur en son nom propre, sans préjudice de la responsabilité solidaire de la personne morale qu</w:t>
      </w:r>
      <w:r w:rsidR="004572A0" w:rsidRPr="00C73365">
        <w:rPr>
          <w:rFonts w:asciiTheme="minorHAnsi" w:hAnsiTheme="minorHAnsi" w:cstheme="minorHAnsi"/>
          <w:lang w:val="fr-FR"/>
        </w:rPr>
        <w:t>’</w:t>
      </w:r>
      <w:r w:rsidRPr="00C73365">
        <w:rPr>
          <w:rFonts w:asciiTheme="minorHAnsi" w:hAnsiTheme="minorHAnsi" w:cstheme="minorHAnsi"/>
          <w:lang w:val="fr-FR"/>
        </w:rPr>
        <w:t>il représente. Le représentant permanent d</w:t>
      </w:r>
      <w:r w:rsidR="004572A0" w:rsidRPr="00C73365">
        <w:rPr>
          <w:rFonts w:asciiTheme="minorHAnsi" w:hAnsiTheme="minorHAnsi" w:cstheme="minorHAnsi"/>
          <w:lang w:val="fr-FR"/>
        </w:rPr>
        <w:t>’</w:t>
      </w:r>
      <w:r w:rsidRPr="00C73365">
        <w:rPr>
          <w:rFonts w:asciiTheme="minorHAnsi" w:hAnsiTheme="minorHAnsi" w:cstheme="minorHAnsi"/>
          <w:lang w:val="fr-FR"/>
        </w:rPr>
        <w:t>une personne morale administrateur est soumis aux conditions d</w:t>
      </w:r>
      <w:r w:rsidR="004572A0" w:rsidRPr="00C73365">
        <w:rPr>
          <w:rFonts w:asciiTheme="minorHAnsi" w:hAnsiTheme="minorHAnsi" w:cstheme="minorHAnsi"/>
          <w:lang w:val="fr-FR"/>
        </w:rPr>
        <w:t>’</w:t>
      </w:r>
      <w:r w:rsidRPr="00C73365">
        <w:rPr>
          <w:rFonts w:asciiTheme="minorHAnsi" w:hAnsiTheme="minorHAnsi" w:cstheme="minorHAnsi"/>
          <w:lang w:val="fr-FR"/>
        </w:rPr>
        <w:t>âge qui concernent les administrateurs personnes physiques.</w:t>
      </w:r>
    </w:p>
    <w:p w14:paraId="6B1760BA" w14:textId="77777777" w:rsidR="00B740A8" w:rsidRPr="00C73365" w:rsidRDefault="00B740A8" w:rsidP="00846FBD">
      <w:pPr>
        <w:pStyle w:val="Listecontinue"/>
        <w:ind w:left="283"/>
        <w:rPr>
          <w:rFonts w:asciiTheme="minorHAnsi" w:hAnsiTheme="minorHAnsi" w:cstheme="minorHAnsi"/>
          <w:lang w:val="fr-FR"/>
        </w:rPr>
      </w:pPr>
      <w:r w:rsidRPr="00C73365">
        <w:rPr>
          <w:rFonts w:asciiTheme="minorHAnsi" w:hAnsiTheme="minorHAnsi" w:cstheme="minorHAnsi"/>
          <w:lang w:val="fr-FR"/>
        </w:rPr>
        <w:t>Le mandat du représentant permanent désigné par la personne morale nommée administrateur lui est donné pour la durée du mandat de cette dernière.</w:t>
      </w:r>
    </w:p>
    <w:p w14:paraId="7AE6B056" w14:textId="77777777" w:rsidR="00B740A8" w:rsidRPr="00C73365" w:rsidRDefault="00B740A8" w:rsidP="00846FBD">
      <w:pPr>
        <w:pStyle w:val="Listecontinue"/>
        <w:ind w:left="283"/>
        <w:rPr>
          <w:rFonts w:asciiTheme="minorHAnsi" w:hAnsiTheme="minorHAnsi" w:cstheme="minorHAnsi"/>
          <w:lang w:val="fr-FR"/>
        </w:rPr>
      </w:pPr>
      <w:r w:rsidRPr="00C73365">
        <w:rPr>
          <w:rFonts w:asciiTheme="minorHAnsi" w:hAnsiTheme="minorHAnsi" w:cstheme="minorHAnsi"/>
          <w:lang w:val="fr-FR"/>
        </w:rPr>
        <w:t>Si la personne morale révoque le mandat de son représentant permanent, elle est tenue de notifier sans délai à la Société, par lettre recommandée, cette révocation ainsi que l</w:t>
      </w:r>
      <w:r w:rsidR="004572A0" w:rsidRPr="00C73365">
        <w:rPr>
          <w:rFonts w:asciiTheme="minorHAnsi" w:hAnsiTheme="minorHAnsi" w:cstheme="minorHAnsi"/>
          <w:lang w:val="fr-FR"/>
        </w:rPr>
        <w:t>’</w:t>
      </w:r>
      <w:r w:rsidRPr="00C73365">
        <w:rPr>
          <w:rFonts w:asciiTheme="minorHAnsi" w:hAnsiTheme="minorHAnsi" w:cstheme="minorHAnsi"/>
          <w:lang w:val="fr-FR"/>
        </w:rPr>
        <w:t>identité de son nouveau représentant permanent. Il en est de même en cas de décès ou de démission du représentant permanent.</w:t>
      </w:r>
    </w:p>
    <w:p w14:paraId="7F07BB50" w14:textId="77777777" w:rsidR="00B740A8" w:rsidRPr="00C73365" w:rsidRDefault="00B740A8" w:rsidP="00846FBD">
      <w:pPr>
        <w:pStyle w:val="Listecontinue"/>
        <w:ind w:left="283"/>
        <w:rPr>
          <w:rFonts w:asciiTheme="minorHAnsi" w:hAnsiTheme="minorHAnsi" w:cstheme="minorHAnsi"/>
          <w:lang w:val="fr-FR"/>
        </w:rPr>
      </w:pPr>
      <w:r w:rsidRPr="00C73365">
        <w:rPr>
          <w:rFonts w:asciiTheme="minorHAnsi" w:hAnsiTheme="minorHAnsi" w:cstheme="minorHAnsi"/>
          <w:lang w:val="fr-FR"/>
        </w:rPr>
        <w:t>La désignation du représentant permanent ainsi que la cessation de son mandat sont soumises aux mêmes formalités de publicité que s</w:t>
      </w:r>
      <w:r w:rsidR="004572A0" w:rsidRPr="00C73365">
        <w:rPr>
          <w:rFonts w:asciiTheme="minorHAnsi" w:hAnsiTheme="minorHAnsi" w:cstheme="minorHAnsi"/>
          <w:lang w:val="fr-FR"/>
        </w:rPr>
        <w:t>’</w:t>
      </w:r>
      <w:r w:rsidRPr="00C73365">
        <w:rPr>
          <w:rFonts w:asciiTheme="minorHAnsi" w:hAnsiTheme="minorHAnsi" w:cstheme="minorHAnsi"/>
          <w:lang w:val="fr-FR"/>
        </w:rPr>
        <w:t>il était administrateur en son nom propre.</w:t>
      </w:r>
    </w:p>
    <w:p w14:paraId="66A9F7CD"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14.3</w:t>
      </w:r>
      <w:r w:rsidR="004572A0" w:rsidRPr="00C73365">
        <w:rPr>
          <w:rFonts w:asciiTheme="minorHAnsi" w:hAnsiTheme="minorHAnsi" w:cstheme="minorHAnsi"/>
          <w:lang w:val="fr-FR"/>
        </w:rPr>
        <w:tab/>
      </w:r>
      <w:r w:rsidRPr="00C73365">
        <w:rPr>
          <w:rFonts w:asciiTheme="minorHAnsi" w:hAnsiTheme="minorHAnsi" w:cstheme="minorHAnsi"/>
          <w:lang w:val="fr-FR"/>
        </w:rPr>
        <w:t>Vacance, décès, démission</w:t>
      </w:r>
    </w:p>
    <w:p w14:paraId="21946A89" w14:textId="77777777" w:rsidR="00B740A8" w:rsidRPr="00C73365" w:rsidRDefault="00B740A8" w:rsidP="00B740A8">
      <w:pPr>
        <w:rPr>
          <w:rFonts w:asciiTheme="minorHAnsi" w:hAnsiTheme="minorHAnsi" w:cstheme="minorHAnsi"/>
          <w:b/>
          <w:lang w:val="fr-FR"/>
        </w:rPr>
      </w:pPr>
    </w:p>
    <w:p w14:paraId="55C7D54C"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En cas de vacance par décès ou par démission d</w:t>
      </w:r>
      <w:r w:rsidR="004572A0" w:rsidRPr="00C73365">
        <w:rPr>
          <w:rFonts w:asciiTheme="minorHAnsi" w:hAnsiTheme="minorHAnsi" w:cstheme="minorHAnsi"/>
          <w:lang w:val="fr-FR"/>
        </w:rPr>
        <w:t>’</w:t>
      </w:r>
      <w:r w:rsidRPr="00C73365">
        <w:rPr>
          <w:rFonts w:asciiTheme="minorHAnsi" w:hAnsiTheme="minorHAnsi" w:cstheme="minorHAnsi"/>
          <w:lang w:val="fr-FR"/>
        </w:rPr>
        <w:t>un ou plusieurs sièges d</w:t>
      </w:r>
      <w:r w:rsidR="004572A0" w:rsidRPr="00C73365">
        <w:rPr>
          <w:rFonts w:asciiTheme="minorHAnsi" w:hAnsiTheme="minorHAnsi" w:cstheme="minorHAnsi"/>
          <w:lang w:val="fr-FR"/>
        </w:rPr>
        <w:t>’</w:t>
      </w:r>
      <w:r w:rsidRPr="00C73365">
        <w:rPr>
          <w:rFonts w:asciiTheme="minorHAnsi" w:hAnsiTheme="minorHAnsi" w:cstheme="minorHAnsi"/>
          <w:lang w:val="fr-FR"/>
        </w:rPr>
        <w:t>administrateur, le Conseil d’administration peut, entre deux Assemblées générales, procéder à des nominations à titre provisoire.</w:t>
      </w:r>
    </w:p>
    <w:p w14:paraId="6E4EA20B"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Lorsque le nombre des administrateurs est devenu inférieur au minimum légal, les administrateurs restant doivent convoquer immédiatement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en vue de compléter l</w:t>
      </w:r>
      <w:r w:rsidR="004572A0" w:rsidRPr="00C73365">
        <w:rPr>
          <w:rFonts w:asciiTheme="minorHAnsi" w:hAnsiTheme="minorHAnsi" w:cstheme="minorHAnsi"/>
          <w:lang w:val="fr-FR"/>
        </w:rPr>
        <w:t>’</w:t>
      </w:r>
      <w:r w:rsidRPr="00C73365">
        <w:rPr>
          <w:rFonts w:asciiTheme="minorHAnsi" w:hAnsiTheme="minorHAnsi" w:cstheme="minorHAnsi"/>
          <w:lang w:val="fr-FR"/>
        </w:rPr>
        <w:t>effectif du Conseil.</w:t>
      </w:r>
    </w:p>
    <w:p w14:paraId="59AB6D3E"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Les nominations provisoires effectuées par le Conseil sont soumises à ratification de la plus prochaine assemblée générale ordinaire. A défaut de ratification, les délibérations prises et les actes accomplis antérieurement par le Conseil n</w:t>
      </w:r>
      <w:r w:rsidR="004572A0" w:rsidRPr="00C73365">
        <w:rPr>
          <w:rFonts w:asciiTheme="minorHAnsi" w:hAnsiTheme="minorHAnsi" w:cstheme="minorHAnsi"/>
          <w:lang w:val="fr-FR"/>
        </w:rPr>
        <w:t>’</w:t>
      </w:r>
      <w:r w:rsidRPr="00C73365">
        <w:rPr>
          <w:rFonts w:asciiTheme="minorHAnsi" w:hAnsiTheme="minorHAnsi" w:cstheme="minorHAnsi"/>
          <w:lang w:val="fr-FR"/>
        </w:rPr>
        <w:t>en demeurent pas moins valables.</w:t>
      </w:r>
    </w:p>
    <w:p w14:paraId="208AB712" w14:textId="77777777" w:rsidR="00B740A8" w:rsidRDefault="00B740A8" w:rsidP="00B740A8">
      <w:pPr>
        <w:rPr>
          <w:rFonts w:asciiTheme="minorHAnsi" w:hAnsiTheme="minorHAnsi" w:cstheme="minorHAnsi"/>
          <w:lang w:val="fr-FR"/>
        </w:rPr>
      </w:pPr>
    </w:p>
    <w:p w14:paraId="3C064B1B" w14:textId="77777777" w:rsidR="004834A9" w:rsidRDefault="004834A9" w:rsidP="00B740A8">
      <w:pPr>
        <w:rPr>
          <w:rFonts w:asciiTheme="minorHAnsi" w:hAnsiTheme="minorHAnsi" w:cstheme="minorHAnsi"/>
          <w:lang w:val="fr-FR"/>
        </w:rPr>
      </w:pPr>
    </w:p>
    <w:p w14:paraId="587C2EB0" w14:textId="77777777" w:rsidR="004834A9" w:rsidRDefault="004834A9" w:rsidP="00B740A8">
      <w:pPr>
        <w:rPr>
          <w:rFonts w:asciiTheme="minorHAnsi" w:hAnsiTheme="minorHAnsi" w:cstheme="minorHAnsi"/>
          <w:lang w:val="fr-FR"/>
        </w:rPr>
      </w:pPr>
    </w:p>
    <w:p w14:paraId="2F17F4A6" w14:textId="77777777" w:rsidR="004834A9" w:rsidRPr="00C73365" w:rsidRDefault="004834A9" w:rsidP="00B740A8">
      <w:pPr>
        <w:rPr>
          <w:rFonts w:asciiTheme="minorHAnsi" w:hAnsiTheme="minorHAnsi" w:cstheme="minorHAnsi"/>
          <w:lang w:val="fr-FR"/>
        </w:rPr>
      </w:pPr>
    </w:p>
    <w:p w14:paraId="049DF553"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lastRenderedPageBreak/>
        <w:t>Article 15</w:t>
      </w:r>
      <w:r w:rsidRPr="00C73365">
        <w:rPr>
          <w:rFonts w:asciiTheme="minorHAnsi" w:hAnsiTheme="minorHAnsi" w:cstheme="minorHAnsi"/>
          <w:b/>
          <w:lang w:val="fr-FR"/>
        </w:rPr>
        <w:tab/>
        <w:t>ORGANISATION ET DELIBERATIONS DU CONSEIL</w:t>
      </w:r>
    </w:p>
    <w:p w14:paraId="3AD92514"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15.1</w:t>
      </w:r>
      <w:r w:rsidR="004572A0" w:rsidRPr="00C73365">
        <w:rPr>
          <w:rFonts w:asciiTheme="minorHAnsi" w:hAnsiTheme="minorHAnsi" w:cstheme="minorHAnsi"/>
          <w:lang w:val="fr-FR"/>
        </w:rPr>
        <w:tab/>
      </w:r>
      <w:r w:rsidRPr="00C73365">
        <w:rPr>
          <w:rFonts w:asciiTheme="minorHAnsi" w:hAnsiTheme="minorHAnsi" w:cstheme="minorHAnsi"/>
          <w:lang w:val="fr-FR"/>
        </w:rPr>
        <w:t>Président du Conseil</w:t>
      </w:r>
    </w:p>
    <w:p w14:paraId="37704563" w14:textId="77777777" w:rsidR="00B740A8" w:rsidRPr="00C73365" w:rsidRDefault="00B740A8" w:rsidP="00846FBD">
      <w:pPr>
        <w:rPr>
          <w:rFonts w:asciiTheme="minorHAnsi" w:hAnsiTheme="minorHAnsi" w:cstheme="minorHAnsi"/>
          <w:lang w:val="fr-FR"/>
        </w:rPr>
      </w:pPr>
    </w:p>
    <w:p w14:paraId="6922A7A0"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Conseil d’administration élit parmi ses membres un Président qui est, à peine de nullité de la nomination, une personne physique. Le Conseil d’administration détermine sa rémunération.</w:t>
      </w:r>
    </w:p>
    <w:p w14:paraId="71859BF5"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Président du Conseil d’administration organise et dirige les travaux de celui-ci, dont il rend compte à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Il veille au bon fonctionnement des organes de la Société et s</w:t>
      </w:r>
      <w:r w:rsidR="004572A0" w:rsidRPr="00C73365">
        <w:rPr>
          <w:rFonts w:asciiTheme="minorHAnsi" w:hAnsiTheme="minorHAnsi" w:cstheme="minorHAnsi"/>
          <w:lang w:val="fr-FR"/>
        </w:rPr>
        <w:t>’</w:t>
      </w:r>
      <w:r w:rsidRPr="00C73365">
        <w:rPr>
          <w:rFonts w:asciiTheme="minorHAnsi" w:hAnsiTheme="minorHAnsi" w:cstheme="minorHAnsi"/>
          <w:lang w:val="fr-FR"/>
        </w:rPr>
        <w:t>assure, en particulier, que les administrateurs sont en mesure de remplir leur mission.</w:t>
      </w:r>
    </w:p>
    <w:p w14:paraId="2DBD095B"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Pour l</w:t>
      </w:r>
      <w:r w:rsidR="004572A0" w:rsidRPr="00C73365">
        <w:rPr>
          <w:rFonts w:asciiTheme="minorHAnsi" w:hAnsiTheme="minorHAnsi" w:cstheme="minorHAnsi"/>
          <w:lang w:val="fr-FR"/>
        </w:rPr>
        <w:t>’</w:t>
      </w:r>
      <w:r w:rsidRPr="00C73365">
        <w:rPr>
          <w:rFonts w:asciiTheme="minorHAnsi" w:hAnsiTheme="minorHAnsi" w:cstheme="minorHAnsi"/>
          <w:lang w:val="fr-FR"/>
        </w:rPr>
        <w:t>exercice de ses fonctions, le Président du Conseil d’administration doit être âgé de moins de quatre-vingt-cinq (85) ans. Lorsqu</w:t>
      </w:r>
      <w:r w:rsidR="004572A0" w:rsidRPr="00C73365">
        <w:rPr>
          <w:rFonts w:asciiTheme="minorHAnsi" w:hAnsiTheme="minorHAnsi" w:cstheme="minorHAnsi"/>
          <w:lang w:val="fr-FR"/>
        </w:rPr>
        <w:t>’</w:t>
      </w:r>
      <w:r w:rsidRPr="00C73365">
        <w:rPr>
          <w:rFonts w:asciiTheme="minorHAnsi" w:hAnsiTheme="minorHAnsi" w:cstheme="minorHAnsi"/>
          <w:lang w:val="fr-FR"/>
        </w:rPr>
        <w:t>en cours de fonction cette limite d</w:t>
      </w:r>
      <w:r w:rsidR="004572A0" w:rsidRPr="00C73365">
        <w:rPr>
          <w:rFonts w:asciiTheme="minorHAnsi" w:hAnsiTheme="minorHAnsi" w:cstheme="minorHAnsi"/>
          <w:lang w:val="fr-FR"/>
        </w:rPr>
        <w:t>’</w:t>
      </w:r>
      <w:r w:rsidRPr="00C73365">
        <w:rPr>
          <w:rFonts w:asciiTheme="minorHAnsi" w:hAnsiTheme="minorHAnsi" w:cstheme="minorHAnsi"/>
          <w:lang w:val="fr-FR"/>
        </w:rPr>
        <w:t>âge aura été atteinte, le Président du Conseil d’administration sera réputé démissionnaire d</w:t>
      </w:r>
      <w:r w:rsidR="004572A0" w:rsidRPr="00C73365">
        <w:rPr>
          <w:rFonts w:asciiTheme="minorHAnsi" w:hAnsiTheme="minorHAnsi" w:cstheme="minorHAnsi"/>
          <w:lang w:val="fr-FR"/>
        </w:rPr>
        <w:t>’</w:t>
      </w:r>
      <w:r w:rsidRPr="00C73365">
        <w:rPr>
          <w:rFonts w:asciiTheme="minorHAnsi" w:hAnsiTheme="minorHAnsi" w:cstheme="minorHAnsi"/>
          <w:lang w:val="fr-FR"/>
        </w:rPr>
        <w:t>office et il sera procédé à la désignation d</w:t>
      </w:r>
      <w:r w:rsidR="004572A0" w:rsidRPr="00C73365">
        <w:rPr>
          <w:rFonts w:asciiTheme="minorHAnsi" w:hAnsiTheme="minorHAnsi" w:cstheme="minorHAnsi"/>
          <w:lang w:val="fr-FR"/>
        </w:rPr>
        <w:t>’</w:t>
      </w:r>
      <w:r w:rsidRPr="00C73365">
        <w:rPr>
          <w:rFonts w:asciiTheme="minorHAnsi" w:hAnsiTheme="minorHAnsi" w:cstheme="minorHAnsi"/>
          <w:lang w:val="fr-FR"/>
        </w:rPr>
        <w:t>un nouveau Président dans les conditions prévues au présent article.</w:t>
      </w:r>
    </w:p>
    <w:p w14:paraId="481CAB92"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Président est nommé pour une durée qui ne peut pas excéder celle de son mandat d</w:t>
      </w:r>
      <w:r w:rsidR="004572A0" w:rsidRPr="00C73365">
        <w:rPr>
          <w:rFonts w:asciiTheme="minorHAnsi" w:hAnsiTheme="minorHAnsi" w:cstheme="minorHAnsi"/>
          <w:lang w:val="fr-FR"/>
        </w:rPr>
        <w:t>’</w:t>
      </w:r>
      <w:r w:rsidRPr="00C73365">
        <w:rPr>
          <w:rFonts w:asciiTheme="minorHAnsi" w:hAnsiTheme="minorHAnsi" w:cstheme="minorHAnsi"/>
          <w:lang w:val="fr-FR"/>
        </w:rPr>
        <w:t>administrateur. Il est rééligible.</w:t>
      </w:r>
    </w:p>
    <w:p w14:paraId="0EEECCC5"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Conseil d’administration peut le révoquer à tout moment.</w:t>
      </w:r>
    </w:p>
    <w:p w14:paraId="7A32550A"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temporaire ou de décès du Président, le Conseil d’administration peut déléguer un administrateur dans les fonctions de Président.</w:t>
      </w:r>
    </w:p>
    <w:p w14:paraId="77F558AA"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temporaire, cette délégation est donnée pour une durée limitée ; elle est renouvelable. En cas de décès, elle vaut jusqu</w:t>
      </w:r>
      <w:r w:rsidR="004572A0" w:rsidRPr="00C73365">
        <w:rPr>
          <w:rFonts w:asciiTheme="minorHAnsi" w:hAnsiTheme="minorHAnsi" w:cstheme="minorHAnsi"/>
          <w:lang w:val="fr-FR"/>
        </w:rPr>
        <w:t>’</w:t>
      </w:r>
      <w:r w:rsidRPr="00C73365">
        <w:rPr>
          <w:rFonts w:asciiTheme="minorHAnsi" w:hAnsiTheme="minorHAnsi" w:cstheme="minorHAnsi"/>
          <w:lang w:val="fr-FR"/>
        </w:rPr>
        <w:t>à l</w:t>
      </w:r>
      <w:r w:rsidR="004572A0" w:rsidRPr="00C73365">
        <w:rPr>
          <w:rFonts w:asciiTheme="minorHAnsi" w:hAnsiTheme="minorHAnsi" w:cstheme="minorHAnsi"/>
          <w:lang w:val="fr-FR"/>
        </w:rPr>
        <w:t>’</w:t>
      </w:r>
      <w:r w:rsidRPr="00C73365">
        <w:rPr>
          <w:rFonts w:asciiTheme="minorHAnsi" w:hAnsiTheme="minorHAnsi" w:cstheme="minorHAnsi"/>
          <w:lang w:val="fr-FR"/>
        </w:rPr>
        <w:t>élection du nouveau Président.</w:t>
      </w:r>
    </w:p>
    <w:p w14:paraId="45114E8F" w14:textId="77777777" w:rsidR="004834A9" w:rsidRDefault="004834A9" w:rsidP="004572A0">
      <w:pPr>
        <w:pStyle w:val="Liste2"/>
        <w:rPr>
          <w:rFonts w:asciiTheme="minorHAnsi" w:hAnsiTheme="minorHAnsi" w:cstheme="minorHAnsi"/>
          <w:lang w:val="fr-FR"/>
        </w:rPr>
      </w:pPr>
    </w:p>
    <w:p w14:paraId="1A5771AA" w14:textId="77777777" w:rsidR="00B740A8" w:rsidRPr="00C73365" w:rsidRDefault="00B740A8" w:rsidP="004834A9">
      <w:pPr>
        <w:pStyle w:val="Liste2"/>
        <w:ind w:left="283"/>
        <w:rPr>
          <w:rFonts w:asciiTheme="minorHAnsi" w:hAnsiTheme="minorHAnsi" w:cstheme="minorHAnsi"/>
          <w:lang w:val="fr-FR"/>
        </w:rPr>
      </w:pPr>
      <w:r w:rsidRPr="00C73365">
        <w:rPr>
          <w:rFonts w:asciiTheme="minorHAnsi" w:hAnsiTheme="minorHAnsi" w:cstheme="minorHAnsi"/>
          <w:lang w:val="fr-FR"/>
        </w:rPr>
        <w:t>15.2</w:t>
      </w:r>
      <w:r w:rsidR="004572A0" w:rsidRPr="00C73365">
        <w:rPr>
          <w:rFonts w:asciiTheme="minorHAnsi" w:hAnsiTheme="minorHAnsi" w:cstheme="minorHAnsi"/>
          <w:lang w:val="fr-FR"/>
        </w:rPr>
        <w:tab/>
      </w:r>
      <w:r w:rsidRPr="00C73365">
        <w:rPr>
          <w:rFonts w:asciiTheme="minorHAnsi" w:hAnsiTheme="minorHAnsi" w:cstheme="minorHAnsi"/>
          <w:lang w:val="fr-FR"/>
        </w:rPr>
        <w:t>Réunions du Conseil</w:t>
      </w:r>
    </w:p>
    <w:p w14:paraId="27B03CA2" w14:textId="77777777" w:rsidR="00B740A8" w:rsidRPr="00C73365" w:rsidRDefault="00B740A8" w:rsidP="00B740A8">
      <w:pPr>
        <w:rPr>
          <w:rFonts w:asciiTheme="minorHAnsi" w:hAnsiTheme="minorHAnsi" w:cstheme="minorHAnsi"/>
          <w:lang w:val="fr-FR"/>
        </w:rPr>
      </w:pPr>
    </w:p>
    <w:p w14:paraId="2F12DD55"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 Conseil d’administration se réunit aussi souvent que l</w:t>
      </w:r>
      <w:r w:rsidR="004572A0" w:rsidRPr="00C73365">
        <w:rPr>
          <w:rFonts w:asciiTheme="minorHAnsi" w:hAnsiTheme="minorHAnsi" w:cstheme="minorHAnsi"/>
          <w:lang w:val="fr-FR"/>
        </w:rPr>
        <w:t>’</w:t>
      </w:r>
      <w:r w:rsidRPr="00C73365">
        <w:rPr>
          <w:rFonts w:asciiTheme="minorHAnsi" w:hAnsiTheme="minorHAnsi" w:cstheme="minorHAnsi"/>
          <w:lang w:val="fr-FR"/>
        </w:rPr>
        <w:t>intérêt de la Société l</w:t>
      </w:r>
      <w:r w:rsidR="004572A0" w:rsidRPr="00C73365">
        <w:rPr>
          <w:rFonts w:asciiTheme="minorHAnsi" w:hAnsiTheme="minorHAnsi" w:cstheme="minorHAnsi"/>
          <w:lang w:val="fr-FR"/>
        </w:rPr>
        <w:t>’</w:t>
      </w:r>
      <w:r w:rsidRPr="00C73365">
        <w:rPr>
          <w:rFonts w:asciiTheme="minorHAnsi" w:hAnsiTheme="minorHAnsi" w:cstheme="minorHAnsi"/>
          <w:lang w:val="fr-FR"/>
        </w:rPr>
        <w:t>exige, sur convocation du Président ou de deux administrateurs.</w:t>
      </w:r>
    </w:p>
    <w:p w14:paraId="01C1CE7D"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Lorsqu</w:t>
      </w:r>
      <w:r w:rsidR="004572A0" w:rsidRPr="00C73365">
        <w:rPr>
          <w:rFonts w:asciiTheme="minorHAnsi" w:hAnsiTheme="minorHAnsi" w:cstheme="minorHAnsi"/>
          <w:lang w:val="fr-FR"/>
        </w:rPr>
        <w:t>’</w:t>
      </w:r>
      <w:r w:rsidRPr="00C73365">
        <w:rPr>
          <w:rFonts w:asciiTheme="minorHAnsi" w:hAnsiTheme="minorHAnsi" w:cstheme="minorHAnsi"/>
          <w:lang w:val="fr-FR"/>
        </w:rPr>
        <w:t>il ne s</w:t>
      </w:r>
      <w:r w:rsidR="004572A0" w:rsidRPr="00C73365">
        <w:rPr>
          <w:rFonts w:asciiTheme="minorHAnsi" w:hAnsiTheme="minorHAnsi" w:cstheme="minorHAnsi"/>
          <w:lang w:val="fr-FR"/>
        </w:rPr>
        <w:t>’</w:t>
      </w:r>
      <w:r w:rsidRPr="00C73365">
        <w:rPr>
          <w:rFonts w:asciiTheme="minorHAnsi" w:hAnsiTheme="minorHAnsi" w:cstheme="minorHAnsi"/>
          <w:lang w:val="fr-FR"/>
        </w:rPr>
        <w:t>est pas réuni depuis plus de deux (2) mois, le tiers au moins des membres du Conseil d’administration peut demander au Président de convoquer celui-ci sur un ordre du jour déterminé.</w:t>
      </w:r>
    </w:p>
    <w:p w14:paraId="031B4544"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 Directeur Général peut également demander au Président de convoquer le Conseil d’administration sur un ordre du jour déterminé.</w:t>
      </w:r>
    </w:p>
    <w:p w14:paraId="483CE97E"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 xml:space="preserve">Le Président est lié par les demandes qui lui sont adressées en vertu des deux alinéas précédents. </w:t>
      </w:r>
    </w:p>
    <w:p w14:paraId="63D6628E"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Les convocations sont faites par tous moyens et même verbalement.</w:t>
      </w:r>
    </w:p>
    <w:p w14:paraId="328FC757"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 Conseil se réunit au siège social ou en tout autre lieu (en France ou à l</w:t>
      </w:r>
      <w:r w:rsidR="004572A0" w:rsidRPr="00C73365">
        <w:rPr>
          <w:rFonts w:asciiTheme="minorHAnsi" w:hAnsiTheme="minorHAnsi" w:cstheme="minorHAnsi"/>
          <w:lang w:val="fr-FR"/>
        </w:rPr>
        <w:t>’</w:t>
      </w:r>
      <w:r w:rsidRPr="00C73365">
        <w:rPr>
          <w:rFonts w:asciiTheme="minorHAnsi" w:hAnsiTheme="minorHAnsi" w:cstheme="minorHAnsi"/>
          <w:lang w:val="fr-FR"/>
        </w:rPr>
        <w:t>étranger) désigné dans la convocation, sous la présidence de son Président ou, 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du membre désigné par le Conseil pour le présider.</w:t>
      </w:r>
    </w:p>
    <w:p w14:paraId="50DF21B5"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 Président du Conseil d’administration préside les séances. 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du Président, le Conseil désigne à chaque séance celui de ses membres présents qui présidera la séance.</w:t>
      </w:r>
    </w:p>
    <w:p w14:paraId="1B1CF313"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 Conseil peut nommer, à chaque séance, un secrétaire, même en dehors de ses membres.</w:t>
      </w:r>
    </w:p>
    <w:p w14:paraId="40A5DCF8"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Il est tenu un registre qui est signé par les administrateurs participant à la séance du Conseil.</w:t>
      </w:r>
    </w:p>
    <w:p w14:paraId="361AF15B"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Les administrateurs, ainsi que toute personne appelée à assister aux réunions du Conseil d’administration, sont tenus à la discrétion à l</w:t>
      </w:r>
      <w:r w:rsidR="004572A0" w:rsidRPr="00C73365">
        <w:rPr>
          <w:rFonts w:asciiTheme="minorHAnsi" w:hAnsiTheme="minorHAnsi" w:cstheme="minorHAnsi"/>
          <w:lang w:val="fr-FR"/>
        </w:rPr>
        <w:t>’</w:t>
      </w:r>
      <w:r w:rsidRPr="00C73365">
        <w:rPr>
          <w:rFonts w:asciiTheme="minorHAnsi" w:hAnsiTheme="minorHAnsi" w:cstheme="minorHAnsi"/>
          <w:lang w:val="fr-FR"/>
        </w:rPr>
        <w:t>égard des informations présentant un caractère confidentiel et données comme telles par le Président.</w:t>
      </w:r>
    </w:p>
    <w:p w14:paraId="42AA130A" w14:textId="77777777" w:rsidR="00B740A8" w:rsidRPr="00C73365" w:rsidRDefault="00B740A8" w:rsidP="00B740A8">
      <w:pPr>
        <w:rPr>
          <w:rFonts w:asciiTheme="minorHAnsi" w:hAnsiTheme="minorHAnsi" w:cstheme="minorHAnsi"/>
          <w:lang w:val="fr-FR"/>
        </w:rPr>
      </w:pPr>
    </w:p>
    <w:p w14:paraId="2F47C8FE" w14:textId="4529EBF5" w:rsidR="004834A9" w:rsidRDefault="004834A9" w:rsidP="00B740A8">
      <w:pPr>
        <w:rPr>
          <w:rFonts w:asciiTheme="minorHAnsi" w:hAnsiTheme="minorHAnsi" w:cstheme="minorHAnsi"/>
          <w:lang w:val="fr-FR"/>
        </w:rPr>
      </w:pPr>
    </w:p>
    <w:p w14:paraId="744DF1F0" w14:textId="77777777" w:rsidR="00846FBD" w:rsidRDefault="00846FBD" w:rsidP="00B740A8">
      <w:pPr>
        <w:rPr>
          <w:rFonts w:asciiTheme="minorHAnsi" w:hAnsiTheme="minorHAnsi" w:cstheme="minorHAnsi"/>
          <w:lang w:val="fr-FR"/>
        </w:rPr>
      </w:pPr>
    </w:p>
    <w:p w14:paraId="6D477F84" w14:textId="77777777" w:rsidR="00846FBD" w:rsidRPr="00C73365" w:rsidRDefault="00846FBD" w:rsidP="00B740A8">
      <w:pPr>
        <w:rPr>
          <w:rFonts w:asciiTheme="minorHAnsi" w:hAnsiTheme="minorHAnsi" w:cstheme="minorHAnsi"/>
          <w:lang w:val="fr-FR"/>
        </w:rPr>
      </w:pPr>
    </w:p>
    <w:p w14:paraId="5F88907D"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lastRenderedPageBreak/>
        <w:t>15.3</w:t>
      </w:r>
      <w:r w:rsidR="004572A0" w:rsidRPr="00C73365">
        <w:rPr>
          <w:rFonts w:asciiTheme="minorHAnsi" w:hAnsiTheme="minorHAnsi" w:cstheme="minorHAnsi"/>
          <w:lang w:val="fr-FR"/>
        </w:rPr>
        <w:tab/>
      </w:r>
      <w:r w:rsidRPr="00C73365">
        <w:rPr>
          <w:rFonts w:asciiTheme="minorHAnsi" w:hAnsiTheme="minorHAnsi" w:cstheme="minorHAnsi"/>
          <w:lang w:val="fr-FR"/>
        </w:rPr>
        <w:t>Quorum et majorité</w:t>
      </w:r>
    </w:p>
    <w:p w14:paraId="151BE999" w14:textId="77777777" w:rsidR="00B740A8" w:rsidRPr="00C73365" w:rsidRDefault="00B740A8" w:rsidP="00B740A8">
      <w:pPr>
        <w:rPr>
          <w:rFonts w:asciiTheme="minorHAnsi" w:hAnsiTheme="minorHAnsi" w:cstheme="minorHAnsi"/>
          <w:lang w:val="fr-FR"/>
        </w:rPr>
      </w:pPr>
    </w:p>
    <w:p w14:paraId="6ADD526B"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Conseil ne délibère valablement que si la moitié au moins des administrateurs sont présents ou réputés présents, sous réserve des aménagements apportés par le règlement intérieur en cas de recours à la visioconférence et autre moyen de télécommunication.</w:t>
      </w:r>
    </w:p>
    <w:p w14:paraId="47AFC9C8"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Sauf stipulation contraire des présents statuts et sous réserve des aménagements apportés par le règlement intérieur en cas de recours à la visioconférence ou autre moyen de télécommunication, les décisions sont prises à la majorité des voix des membres présents, réputés présents, ou représentés.</w:t>
      </w:r>
    </w:p>
    <w:p w14:paraId="3DDCE1B0"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En cas de partage des voix, la voix du Président est prépondérante.</w:t>
      </w:r>
    </w:p>
    <w:p w14:paraId="5DCAE338"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Sont réputés présents, pour le calcul du quorum et de la majorité, les administrateurs qui participent à la réunion du Conseil par des moyens de visioconférence ou de télécommunication dans les conditions définies par le règlement intérieur du Conseil d’administration. Toutefois, la présence effective ou par représentation sera nécessaire pour toutes délibérations du Conseil relatives à l</w:t>
      </w:r>
      <w:r w:rsidR="004572A0" w:rsidRPr="00C73365">
        <w:rPr>
          <w:rFonts w:asciiTheme="minorHAnsi" w:hAnsiTheme="minorHAnsi" w:cstheme="minorHAnsi"/>
          <w:lang w:val="fr-FR"/>
        </w:rPr>
        <w:t>’</w:t>
      </w:r>
      <w:r w:rsidRPr="00C73365">
        <w:rPr>
          <w:rFonts w:asciiTheme="minorHAnsi" w:hAnsiTheme="minorHAnsi" w:cstheme="minorHAnsi"/>
          <w:lang w:val="fr-FR"/>
        </w:rPr>
        <w:t>arrêté des comptes annuels et des comptes consolidés, le cas échéant, ainsi qu</w:t>
      </w:r>
      <w:r w:rsidR="004572A0" w:rsidRPr="00C73365">
        <w:rPr>
          <w:rFonts w:asciiTheme="minorHAnsi" w:hAnsiTheme="minorHAnsi" w:cstheme="minorHAnsi"/>
          <w:lang w:val="fr-FR"/>
        </w:rPr>
        <w:t>’</w:t>
      </w:r>
      <w:r w:rsidRPr="00C73365">
        <w:rPr>
          <w:rFonts w:asciiTheme="minorHAnsi" w:hAnsiTheme="minorHAnsi" w:cstheme="minorHAnsi"/>
          <w:lang w:val="fr-FR"/>
        </w:rPr>
        <w:t>à l</w:t>
      </w:r>
      <w:r w:rsidR="004572A0" w:rsidRPr="00C73365">
        <w:rPr>
          <w:rFonts w:asciiTheme="minorHAnsi" w:hAnsiTheme="minorHAnsi" w:cstheme="minorHAnsi"/>
          <w:lang w:val="fr-FR"/>
        </w:rPr>
        <w:t>’</w:t>
      </w:r>
      <w:r w:rsidRPr="00C73365">
        <w:rPr>
          <w:rFonts w:asciiTheme="minorHAnsi" w:hAnsiTheme="minorHAnsi" w:cstheme="minorHAnsi"/>
          <w:lang w:val="fr-FR"/>
        </w:rPr>
        <w:t>établissement du rapport de gestion et du rapport sur la gestion du groupe, le cas échéant, ainsi que pour les décisions relatives à la révocation du Président du Conseil d’administration, du Directeur général et du Directeur général délégué.</w:t>
      </w:r>
    </w:p>
    <w:p w14:paraId="4B7BC3B8" w14:textId="77777777" w:rsidR="00B740A8"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Par ailleurs, la moitié des administrateurs en fonction pourra s</w:t>
      </w:r>
      <w:r w:rsidR="004572A0" w:rsidRPr="00C73365">
        <w:rPr>
          <w:rFonts w:asciiTheme="minorHAnsi" w:hAnsiTheme="minorHAnsi" w:cstheme="minorHAnsi"/>
          <w:lang w:val="fr-FR"/>
        </w:rPr>
        <w:t>’</w:t>
      </w:r>
      <w:r w:rsidRPr="00C73365">
        <w:rPr>
          <w:rFonts w:asciiTheme="minorHAnsi" w:hAnsiTheme="minorHAnsi" w:cstheme="minorHAnsi"/>
          <w:lang w:val="fr-FR"/>
        </w:rPr>
        <w:t>opposer à la tenue d</w:t>
      </w:r>
      <w:r w:rsidR="004572A0" w:rsidRPr="00C73365">
        <w:rPr>
          <w:rFonts w:asciiTheme="minorHAnsi" w:hAnsiTheme="minorHAnsi" w:cstheme="minorHAnsi"/>
          <w:lang w:val="fr-FR"/>
        </w:rPr>
        <w:t>’</w:t>
      </w:r>
      <w:r w:rsidRPr="00C73365">
        <w:rPr>
          <w:rFonts w:asciiTheme="minorHAnsi" w:hAnsiTheme="minorHAnsi" w:cstheme="minorHAnsi"/>
          <w:lang w:val="fr-FR"/>
        </w:rPr>
        <w:t>une réunion du Conseil d’administration par des moyens de visio-conférence ou de télécommunication. Cette opposition devra être notifiée dans les formes et délais qui seront arrêtés par le règlement intérieur et/ou dans celles qui seraient déterminées par les dispositions légales ou réglementaires.</w:t>
      </w:r>
    </w:p>
    <w:p w14:paraId="6FF68B11" w14:textId="77777777" w:rsidR="004834A9" w:rsidRPr="00C73365" w:rsidRDefault="004834A9" w:rsidP="004572A0">
      <w:pPr>
        <w:pStyle w:val="Listecontinue"/>
        <w:rPr>
          <w:rFonts w:asciiTheme="minorHAnsi" w:hAnsiTheme="minorHAnsi" w:cstheme="minorHAnsi"/>
          <w:lang w:val="fr-FR"/>
        </w:rPr>
      </w:pPr>
    </w:p>
    <w:p w14:paraId="1926C091" w14:textId="2A7A3050" w:rsidR="00B740A8" w:rsidRPr="00C73365" w:rsidRDefault="00B740A8" w:rsidP="00846FBD">
      <w:pPr>
        <w:pStyle w:val="Liste2"/>
        <w:rPr>
          <w:rFonts w:asciiTheme="minorHAnsi" w:hAnsiTheme="minorHAnsi" w:cstheme="minorHAnsi"/>
          <w:lang w:val="fr-FR"/>
        </w:rPr>
      </w:pPr>
      <w:r w:rsidRPr="00C73365">
        <w:rPr>
          <w:rFonts w:asciiTheme="minorHAnsi" w:hAnsiTheme="minorHAnsi" w:cstheme="minorHAnsi"/>
          <w:lang w:val="fr-FR"/>
        </w:rPr>
        <w:t>15.4</w:t>
      </w:r>
      <w:r w:rsidR="004572A0" w:rsidRPr="00C73365">
        <w:rPr>
          <w:rFonts w:asciiTheme="minorHAnsi" w:hAnsiTheme="minorHAnsi" w:cstheme="minorHAnsi"/>
          <w:lang w:val="fr-FR"/>
        </w:rPr>
        <w:tab/>
      </w:r>
      <w:r w:rsidR="00846FBD">
        <w:rPr>
          <w:rFonts w:asciiTheme="minorHAnsi" w:hAnsiTheme="minorHAnsi" w:cstheme="minorHAnsi"/>
          <w:lang w:val="fr-FR"/>
        </w:rPr>
        <w:t>Représentation</w:t>
      </w:r>
    </w:p>
    <w:p w14:paraId="7EB644DA"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Tout administrateur peut donner, par écrit, mandat à un autre administrateur de le représenter à une séance du Conseil d’administration.</w:t>
      </w:r>
    </w:p>
    <w:p w14:paraId="317C58A8"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Chaque administrateur ne peut disposer, au cours d</w:t>
      </w:r>
      <w:r w:rsidR="004572A0" w:rsidRPr="00C73365">
        <w:rPr>
          <w:rFonts w:asciiTheme="minorHAnsi" w:hAnsiTheme="minorHAnsi" w:cstheme="minorHAnsi"/>
          <w:lang w:val="fr-FR"/>
        </w:rPr>
        <w:t>’</w:t>
      </w:r>
      <w:r w:rsidRPr="00C73365">
        <w:rPr>
          <w:rFonts w:asciiTheme="minorHAnsi" w:hAnsiTheme="minorHAnsi" w:cstheme="minorHAnsi"/>
          <w:lang w:val="fr-FR"/>
        </w:rPr>
        <w:t>une même séance, que d</w:t>
      </w:r>
      <w:r w:rsidR="004572A0" w:rsidRPr="00C73365">
        <w:rPr>
          <w:rFonts w:asciiTheme="minorHAnsi" w:hAnsiTheme="minorHAnsi" w:cstheme="minorHAnsi"/>
          <w:lang w:val="fr-FR"/>
        </w:rPr>
        <w:t>’</w:t>
      </w:r>
      <w:r w:rsidRPr="00C73365">
        <w:rPr>
          <w:rFonts w:asciiTheme="minorHAnsi" w:hAnsiTheme="minorHAnsi" w:cstheme="minorHAnsi"/>
          <w:lang w:val="fr-FR"/>
        </w:rPr>
        <w:t>une seule des procurations reçues par application de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w:t>
      </w:r>
    </w:p>
    <w:p w14:paraId="0A61E972"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Ces dispositions sont applicables au représentant permanent d</w:t>
      </w:r>
      <w:r w:rsidR="004572A0" w:rsidRPr="00C73365">
        <w:rPr>
          <w:rFonts w:asciiTheme="minorHAnsi" w:hAnsiTheme="minorHAnsi" w:cstheme="minorHAnsi"/>
          <w:lang w:val="fr-FR"/>
        </w:rPr>
        <w:t>’</w:t>
      </w:r>
      <w:r w:rsidRPr="00C73365">
        <w:rPr>
          <w:rFonts w:asciiTheme="minorHAnsi" w:hAnsiTheme="minorHAnsi" w:cstheme="minorHAnsi"/>
          <w:lang w:val="fr-FR"/>
        </w:rPr>
        <w:t>une personne morale administrateur.</w:t>
      </w:r>
    </w:p>
    <w:p w14:paraId="694567AB" w14:textId="77777777" w:rsidR="00B740A8" w:rsidRPr="00C73365" w:rsidRDefault="00B740A8" w:rsidP="004572A0">
      <w:pPr>
        <w:pStyle w:val="Liste2"/>
        <w:rPr>
          <w:rFonts w:asciiTheme="minorHAnsi" w:hAnsiTheme="minorHAnsi" w:cstheme="minorHAnsi"/>
          <w:lang w:val="fr-FR"/>
        </w:rPr>
      </w:pPr>
      <w:r w:rsidRPr="00C73365">
        <w:rPr>
          <w:rFonts w:asciiTheme="minorHAnsi" w:hAnsiTheme="minorHAnsi" w:cstheme="minorHAnsi"/>
          <w:lang w:val="fr-FR"/>
        </w:rPr>
        <w:t>15.5</w:t>
      </w:r>
      <w:r w:rsidR="004572A0" w:rsidRPr="00C73365">
        <w:rPr>
          <w:rFonts w:asciiTheme="minorHAnsi" w:hAnsiTheme="minorHAnsi" w:cstheme="minorHAnsi"/>
          <w:lang w:val="fr-FR"/>
        </w:rPr>
        <w:tab/>
      </w:r>
      <w:r w:rsidRPr="00C73365">
        <w:rPr>
          <w:rFonts w:asciiTheme="minorHAnsi" w:hAnsiTheme="minorHAnsi" w:cstheme="minorHAnsi"/>
          <w:lang w:val="fr-FR"/>
        </w:rPr>
        <w:t>Procès-verbaux des délibérations</w:t>
      </w:r>
    </w:p>
    <w:p w14:paraId="26A7003C" w14:textId="77777777" w:rsidR="00B740A8" w:rsidRPr="00C73365" w:rsidRDefault="00B740A8" w:rsidP="004834A9">
      <w:pPr>
        <w:ind w:left="566"/>
        <w:rPr>
          <w:rFonts w:asciiTheme="minorHAnsi" w:hAnsiTheme="minorHAnsi" w:cstheme="minorHAnsi"/>
          <w:lang w:val="fr-FR"/>
        </w:rPr>
      </w:pPr>
    </w:p>
    <w:p w14:paraId="6FC0D3F6"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Les délibérations du Conseil d’administration sont constatées par des procès-verbaux établis sur un registre spécial, coté et paraphé, et tenu au siège social conformément aux dispositions réglementaires.</w:t>
      </w:r>
    </w:p>
    <w:p w14:paraId="53908039"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Article 16</w:t>
      </w:r>
      <w:r w:rsidRPr="00C73365">
        <w:rPr>
          <w:rFonts w:asciiTheme="minorHAnsi" w:hAnsiTheme="minorHAnsi" w:cstheme="minorHAnsi"/>
          <w:b/>
          <w:lang w:val="fr-FR"/>
        </w:rPr>
        <w:tab/>
        <w:t>POUVOIRS DU CONSEIL D’ADMINISTRATION – COMITES - CENSEURS</w:t>
      </w:r>
    </w:p>
    <w:p w14:paraId="6993EE49" w14:textId="77777777" w:rsidR="00B740A8" w:rsidRPr="00C73365" w:rsidRDefault="00B740A8" w:rsidP="004572A0">
      <w:pPr>
        <w:pStyle w:val="Liste2"/>
        <w:rPr>
          <w:rFonts w:asciiTheme="minorHAnsi" w:hAnsiTheme="minorHAnsi" w:cstheme="minorHAnsi"/>
          <w:lang w:val="fr-FR"/>
        </w:rPr>
      </w:pPr>
      <w:r w:rsidRPr="00C73365">
        <w:rPr>
          <w:rFonts w:asciiTheme="minorHAnsi" w:hAnsiTheme="minorHAnsi" w:cstheme="minorHAnsi"/>
          <w:lang w:val="fr-FR"/>
        </w:rPr>
        <w:t>16.1</w:t>
      </w:r>
      <w:r w:rsidR="004572A0" w:rsidRPr="00C73365">
        <w:rPr>
          <w:rFonts w:asciiTheme="minorHAnsi" w:hAnsiTheme="minorHAnsi" w:cstheme="minorHAnsi"/>
          <w:lang w:val="fr-FR"/>
        </w:rPr>
        <w:tab/>
      </w:r>
      <w:r w:rsidRPr="00C73365">
        <w:rPr>
          <w:rFonts w:asciiTheme="minorHAnsi" w:hAnsiTheme="minorHAnsi" w:cstheme="minorHAnsi"/>
          <w:lang w:val="fr-FR"/>
        </w:rPr>
        <w:t>Pouvoirs du Conseil d’administration</w:t>
      </w:r>
    </w:p>
    <w:p w14:paraId="6B294FB7" w14:textId="77777777" w:rsidR="00B740A8" w:rsidRPr="00C73365" w:rsidRDefault="00B740A8" w:rsidP="00B740A8">
      <w:pPr>
        <w:rPr>
          <w:rFonts w:asciiTheme="minorHAnsi" w:hAnsiTheme="minorHAnsi" w:cstheme="minorHAnsi"/>
          <w:b/>
          <w:lang w:val="fr-FR"/>
        </w:rPr>
      </w:pPr>
    </w:p>
    <w:p w14:paraId="2AE42095" w14:textId="77777777" w:rsidR="00B740A8" w:rsidRPr="00C73365" w:rsidRDefault="00B740A8" w:rsidP="00846FBD">
      <w:pPr>
        <w:pStyle w:val="Corpsdetexte"/>
        <w:rPr>
          <w:rFonts w:asciiTheme="minorHAnsi" w:hAnsiTheme="minorHAnsi" w:cstheme="minorHAnsi"/>
          <w:b/>
          <w:lang w:val="fr-FR"/>
        </w:rPr>
      </w:pPr>
      <w:r w:rsidRPr="00C73365">
        <w:rPr>
          <w:rFonts w:asciiTheme="minorHAnsi" w:hAnsiTheme="minorHAnsi" w:cstheme="minorHAnsi"/>
          <w:lang w:val="fr-FR"/>
        </w:rPr>
        <w:t>Les pouvoirs du conseil d’administration sont fixés à l’article 16 des statuts de la Société et sont repris ci-dessous</w:t>
      </w:r>
      <w:r w:rsidRPr="00C73365">
        <w:rPr>
          <w:rFonts w:asciiTheme="minorHAnsi" w:hAnsiTheme="minorHAnsi" w:cstheme="minorHAnsi"/>
          <w:b/>
          <w:lang w:val="fr-FR"/>
        </w:rPr>
        <w:t>.</w:t>
      </w:r>
    </w:p>
    <w:p w14:paraId="0CC2CCC6"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 Conseil d’administration détermine les orientations de l</w:t>
      </w:r>
      <w:r w:rsidR="004572A0" w:rsidRPr="00C73365">
        <w:rPr>
          <w:rFonts w:asciiTheme="minorHAnsi" w:hAnsiTheme="minorHAnsi" w:cstheme="minorHAnsi"/>
          <w:lang w:val="fr-FR"/>
        </w:rPr>
        <w:t>’</w:t>
      </w:r>
      <w:r w:rsidRPr="00C73365">
        <w:rPr>
          <w:rFonts w:asciiTheme="minorHAnsi" w:hAnsiTheme="minorHAnsi" w:cstheme="minorHAnsi"/>
          <w:lang w:val="fr-FR"/>
        </w:rPr>
        <w:t>activité de la Société et veille à leur mise en œuvre.</w:t>
      </w:r>
    </w:p>
    <w:p w14:paraId="283676D6"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Sous réserve des pouvoirs expressément attribués aux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et dans la limite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le Conseil d’administration se saisit de toute question intéressant la bonne marche de la Société et règle par ses délibérations les affaires qui la concernent.</w:t>
      </w:r>
    </w:p>
    <w:p w14:paraId="4C79BE57"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Dans les rapports avec les tiers, la Société est engagée même pour les actes du Conseil d’administration qui ne relèvent pas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à moins qu</w:t>
      </w:r>
      <w:r w:rsidR="004572A0" w:rsidRPr="00C73365">
        <w:rPr>
          <w:rFonts w:asciiTheme="minorHAnsi" w:hAnsiTheme="minorHAnsi" w:cstheme="minorHAnsi"/>
          <w:lang w:val="fr-FR"/>
        </w:rPr>
        <w:t>’</w:t>
      </w:r>
      <w:r w:rsidRPr="00C73365">
        <w:rPr>
          <w:rFonts w:asciiTheme="minorHAnsi" w:hAnsiTheme="minorHAnsi" w:cstheme="minorHAnsi"/>
          <w:lang w:val="fr-FR"/>
        </w:rPr>
        <w:t>elle ne prouve que le tiers savait que l</w:t>
      </w:r>
      <w:r w:rsidR="004572A0" w:rsidRPr="00C73365">
        <w:rPr>
          <w:rFonts w:asciiTheme="minorHAnsi" w:hAnsiTheme="minorHAnsi" w:cstheme="minorHAnsi"/>
          <w:lang w:val="fr-FR"/>
        </w:rPr>
        <w:t>’</w:t>
      </w:r>
      <w:r w:rsidRPr="00C73365">
        <w:rPr>
          <w:rFonts w:asciiTheme="minorHAnsi" w:hAnsiTheme="minorHAnsi" w:cstheme="minorHAnsi"/>
          <w:lang w:val="fr-FR"/>
        </w:rPr>
        <w:t>acte dépassait cet objet ou qu</w:t>
      </w:r>
      <w:r w:rsidR="004572A0" w:rsidRPr="00C73365">
        <w:rPr>
          <w:rFonts w:asciiTheme="minorHAnsi" w:hAnsiTheme="minorHAnsi" w:cstheme="minorHAnsi"/>
          <w:lang w:val="fr-FR"/>
        </w:rPr>
        <w:t>’</w:t>
      </w:r>
      <w:r w:rsidRPr="00C73365">
        <w:rPr>
          <w:rFonts w:asciiTheme="minorHAnsi" w:hAnsiTheme="minorHAnsi" w:cstheme="minorHAnsi"/>
          <w:lang w:val="fr-FR"/>
        </w:rPr>
        <w:t>il ne pouvait l</w:t>
      </w:r>
      <w:r w:rsidR="004572A0" w:rsidRPr="00C73365">
        <w:rPr>
          <w:rFonts w:asciiTheme="minorHAnsi" w:hAnsiTheme="minorHAnsi" w:cstheme="minorHAnsi"/>
          <w:lang w:val="fr-FR"/>
        </w:rPr>
        <w:t>’</w:t>
      </w:r>
      <w:r w:rsidRPr="00C73365">
        <w:rPr>
          <w:rFonts w:asciiTheme="minorHAnsi" w:hAnsiTheme="minorHAnsi" w:cstheme="minorHAnsi"/>
          <w:lang w:val="fr-FR"/>
        </w:rPr>
        <w:t>ignorer compte tenu des circonstances, étant exclu que la seule publication des statuts suffise à constituer cette preuve.</w:t>
      </w:r>
    </w:p>
    <w:p w14:paraId="7587FE32"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 Conseil d’administration procède aux contrôles et vérifications qu</w:t>
      </w:r>
      <w:r w:rsidR="004572A0" w:rsidRPr="00C73365">
        <w:rPr>
          <w:rFonts w:asciiTheme="minorHAnsi" w:hAnsiTheme="minorHAnsi" w:cstheme="minorHAnsi"/>
          <w:lang w:val="fr-FR"/>
        </w:rPr>
        <w:t>’</w:t>
      </w:r>
      <w:r w:rsidRPr="00C73365">
        <w:rPr>
          <w:rFonts w:asciiTheme="minorHAnsi" w:hAnsiTheme="minorHAnsi" w:cstheme="minorHAnsi"/>
          <w:lang w:val="fr-FR"/>
        </w:rPr>
        <w:t>il juge opportuns.</w:t>
      </w:r>
    </w:p>
    <w:p w14:paraId="7D2FC842"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lastRenderedPageBreak/>
        <w:t>Le Président ou le Directeur général est tenu de communiquer à chaque administrateur les informations nécessaires à l</w:t>
      </w:r>
      <w:r w:rsidR="004572A0" w:rsidRPr="00C73365">
        <w:rPr>
          <w:rFonts w:asciiTheme="minorHAnsi" w:hAnsiTheme="minorHAnsi" w:cstheme="minorHAnsi"/>
          <w:lang w:val="fr-FR"/>
        </w:rPr>
        <w:t>’</w:t>
      </w:r>
      <w:r w:rsidRPr="00C73365">
        <w:rPr>
          <w:rFonts w:asciiTheme="minorHAnsi" w:hAnsiTheme="minorHAnsi" w:cstheme="minorHAnsi"/>
          <w:lang w:val="fr-FR"/>
        </w:rPr>
        <w:t>accomplissement de sa mission. Chaque administrateur peut obtenir auprès ces derniers tous les documents qu</w:t>
      </w:r>
      <w:r w:rsidR="004572A0" w:rsidRPr="00C73365">
        <w:rPr>
          <w:rFonts w:asciiTheme="minorHAnsi" w:hAnsiTheme="minorHAnsi" w:cstheme="minorHAnsi"/>
          <w:lang w:val="fr-FR"/>
        </w:rPr>
        <w:t>’</w:t>
      </w:r>
      <w:r w:rsidRPr="00C73365">
        <w:rPr>
          <w:rFonts w:asciiTheme="minorHAnsi" w:hAnsiTheme="minorHAnsi" w:cstheme="minorHAnsi"/>
          <w:lang w:val="fr-FR"/>
        </w:rPr>
        <w:t>il estime utiles.</w:t>
      </w:r>
    </w:p>
    <w:p w14:paraId="2D22952C"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16.2</w:t>
      </w:r>
      <w:r w:rsidR="004572A0" w:rsidRPr="00C73365">
        <w:rPr>
          <w:rFonts w:asciiTheme="minorHAnsi" w:hAnsiTheme="minorHAnsi" w:cstheme="minorHAnsi"/>
          <w:lang w:val="fr-FR"/>
        </w:rPr>
        <w:tab/>
      </w:r>
      <w:r w:rsidRPr="00C73365">
        <w:rPr>
          <w:rFonts w:asciiTheme="minorHAnsi" w:hAnsiTheme="minorHAnsi" w:cstheme="minorHAnsi"/>
          <w:lang w:val="fr-FR"/>
        </w:rPr>
        <w:t>Comités</w:t>
      </w:r>
    </w:p>
    <w:p w14:paraId="22C182F1" w14:textId="77777777" w:rsidR="00B740A8" w:rsidRPr="00C73365" w:rsidRDefault="00B740A8" w:rsidP="00B740A8">
      <w:pPr>
        <w:rPr>
          <w:rFonts w:asciiTheme="minorHAnsi" w:hAnsiTheme="minorHAnsi" w:cstheme="minorHAnsi"/>
          <w:lang w:val="fr-FR"/>
        </w:rPr>
      </w:pPr>
    </w:p>
    <w:p w14:paraId="74C915BD"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Conseil d’administration peut décider de créer des comités, chargés d’étudier les questions que lui-même ou son Président, soumet, pour avis, à leur examen. Ces comités rendent compte au Conseil de leurs travaux.</w:t>
      </w:r>
    </w:p>
    <w:p w14:paraId="6153EAB8"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Conseil d’administration fixe la composition et les attributions des comités qui exercent leur activité sous sa responsabilité. Il fixe la rémunération des personnes les composant.</w:t>
      </w:r>
    </w:p>
    <w:p w14:paraId="6B6086CF"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16.3</w:t>
      </w:r>
      <w:r w:rsidR="004572A0" w:rsidRPr="00C73365">
        <w:rPr>
          <w:rFonts w:asciiTheme="minorHAnsi" w:hAnsiTheme="minorHAnsi" w:cstheme="minorHAnsi"/>
          <w:lang w:val="fr-FR"/>
        </w:rPr>
        <w:tab/>
      </w:r>
      <w:r w:rsidRPr="00C73365">
        <w:rPr>
          <w:rFonts w:asciiTheme="minorHAnsi" w:hAnsiTheme="minorHAnsi" w:cstheme="minorHAnsi"/>
          <w:lang w:val="fr-FR"/>
        </w:rPr>
        <w:t>Censeurs</w:t>
      </w:r>
    </w:p>
    <w:p w14:paraId="7120979A" w14:textId="77777777" w:rsidR="00B740A8" w:rsidRPr="00C73365" w:rsidRDefault="00B740A8" w:rsidP="00B740A8">
      <w:pPr>
        <w:keepNext/>
        <w:keepLines/>
        <w:rPr>
          <w:rFonts w:asciiTheme="minorHAnsi" w:hAnsiTheme="minorHAnsi" w:cstheme="minorHAnsi"/>
          <w:lang w:val="fr-FR"/>
        </w:rPr>
      </w:pPr>
    </w:p>
    <w:p w14:paraId="0A64D813"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Au cours de la vie sociale,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pourra procéder à la nomination de censeurs choisis parmi les actionnaires ou en dehors d</w:t>
      </w:r>
      <w:r w:rsidR="004572A0" w:rsidRPr="00C73365">
        <w:rPr>
          <w:rFonts w:asciiTheme="minorHAnsi" w:hAnsiTheme="minorHAnsi" w:cstheme="minorHAnsi"/>
          <w:lang w:val="fr-FR"/>
        </w:rPr>
        <w:t>’</w:t>
      </w:r>
      <w:r w:rsidRPr="00C73365">
        <w:rPr>
          <w:rFonts w:asciiTheme="minorHAnsi" w:hAnsiTheme="minorHAnsi" w:cstheme="minorHAnsi"/>
          <w:lang w:val="fr-FR"/>
        </w:rPr>
        <w:t>eux.</w:t>
      </w:r>
    </w:p>
    <w:p w14:paraId="59C1FE62"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 nombre de censeurs ne peut excéder trois (3).</w:t>
      </w:r>
    </w:p>
    <w:p w14:paraId="0248D943"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Les censeurs sont nommés pour une durée d</w:t>
      </w:r>
      <w:r w:rsidR="004572A0" w:rsidRPr="00C73365">
        <w:rPr>
          <w:rFonts w:asciiTheme="minorHAnsi" w:hAnsiTheme="minorHAnsi" w:cstheme="minorHAnsi"/>
          <w:lang w:val="fr-FR"/>
        </w:rPr>
        <w:t>’</w:t>
      </w:r>
      <w:r w:rsidRPr="00C73365">
        <w:rPr>
          <w:rFonts w:asciiTheme="minorHAnsi" w:hAnsiTheme="minorHAnsi" w:cstheme="minorHAnsi"/>
          <w:lang w:val="fr-FR"/>
        </w:rPr>
        <w:t>un (1) an. Leurs fonctions prennent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 appelée à statuer sur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écoulé et tenue dans l</w:t>
      </w:r>
      <w:r w:rsidR="004572A0" w:rsidRPr="00C73365">
        <w:rPr>
          <w:rFonts w:asciiTheme="minorHAnsi" w:hAnsiTheme="minorHAnsi" w:cstheme="minorHAnsi"/>
          <w:lang w:val="fr-FR"/>
        </w:rPr>
        <w:t>’</w:t>
      </w:r>
      <w:r w:rsidRPr="00C73365">
        <w:rPr>
          <w:rFonts w:asciiTheme="minorHAnsi" w:hAnsiTheme="minorHAnsi" w:cstheme="minorHAnsi"/>
          <w:lang w:val="fr-FR"/>
        </w:rPr>
        <w:t>année au cours de laquelle expire leurs fonctions.</w:t>
      </w:r>
    </w:p>
    <w:p w14:paraId="3FC382C8"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Tout censeur sortant est rééligible sous réserve de satisfaire aux conditions du présent article.</w:t>
      </w:r>
    </w:p>
    <w:p w14:paraId="4A7D0946"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Les censeurs peuvent être révoqués et remplacés à tout moment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sans qu</w:t>
      </w:r>
      <w:r w:rsidR="004572A0" w:rsidRPr="00C73365">
        <w:rPr>
          <w:rFonts w:asciiTheme="minorHAnsi" w:hAnsiTheme="minorHAnsi" w:cstheme="minorHAnsi"/>
          <w:lang w:val="fr-FR"/>
        </w:rPr>
        <w:t>’</w:t>
      </w:r>
      <w:r w:rsidRPr="00C73365">
        <w:rPr>
          <w:rFonts w:asciiTheme="minorHAnsi" w:hAnsiTheme="minorHAnsi" w:cstheme="minorHAnsi"/>
          <w:lang w:val="fr-FR"/>
        </w:rPr>
        <w:t>aucune indemnité ne leur soit due. Les fonctions de censeurs prennent également fin par décès ou incapacité pour le censeur personne physique, dissolution ou mise en redressement judiciaire pour le censeur personne morale ou démission.</w:t>
      </w:r>
    </w:p>
    <w:p w14:paraId="39D9B260"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Les censeurs peuvent être des personnes physiques ou des personnes morales. Dans ce dernier cas, lors de sa nomination, la personne morale est tenue de désigner un représentant permanent qui est soumis aux mêmes conditions et obligations et qui encourt les mêmes responsabilités civile et pénale que s</w:t>
      </w:r>
      <w:r w:rsidR="004572A0" w:rsidRPr="00C73365">
        <w:rPr>
          <w:rFonts w:asciiTheme="minorHAnsi" w:hAnsiTheme="minorHAnsi" w:cstheme="minorHAnsi"/>
          <w:lang w:val="fr-FR"/>
        </w:rPr>
        <w:t>’</w:t>
      </w:r>
      <w:r w:rsidRPr="00C73365">
        <w:rPr>
          <w:rFonts w:asciiTheme="minorHAnsi" w:hAnsiTheme="minorHAnsi" w:cstheme="minorHAnsi"/>
          <w:lang w:val="fr-FR"/>
        </w:rPr>
        <w:t>il était censeur en son nom propre, sans préjudice de la responsabilité solidaire de la personne morale qu</w:t>
      </w:r>
      <w:r w:rsidR="004572A0" w:rsidRPr="00C73365">
        <w:rPr>
          <w:rFonts w:asciiTheme="minorHAnsi" w:hAnsiTheme="minorHAnsi" w:cstheme="minorHAnsi"/>
          <w:lang w:val="fr-FR"/>
        </w:rPr>
        <w:t>’</w:t>
      </w:r>
      <w:r w:rsidRPr="00C73365">
        <w:rPr>
          <w:rFonts w:asciiTheme="minorHAnsi" w:hAnsiTheme="minorHAnsi" w:cstheme="minorHAnsi"/>
          <w:lang w:val="fr-FR"/>
        </w:rPr>
        <w:t>il représente.</w:t>
      </w:r>
    </w:p>
    <w:p w14:paraId="6F9CCE96"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Les censeurs ont pour mission de veiller à la stricte application des statuts et de présenter leurs observations aux séances du Conseil d’administration. Les censeurs exercent auprès de la Société une mission générale et permanente de conseil et de surveillance. Ils ne peuvent toutefois, en aucun cas, s</w:t>
      </w:r>
      <w:r w:rsidR="004572A0" w:rsidRPr="00C73365">
        <w:rPr>
          <w:rFonts w:asciiTheme="minorHAnsi" w:hAnsiTheme="minorHAnsi" w:cstheme="minorHAnsi"/>
          <w:lang w:val="fr-FR"/>
        </w:rPr>
        <w:t>’</w:t>
      </w:r>
      <w:r w:rsidRPr="00C73365">
        <w:rPr>
          <w:rFonts w:asciiTheme="minorHAnsi" w:hAnsiTheme="minorHAnsi" w:cstheme="minorHAnsi"/>
          <w:lang w:val="fr-FR"/>
        </w:rPr>
        <w:t>immiscer dans la gestion de la Société, ni généralement se substituer aux organes légaux de celle-ci.</w:t>
      </w:r>
    </w:p>
    <w:p w14:paraId="6DAE35CB"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Dans le cadre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accomplissement de leur mission, les censeurs peuvent notamment : </w:t>
      </w:r>
    </w:p>
    <w:p w14:paraId="4F529CC3" w14:textId="77777777" w:rsidR="00B740A8" w:rsidRPr="00C73365" w:rsidRDefault="00B740A8" w:rsidP="00434C49">
      <w:pPr>
        <w:pStyle w:val="Paragraphedeliste"/>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faire part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observations au Conseil d’administration,</w:t>
      </w:r>
    </w:p>
    <w:p w14:paraId="2F54D3F6" w14:textId="77777777" w:rsidR="00B740A8" w:rsidRPr="00C73365" w:rsidRDefault="00B740A8" w:rsidP="00434C49">
      <w:pPr>
        <w:pStyle w:val="Paragraphedeliste"/>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demander à prendre connaissance, au siège de la Société, de tous livres, registres et documents sociaux,</w:t>
      </w:r>
    </w:p>
    <w:p w14:paraId="64544627" w14:textId="77777777" w:rsidR="00B740A8" w:rsidRPr="00C73365" w:rsidRDefault="00B740A8" w:rsidP="00434C49">
      <w:pPr>
        <w:pStyle w:val="Paragraphedeliste"/>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solliciter et recueillir toutes informations utiles à leur mission auprès de la direction générale et du commissaire aux comptes de la Société,</w:t>
      </w:r>
    </w:p>
    <w:p w14:paraId="10143271" w14:textId="77777777" w:rsidR="00B740A8" w:rsidRPr="00C73365" w:rsidRDefault="00B740A8" w:rsidP="00434C49">
      <w:pPr>
        <w:pStyle w:val="Paragraphedeliste"/>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être amenés, à la demande du Conseil d’administration, à présenter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assemblée générale des actionnaires un rapport sur une question déterminée.</w:t>
      </w:r>
    </w:p>
    <w:p w14:paraId="71DFDE95" w14:textId="77777777" w:rsidR="00B740A8" w:rsidRPr="00C73365" w:rsidRDefault="00B740A8" w:rsidP="00846FBD">
      <w:pPr>
        <w:rPr>
          <w:rFonts w:asciiTheme="minorHAnsi" w:hAnsiTheme="minorHAnsi" w:cstheme="minorHAnsi"/>
          <w:sz w:val="24"/>
          <w:lang w:val="fr-FR"/>
        </w:rPr>
      </w:pPr>
    </w:p>
    <w:p w14:paraId="346AE98C"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Les censeurs devront être convoqués à chaque réunion du Conseil d’administration au même titre que les administrateurs.</w:t>
      </w:r>
    </w:p>
    <w:p w14:paraId="048E7D99" w14:textId="77777777" w:rsidR="00B740A8" w:rsidRPr="00C73365" w:rsidRDefault="00B740A8" w:rsidP="00846FBD">
      <w:pPr>
        <w:pStyle w:val="Corpsdetexte"/>
        <w:rPr>
          <w:rFonts w:asciiTheme="minorHAnsi" w:hAnsiTheme="minorHAnsi" w:cstheme="minorHAnsi"/>
          <w:lang w:val="fr-FR"/>
        </w:rPr>
      </w:pPr>
      <w:r w:rsidRPr="00C73365">
        <w:rPr>
          <w:rFonts w:asciiTheme="minorHAnsi" w:hAnsiTheme="minorHAnsi" w:cstheme="minorHAnsi"/>
          <w:lang w:val="fr-FR"/>
        </w:rPr>
        <w:t>Les censeurs ne disposeront à titre individuel ou collectif que de pouvoirs consultatifs et ne disposeront pas du droit de vote au Conseil.</w:t>
      </w:r>
    </w:p>
    <w:p w14:paraId="697512F9"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 défaut de convocation du censeur ou de transmission des documents préalablement à la réunion du Conseil d’administration au(x) censeur(s) ne peuvent en aucun cas constituer une cause de nullité des délibérations prises par le Conseil d’administration.</w:t>
      </w:r>
    </w:p>
    <w:p w14:paraId="4B65C3BB"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lastRenderedPageBreak/>
        <w:t>Article 17</w:t>
      </w:r>
      <w:r w:rsidRPr="00C73365">
        <w:rPr>
          <w:rFonts w:asciiTheme="minorHAnsi" w:hAnsiTheme="minorHAnsi" w:cstheme="minorHAnsi"/>
          <w:b/>
          <w:lang w:val="fr-FR"/>
        </w:rPr>
        <w:tab/>
        <w:t>DIRECTION GENERALE - DELEGATION DE POUVOIRS</w:t>
      </w:r>
    </w:p>
    <w:p w14:paraId="1A12BEA5"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17.1</w:t>
      </w:r>
      <w:r w:rsidR="004572A0" w:rsidRPr="00C73365">
        <w:rPr>
          <w:rFonts w:asciiTheme="minorHAnsi" w:hAnsiTheme="minorHAnsi" w:cstheme="minorHAnsi"/>
          <w:lang w:val="fr-FR"/>
        </w:rPr>
        <w:tab/>
      </w:r>
      <w:r w:rsidRPr="00C73365">
        <w:rPr>
          <w:rFonts w:asciiTheme="minorHAnsi" w:hAnsiTheme="minorHAnsi" w:cstheme="minorHAnsi"/>
          <w:lang w:val="fr-FR"/>
        </w:rPr>
        <w:t>Direction générale</w:t>
      </w:r>
    </w:p>
    <w:p w14:paraId="5C286E05" w14:textId="77777777" w:rsidR="00B740A8" w:rsidRPr="00C73365" w:rsidRDefault="00B740A8" w:rsidP="00B740A8">
      <w:pPr>
        <w:rPr>
          <w:rFonts w:asciiTheme="minorHAnsi" w:hAnsiTheme="minorHAnsi" w:cstheme="minorHAnsi"/>
          <w:b/>
          <w:lang w:val="fr-FR"/>
        </w:rPr>
      </w:pPr>
    </w:p>
    <w:p w14:paraId="1611AADB"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Conformément aux dispositions légales, la direction générale de la Société est assumée sous sa responsabilité, soit par le Président du Conseil d’administration, soit par une autre personne physique nommée par le Conseil d’administration et portant le titre de Directeur Général.</w:t>
      </w:r>
    </w:p>
    <w:p w14:paraId="3ED462C2"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Conseil d’administration choisit entre les deux modalités d’exercice de la direction générale à tout moment et, au moins, à chaque expiration du mandat du Directeur général ou du mandat du Président du Conseil d’administration lorsque celui-ci assume également la direction générale de la Société.</w:t>
      </w:r>
    </w:p>
    <w:p w14:paraId="74DD8617"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Les actionnaires et les tiers sont informés de ce choix dans les conditions définies par décret.</w:t>
      </w:r>
    </w:p>
    <w:p w14:paraId="716E037C"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La délibération du Conseil d’administration relative au choix de la modalité d</w:t>
      </w:r>
      <w:r w:rsidR="004572A0" w:rsidRPr="00C73365">
        <w:rPr>
          <w:rFonts w:asciiTheme="minorHAnsi" w:hAnsiTheme="minorHAnsi" w:cstheme="minorHAnsi"/>
          <w:lang w:val="fr-FR"/>
        </w:rPr>
        <w:t>’</w:t>
      </w:r>
      <w:r w:rsidRPr="00C73365">
        <w:rPr>
          <w:rFonts w:asciiTheme="minorHAnsi" w:hAnsiTheme="minorHAnsi" w:cstheme="minorHAnsi"/>
          <w:lang w:val="fr-FR"/>
        </w:rPr>
        <w:t>exercice de la direction générale est prise à la majorité des administrateurs présents ou représentés ou réputés présents, la voix du Président n’étant pas prépondérantes, et sous réserve des dispositions spécifiques prévues à l</w:t>
      </w:r>
      <w:r w:rsidR="004572A0" w:rsidRPr="00C73365">
        <w:rPr>
          <w:rFonts w:asciiTheme="minorHAnsi" w:hAnsiTheme="minorHAnsi" w:cstheme="minorHAnsi"/>
          <w:lang w:val="fr-FR"/>
        </w:rPr>
        <w:t>’</w:t>
      </w:r>
      <w:r w:rsidRPr="00C73365">
        <w:rPr>
          <w:rFonts w:asciiTheme="minorHAnsi" w:hAnsiTheme="minorHAnsi" w:cstheme="minorHAnsi"/>
          <w:lang w:val="fr-FR"/>
        </w:rPr>
        <w:t>article 15.3 ci-dessus en cas de participation des administrateurs au Conseil par visioconférence ou autre moyen de télécommunication.</w:t>
      </w:r>
    </w:p>
    <w:p w14:paraId="248891E0"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Lorsque la direction générale de la Société est assumée par le Président du Conseil d’administration, les dispositions ci-après relatives au Directeur Général lui sont applicables.</w:t>
      </w:r>
    </w:p>
    <w:p w14:paraId="26511285" w14:textId="77777777" w:rsidR="00B740A8" w:rsidRPr="00C73365" w:rsidRDefault="00B740A8" w:rsidP="004572A0">
      <w:pPr>
        <w:pStyle w:val="Liste2"/>
        <w:rPr>
          <w:rFonts w:asciiTheme="minorHAnsi" w:hAnsiTheme="minorHAnsi" w:cstheme="minorHAnsi"/>
          <w:lang w:val="fr-FR"/>
        </w:rPr>
      </w:pPr>
      <w:r w:rsidRPr="00C73365">
        <w:rPr>
          <w:rFonts w:asciiTheme="minorHAnsi" w:hAnsiTheme="minorHAnsi" w:cstheme="minorHAnsi"/>
          <w:lang w:val="fr-FR"/>
        </w:rPr>
        <w:t>17.2</w:t>
      </w:r>
      <w:r w:rsidR="004572A0" w:rsidRPr="00C73365">
        <w:rPr>
          <w:rFonts w:asciiTheme="minorHAnsi" w:hAnsiTheme="minorHAnsi" w:cstheme="minorHAnsi"/>
          <w:lang w:val="fr-FR"/>
        </w:rPr>
        <w:tab/>
      </w:r>
      <w:r w:rsidRPr="00C73365">
        <w:rPr>
          <w:rFonts w:asciiTheme="minorHAnsi" w:hAnsiTheme="minorHAnsi" w:cstheme="minorHAnsi"/>
          <w:lang w:val="fr-FR"/>
        </w:rPr>
        <w:t xml:space="preserve">Directeur général </w:t>
      </w:r>
    </w:p>
    <w:p w14:paraId="0F40517C" w14:textId="77777777" w:rsidR="00B740A8" w:rsidRPr="00C73365" w:rsidRDefault="00B740A8" w:rsidP="00B740A8">
      <w:pPr>
        <w:rPr>
          <w:rFonts w:asciiTheme="minorHAnsi" w:hAnsiTheme="minorHAnsi" w:cstheme="minorHAnsi"/>
          <w:b/>
          <w:lang w:val="fr-FR"/>
        </w:rPr>
      </w:pPr>
    </w:p>
    <w:p w14:paraId="3182BB5E"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Le Directeur Général est investi des pouvoirs les plus étendus pour agir en toute circonstance au nom de la Société. Il exerce ces pouvoirs dans la limite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et sous réserve de ceux que la loi attribue expressément aux Assemblées générales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et au Conseil d’administration.</w:t>
      </w:r>
    </w:p>
    <w:p w14:paraId="7F5ADD43"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Il représente la Société dans ses rapports avec les tiers. La Société est engagée même par les actes du Directeur Général qui ne relèvent pas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à moins qu</w:t>
      </w:r>
      <w:r w:rsidR="004572A0" w:rsidRPr="00C73365">
        <w:rPr>
          <w:rFonts w:asciiTheme="minorHAnsi" w:hAnsiTheme="minorHAnsi" w:cstheme="minorHAnsi"/>
          <w:lang w:val="fr-FR"/>
        </w:rPr>
        <w:t>’</w:t>
      </w:r>
      <w:r w:rsidRPr="00C73365">
        <w:rPr>
          <w:rFonts w:asciiTheme="minorHAnsi" w:hAnsiTheme="minorHAnsi" w:cstheme="minorHAnsi"/>
          <w:lang w:val="fr-FR"/>
        </w:rPr>
        <w:t>elle ne prouve que le tiers savait que l</w:t>
      </w:r>
      <w:r w:rsidR="004572A0" w:rsidRPr="00C73365">
        <w:rPr>
          <w:rFonts w:asciiTheme="minorHAnsi" w:hAnsiTheme="minorHAnsi" w:cstheme="minorHAnsi"/>
          <w:lang w:val="fr-FR"/>
        </w:rPr>
        <w:t>’</w:t>
      </w:r>
      <w:r w:rsidRPr="00C73365">
        <w:rPr>
          <w:rFonts w:asciiTheme="minorHAnsi" w:hAnsiTheme="minorHAnsi" w:cstheme="minorHAnsi"/>
          <w:lang w:val="fr-FR"/>
        </w:rPr>
        <w:t>acte dépassait cet objet ou qu</w:t>
      </w:r>
      <w:r w:rsidR="004572A0" w:rsidRPr="00C73365">
        <w:rPr>
          <w:rFonts w:asciiTheme="minorHAnsi" w:hAnsiTheme="minorHAnsi" w:cstheme="minorHAnsi"/>
          <w:lang w:val="fr-FR"/>
        </w:rPr>
        <w:t>’</w:t>
      </w:r>
      <w:r w:rsidRPr="00C73365">
        <w:rPr>
          <w:rFonts w:asciiTheme="minorHAnsi" w:hAnsiTheme="minorHAnsi" w:cstheme="minorHAnsi"/>
          <w:lang w:val="fr-FR"/>
        </w:rPr>
        <w:t>il ne pouvait l</w:t>
      </w:r>
      <w:r w:rsidR="004572A0" w:rsidRPr="00C73365">
        <w:rPr>
          <w:rFonts w:asciiTheme="minorHAnsi" w:hAnsiTheme="minorHAnsi" w:cstheme="minorHAnsi"/>
          <w:lang w:val="fr-FR"/>
        </w:rPr>
        <w:t>’</w:t>
      </w:r>
      <w:r w:rsidRPr="00C73365">
        <w:rPr>
          <w:rFonts w:asciiTheme="minorHAnsi" w:hAnsiTheme="minorHAnsi" w:cstheme="minorHAnsi"/>
          <w:lang w:val="fr-FR"/>
        </w:rPr>
        <w:t>ignorer compte tenu des circonstances, étant exclu que la seule publication des statuts suffise à constituer cette preuve.</w:t>
      </w:r>
    </w:p>
    <w:p w14:paraId="5BE7448E"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Lorsque le Conseil d’administration choisit la dissociation des fonctions de Président et de Directeur Général, il procède à la nomination du Directeur Général, fixe la durée de son mandat, détermine sa rémunération et, le cas échéant, les limitations de ses pouvoirs.</w:t>
      </w:r>
    </w:p>
    <w:p w14:paraId="523DE71B"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Aucune personne âgée de soixante-quinze (75) ans ou plus ne peut être nommée Directeur général. La durée des fonctions de Directeur général viendra automatiquement à échéance lors de l’assemblée générale ordinaire annuelle appelée à approuver les comptes de la Société et se tenant postérieurement à la date à laquelle le Directeur général aura atteint l’âge précité. Sous cette réserve, le Directeur général est rééligible.</w:t>
      </w:r>
    </w:p>
    <w:p w14:paraId="2BD7E9C0"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 xml:space="preserve">Le Directeur Général est révocable à tout moment par le Conseil d’administration. </w:t>
      </w:r>
    </w:p>
    <w:p w14:paraId="152F36A8"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17.3</w:t>
      </w:r>
      <w:r w:rsidR="004572A0" w:rsidRPr="00C73365">
        <w:rPr>
          <w:rFonts w:asciiTheme="minorHAnsi" w:hAnsiTheme="minorHAnsi" w:cstheme="minorHAnsi"/>
          <w:lang w:val="fr-FR"/>
        </w:rPr>
        <w:tab/>
      </w:r>
      <w:r w:rsidRPr="00C73365">
        <w:rPr>
          <w:rFonts w:asciiTheme="minorHAnsi" w:hAnsiTheme="minorHAnsi" w:cstheme="minorHAnsi"/>
          <w:lang w:val="fr-FR"/>
        </w:rPr>
        <w:t>Directeurs généraux délégués</w:t>
      </w:r>
    </w:p>
    <w:p w14:paraId="4F507E95" w14:textId="77777777" w:rsidR="00B740A8" w:rsidRPr="00C73365" w:rsidRDefault="00B740A8" w:rsidP="00846FBD">
      <w:pPr>
        <w:rPr>
          <w:rFonts w:asciiTheme="minorHAnsi" w:hAnsiTheme="minorHAnsi" w:cstheme="minorHAnsi"/>
          <w:u w:val="single"/>
          <w:lang w:val="fr-FR"/>
        </w:rPr>
      </w:pPr>
    </w:p>
    <w:p w14:paraId="5E14F2C4"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Sur proposition du Directeur général, que cette fonction soit assumée par le Président du Conseil d’administration ou par une autre personne, le Conseil d’administration peut nommer une ou plusieurs personnes physiques, nommées Directeurs généraux délégués, choisies ou non parmi les administrateurs et les actionnaires, chargées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assister le Directeur général. </w:t>
      </w:r>
    </w:p>
    <w:p w14:paraId="64B244D5"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 xml:space="preserve">Le nombre de Directeurs Généraux Délégués ne peut excéder cinq (5). </w:t>
      </w:r>
    </w:p>
    <w:p w14:paraId="26079458"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Si le Directeur général délégué est administrateur, la durée de ses fonctions ne peut excéder celle de son mandat d</w:t>
      </w:r>
      <w:r w:rsidR="004572A0" w:rsidRPr="00C73365">
        <w:rPr>
          <w:rFonts w:asciiTheme="minorHAnsi" w:hAnsiTheme="minorHAnsi" w:cstheme="minorHAnsi"/>
          <w:lang w:val="fr-FR"/>
        </w:rPr>
        <w:t>’</w:t>
      </w:r>
      <w:r w:rsidRPr="00C73365">
        <w:rPr>
          <w:rFonts w:asciiTheme="minorHAnsi" w:hAnsiTheme="minorHAnsi" w:cstheme="minorHAnsi"/>
          <w:lang w:val="fr-FR"/>
        </w:rPr>
        <w:t>administrateur.</w:t>
      </w:r>
    </w:p>
    <w:p w14:paraId="0BD2BC34"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Aucune personne âgée de soixante-quinze (75) ans ou plus ne peut être nommée Directeur général délégué. La durée des fonctions de Directeur général délégué viendra automatiquement à échéance lors de l’assemblée générale ordinaire annuelle appelée à approuver les comptes de la Société et se tenant postérieurement à la date à laquelle le Directeur général délégué aura atteint l’âge précité. Sous cette réserve, le Directeur général délégué est rééligible.</w:t>
      </w:r>
    </w:p>
    <w:p w14:paraId="2E8ACE44"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 xml:space="preserve">Les Directeurs généraux délégués sont révocables à tout moment par le Conseil d’administration sur proposition du Directeur Général. </w:t>
      </w:r>
    </w:p>
    <w:p w14:paraId="1E17C319"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lastRenderedPageBreak/>
        <w:t>En accord avec le Directeur général, le Conseil d’administration détermine l</w:t>
      </w:r>
      <w:r w:rsidR="004572A0" w:rsidRPr="00C73365">
        <w:rPr>
          <w:rFonts w:asciiTheme="minorHAnsi" w:hAnsiTheme="minorHAnsi" w:cstheme="minorHAnsi"/>
          <w:lang w:val="fr-FR"/>
        </w:rPr>
        <w:t>’</w:t>
      </w:r>
      <w:r w:rsidRPr="00C73365">
        <w:rPr>
          <w:rFonts w:asciiTheme="minorHAnsi" w:hAnsiTheme="minorHAnsi" w:cstheme="minorHAnsi"/>
          <w:lang w:val="fr-FR"/>
        </w:rPr>
        <w:t>étendue et la durée des pouvoirs conférés aux Directeurs généraux délégués. Le Conseil d’administration détermine leur rémunération dans les conditions fixées par la loi.</w:t>
      </w:r>
    </w:p>
    <w:p w14:paraId="10A458FF"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A l’égard des tiers, les Directeurs généraux délégués disposent des mêmes pouvoirs que le Directeur général.</w:t>
      </w:r>
    </w:p>
    <w:p w14:paraId="0BF6E9FC"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Lorsque le Directeur général cesse ou est empêché d</w:t>
      </w:r>
      <w:r w:rsidR="004572A0" w:rsidRPr="00C73365">
        <w:rPr>
          <w:rFonts w:asciiTheme="minorHAnsi" w:hAnsiTheme="minorHAnsi" w:cstheme="minorHAnsi"/>
          <w:lang w:val="fr-FR"/>
        </w:rPr>
        <w:t>’</w:t>
      </w:r>
      <w:r w:rsidRPr="00C73365">
        <w:rPr>
          <w:rFonts w:asciiTheme="minorHAnsi" w:hAnsiTheme="minorHAnsi" w:cstheme="minorHAnsi"/>
          <w:lang w:val="fr-FR"/>
        </w:rPr>
        <w:t>exercer ses fonctions, les Directeurs généraux délégués conservent, sauf décision contraire du Conseil d’administration, leurs fonctions et leurs attributions jusqu</w:t>
      </w:r>
      <w:r w:rsidR="004572A0" w:rsidRPr="00C73365">
        <w:rPr>
          <w:rFonts w:asciiTheme="minorHAnsi" w:hAnsiTheme="minorHAnsi" w:cstheme="minorHAnsi"/>
          <w:lang w:val="fr-FR"/>
        </w:rPr>
        <w:t>’</w:t>
      </w:r>
      <w:r w:rsidRPr="00C73365">
        <w:rPr>
          <w:rFonts w:asciiTheme="minorHAnsi" w:hAnsiTheme="minorHAnsi" w:cstheme="minorHAnsi"/>
          <w:lang w:val="fr-FR"/>
        </w:rPr>
        <w:t>à nomination du nouveau Directeur général.</w:t>
      </w:r>
    </w:p>
    <w:p w14:paraId="1A7B16A1" w14:textId="77777777" w:rsidR="00B740A8" w:rsidRPr="00C73365" w:rsidRDefault="00B740A8" w:rsidP="004572A0">
      <w:pPr>
        <w:pStyle w:val="Listecontinue"/>
        <w:rPr>
          <w:rFonts w:asciiTheme="minorHAnsi" w:hAnsiTheme="minorHAnsi" w:cstheme="minorHAnsi"/>
          <w:b/>
          <w:lang w:val="fr-FR"/>
        </w:rPr>
      </w:pPr>
      <w:r w:rsidRPr="00C73365">
        <w:rPr>
          <w:rFonts w:asciiTheme="minorHAnsi" w:hAnsiTheme="minorHAnsi" w:cstheme="minorHAnsi"/>
          <w:b/>
          <w:lang w:val="fr-FR"/>
        </w:rPr>
        <w:t>17.4</w:t>
      </w:r>
      <w:r w:rsidRPr="00C73365">
        <w:rPr>
          <w:rFonts w:asciiTheme="minorHAnsi" w:hAnsiTheme="minorHAnsi" w:cstheme="minorHAnsi"/>
          <w:b/>
          <w:lang w:val="fr-FR"/>
        </w:rPr>
        <w:tab/>
        <w:t xml:space="preserve"> Délégation de pouvoirs</w:t>
      </w:r>
    </w:p>
    <w:p w14:paraId="7F1FED29"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Conseil d’administration peut confier à des mandataires, administrateurs ou non, des missions permanentes ou temporaires qu</w:t>
      </w:r>
      <w:r w:rsidR="004572A0" w:rsidRPr="00C73365">
        <w:rPr>
          <w:rFonts w:asciiTheme="minorHAnsi" w:hAnsiTheme="minorHAnsi" w:cstheme="minorHAnsi"/>
          <w:lang w:val="fr-FR"/>
        </w:rPr>
        <w:t>’</w:t>
      </w:r>
      <w:r w:rsidRPr="00C73365">
        <w:rPr>
          <w:rFonts w:asciiTheme="minorHAnsi" w:hAnsiTheme="minorHAnsi" w:cstheme="minorHAnsi"/>
          <w:lang w:val="fr-FR"/>
        </w:rPr>
        <w:t>il détermine, leur déléguer des pouvoirs et fixer la rémunération qu</w:t>
      </w:r>
      <w:r w:rsidR="004572A0" w:rsidRPr="00C73365">
        <w:rPr>
          <w:rFonts w:asciiTheme="minorHAnsi" w:hAnsiTheme="minorHAnsi" w:cstheme="minorHAnsi"/>
          <w:lang w:val="fr-FR"/>
        </w:rPr>
        <w:t>’</w:t>
      </w:r>
      <w:r w:rsidRPr="00C73365">
        <w:rPr>
          <w:rFonts w:asciiTheme="minorHAnsi" w:hAnsiTheme="minorHAnsi" w:cstheme="minorHAnsi"/>
          <w:lang w:val="fr-FR"/>
        </w:rPr>
        <w:t>il juge convenable.</w:t>
      </w:r>
    </w:p>
    <w:p w14:paraId="06DA3376" w14:textId="77777777" w:rsidR="00B740A8" w:rsidRPr="00C73365" w:rsidRDefault="00B740A8" w:rsidP="00B740A8">
      <w:pPr>
        <w:rPr>
          <w:rFonts w:asciiTheme="minorHAnsi" w:hAnsiTheme="minorHAnsi" w:cstheme="minorHAnsi"/>
          <w:b/>
          <w:lang w:val="fr-FR"/>
        </w:rPr>
      </w:pPr>
    </w:p>
    <w:p w14:paraId="7BF4E931" w14:textId="77777777" w:rsidR="00B740A8" w:rsidRPr="00C73365" w:rsidRDefault="00B740A8" w:rsidP="004834A9">
      <w:pPr>
        <w:pStyle w:val="Listecontinue"/>
        <w:ind w:left="0"/>
        <w:rPr>
          <w:rFonts w:asciiTheme="minorHAnsi" w:hAnsiTheme="minorHAnsi" w:cstheme="minorHAnsi"/>
          <w:b/>
          <w:lang w:val="fr-FR"/>
        </w:rPr>
      </w:pPr>
      <w:r w:rsidRPr="00C73365">
        <w:rPr>
          <w:rFonts w:asciiTheme="minorHAnsi" w:hAnsiTheme="minorHAnsi" w:cstheme="minorHAnsi"/>
          <w:b/>
          <w:lang w:val="fr-FR"/>
        </w:rPr>
        <w:t xml:space="preserve">Article 18 </w:t>
      </w:r>
      <w:r w:rsidRPr="00C73365">
        <w:rPr>
          <w:rFonts w:asciiTheme="minorHAnsi" w:hAnsiTheme="minorHAnsi" w:cstheme="minorHAnsi"/>
          <w:b/>
          <w:lang w:val="fr-FR"/>
        </w:rPr>
        <w:tab/>
        <w:t>REMUNERATION DES ADMINISTRATEURS</w:t>
      </w:r>
    </w:p>
    <w:p w14:paraId="7DA2E6E5"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peut allouer aux administrateurs, en rémunération de leur activité, à titre de jetons de présence, une somme fixe annuelle, que cette Assemblée détermine sans être liée par des décisions antérieures. Le montant de celle-ci est porté aux charges d</w:t>
      </w:r>
      <w:r w:rsidR="004572A0" w:rsidRPr="00C73365">
        <w:rPr>
          <w:rFonts w:asciiTheme="minorHAnsi" w:hAnsiTheme="minorHAnsi" w:cstheme="minorHAnsi"/>
          <w:lang w:val="fr-FR"/>
        </w:rPr>
        <w:t>’</w:t>
      </w:r>
      <w:r w:rsidRPr="00C73365">
        <w:rPr>
          <w:rFonts w:asciiTheme="minorHAnsi" w:hAnsiTheme="minorHAnsi" w:cstheme="minorHAnsi"/>
          <w:lang w:val="fr-FR"/>
        </w:rPr>
        <w:t>exploitation.</w:t>
      </w:r>
    </w:p>
    <w:p w14:paraId="6D80E72F"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Conseil d’administration répartit librement entre ses membres les sommes globales allouées aux administrateurs sous forme de jetons de présence ; il peut notamment allouer aux administrateurs, membres des comités d</w:t>
      </w:r>
      <w:r w:rsidR="004572A0" w:rsidRPr="00C73365">
        <w:rPr>
          <w:rFonts w:asciiTheme="minorHAnsi" w:hAnsiTheme="minorHAnsi" w:cstheme="minorHAnsi"/>
          <w:lang w:val="fr-FR"/>
        </w:rPr>
        <w:t>’</w:t>
      </w:r>
      <w:r w:rsidRPr="00C73365">
        <w:rPr>
          <w:rFonts w:asciiTheme="minorHAnsi" w:hAnsiTheme="minorHAnsi" w:cstheme="minorHAnsi"/>
          <w:lang w:val="fr-FR"/>
        </w:rPr>
        <w:t>études, une part supérieure à celle des autres administrateurs.</w:t>
      </w:r>
    </w:p>
    <w:p w14:paraId="0531E9FE"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Il peut être alloué par le Conseil d’administration des rémunérations exceptionnelles pour les missions ou mandats confiés à des administrateurs.</w:t>
      </w:r>
    </w:p>
    <w:p w14:paraId="66EA68BF"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Conseil d’administration peut autoriser le remboursement des frais de voyage et de déplacement et des dépenses engagées par les administrateurs dans l</w:t>
      </w:r>
      <w:r w:rsidR="004572A0" w:rsidRPr="00C73365">
        <w:rPr>
          <w:rFonts w:asciiTheme="minorHAnsi" w:hAnsiTheme="minorHAnsi" w:cstheme="minorHAnsi"/>
          <w:lang w:val="fr-FR"/>
        </w:rPr>
        <w:t>’</w:t>
      </w:r>
      <w:r w:rsidRPr="00C73365">
        <w:rPr>
          <w:rFonts w:asciiTheme="minorHAnsi" w:hAnsiTheme="minorHAnsi" w:cstheme="minorHAnsi"/>
          <w:lang w:val="fr-FR"/>
        </w:rPr>
        <w:t>intérêt de la Société.</w:t>
      </w:r>
    </w:p>
    <w:p w14:paraId="49C15F6C" w14:textId="77777777" w:rsidR="00B740A8" w:rsidRPr="00C73365" w:rsidRDefault="00B740A8" w:rsidP="00B740A8">
      <w:pPr>
        <w:keepLines/>
        <w:widowControl w:val="0"/>
        <w:rPr>
          <w:rFonts w:asciiTheme="minorHAnsi" w:hAnsiTheme="minorHAnsi" w:cstheme="minorHAnsi"/>
          <w:b/>
          <w:lang w:val="fr-FR"/>
        </w:rPr>
      </w:pPr>
      <w:r w:rsidRPr="00C73365">
        <w:rPr>
          <w:rFonts w:asciiTheme="minorHAnsi" w:hAnsiTheme="minorHAnsi" w:cstheme="minorHAnsi"/>
          <w:b/>
          <w:lang w:val="fr-FR"/>
        </w:rPr>
        <w:t>Article 19</w:t>
      </w:r>
      <w:r w:rsidRPr="00C73365">
        <w:rPr>
          <w:rFonts w:asciiTheme="minorHAnsi" w:hAnsiTheme="minorHAnsi" w:cstheme="minorHAnsi"/>
          <w:b/>
          <w:lang w:val="fr-FR"/>
        </w:rPr>
        <w:tab/>
        <w:t>CONVENTIONS ENTRE LA SOCIETE ET UN ADMINISTRATEUR OU LE DIRECTEUR GENERAL OU UN DIRECTEUR GENERAL DELEGUE OU UN ACTIONNAIRE DISPOSANT D</w:t>
      </w:r>
      <w:r w:rsidR="004572A0" w:rsidRPr="00C73365">
        <w:rPr>
          <w:rFonts w:asciiTheme="minorHAnsi" w:hAnsiTheme="minorHAnsi" w:cstheme="minorHAnsi"/>
          <w:b/>
          <w:lang w:val="fr-FR"/>
        </w:rPr>
        <w:t>’</w:t>
      </w:r>
      <w:r w:rsidRPr="00C73365">
        <w:rPr>
          <w:rFonts w:asciiTheme="minorHAnsi" w:hAnsiTheme="minorHAnsi" w:cstheme="minorHAnsi"/>
          <w:b/>
          <w:lang w:val="fr-FR"/>
        </w:rPr>
        <w:t>UNE FRACTION DES DROITS DE VOTE SUPERIEURE A 10 %</w:t>
      </w:r>
    </w:p>
    <w:p w14:paraId="1A768BA0" w14:textId="77777777" w:rsidR="00B740A8" w:rsidRPr="00C73365" w:rsidRDefault="00B740A8" w:rsidP="004572A0">
      <w:pPr>
        <w:pStyle w:val="Liste2"/>
        <w:rPr>
          <w:rFonts w:asciiTheme="minorHAnsi" w:hAnsiTheme="minorHAnsi" w:cstheme="minorHAnsi"/>
          <w:lang w:val="fr-FR"/>
        </w:rPr>
      </w:pPr>
      <w:r w:rsidRPr="00C73365">
        <w:rPr>
          <w:rFonts w:asciiTheme="minorHAnsi" w:hAnsiTheme="minorHAnsi" w:cstheme="minorHAnsi"/>
          <w:lang w:val="fr-FR"/>
        </w:rPr>
        <w:t>19.1</w:t>
      </w:r>
      <w:r w:rsidRPr="00C73365">
        <w:rPr>
          <w:rFonts w:asciiTheme="minorHAnsi" w:hAnsiTheme="minorHAnsi" w:cstheme="minorHAnsi"/>
          <w:lang w:val="fr-FR"/>
        </w:rPr>
        <w:tab/>
        <w:t>Conventions soumises à autorisation</w:t>
      </w:r>
    </w:p>
    <w:p w14:paraId="50D74759" w14:textId="77777777" w:rsidR="00B740A8" w:rsidRPr="00C73365" w:rsidRDefault="00B740A8" w:rsidP="00B740A8">
      <w:pPr>
        <w:keepNext/>
        <w:keepLines/>
        <w:rPr>
          <w:rFonts w:asciiTheme="minorHAnsi" w:hAnsiTheme="minorHAnsi" w:cstheme="minorHAnsi"/>
          <w:lang w:val="fr-FR"/>
        </w:rPr>
      </w:pPr>
    </w:p>
    <w:p w14:paraId="6DD91372"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Sauf celles portant sur des opérations courantes et conclues à des conditions normales, toute convention intervenant, directement ou par personne interposée, entre la Société et l</w:t>
      </w:r>
      <w:r w:rsidR="004572A0" w:rsidRPr="00C73365">
        <w:rPr>
          <w:rFonts w:asciiTheme="minorHAnsi" w:hAnsiTheme="minorHAnsi" w:cstheme="minorHAnsi"/>
          <w:lang w:val="fr-FR"/>
        </w:rPr>
        <w:t>’</w:t>
      </w:r>
      <w:r w:rsidRPr="00C73365">
        <w:rPr>
          <w:rFonts w:asciiTheme="minorHAnsi" w:hAnsiTheme="minorHAnsi" w:cstheme="minorHAnsi"/>
          <w:lang w:val="fr-FR"/>
        </w:rPr>
        <w:t>un de ses administrateurs ou le Directeur général ou un Directeur général délégué ou un actionnaire détenant plus de 10 % des droits de vote de la Société, ou s</w:t>
      </w:r>
      <w:r w:rsidR="004572A0" w:rsidRPr="00C73365">
        <w:rPr>
          <w:rFonts w:asciiTheme="minorHAnsi" w:hAnsiTheme="minorHAnsi" w:cstheme="minorHAnsi"/>
          <w:lang w:val="fr-FR"/>
        </w:rPr>
        <w:t>’</w:t>
      </w:r>
      <w:r w:rsidRPr="00C73365">
        <w:rPr>
          <w:rFonts w:asciiTheme="minorHAnsi" w:hAnsiTheme="minorHAnsi" w:cstheme="minorHAnsi"/>
          <w:lang w:val="fr-FR"/>
        </w:rPr>
        <w:t>il s</w:t>
      </w:r>
      <w:r w:rsidR="004572A0" w:rsidRPr="00C73365">
        <w:rPr>
          <w:rFonts w:asciiTheme="minorHAnsi" w:hAnsiTheme="minorHAnsi" w:cstheme="minorHAnsi"/>
          <w:lang w:val="fr-FR"/>
        </w:rPr>
        <w:t>’</w:t>
      </w:r>
      <w:r w:rsidRPr="00C73365">
        <w:rPr>
          <w:rFonts w:asciiTheme="minorHAnsi" w:hAnsiTheme="minorHAnsi" w:cstheme="minorHAnsi"/>
          <w:lang w:val="fr-FR"/>
        </w:rPr>
        <w:t>agit d</w:t>
      </w:r>
      <w:r w:rsidR="004572A0" w:rsidRPr="00C73365">
        <w:rPr>
          <w:rFonts w:asciiTheme="minorHAnsi" w:hAnsiTheme="minorHAnsi" w:cstheme="minorHAnsi"/>
          <w:lang w:val="fr-FR"/>
        </w:rPr>
        <w:t>’</w:t>
      </w:r>
      <w:r w:rsidRPr="00C73365">
        <w:rPr>
          <w:rFonts w:asciiTheme="minorHAnsi" w:hAnsiTheme="minorHAnsi" w:cstheme="minorHAnsi"/>
          <w:lang w:val="fr-FR"/>
        </w:rPr>
        <w:t>une société actionnaire, la société la contrôlant au sens de l</w:t>
      </w:r>
      <w:r w:rsidR="004572A0" w:rsidRPr="00C73365">
        <w:rPr>
          <w:rFonts w:asciiTheme="minorHAnsi" w:hAnsiTheme="minorHAnsi" w:cstheme="minorHAnsi"/>
          <w:lang w:val="fr-FR"/>
        </w:rPr>
        <w:t>’</w:t>
      </w:r>
      <w:r w:rsidRPr="00C73365">
        <w:rPr>
          <w:rFonts w:asciiTheme="minorHAnsi" w:hAnsiTheme="minorHAnsi" w:cstheme="minorHAnsi"/>
          <w:lang w:val="fr-FR"/>
        </w:rPr>
        <w:t>article L. 233-3 du Code de commerce, doit être soumise à l</w:t>
      </w:r>
      <w:r w:rsidR="004572A0" w:rsidRPr="00C73365">
        <w:rPr>
          <w:rFonts w:asciiTheme="minorHAnsi" w:hAnsiTheme="minorHAnsi" w:cstheme="minorHAnsi"/>
          <w:lang w:val="fr-FR"/>
        </w:rPr>
        <w:t>’</w:t>
      </w:r>
      <w:r w:rsidRPr="00C73365">
        <w:rPr>
          <w:rFonts w:asciiTheme="minorHAnsi" w:hAnsiTheme="minorHAnsi" w:cstheme="minorHAnsi"/>
          <w:lang w:val="fr-FR"/>
        </w:rPr>
        <w:t>autorisation préalable du Conseil d’administration.</w:t>
      </w:r>
    </w:p>
    <w:p w14:paraId="3BCBEEC1"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II en est de même des conventions auxquelles une des personnes visées à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 est indirectement intéressée.</w:t>
      </w:r>
    </w:p>
    <w:p w14:paraId="19934326"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Sont également soumises à autorisation préalable les conventions intervenant entre la Société et une entreprise, si le Directeur général, l</w:t>
      </w:r>
      <w:r w:rsidR="004572A0" w:rsidRPr="00C73365">
        <w:rPr>
          <w:rFonts w:asciiTheme="minorHAnsi" w:hAnsiTheme="minorHAnsi" w:cstheme="minorHAnsi"/>
          <w:lang w:val="fr-FR"/>
        </w:rPr>
        <w:t>’</w:t>
      </w:r>
      <w:r w:rsidRPr="00C73365">
        <w:rPr>
          <w:rFonts w:asciiTheme="minorHAnsi" w:hAnsiTheme="minorHAnsi" w:cstheme="minorHAnsi"/>
          <w:lang w:val="fr-FR"/>
        </w:rPr>
        <w:t>un des Directeurs généraux délégués ou l</w:t>
      </w:r>
      <w:r w:rsidR="004572A0" w:rsidRPr="00C73365">
        <w:rPr>
          <w:rFonts w:asciiTheme="minorHAnsi" w:hAnsiTheme="minorHAnsi" w:cstheme="minorHAnsi"/>
          <w:lang w:val="fr-FR"/>
        </w:rPr>
        <w:t>’</w:t>
      </w:r>
      <w:r w:rsidRPr="00C73365">
        <w:rPr>
          <w:rFonts w:asciiTheme="minorHAnsi" w:hAnsiTheme="minorHAnsi" w:cstheme="minorHAnsi"/>
          <w:lang w:val="fr-FR"/>
        </w:rPr>
        <w:t>un des administrateurs de la Société est propriétaire, associé indéfiniment responsable, gérant, administrateur, membre du conseil de surveillance ou, d</w:t>
      </w:r>
      <w:r w:rsidR="004572A0" w:rsidRPr="00C73365">
        <w:rPr>
          <w:rFonts w:asciiTheme="minorHAnsi" w:hAnsiTheme="minorHAnsi" w:cstheme="minorHAnsi"/>
          <w:lang w:val="fr-FR"/>
        </w:rPr>
        <w:t>’</w:t>
      </w:r>
      <w:r w:rsidRPr="00C73365">
        <w:rPr>
          <w:rFonts w:asciiTheme="minorHAnsi" w:hAnsiTheme="minorHAnsi" w:cstheme="minorHAnsi"/>
          <w:lang w:val="fr-FR"/>
        </w:rPr>
        <w:t>une façon générale, dirigeant de l</w:t>
      </w:r>
      <w:r w:rsidR="004572A0" w:rsidRPr="00C73365">
        <w:rPr>
          <w:rFonts w:asciiTheme="minorHAnsi" w:hAnsiTheme="minorHAnsi" w:cstheme="minorHAnsi"/>
          <w:lang w:val="fr-FR"/>
        </w:rPr>
        <w:t>’</w:t>
      </w:r>
      <w:r w:rsidRPr="00C73365">
        <w:rPr>
          <w:rFonts w:asciiTheme="minorHAnsi" w:hAnsiTheme="minorHAnsi" w:cstheme="minorHAnsi"/>
          <w:lang w:val="fr-FR"/>
        </w:rPr>
        <w:t>entreprise.</w:t>
      </w:r>
    </w:p>
    <w:p w14:paraId="4183C4E6"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Ces conventions doivent être autorisées et approuvées dans les conditions légales.</w:t>
      </w:r>
    </w:p>
    <w:p w14:paraId="772578F4"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19.2</w:t>
      </w:r>
      <w:r w:rsidR="004572A0" w:rsidRPr="00C73365">
        <w:rPr>
          <w:rFonts w:asciiTheme="minorHAnsi" w:hAnsiTheme="minorHAnsi" w:cstheme="minorHAnsi"/>
          <w:lang w:val="fr-FR"/>
        </w:rPr>
        <w:tab/>
      </w:r>
      <w:r w:rsidRPr="00C73365">
        <w:rPr>
          <w:rFonts w:asciiTheme="minorHAnsi" w:hAnsiTheme="minorHAnsi" w:cstheme="minorHAnsi"/>
          <w:lang w:val="fr-FR"/>
        </w:rPr>
        <w:t>Conventions interdites</w:t>
      </w:r>
    </w:p>
    <w:p w14:paraId="739E1AD4" w14:textId="77777777" w:rsidR="00B740A8" w:rsidRPr="00C73365" w:rsidRDefault="00B740A8" w:rsidP="00846FBD">
      <w:pPr>
        <w:keepNext/>
        <w:keepLines/>
        <w:rPr>
          <w:rFonts w:asciiTheme="minorHAnsi" w:hAnsiTheme="minorHAnsi" w:cstheme="minorHAnsi"/>
          <w:lang w:val="fr-FR"/>
        </w:rPr>
      </w:pPr>
    </w:p>
    <w:p w14:paraId="13783054"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A peine de nullité du contrat, il est interdit aux administrateurs autres que les personnes morales de contracter, sous quelque forme que ce soit, des emprunts auprès de la Société, de se faire consentir par elle un découvert, en compte courant ou autrement, ainsi que de faire cautionner ou avaliser par elle leurs engagements envers les tiers.</w:t>
      </w:r>
    </w:p>
    <w:p w14:paraId="04E2BCFE" w14:textId="77777777" w:rsidR="00B740A8"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La même interdiction s</w:t>
      </w:r>
      <w:r w:rsidR="004572A0" w:rsidRPr="00C73365">
        <w:rPr>
          <w:rFonts w:asciiTheme="minorHAnsi" w:hAnsiTheme="minorHAnsi" w:cstheme="minorHAnsi"/>
          <w:lang w:val="fr-FR"/>
        </w:rPr>
        <w:t>’</w:t>
      </w:r>
      <w:r w:rsidRPr="00C73365">
        <w:rPr>
          <w:rFonts w:asciiTheme="minorHAnsi" w:hAnsiTheme="minorHAnsi" w:cstheme="minorHAnsi"/>
          <w:lang w:val="fr-FR"/>
        </w:rPr>
        <w:t>applique au Directeur général, aux Directeurs généraux délégués et aux représentants permanents des personnes morales administrateurs. Elle s</w:t>
      </w:r>
      <w:r w:rsidR="004572A0" w:rsidRPr="00C73365">
        <w:rPr>
          <w:rFonts w:asciiTheme="minorHAnsi" w:hAnsiTheme="minorHAnsi" w:cstheme="minorHAnsi"/>
          <w:lang w:val="fr-FR"/>
        </w:rPr>
        <w:t>’</w:t>
      </w:r>
      <w:r w:rsidRPr="00C73365">
        <w:rPr>
          <w:rFonts w:asciiTheme="minorHAnsi" w:hAnsiTheme="minorHAnsi" w:cstheme="minorHAnsi"/>
          <w:lang w:val="fr-FR"/>
        </w:rPr>
        <w:t>applique également aux conjoints, ascendants et descendants des personnes visées au présent article ainsi qu</w:t>
      </w:r>
      <w:r w:rsidR="004572A0" w:rsidRPr="00C73365">
        <w:rPr>
          <w:rFonts w:asciiTheme="minorHAnsi" w:hAnsiTheme="minorHAnsi" w:cstheme="minorHAnsi"/>
          <w:lang w:val="fr-FR"/>
        </w:rPr>
        <w:t>’</w:t>
      </w:r>
      <w:r w:rsidRPr="00C73365">
        <w:rPr>
          <w:rFonts w:asciiTheme="minorHAnsi" w:hAnsiTheme="minorHAnsi" w:cstheme="minorHAnsi"/>
          <w:lang w:val="fr-FR"/>
        </w:rPr>
        <w:t>à toute personne interposée.</w:t>
      </w:r>
    </w:p>
    <w:p w14:paraId="2C9C481A" w14:textId="77777777" w:rsidR="00846FBD" w:rsidRPr="00C73365" w:rsidRDefault="00846FBD" w:rsidP="00846FBD">
      <w:pPr>
        <w:pStyle w:val="Listecontinue"/>
        <w:ind w:left="0"/>
        <w:rPr>
          <w:rFonts w:asciiTheme="minorHAnsi" w:hAnsiTheme="minorHAnsi" w:cstheme="minorHAnsi"/>
          <w:lang w:val="fr-FR"/>
        </w:rPr>
      </w:pPr>
    </w:p>
    <w:p w14:paraId="097911C7" w14:textId="77777777" w:rsidR="00B740A8" w:rsidRPr="00C73365" w:rsidRDefault="00B740A8" w:rsidP="004572A0">
      <w:pPr>
        <w:pStyle w:val="Listecontinue"/>
        <w:rPr>
          <w:rFonts w:asciiTheme="minorHAnsi" w:hAnsiTheme="minorHAnsi" w:cstheme="minorHAnsi"/>
          <w:b/>
          <w:lang w:val="fr-FR"/>
        </w:rPr>
      </w:pPr>
      <w:r w:rsidRPr="00C73365">
        <w:rPr>
          <w:rFonts w:asciiTheme="minorHAnsi" w:hAnsiTheme="minorHAnsi" w:cstheme="minorHAnsi"/>
          <w:b/>
          <w:lang w:val="fr-FR"/>
        </w:rPr>
        <w:lastRenderedPageBreak/>
        <w:t>19.3</w:t>
      </w:r>
      <w:r w:rsidRPr="00C73365">
        <w:rPr>
          <w:rFonts w:asciiTheme="minorHAnsi" w:hAnsiTheme="minorHAnsi" w:cstheme="minorHAnsi"/>
          <w:b/>
          <w:lang w:val="fr-FR"/>
        </w:rPr>
        <w:tab/>
        <w:t xml:space="preserve"> Conventions courantes</w:t>
      </w:r>
    </w:p>
    <w:p w14:paraId="04ABA6EF"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Les conventions portant sur des opérations courantes et conclues à des conditions normales, ne sont pas soumises à la procédure légale d</w:t>
      </w:r>
      <w:r w:rsidR="004572A0" w:rsidRPr="00C73365">
        <w:rPr>
          <w:rFonts w:asciiTheme="minorHAnsi" w:hAnsiTheme="minorHAnsi" w:cstheme="minorHAnsi"/>
          <w:lang w:val="fr-FR"/>
        </w:rPr>
        <w:t>’</w:t>
      </w:r>
      <w:r w:rsidRPr="00C73365">
        <w:rPr>
          <w:rFonts w:asciiTheme="minorHAnsi" w:hAnsiTheme="minorHAnsi" w:cstheme="minorHAnsi"/>
          <w:lang w:val="fr-FR"/>
        </w:rPr>
        <w:t>autorisation et d</w:t>
      </w:r>
      <w:r w:rsidR="004572A0" w:rsidRPr="00C73365">
        <w:rPr>
          <w:rFonts w:asciiTheme="minorHAnsi" w:hAnsiTheme="minorHAnsi" w:cstheme="minorHAnsi"/>
          <w:lang w:val="fr-FR"/>
        </w:rPr>
        <w:t>’</w:t>
      </w:r>
      <w:r w:rsidRPr="00C73365">
        <w:rPr>
          <w:rFonts w:asciiTheme="minorHAnsi" w:hAnsiTheme="minorHAnsi" w:cstheme="minorHAnsi"/>
          <w:lang w:val="fr-FR"/>
        </w:rPr>
        <w:t>approbation.</w:t>
      </w:r>
    </w:p>
    <w:p w14:paraId="6E24FFD3" w14:textId="77777777" w:rsidR="00B740A8" w:rsidRPr="00C73365" w:rsidRDefault="00B740A8" w:rsidP="00B740A8">
      <w:pPr>
        <w:rPr>
          <w:rFonts w:asciiTheme="minorHAnsi" w:hAnsiTheme="minorHAnsi" w:cstheme="minorHAnsi"/>
          <w:lang w:val="fr-FR"/>
        </w:rPr>
      </w:pPr>
    </w:p>
    <w:p w14:paraId="1C77216A"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Droits, privilèges et restrictions attachés aux actions de la Société</w:t>
      </w:r>
    </w:p>
    <w:p w14:paraId="21499861" w14:textId="77777777" w:rsidR="00B740A8" w:rsidRPr="00C73365" w:rsidRDefault="00B740A8" w:rsidP="00B740A8">
      <w:pPr>
        <w:rPr>
          <w:rFonts w:asciiTheme="minorHAnsi" w:hAnsiTheme="minorHAnsi" w:cstheme="minorHAnsi"/>
          <w:b/>
          <w:lang w:val="fr-FR"/>
        </w:rPr>
      </w:pPr>
      <w:bookmarkStart w:id="1587" w:name="_Toc267998299"/>
      <w:bookmarkStart w:id="1588" w:name="_Toc271734115"/>
      <w:bookmarkStart w:id="1589" w:name="_Toc292135939"/>
      <w:r w:rsidRPr="00C73365">
        <w:rPr>
          <w:rFonts w:asciiTheme="minorHAnsi" w:hAnsiTheme="minorHAnsi" w:cstheme="minorHAnsi"/>
          <w:b/>
          <w:lang w:val="fr-FR"/>
        </w:rPr>
        <w:t>Article 10</w:t>
      </w:r>
      <w:r w:rsidRPr="00C73365">
        <w:rPr>
          <w:rFonts w:asciiTheme="minorHAnsi" w:hAnsiTheme="minorHAnsi" w:cstheme="minorHAnsi"/>
          <w:b/>
          <w:lang w:val="fr-FR"/>
        </w:rPr>
        <w:tab/>
        <w:t>FORME DES ACTIONS – IDENTIFICATION DES ACTIONNAIRES</w:t>
      </w:r>
    </w:p>
    <w:p w14:paraId="1F6795E9" w14:textId="77777777" w:rsidR="00B740A8" w:rsidRPr="00C73365" w:rsidRDefault="00B740A8" w:rsidP="00B740A8">
      <w:pPr>
        <w:rPr>
          <w:rFonts w:asciiTheme="minorHAnsi" w:hAnsiTheme="minorHAnsi" w:cstheme="minorHAnsi"/>
          <w:b/>
          <w:lang w:val="fr-FR"/>
        </w:rPr>
      </w:pPr>
    </w:p>
    <w:p w14:paraId="63EEC8DC"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10.1</w:t>
      </w:r>
      <w:r w:rsidR="004572A0" w:rsidRPr="00C73365">
        <w:rPr>
          <w:rFonts w:asciiTheme="minorHAnsi" w:hAnsiTheme="minorHAnsi" w:cstheme="minorHAnsi"/>
          <w:lang w:val="fr-FR"/>
        </w:rPr>
        <w:tab/>
      </w:r>
      <w:r w:rsidRPr="00C73365">
        <w:rPr>
          <w:rFonts w:asciiTheme="minorHAnsi" w:hAnsiTheme="minorHAnsi" w:cstheme="minorHAnsi"/>
          <w:lang w:val="fr-FR"/>
        </w:rPr>
        <w:t>Forme des actions</w:t>
      </w:r>
    </w:p>
    <w:p w14:paraId="5A9C891F" w14:textId="77777777" w:rsidR="00B740A8" w:rsidRPr="00C73365" w:rsidRDefault="00B740A8" w:rsidP="00846FBD">
      <w:pPr>
        <w:rPr>
          <w:rFonts w:asciiTheme="minorHAnsi" w:hAnsiTheme="minorHAnsi" w:cstheme="minorHAnsi"/>
          <w:lang w:val="fr-FR"/>
        </w:rPr>
      </w:pPr>
    </w:p>
    <w:p w14:paraId="42454500"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Les actions sont, au choix de l’actionnaire et dans le respect des conditions prévues par la loi, soit au porteur, soit au nominatif. Elles donnent lieu à inscription en compte dans les conditions légales et réglementaires.</w:t>
      </w:r>
    </w:p>
    <w:p w14:paraId="7674E990"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Sous réserve du respect des conditions et modalités prévues par la loi, les actions seront inscrites au nom de leur propriétaires, et à leur gré, en compte nominatif pur, en compte nominatif administré ou au porteur chez un intermédiaire agréé.</w:t>
      </w:r>
    </w:p>
    <w:p w14:paraId="7E312DF9"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Toutefois, lorsque le propriétaire n’a pas son domicile sur le territoire français, au sens de l’article 102 du Code civil, tout intermédiaire peut être inscrit pour le compte de ce propriétaire. Cette inscription peut être faite sous la forme d’un compte collectif ou en plusieurs comptes individuels correspondant chacun à un propriétaire.</w:t>
      </w:r>
    </w:p>
    <w:p w14:paraId="3FBDA29E"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Les actions sont admises aux opérations de l’organisme chargé de la compensation des titres.</w:t>
      </w:r>
    </w:p>
    <w:p w14:paraId="6914564C" w14:textId="77777777" w:rsidR="00B740A8" w:rsidRPr="00C73365" w:rsidRDefault="00B740A8" w:rsidP="004834A9">
      <w:pPr>
        <w:pStyle w:val="Liste2"/>
        <w:ind w:left="283"/>
        <w:rPr>
          <w:rFonts w:asciiTheme="minorHAnsi" w:hAnsiTheme="minorHAnsi" w:cstheme="minorHAnsi"/>
          <w:lang w:val="fr-FR"/>
        </w:rPr>
      </w:pPr>
      <w:r w:rsidRPr="00C73365">
        <w:rPr>
          <w:rFonts w:asciiTheme="minorHAnsi" w:hAnsiTheme="minorHAnsi" w:cstheme="minorHAnsi"/>
          <w:lang w:val="fr-FR"/>
        </w:rPr>
        <w:t>10.2</w:t>
      </w:r>
      <w:r w:rsidR="004572A0" w:rsidRPr="00C73365">
        <w:rPr>
          <w:rFonts w:asciiTheme="minorHAnsi" w:hAnsiTheme="minorHAnsi" w:cstheme="minorHAnsi"/>
          <w:lang w:val="fr-FR"/>
        </w:rPr>
        <w:tab/>
      </w:r>
      <w:r w:rsidRPr="00C73365">
        <w:rPr>
          <w:rFonts w:asciiTheme="minorHAnsi" w:hAnsiTheme="minorHAnsi" w:cstheme="minorHAnsi"/>
          <w:lang w:val="fr-FR"/>
        </w:rPr>
        <w:t>Identification des actionnaires</w:t>
      </w:r>
    </w:p>
    <w:p w14:paraId="4C3F85B7" w14:textId="77777777" w:rsidR="00B740A8" w:rsidRPr="00C73365" w:rsidRDefault="00B740A8" w:rsidP="00B740A8">
      <w:pPr>
        <w:rPr>
          <w:rFonts w:asciiTheme="minorHAnsi" w:hAnsiTheme="minorHAnsi" w:cstheme="minorHAnsi"/>
          <w:lang w:val="fr-FR"/>
        </w:rPr>
      </w:pPr>
    </w:p>
    <w:p w14:paraId="3BF98ABB"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En vue de l’identification des détenteurs de titres au porteur et conformément aux dispositions de l’article L. 228-2 du Code de commerce, la Société peut demander à tout moment contre rémunération à sa charge, au dépositaire central qui assure la tenue du compte émission de ses titres, le nom ou la dénomination, la nationalité, l’année de naissance ou l’année de constitution et l’adresse des détenteurs de titres conférant immédiatement ou à terme le droit de vote dans ses propres assemblées d’actionnaires, ainsi que la quantité de titres détenue par chacun d’eux et, le cas échéant, les restrictions dont les titres peuvent être frappés.</w:t>
      </w:r>
    </w:p>
    <w:p w14:paraId="6F4C0C2F"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Au vu de la liste transmise à la Société par le dépositaire central, la Société a la faculté de demander soit à cet organisme, soit directement aux personnes figurant sur cette liste et dont la Société estime qu’elles pourraient être inscrites pour le compte de tiers, les informations prévues à l’alinéa précédent concernant les propriétaires des titres.</w:t>
      </w:r>
    </w:p>
    <w:p w14:paraId="537C68A0"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Ces personnes sont tenues, lorsqu’elles ont la qualité d’intermédiaire, de révéler l’identité des propriétaires de ces titres. L’information est fournie directement à l’intermédiaire financier habilité teneur de compte, à charge pour ce dernier de la communiquer, selon le cas, à la Société ou au dépositaire central susvisé.</w:t>
      </w:r>
    </w:p>
    <w:p w14:paraId="66C69E36"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La Société peut également, en ce qui concerne les titres inscrits sous la forme nominative, demander à tout moment à l’intermédiaire inscrit pour le compte de tiers propriétaires des titres, de révéler l’identité des propriétaires de ces titres, ainsi que la quantité de titres détenus par chacun d’eux.</w:t>
      </w:r>
    </w:p>
    <w:p w14:paraId="6CB06085"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Aussi longtemps que la Société estime que certains détenteurs dont l’identité lui a été communiquée le sont pour le compte de tiers propriétaires des titres, elle est en droit de demander à ces détenteurs de révéler d’identité des propriétaires de ces titres, ainsi que la quantité de titre détenus par chacun d’eux dans les conditions prévues ci-dessus.</w:t>
      </w:r>
    </w:p>
    <w:p w14:paraId="4573C587"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A l’issue des demandes d’informations visées ci-dessus, la Société est en droit, sans préjudice de l’application des stipulations de l’article 11 des Statuts, de demander à toute personne morale propriétaire d’actions représentant plus de 2,5 % du capital ou des droits de vote de la Société, de lui faire connaître l’identité des personnes détenant directement ou indirectement plus du tiers du capital social de cette personne morale ou des droits de vote sont exercés aux Assemblées générales de celle-ci.</w:t>
      </w:r>
    </w:p>
    <w:p w14:paraId="056DA596"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Conformément à l’article L. 228-3-3 du Code de commerce :</w:t>
      </w:r>
    </w:p>
    <w:p w14:paraId="5A76214A" w14:textId="77777777" w:rsidR="00B740A8" w:rsidRPr="00C73365" w:rsidRDefault="00B740A8" w:rsidP="00434C49">
      <w:pPr>
        <w:pStyle w:val="Paragraphedeliste"/>
        <w:widowControl w:val="0"/>
        <w:numPr>
          <w:ilvl w:val="0"/>
          <w:numId w:val="56"/>
        </w:numPr>
        <w:autoSpaceDE w:val="0"/>
        <w:autoSpaceDN w:val="0"/>
        <w:adjustRightInd w:val="0"/>
        <w:spacing w:after="0"/>
        <w:ind w:left="514"/>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Lorsque la personne faisant l’objet d’une demande conformément aux dispositions du présent article 10 n’a pas transmis les informations ainsi demandées dans les délais légaux et réglementaires ou a transmis des renseignements erronés ou incomplets relatifs soit à sa qualité, soit aux propriétaires des titres, soit à la quantité de titres détenus par chacun d’eux, les actions ou les titres donnant immédiatement ou à terme accès au capital </w:t>
      </w:r>
      <w:r w:rsidRPr="00C73365">
        <w:rPr>
          <w:rFonts w:asciiTheme="minorHAnsi" w:hAnsiTheme="minorHAnsi" w:cstheme="minorHAnsi"/>
          <w:szCs w:val="20"/>
          <w:lang w:val="fr-FR"/>
        </w:rPr>
        <w:lastRenderedPageBreak/>
        <w:t>et pour lesquels cette personne a été inscrite en compte, sont privés des droits de vote pour toute assemblée d’actionnaires qui se tiendrait jusqu’à la date de régularisation de l’identification, et le paiement du dividende correspondant est différé jusqu’à cette date ;</w:t>
      </w:r>
    </w:p>
    <w:p w14:paraId="00E7FDC3" w14:textId="77777777" w:rsidR="00B740A8" w:rsidRPr="00C73365" w:rsidRDefault="00B740A8" w:rsidP="00434C49">
      <w:pPr>
        <w:pStyle w:val="Paragraphedeliste"/>
        <w:widowControl w:val="0"/>
        <w:numPr>
          <w:ilvl w:val="0"/>
          <w:numId w:val="56"/>
        </w:numPr>
        <w:autoSpaceDE w:val="0"/>
        <w:autoSpaceDN w:val="0"/>
        <w:adjustRightInd w:val="0"/>
        <w:spacing w:after="0"/>
        <w:ind w:left="514"/>
        <w:contextualSpacing/>
        <w:rPr>
          <w:rFonts w:asciiTheme="minorHAnsi" w:hAnsiTheme="minorHAnsi" w:cstheme="minorHAnsi"/>
          <w:szCs w:val="20"/>
          <w:lang w:val="fr-FR"/>
        </w:rPr>
      </w:pPr>
      <w:r w:rsidRPr="00C73365">
        <w:rPr>
          <w:rFonts w:asciiTheme="minorHAnsi" w:hAnsiTheme="minorHAnsi" w:cstheme="minorHAnsi"/>
          <w:szCs w:val="20"/>
          <w:lang w:val="fr-FR"/>
        </w:rPr>
        <w:t>En outre, au cas à où la personne inscrite méconnaîtrait sciemment les dispositions ci-dessus, le tribunal dans le ressort duquel la Société a son siège social peut, sur demande de la Société ou d’un ou plusieurs actionnaires détenant plus de 5 % du capital, prononcer la privation totale ou partielle, pour une durée ne pouvant excéder cinq ans, des droits de vote attachés aux actions ayant fait l’objet de l’interrogation et, éventuellement et pour la même période, du dividende correspondant.</w:t>
      </w:r>
    </w:p>
    <w:p w14:paraId="5EFEC834" w14:textId="77777777" w:rsidR="00B740A8" w:rsidRPr="00C73365" w:rsidRDefault="00B740A8" w:rsidP="00B740A8">
      <w:pPr>
        <w:pStyle w:val="Paragraphedeliste"/>
        <w:rPr>
          <w:rFonts w:asciiTheme="minorHAnsi" w:hAnsiTheme="minorHAnsi" w:cstheme="minorHAnsi"/>
          <w:sz w:val="22"/>
          <w:lang w:val="fr-FR"/>
        </w:rPr>
      </w:pPr>
    </w:p>
    <w:p w14:paraId="6F534CBA" w14:textId="77777777" w:rsidR="00B740A8" w:rsidRPr="00C73365" w:rsidRDefault="00B740A8" w:rsidP="00B740A8">
      <w:pPr>
        <w:rPr>
          <w:rFonts w:asciiTheme="minorHAnsi" w:hAnsiTheme="minorHAnsi" w:cstheme="minorHAnsi"/>
          <w:b/>
          <w:lang w:val="fr-FR"/>
        </w:rPr>
      </w:pPr>
      <w:r w:rsidRPr="00C73365">
        <w:rPr>
          <w:rFonts w:asciiTheme="minorHAnsi" w:hAnsiTheme="minorHAnsi" w:cstheme="minorHAnsi"/>
          <w:b/>
          <w:lang w:val="fr-FR"/>
        </w:rPr>
        <w:t>Article 11</w:t>
      </w:r>
      <w:r w:rsidRPr="00C73365">
        <w:rPr>
          <w:rFonts w:asciiTheme="minorHAnsi" w:hAnsiTheme="minorHAnsi" w:cstheme="minorHAnsi"/>
          <w:b/>
          <w:lang w:val="fr-FR"/>
        </w:rPr>
        <w:tab/>
        <w:t xml:space="preserve"> TRANSMISSION DES ACTIONS – FRANCHISSEMENT DE SEUILS - DROITS ET OBLIGATIONS ATTACHEES AUX ACTIONS</w:t>
      </w:r>
    </w:p>
    <w:p w14:paraId="69B37F11" w14:textId="77777777" w:rsidR="00B740A8" w:rsidRPr="00C73365" w:rsidRDefault="00B740A8" w:rsidP="00B740A8">
      <w:pPr>
        <w:pStyle w:val="Paragraphedeliste"/>
        <w:rPr>
          <w:rFonts w:asciiTheme="minorHAnsi" w:hAnsiTheme="minorHAnsi" w:cstheme="minorHAnsi"/>
          <w:sz w:val="22"/>
          <w:lang w:val="fr-FR"/>
        </w:rPr>
      </w:pPr>
    </w:p>
    <w:p w14:paraId="261EA6FD"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11.1</w:t>
      </w:r>
      <w:r w:rsidR="004572A0" w:rsidRPr="00C73365">
        <w:rPr>
          <w:rFonts w:asciiTheme="minorHAnsi" w:hAnsiTheme="minorHAnsi" w:cstheme="minorHAnsi"/>
          <w:lang w:val="fr-FR"/>
        </w:rPr>
        <w:tab/>
      </w:r>
      <w:r w:rsidRPr="00C73365">
        <w:rPr>
          <w:rFonts w:asciiTheme="minorHAnsi" w:hAnsiTheme="minorHAnsi" w:cstheme="minorHAnsi"/>
          <w:lang w:val="fr-FR"/>
        </w:rPr>
        <w:t>Transmission des actions</w:t>
      </w:r>
    </w:p>
    <w:p w14:paraId="00F8FC66"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Les actions sont librement négociables dès leur émission selon les modalités prévues par la loi.</w:t>
      </w:r>
    </w:p>
    <w:p w14:paraId="6AF78947"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Les actions donnent lieu à une inscription en compte dans les conditions et selon les modalités prévues par les dispositions légale et réglementaires en vigueur.</w:t>
      </w:r>
    </w:p>
    <w:p w14:paraId="355A59C9"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La transmission des actions, quelle qu’en soit la forme, s’opère par virement de compte à compte dans les conditions et selon les modalités prévues par la loi.</w:t>
      </w:r>
    </w:p>
    <w:p w14:paraId="66335619"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11.3</w:t>
      </w:r>
      <w:r w:rsidR="004572A0" w:rsidRPr="00C73365">
        <w:rPr>
          <w:rFonts w:asciiTheme="minorHAnsi" w:hAnsiTheme="minorHAnsi" w:cstheme="minorHAnsi"/>
          <w:lang w:val="fr-FR"/>
        </w:rPr>
        <w:tab/>
      </w:r>
      <w:r w:rsidRPr="00C73365">
        <w:rPr>
          <w:rFonts w:asciiTheme="minorHAnsi" w:hAnsiTheme="minorHAnsi" w:cstheme="minorHAnsi"/>
          <w:lang w:val="fr-FR"/>
        </w:rPr>
        <w:t>Droits et obligations attachées aux actions</w:t>
      </w:r>
    </w:p>
    <w:p w14:paraId="5A7AF45E" w14:textId="77777777" w:rsidR="00B740A8" w:rsidRPr="00C73365" w:rsidRDefault="00B740A8" w:rsidP="00B740A8">
      <w:pPr>
        <w:rPr>
          <w:rFonts w:asciiTheme="minorHAnsi" w:hAnsiTheme="minorHAnsi" w:cstheme="minorHAnsi"/>
          <w:lang w:val="fr-FR"/>
        </w:rPr>
      </w:pPr>
    </w:p>
    <w:p w14:paraId="39FD9A95" w14:textId="77777777" w:rsidR="00B740A8" w:rsidRPr="00C73365" w:rsidRDefault="00B740A8" w:rsidP="00846FBD">
      <w:pPr>
        <w:pStyle w:val="Liste2"/>
        <w:ind w:left="283"/>
        <w:rPr>
          <w:rFonts w:asciiTheme="minorHAnsi" w:hAnsiTheme="minorHAnsi" w:cstheme="minorHAnsi"/>
          <w:lang w:val="fr-FR"/>
        </w:rPr>
      </w:pPr>
      <w:r w:rsidRPr="00C73365">
        <w:rPr>
          <w:rFonts w:asciiTheme="minorHAnsi" w:hAnsiTheme="minorHAnsi" w:cstheme="minorHAnsi"/>
          <w:lang w:val="fr-FR"/>
        </w:rPr>
        <w:t>1 -</w:t>
      </w:r>
      <w:r w:rsidR="004572A0" w:rsidRPr="00C73365">
        <w:rPr>
          <w:rFonts w:asciiTheme="minorHAnsi" w:hAnsiTheme="minorHAnsi" w:cstheme="minorHAnsi"/>
          <w:lang w:val="fr-FR"/>
        </w:rPr>
        <w:tab/>
      </w:r>
      <w:r w:rsidRPr="00C73365">
        <w:rPr>
          <w:rFonts w:asciiTheme="minorHAnsi" w:hAnsiTheme="minorHAnsi" w:cstheme="minorHAnsi"/>
          <w:lang w:val="fr-FR"/>
        </w:rPr>
        <w:t>Chaque action donne droit, dans les bénéfices, l</w:t>
      </w:r>
      <w:r w:rsidR="004572A0" w:rsidRPr="00C73365">
        <w:rPr>
          <w:rFonts w:asciiTheme="minorHAnsi" w:hAnsiTheme="minorHAnsi" w:cstheme="minorHAnsi"/>
          <w:lang w:val="fr-FR"/>
        </w:rPr>
        <w:t>’</w:t>
      </w:r>
      <w:r w:rsidRPr="00C73365">
        <w:rPr>
          <w:rFonts w:asciiTheme="minorHAnsi" w:hAnsiTheme="minorHAnsi" w:cstheme="minorHAnsi"/>
          <w:lang w:val="fr-FR"/>
        </w:rPr>
        <w:t>actif social et le boni de liquidation, à une part nette proportionnelle à la quotité de capital qu</w:t>
      </w:r>
      <w:r w:rsidR="004572A0" w:rsidRPr="00C73365">
        <w:rPr>
          <w:rFonts w:asciiTheme="minorHAnsi" w:hAnsiTheme="minorHAnsi" w:cstheme="minorHAnsi"/>
          <w:lang w:val="fr-FR"/>
        </w:rPr>
        <w:t>’</w:t>
      </w:r>
      <w:r w:rsidRPr="00C73365">
        <w:rPr>
          <w:rFonts w:asciiTheme="minorHAnsi" w:hAnsiTheme="minorHAnsi" w:cstheme="minorHAnsi"/>
          <w:lang w:val="fr-FR"/>
        </w:rPr>
        <w:t>elle représente.</w:t>
      </w:r>
    </w:p>
    <w:p w14:paraId="51201733" w14:textId="77777777" w:rsidR="00B740A8" w:rsidRPr="00C73365" w:rsidRDefault="00B740A8" w:rsidP="00846FBD">
      <w:pPr>
        <w:rPr>
          <w:rFonts w:asciiTheme="minorHAnsi" w:hAnsiTheme="minorHAnsi" w:cstheme="minorHAnsi"/>
          <w:lang w:val="fr-FR"/>
        </w:rPr>
      </w:pPr>
    </w:p>
    <w:p w14:paraId="5726EDE5" w14:textId="77777777" w:rsidR="00B740A8" w:rsidRPr="00C73365" w:rsidRDefault="00B740A8" w:rsidP="00846FBD">
      <w:pPr>
        <w:pStyle w:val="Listecontinue2"/>
        <w:ind w:left="283"/>
        <w:rPr>
          <w:rFonts w:asciiTheme="minorHAnsi" w:hAnsiTheme="minorHAnsi" w:cstheme="minorHAnsi"/>
          <w:lang w:val="fr-FR"/>
        </w:rPr>
      </w:pPr>
      <w:r w:rsidRPr="00C73365">
        <w:rPr>
          <w:rFonts w:asciiTheme="minorHAnsi" w:hAnsiTheme="minorHAnsi" w:cstheme="minorHAnsi"/>
          <w:lang w:val="fr-FR"/>
        </w:rPr>
        <w:t>Elle donne le droit de participer, dans les conditions fixées par la loi et les présents statuts, aux Assemblées générales et au vote des résolutions.</w:t>
      </w:r>
    </w:p>
    <w:p w14:paraId="0B815963" w14:textId="77777777" w:rsidR="00B740A8" w:rsidRPr="00C73365" w:rsidRDefault="00B740A8" w:rsidP="00846FBD">
      <w:pPr>
        <w:pStyle w:val="Liste2"/>
        <w:ind w:left="283"/>
        <w:rPr>
          <w:rFonts w:asciiTheme="minorHAnsi" w:hAnsiTheme="minorHAnsi" w:cstheme="minorHAnsi"/>
          <w:lang w:val="fr-FR"/>
        </w:rPr>
      </w:pPr>
      <w:r w:rsidRPr="00C73365">
        <w:rPr>
          <w:rFonts w:asciiTheme="minorHAnsi" w:hAnsiTheme="minorHAnsi" w:cstheme="minorHAnsi"/>
          <w:lang w:val="fr-FR"/>
        </w:rPr>
        <w:t>2 -</w:t>
      </w:r>
      <w:r w:rsidR="004572A0" w:rsidRPr="00C73365">
        <w:rPr>
          <w:rFonts w:asciiTheme="minorHAnsi" w:hAnsiTheme="minorHAnsi" w:cstheme="minorHAnsi"/>
          <w:lang w:val="fr-FR"/>
        </w:rPr>
        <w:tab/>
      </w:r>
      <w:r w:rsidRPr="00C73365">
        <w:rPr>
          <w:rFonts w:asciiTheme="minorHAnsi" w:hAnsiTheme="minorHAnsi" w:cstheme="minorHAnsi"/>
          <w:lang w:val="fr-FR"/>
        </w:rPr>
        <w:t>Les actionnaires ne sont responsables du passif social qu</w:t>
      </w:r>
      <w:r w:rsidR="004572A0" w:rsidRPr="00C73365">
        <w:rPr>
          <w:rFonts w:asciiTheme="minorHAnsi" w:hAnsiTheme="minorHAnsi" w:cstheme="minorHAnsi"/>
          <w:lang w:val="fr-FR"/>
        </w:rPr>
        <w:t>’</w:t>
      </w:r>
      <w:r w:rsidRPr="00C73365">
        <w:rPr>
          <w:rFonts w:asciiTheme="minorHAnsi" w:hAnsiTheme="minorHAnsi" w:cstheme="minorHAnsi"/>
          <w:lang w:val="fr-FR"/>
        </w:rPr>
        <w:t>à concurrence de leurs apports.</w:t>
      </w:r>
    </w:p>
    <w:p w14:paraId="7C4EF3B8" w14:textId="77777777" w:rsidR="00B740A8" w:rsidRPr="00C73365" w:rsidRDefault="00B740A8" w:rsidP="00846FBD">
      <w:pPr>
        <w:rPr>
          <w:rFonts w:asciiTheme="minorHAnsi" w:hAnsiTheme="minorHAnsi" w:cstheme="minorHAnsi"/>
          <w:lang w:val="fr-FR"/>
        </w:rPr>
      </w:pPr>
    </w:p>
    <w:p w14:paraId="7BE8C1FE" w14:textId="77777777" w:rsidR="00B740A8" w:rsidRPr="00C73365" w:rsidRDefault="00B740A8" w:rsidP="00846FBD">
      <w:pPr>
        <w:pStyle w:val="Listecontinue2"/>
        <w:ind w:left="283"/>
        <w:rPr>
          <w:rFonts w:asciiTheme="minorHAnsi" w:hAnsiTheme="minorHAnsi" w:cstheme="minorHAnsi"/>
          <w:lang w:val="fr-FR"/>
        </w:rPr>
      </w:pPr>
      <w:r w:rsidRPr="00C73365">
        <w:rPr>
          <w:rFonts w:asciiTheme="minorHAnsi" w:hAnsiTheme="minorHAnsi" w:cstheme="minorHAnsi"/>
          <w:lang w:val="fr-FR"/>
        </w:rPr>
        <w:t>Les droits et obligations attachés à l</w:t>
      </w:r>
      <w:r w:rsidR="004572A0" w:rsidRPr="00C73365">
        <w:rPr>
          <w:rFonts w:asciiTheme="minorHAnsi" w:hAnsiTheme="minorHAnsi" w:cstheme="minorHAnsi"/>
          <w:lang w:val="fr-FR"/>
        </w:rPr>
        <w:t>’</w:t>
      </w:r>
      <w:r w:rsidRPr="00C73365">
        <w:rPr>
          <w:rFonts w:asciiTheme="minorHAnsi" w:hAnsiTheme="minorHAnsi" w:cstheme="minorHAnsi"/>
          <w:lang w:val="fr-FR"/>
        </w:rPr>
        <w:t>action suivent le titre quel qu</w:t>
      </w:r>
      <w:r w:rsidR="004572A0" w:rsidRPr="00C73365">
        <w:rPr>
          <w:rFonts w:asciiTheme="minorHAnsi" w:hAnsiTheme="minorHAnsi" w:cstheme="minorHAnsi"/>
          <w:lang w:val="fr-FR"/>
        </w:rPr>
        <w:t>’</w:t>
      </w:r>
      <w:r w:rsidRPr="00C73365">
        <w:rPr>
          <w:rFonts w:asciiTheme="minorHAnsi" w:hAnsiTheme="minorHAnsi" w:cstheme="minorHAnsi"/>
          <w:lang w:val="fr-FR"/>
        </w:rPr>
        <w:t>en soit le titulaire.</w:t>
      </w:r>
    </w:p>
    <w:p w14:paraId="2B6719B2" w14:textId="77777777" w:rsidR="00B740A8" w:rsidRPr="00C73365" w:rsidRDefault="00B740A8" w:rsidP="00846FBD">
      <w:pPr>
        <w:pStyle w:val="Listecontinue2"/>
        <w:ind w:left="283"/>
        <w:rPr>
          <w:rFonts w:asciiTheme="minorHAnsi" w:hAnsiTheme="minorHAnsi" w:cstheme="minorHAnsi"/>
          <w:lang w:val="fr-FR"/>
        </w:rPr>
      </w:pPr>
      <w:r w:rsidRPr="00C73365">
        <w:rPr>
          <w:rFonts w:asciiTheme="minorHAnsi" w:hAnsiTheme="minorHAnsi" w:cstheme="minorHAnsi"/>
          <w:lang w:val="fr-FR"/>
        </w:rPr>
        <w:t>La propriété d</w:t>
      </w:r>
      <w:r w:rsidR="004572A0" w:rsidRPr="00C73365">
        <w:rPr>
          <w:rFonts w:asciiTheme="minorHAnsi" w:hAnsiTheme="minorHAnsi" w:cstheme="minorHAnsi"/>
          <w:lang w:val="fr-FR"/>
        </w:rPr>
        <w:t>’</w:t>
      </w:r>
      <w:r w:rsidRPr="00C73365">
        <w:rPr>
          <w:rFonts w:asciiTheme="minorHAnsi" w:hAnsiTheme="minorHAnsi" w:cstheme="minorHAnsi"/>
          <w:lang w:val="fr-FR"/>
        </w:rPr>
        <w:t>une action emporte de plein droit adhésion aux statuts et aux décisions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des actionnaires.</w:t>
      </w:r>
    </w:p>
    <w:p w14:paraId="2D519536" w14:textId="77777777" w:rsidR="00B740A8" w:rsidRPr="00C73365" w:rsidRDefault="00B740A8" w:rsidP="00846FBD">
      <w:pPr>
        <w:pStyle w:val="Liste2"/>
        <w:ind w:left="283"/>
        <w:rPr>
          <w:rFonts w:asciiTheme="minorHAnsi" w:hAnsiTheme="minorHAnsi" w:cstheme="minorHAnsi"/>
          <w:lang w:val="fr-FR"/>
        </w:rPr>
      </w:pPr>
      <w:r w:rsidRPr="00C73365">
        <w:rPr>
          <w:rFonts w:asciiTheme="minorHAnsi" w:hAnsiTheme="minorHAnsi" w:cstheme="minorHAnsi"/>
          <w:lang w:val="fr-FR"/>
        </w:rPr>
        <w:t>3 -</w:t>
      </w:r>
      <w:r w:rsidR="004572A0" w:rsidRPr="00C73365">
        <w:rPr>
          <w:rFonts w:asciiTheme="minorHAnsi" w:hAnsiTheme="minorHAnsi" w:cstheme="minorHAnsi"/>
          <w:lang w:val="fr-FR"/>
        </w:rPr>
        <w:tab/>
      </w:r>
      <w:r w:rsidRPr="00C73365">
        <w:rPr>
          <w:rFonts w:asciiTheme="minorHAnsi" w:hAnsiTheme="minorHAnsi" w:cstheme="minorHAnsi"/>
          <w:lang w:val="fr-FR"/>
        </w:rPr>
        <w:t>Chaque fois qu</w:t>
      </w:r>
      <w:r w:rsidR="004572A0" w:rsidRPr="00C73365">
        <w:rPr>
          <w:rFonts w:asciiTheme="minorHAnsi" w:hAnsiTheme="minorHAnsi" w:cstheme="minorHAnsi"/>
          <w:lang w:val="fr-FR"/>
        </w:rPr>
        <w:t>’</w:t>
      </w:r>
      <w:r w:rsidRPr="00C73365">
        <w:rPr>
          <w:rFonts w:asciiTheme="minorHAnsi" w:hAnsiTheme="minorHAnsi" w:cstheme="minorHAnsi"/>
          <w:lang w:val="fr-FR"/>
        </w:rPr>
        <w:t>il sera nécessaire de posséder plusieurs actions pour exercer un droit  quelconque (échange, regroupement, attribution de titres, augmentation ou réduction de capital, fusion ou toute autre opération sociale), les propriétaires de titres isolés, ou en nombre inférieur à celui requis, ne peuvent exercer ce droit qu</w:t>
      </w:r>
      <w:r w:rsidR="004572A0" w:rsidRPr="00C73365">
        <w:rPr>
          <w:rFonts w:asciiTheme="minorHAnsi" w:hAnsiTheme="minorHAnsi" w:cstheme="minorHAnsi"/>
          <w:lang w:val="fr-FR"/>
        </w:rPr>
        <w:t>’</w:t>
      </w:r>
      <w:r w:rsidRPr="00C73365">
        <w:rPr>
          <w:rFonts w:asciiTheme="minorHAnsi" w:hAnsiTheme="minorHAnsi" w:cstheme="minorHAnsi"/>
          <w:lang w:val="fr-FR"/>
        </w:rPr>
        <w:t>à condition de faire leur affaire personnelle du groupement et, éventuellement, de l</w:t>
      </w:r>
      <w:r w:rsidR="004572A0" w:rsidRPr="00C73365">
        <w:rPr>
          <w:rFonts w:asciiTheme="minorHAnsi" w:hAnsiTheme="minorHAnsi" w:cstheme="minorHAnsi"/>
          <w:lang w:val="fr-FR"/>
        </w:rPr>
        <w:t>’</w:t>
      </w:r>
      <w:r w:rsidRPr="00C73365">
        <w:rPr>
          <w:rFonts w:asciiTheme="minorHAnsi" w:hAnsiTheme="minorHAnsi" w:cstheme="minorHAnsi"/>
          <w:lang w:val="fr-FR"/>
        </w:rPr>
        <w:t>achat ou de la vente du nombre de titres nécessaires.</w:t>
      </w:r>
    </w:p>
    <w:p w14:paraId="2DD60066" w14:textId="77777777" w:rsidR="00B740A8" w:rsidRPr="00C73365" w:rsidRDefault="00B740A8" w:rsidP="00B740A8">
      <w:pPr>
        <w:rPr>
          <w:rFonts w:asciiTheme="minorHAnsi" w:hAnsiTheme="minorHAnsi" w:cstheme="minorHAnsi"/>
          <w:lang w:val="fr-FR"/>
        </w:rPr>
      </w:pPr>
    </w:p>
    <w:p w14:paraId="05DA2359" w14:textId="77777777" w:rsidR="00B740A8" w:rsidRPr="00C73365" w:rsidRDefault="00B740A8" w:rsidP="004834A9">
      <w:pPr>
        <w:pStyle w:val="Listecontinue2"/>
        <w:ind w:left="283"/>
        <w:rPr>
          <w:rFonts w:asciiTheme="minorHAnsi" w:hAnsiTheme="minorHAnsi" w:cstheme="minorHAnsi"/>
          <w:b/>
          <w:lang w:val="fr-FR"/>
        </w:rPr>
      </w:pPr>
      <w:r w:rsidRPr="00C73365">
        <w:rPr>
          <w:rFonts w:asciiTheme="minorHAnsi" w:hAnsiTheme="minorHAnsi" w:cstheme="minorHAnsi"/>
          <w:b/>
          <w:lang w:val="fr-FR"/>
        </w:rPr>
        <w:t xml:space="preserve">11.4 </w:t>
      </w:r>
      <w:r w:rsidRPr="00C73365">
        <w:rPr>
          <w:rFonts w:asciiTheme="minorHAnsi" w:hAnsiTheme="minorHAnsi" w:cstheme="minorHAnsi"/>
          <w:b/>
          <w:lang w:val="fr-FR"/>
        </w:rPr>
        <w:tab/>
        <w:t xml:space="preserve"> Indivisibilité des actions - Nue-propriété – Usufruit </w:t>
      </w:r>
    </w:p>
    <w:p w14:paraId="1C8ABC17"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1 - Les actions sont indivisibles à l</w:t>
      </w:r>
      <w:r w:rsidR="004572A0" w:rsidRPr="00C73365">
        <w:rPr>
          <w:rFonts w:asciiTheme="minorHAnsi" w:hAnsiTheme="minorHAnsi" w:cstheme="minorHAnsi"/>
          <w:lang w:val="fr-FR"/>
        </w:rPr>
        <w:t>’</w:t>
      </w:r>
      <w:r w:rsidRPr="00C73365">
        <w:rPr>
          <w:rFonts w:asciiTheme="minorHAnsi" w:hAnsiTheme="minorHAnsi" w:cstheme="minorHAnsi"/>
          <w:lang w:val="fr-FR"/>
        </w:rPr>
        <w:t>égard de la Société.</w:t>
      </w:r>
    </w:p>
    <w:p w14:paraId="115E7F06"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Les copropriétaires d</w:t>
      </w:r>
      <w:r w:rsidR="004572A0" w:rsidRPr="00C73365">
        <w:rPr>
          <w:rFonts w:asciiTheme="minorHAnsi" w:hAnsiTheme="minorHAnsi" w:cstheme="minorHAnsi"/>
          <w:lang w:val="fr-FR"/>
        </w:rPr>
        <w:t>’</w:t>
      </w:r>
      <w:r w:rsidRPr="00C73365">
        <w:rPr>
          <w:rFonts w:asciiTheme="minorHAnsi" w:hAnsiTheme="minorHAnsi" w:cstheme="minorHAnsi"/>
          <w:lang w:val="fr-FR"/>
        </w:rPr>
        <w:t>actions indivises sont représentés aux Assemblées générales par l</w:t>
      </w:r>
      <w:r w:rsidR="004572A0" w:rsidRPr="00C73365">
        <w:rPr>
          <w:rFonts w:asciiTheme="minorHAnsi" w:hAnsiTheme="minorHAnsi" w:cstheme="minorHAnsi"/>
          <w:lang w:val="fr-FR"/>
        </w:rPr>
        <w:t>’</w:t>
      </w:r>
      <w:r w:rsidRPr="00C73365">
        <w:rPr>
          <w:rFonts w:asciiTheme="minorHAnsi" w:hAnsiTheme="minorHAnsi" w:cstheme="minorHAnsi"/>
          <w:lang w:val="fr-FR"/>
        </w:rPr>
        <w:t>un d</w:t>
      </w:r>
      <w:r w:rsidR="004572A0" w:rsidRPr="00C73365">
        <w:rPr>
          <w:rFonts w:asciiTheme="minorHAnsi" w:hAnsiTheme="minorHAnsi" w:cstheme="minorHAnsi"/>
          <w:lang w:val="fr-FR"/>
        </w:rPr>
        <w:t>’</w:t>
      </w:r>
      <w:r w:rsidRPr="00C73365">
        <w:rPr>
          <w:rFonts w:asciiTheme="minorHAnsi" w:hAnsiTheme="minorHAnsi" w:cstheme="minorHAnsi"/>
          <w:lang w:val="fr-FR"/>
        </w:rPr>
        <w:t>eux ou par un mandataire unique. En cas de désaccord, le mandataire est désigné en justice à la demande du copropriétaire le plus diligent.</w:t>
      </w:r>
    </w:p>
    <w:p w14:paraId="713BB349"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2 - Le droit de vote appartient à l</w:t>
      </w:r>
      <w:r w:rsidR="004572A0" w:rsidRPr="00C73365">
        <w:rPr>
          <w:rFonts w:asciiTheme="minorHAnsi" w:hAnsiTheme="minorHAnsi" w:cstheme="minorHAnsi"/>
          <w:lang w:val="fr-FR"/>
        </w:rPr>
        <w:t>’</w:t>
      </w:r>
      <w:r w:rsidRPr="00C73365">
        <w:rPr>
          <w:rFonts w:asciiTheme="minorHAnsi" w:hAnsiTheme="minorHAnsi" w:cstheme="minorHAnsi"/>
          <w:lang w:val="fr-FR"/>
        </w:rPr>
        <w:t>usufruitier dans les Assemblées générales ordinaires et au nu-propriétaire dans les Assemblées générales extraordinaires. Cependant, les actionnaires peuvent convenir de toute autre répartition du droit de vote aux Assemblées générales, à condition que l’usufruitier ne soit pas privé du droit de voter les décisions concernant les distributions de bénéfices. Dans ce cas, ils devront porter leur convention à la connaissance de la Société, par lettre recommandée avec demande d’avis de réception adressée au siège social. La Société sera tenue d</w:t>
      </w:r>
      <w:r w:rsidR="004572A0" w:rsidRPr="00C73365">
        <w:rPr>
          <w:rFonts w:asciiTheme="minorHAnsi" w:hAnsiTheme="minorHAnsi" w:cstheme="minorHAnsi"/>
          <w:lang w:val="fr-FR"/>
        </w:rPr>
        <w:t>’</w:t>
      </w:r>
      <w:r w:rsidRPr="00C73365">
        <w:rPr>
          <w:rFonts w:asciiTheme="minorHAnsi" w:hAnsiTheme="minorHAnsi" w:cstheme="minorHAnsi"/>
          <w:lang w:val="fr-FR"/>
        </w:rPr>
        <w:t>appliquer cette convention pour toute Assemblée qui se réunirait après l</w:t>
      </w:r>
      <w:r w:rsidR="004572A0" w:rsidRPr="00C73365">
        <w:rPr>
          <w:rFonts w:asciiTheme="minorHAnsi" w:hAnsiTheme="minorHAnsi" w:cstheme="minorHAnsi"/>
          <w:lang w:val="fr-FR"/>
        </w:rPr>
        <w:t>’</w:t>
      </w:r>
      <w:r w:rsidRPr="00C73365">
        <w:rPr>
          <w:rFonts w:asciiTheme="minorHAnsi" w:hAnsiTheme="minorHAnsi" w:cstheme="minorHAnsi"/>
          <w:lang w:val="fr-FR"/>
        </w:rPr>
        <w:t>expiration d</w:t>
      </w:r>
      <w:r w:rsidR="004572A0" w:rsidRPr="00C73365">
        <w:rPr>
          <w:rFonts w:asciiTheme="minorHAnsi" w:hAnsiTheme="minorHAnsi" w:cstheme="minorHAnsi"/>
          <w:lang w:val="fr-FR"/>
        </w:rPr>
        <w:t>’</w:t>
      </w:r>
      <w:r w:rsidRPr="00C73365">
        <w:rPr>
          <w:rFonts w:asciiTheme="minorHAnsi" w:hAnsiTheme="minorHAnsi" w:cstheme="minorHAnsi"/>
          <w:lang w:val="fr-FR"/>
        </w:rPr>
        <w:t>un délai d’un (1) mois au moins après réception de la notification de ladite convention.</w:t>
      </w:r>
    </w:p>
    <w:p w14:paraId="1A59FADF"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Le droit de vote est exercé par le propriétaire des titres remis en gage.</w:t>
      </w:r>
    </w:p>
    <w:p w14:paraId="08FA0087"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lastRenderedPageBreak/>
        <w:t>Même privé du droit de vote, le nu-propriétaire a toujours le droit de participer aux Assemblées générales.</w:t>
      </w:r>
    </w:p>
    <w:p w14:paraId="79F2E167" w14:textId="77777777" w:rsidR="00B740A8" w:rsidRPr="00C73365" w:rsidRDefault="00B740A8" w:rsidP="004834A9">
      <w:pPr>
        <w:pStyle w:val="Listecontinue2"/>
        <w:ind w:left="0"/>
        <w:rPr>
          <w:rFonts w:asciiTheme="minorHAnsi" w:hAnsiTheme="minorHAnsi" w:cstheme="minorHAnsi"/>
          <w:b/>
          <w:lang w:val="fr-FR"/>
        </w:rPr>
      </w:pPr>
      <w:r w:rsidRPr="00C73365">
        <w:rPr>
          <w:rFonts w:asciiTheme="minorHAnsi" w:hAnsiTheme="minorHAnsi" w:cstheme="minorHAnsi"/>
          <w:b/>
          <w:lang w:val="fr-FR"/>
        </w:rPr>
        <w:t>Article 12</w:t>
      </w:r>
      <w:r w:rsidRPr="00C73365">
        <w:rPr>
          <w:rFonts w:asciiTheme="minorHAnsi" w:hAnsiTheme="minorHAnsi" w:cstheme="minorHAnsi"/>
          <w:b/>
          <w:lang w:val="fr-FR"/>
        </w:rPr>
        <w:tab/>
        <w:t xml:space="preserve"> DROIT DE VOTE DOUBLE</w:t>
      </w:r>
    </w:p>
    <w:p w14:paraId="75BE2C9E"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Le droit de vote attaché aux actions de capital ou de jouissance est proportionnel à la quotité du capital qu</w:t>
      </w:r>
      <w:r w:rsidR="004572A0" w:rsidRPr="00C73365">
        <w:rPr>
          <w:rFonts w:asciiTheme="minorHAnsi" w:hAnsiTheme="minorHAnsi" w:cstheme="minorHAnsi"/>
          <w:lang w:val="fr-FR"/>
        </w:rPr>
        <w:t>’</w:t>
      </w:r>
      <w:r w:rsidRPr="00C73365">
        <w:rPr>
          <w:rFonts w:asciiTheme="minorHAnsi" w:hAnsiTheme="minorHAnsi" w:cstheme="minorHAnsi"/>
          <w:lang w:val="fr-FR"/>
        </w:rPr>
        <w:t>elles représentent. Chaque action donne droit à une voix.</w:t>
      </w:r>
    </w:p>
    <w:p w14:paraId="1BC2A183"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Toutefois, un droit de vote double de celui conféré aux autres actions eu égard à la quotité du capital qu</w:t>
      </w:r>
      <w:r w:rsidR="004572A0" w:rsidRPr="00C73365">
        <w:rPr>
          <w:rFonts w:asciiTheme="minorHAnsi" w:hAnsiTheme="minorHAnsi" w:cstheme="minorHAnsi"/>
          <w:lang w:val="fr-FR"/>
        </w:rPr>
        <w:t>’</w:t>
      </w:r>
      <w:r w:rsidRPr="00C73365">
        <w:rPr>
          <w:rFonts w:asciiTheme="minorHAnsi" w:hAnsiTheme="minorHAnsi" w:cstheme="minorHAnsi"/>
          <w:lang w:val="fr-FR"/>
        </w:rPr>
        <w:t>elles représentent est attribué à toutes les actions entièrement libérées pour lesquelles il sera justifié d</w:t>
      </w:r>
      <w:r w:rsidR="004572A0" w:rsidRPr="00C73365">
        <w:rPr>
          <w:rFonts w:asciiTheme="minorHAnsi" w:hAnsiTheme="minorHAnsi" w:cstheme="minorHAnsi"/>
          <w:lang w:val="fr-FR"/>
        </w:rPr>
        <w:t>’</w:t>
      </w:r>
      <w:r w:rsidRPr="00C73365">
        <w:rPr>
          <w:rFonts w:asciiTheme="minorHAnsi" w:hAnsiTheme="minorHAnsi" w:cstheme="minorHAnsi"/>
          <w:lang w:val="fr-FR"/>
        </w:rPr>
        <w:t>une inscription nominative depuis deux (2) ans au moins au nom d</w:t>
      </w:r>
      <w:r w:rsidR="004572A0" w:rsidRPr="00C73365">
        <w:rPr>
          <w:rFonts w:asciiTheme="minorHAnsi" w:hAnsiTheme="minorHAnsi" w:cstheme="minorHAnsi"/>
          <w:lang w:val="fr-FR"/>
        </w:rPr>
        <w:t>’</w:t>
      </w:r>
      <w:r w:rsidRPr="00C73365">
        <w:rPr>
          <w:rFonts w:asciiTheme="minorHAnsi" w:hAnsiTheme="minorHAnsi" w:cstheme="minorHAnsi"/>
          <w:lang w:val="fr-FR"/>
        </w:rPr>
        <w:t>un même actionnaire.</w:t>
      </w:r>
    </w:p>
    <w:p w14:paraId="14BAD8AA"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Ce droit de vote double est également conféré dès leur émission en cas d</w:t>
      </w:r>
      <w:r w:rsidR="004572A0" w:rsidRPr="00C73365">
        <w:rPr>
          <w:rFonts w:asciiTheme="minorHAnsi" w:hAnsiTheme="minorHAnsi" w:cstheme="minorHAnsi"/>
          <w:lang w:val="fr-FR"/>
        </w:rPr>
        <w:t>’</w:t>
      </w:r>
      <w:r w:rsidRPr="00C73365">
        <w:rPr>
          <w:rFonts w:asciiTheme="minorHAnsi" w:hAnsiTheme="minorHAnsi" w:cstheme="minorHAnsi"/>
          <w:lang w:val="fr-FR"/>
        </w:rPr>
        <w:t>augmentation de capital par incorporation de réserves, bénéfices ou primes d</w:t>
      </w:r>
      <w:r w:rsidR="004572A0" w:rsidRPr="00C73365">
        <w:rPr>
          <w:rFonts w:asciiTheme="minorHAnsi" w:hAnsiTheme="minorHAnsi" w:cstheme="minorHAnsi"/>
          <w:lang w:val="fr-FR"/>
        </w:rPr>
        <w:t>’</w:t>
      </w:r>
      <w:r w:rsidRPr="00C73365">
        <w:rPr>
          <w:rFonts w:asciiTheme="minorHAnsi" w:hAnsiTheme="minorHAnsi" w:cstheme="minorHAnsi"/>
          <w:lang w:val="fr-FR"/>
        </w:rPr>
        <w:t>émission, aux actions nominatives attribuées gratuitement à un actionnaire à raison d</w:t>
      </w:r>
      <w:r w:rsidR="004572A0" w:rsidRPr="00C73365">
        <w:rPr>
          <w:rFonts w:asciiTheme="minorHAnsi" w:hAnsiTheme="minorHAnsi" w:cstheme="minorHAnsi"/>
          <w:lang w:val="fr-FR"/>
        </w:rPr>
        <w:t>’</w:t>
      </w:r>
      <w:r w:rsidRPr="00C73365">
        <w:rPr>
          <w:rFonts w:asciiTheme="minorHAnsi" w:hAnsiTheme="minorHAnsi" w:cstheme="minorHAnsi"/>
          <w:lang w:val="fr-FR"/>
        </w:rPr>
        <w:t>actions anciennes pour lesquelles il bénéficiera de ce droit.</w:t>
      </w:r>
    </w:p>
    <w:p w14:paraId="5F169C77"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Le transfert d</w:t>
      </w:r>
      <w:r w:rsidR="004572A0" w:rsidRPr="00C73365">
        <w:rPr>
          <w:rFonts w:asciiTheme="minorHAnsi" w:hAnsiTheme="minorHAnsi" w:cstheme="minorHAnsi"/>
          <w:lang w:val="fr-FR"/>
        </w:rPr>
        <w:t>’</w:t>
      </w:r>
      <w:r w:rsidRPr="00C73365">
        <w:rPr>
          <w:rFonts w:asciiTheme="minorHAnsi" w:hAnsiTheme="minorHAnsi" w:cstheme="minorHAnsi"/>
          <w:lang w:val="fr-FR"/>
        </w:rPr>
        <w:t>actions par suite de succession, de liquidation de communauté de biens entre époux ou de donation entre vifs au profit d</w:t>
      </w:r>
      <w:r w:rsidR="004572A0" w:rsidRPr="00C73365">
        <w:rPr>
          <w:rFonts w:asciiTheme="minorHAnsi" w:hAnsiTheme="minorHAnsi" w:cstheme="minorHAnsi"/>
          <w:lang w:val="fr-FR"/>
        </w:rPr>
        <w:t>’</w:t>
      </w:r>
      <w:r w:rsidRPr="00C73365">
        <w:rPr>
          <w:rFonts w:asciiTheme="minorHAnsi" w:hAnsiTheme="minorHAnsi" w:cstheme="minorHAnsi"/>
          <w:lang w:val="fr-FR"/>
        </w:rPr>
        <w:t>un conjoint ou d</w:t>
      </w:r>
      <w:r w:rsidR="004572A0" w:rsidRPr="00C73365">
        <w:rPr>
          <w:rFonts w:asciiTheme="minorHAnsi" w:hAnsiTheme="minorHAnsi" w:cstheme="minorHAnsi"/>
          <w:lang w:val="fr-FR"/>
        </w:rPr>
        <w:t>’</w:t>
      </w:r>
      <w:r w:rsidRPr="00C73365">
        <w:rPr>
          <w:rFonts w:asciiTheme="minorHAnsi" w:hAnsiTheme="minorHAnsi" w:cstheme="minorHAnsi"/>
          <w:lang w:val="fr-FR"/>
        </w:rPr>
        <w:t>un parent au degré successible ne fait pas perdre le droit acquis et n</w:t>
      </w:r>
      <w:r w:rsidR="004572A0" w:rsidRPr="00C73365">
        <w:rPr>
          <w:rFonts w:asciiTheme="minorHAnsi" w:hAnsiTheme="minorHAnsi" w:cstheme="minorHAnsi"/>
          <w:lang w:val="fr-FR"/>
        </w:rPr>
        <w:t>’</w:t>
      </w:r>
      <w:r w:rsidRPr="00C73365">
        <w:rPr>
          <w:rFonts w:asciiTheme="minorHAnsi" w:hAnsiTheme="minorHAnsi" w:cstheme="minorHAnsi"/>
          <w:lang w:val="fr-FR"/>
        </w:rPr>
        <w:t>interrompt pas les délais prévus ci-dessus.</w:t>
      </w:r>
    </w:p>
    <w:p w14:paraId="017D6F9B"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Il en est de même, en cas de transfert d</w:t>
      </w:r>
      <w:r w:rsidR="004572A0" w:rsidRPr="00C73365">
        <w:rPr>
          <w:rFonts w:asciiTheme="minorHAnsi" w:hAnsiTheme="minorHAnsi" w:cstheme="minorHAnsi"/>
          <w:lang w:val="fr-FR"/>
        </w:rPr>
        <w:t>’</w:t>
      </w:r>
      <w:r w:rsidRPr="00C73365">
        <w:rPr>
          <w:rFonts w:asciiTheme="minorHAnsi" w:hAnsiTheme="minorHAnsi" w:cstheme="minorHAnsi"/>
          <w:lang w:val="fr-FR"/>
        </w:rPr>
        <w:t>actions par suite d</w:t>
      </w:r>
      <w:r w:rsidR="004572A0" w:rsidRPr="00C73365">
        <w:rPr>
          <w:rFonts w:asciiTheme="minorHAnsi" w:hAnsiTheme="minorHAnsi" w:cstheme="minorHAnsi"/>
          <w:lang w:val="fr-FR"/>
        </w:rPr>
        <w:t>’</w:t>
      </w:r>
      <w:r w:rsidRPr="00C73365">
        <w:rPr>
          <w:rFonts w:asciiTheme="minorHAnsi" w:hAnsiTheme="minorHAnsi" w:cstheme="minorHAnsi"/>
          <w:lang w:val="fr-FR"/>
        </w:rPr>
        <w:t>une fusion ou d</w:t>
      </w:r>
      <w:r w:rsidR="004572A0" w:rsidRPr="00C73365">
        <w:rPr>
          <w:rFonts w:asciiTheme="minorHAnsi" w:hAnsiTheme="minorHAnsi" w:cstheme="minorHAnsi"/>
          <w:lang w:val="fr-FR"/>
        </w:rPr>
        <w:t>’</w:t>
      </w:r>
      <w:r w:rsidRPr="00C73365">
        <w:rPr>
          <w:rFonts w:asciiTheme="minorHAnsi" w:hAnsiTheme="minorHAnsi" w:cstheme="minorHAnsi"/>
          <w:lang w:val="fr-FR"/>
        </w:rPr>
        <w:t>une scission d</w:t>
      </w:r>
      <w:r w:rsidR="004572A0" w:rsidRPr="00C73365">
        <w:rPr>
          <w:rFonts w:asciiTheme="minorHAnsi" w:hAnsiTheme="minorHAnsi" w:cstheme="minorHAnsi"/>
          <w:lang w:val="fr-FR"/>
        </w:rPr>
        <w:t>’</w:t>
      </w:r>
      <w:r w:rsidRPr="00C73365">
        <w:rPr>
          <w:rFonts w:asciiTheme="minorHAnsi" w:hAnsiTheme="minorHAnsi" w:cstheme="minorHAnsi"/>
          <w:lang w:val="fr-FR"/>
        </w:rPr>
        <w:t>une société actionnaire.</w:t>
      </w:r>
    </w:p>
    <w:p w14:paraId="442F2FC7"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En outre, la fusion ou la scission de la Société est sans effet sur le droit de vote double qui peut être exercé au sein de la ou des sociétés bénéficiaires si les statuts de celles-ci l</w:t>
      </w:r>
      <w:r w:rsidR="004572A0" w:rsidRPr="00C73365">
        <w:rPr>
          <w:rFonts w:asciiTheme="minorHAnsi" w:hAnsiTheme="minorHAnsi" w:cstheme="minorHAnsi"/>
          <w:lang w:val="fr-FR"/>
        </w:rPr>
        <w:t>’</w:t>
      </w:r>
      <w:r w:rsidRPr="00C73365">
        <w:rPr>
          <w:rFonts w:asciiTheme="minorHAnsi" w:hAnsiTheme="minorHAnsi" w:cstheme="minorHAnsi"/>
          <w:lang w:val="fr-FR"/>
        </w:rPr>
        <w:t>ont instauré.</w:t>
      </w:r>
    </w:p>
    <w:p w14:paraId="6148AE0C" w14:textId="77777777" w:rsidR="00B740A8" w:rsidRPr="00C73365" w:rsidRDefault="00B740A8" w:rsidP="004834A9">
      <w:pPr>
        <w:pStyle w:val="Listecontinue2"/>
        <w:ind w:left="0"/>
        <w:rPr>
          <w:rFonts w:asciiTheme="minorHAnsi" w:hAnsiTheme="minorHAnsi" w:cstheme="minorHAnsi"/>
          <w:b/>
          <w:lang w:val="fr-FR"/>
        </w:rPr>
      </w:pPr>
      <w:r w:rsidRPr="00C73365">
        <w:rPr>
          <w:rFonts w:asciiTheme="minorHAnsi" w:hAnsiTheme="minorHAnsi" w:cstheme="minorHAnsi"/>
          <w:b/>
          <w:lang w:val="fr-FR"/>
        </w:rPr>
        <w:t>Article 29</w:t>
      </w:r>
      <w:r w:rsidRPr="00C73365">
        <w:rPr>
          <w:rFonts w:asciiTheme="minorHAnsi" w:hAnsiTheme="minorHAnsi" w:cstheme="minorHAnsi"/>
          <w:b/>
          <w:lang w:val="fr-FR"/>
        </w:rPr>
        <w:tab/>
        <w:t xml:space="preserve"> DROIT D</w:t>
      </w:r>
      <w:r w:rsidR="004572A0" w:rsidRPr="00C73365">
        <w:rPr>
          <w:rFonts w:asciiTheme="minorHAnsi" w:hAnsiTheme="minorHAnsi" w:cstheme="minorHAnsi"/>
          <w:b/>
          <w:lang w:val="fr-FR"/>
        </w:rPr>
        <w:t>’</w:t>
      </w:r>
      <w:r w:rsidRPr="00C73365">
        <w:rPr>
          <w:rFonts w:asciiTheme="minorHAnsi" w:hAnsiTheme="minorHAnsi" w:cstheme="minorHAnsi"/>
          <w:b/>
          <w:lang w:val="fr-FR"/>
        </w:rPr>
        <w:t>INFORMATION ET DE CONTROLE DES ACTIONNAIRES</w:t>
      </w:r>
      <w:r w:rsidRPr="00C73365">
        <w:rPr>
          <w:rFonts w:asciiTheme="minorHAnsi" w:hAnsiTheme="minorHAnsi" w:cstheme="minorHAnsi"/>
          <w:b/>
          <w:lang w:val="fr-FR"/>
        </w:rPr>
        <w:tab/>
      </w:r>
    </w:p>
    <w:p w14:paraId="3C49F5F9"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Avant chaque assemblée, le Conseil d’administration doit mettre à la disposition des actionnaires les documents nécessaires pour permettre à ceux-ci de se prononcer en connaissance de cause et de porter un jugement informé sur la gestion et la marche des affaires de la Société.</w:t>
      </w:r>
    </w:p>
    <w:p w14:paraId="7C6E35B5"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A compter de la communication prévue ci-dessus, tout actionnaire a la faculté de poser par écrit, dans les conditions légales et réglementaires applicables, des questions auxquelles le Conseil d’administration sera tenu de répondre au cours de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14:paraId="2B0F624E"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A toute époque, tout actionnaire a le droit d</w:t>
      </w:r>
      <w:r w:rsidR="004572A0" w:rsidRPr="00C73365">
        <w:rPr>
          <w:rFonts w:asciiTheme="minorHAnsi" w:hAnsiTheme="minorHAnsi" w:cstheme="minorHAnsi"/>
          <w:lang w:val="fr-FR"/>
        </w:rPr>
        <w:t>’</w:t>
      </w:r>
      <w:r w:rsidRPr="00C73365">
        <w:rPr>
          <w:rFonts w:asciiTheme="minorHAnsi" w:hAnsiTheme="minorHAnsi" w:cstheme="minorHAnsi"/>
          <w:lang w:val="fr-FR"/>
        </w:rPr>
        <w:t>obtenir communication des documents que le Conseil d’administration a obligation, selon les cas, de tenir à sa disposition au siège social, ou de lui adresser, conformément aux dispositions législatives et réglementaires en vigueur.</w:t>
      </w:r>
    </w:p>
    <w:p w14:paraId="083B266D" w14:textId="77777777" w:rsidR="00B740A8" w:rsidRPr="00C73365" w:rsidRDefault="00B740A8" w:rsidP="004834A9">
      <w:pPr>
        <w:pStyle w:val="Listecontinue2"/>
        <w:ind w:left="0"/>
        <w:rPr>
          <w:rFonts w:asciiTheme="minorHAnsi" w:hAnsiTheme="minorHAnsi" w:cstheme="minorHAnsi"/>
          <w:b/>
          <w:lang w:val="fr-FR"/>
        </w:rPr>
      </w:pPr>
      <w:r w:rsidRPr="00C73365">
        <w:rPr>
          <w:rFonts w:asciiTheme="minorHAnsi" w:hAnsiTheme="minorHAnsi" w:cstheme="minorHAnsi"/>
          <w:b/>
          <w:lang w:val="fr-FR"/>
        </w:rPr>
        <w:t xml:space="preserve">Article 32 </w:t>
      </w:r>
      <w:r w:rsidRPr="00C73365">
        <w:rPr>
          <w:rFonts w:asciiTheme="minorHAnsi" w:hAnsiTheme="minorHAnsi" w:cstheme="minorHAnsi"/>
          <w:b/>
          <w:lang w:val="fr-FR"/>
        </w:rPr>
        <w:tab/>
        <w:t>AFFECTATION ET REPARTITION DU RESULTAT</w:t>
      </w:r>
    </w:p>
    <w:p w14:paraId="603DE023"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Si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approuvés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font apparaître un bénéfice distribuable tel qu</w:t>
      </w:r>
      <w:r w:rsidR="004572A0" w:rsidRPr="00C73365">
        <w:rPr>
          <w:rFonts w:asciiTheme="minorHAnsi" w:hAnsiTheme="minorHAnsi" w:cstheme="minorHAnsi"/>
          <w:lang w:val="fr-FR"/>
        </w:rPr>
        <w:t>’</w:t>
      </w:r>
      <w:r w:rsidRPr="00C73365">
        <w:rPr>
          <w:rFonts w:asciiTheme="minorHAnsi" w:hAnsiTheme="minorHAnsi" w:cstheme="minorHAnsi"/>
          <w:lang w:val="fr-FR"/>
        </w:rPr>
        <w:t>il est défini par la loi,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décide de l</w:t>
      </w:r>
      <w:r w:rsidR="004572A0" w:rsidRPr="00C73365">
        <w:rPr>
          <w:rFonts w:asciiTheme="minorHAnsi" w:hAnsiTheme="minorHAnsi" w:cstheme="minorHAnsi"/>
          <w:lang w:val="fr-FR"/>
        </w:rPr>
        <w:t>’</w:t>
      </w:r>
      <w:r w:rsidRPr="00C73365">
        <w:rPr>
          <w:rFonts w:asciiTheme="minorHAnsi" w:hAnsiTheme="minorHAnsi" w:cstheme="minorHAnsi"/>
          <w:lang w:val="fr-FR"/>
        </w:rPr>
        <w:t>inscrire à un ou plusieurs postes de réserves dont elle règle l</w:t>
      </w:r>
      <w:r w:rsidR="004572A0" w:rsidRPr="00C73365">
        <w:rPr>
          <w:rFonts w:asciiTheme="minorHAnsi" w:hAnsiTheme="minorHAnsi" w:cstheme="minorHAnsi"/>
          <w:lang w:val="fr-FR"/>
        </w:rPr>
        <w:t>’</w:t>
      </w:r>
      <w:r w:rsidRPr="00C73365">
        <w:rPr>
          <w:rFonts w:asciiTheme="minorHAnsi" w:hAnsiTheme="minorHAnsi" w:cstheme="minorHAnsi"/>
          <w:lang w:val="fr-FR"/>
        </w:rPr>
        <w:t>affectation ou l</w:t>
      </w:r>
      <w:r w:rsidR="004572A0" w:rsidRPr="00C73365">
        <w:rPr>
          <w:rFonts w:asciiTheme="minorHAnsi" w:hAnsiTheme="minorHAnsi" w:cstheme="minorHAnsi"/>
          <w:lang w:val="fr-FR"/>
        </w:rPr>
        <w:t>’</w:t>
      </w:r>
      <w:r w:rsidRPr="00C73365">
        <w:rPr>
          <w:rFonts w:asciiTheme="minorHAnsi" w:hAnsiTheme="minorHAnsi" w:cstheme="minorHAnsi"/>
          <w:lang w:val="fr-FR"/>
        </w:rPr>
        <w:t>emploi, de le reporter à nouveau ou de le distribuer.</w:t>
      </w:r>
    </w:p>
    <w:p w14:paraId="40CC95ED"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peut accorder aux actionnaires pour tout ou partie du dividende mis en distribution ou des acomptes sur dividende, une option entre le paiement du dividende en numéraire ou en actions dans les conditions légales.</w:t>
      </w:r>
    </w:p>
    <w:p w14:paraId="03A07E91"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Les pertes, s</w:t>
      </w:r>
      <w:r w:rsidR="004572A0" w:rsidRPr="00C73365">
        <w:rPr>
          <w:rFonts w:asciiTheme="minorHAnsi" w:hAnsiTheme="minorHAnsi" w:cstheme="minorHAnsi"/>
          <w:lang w:val="fr-FR"/>
        </w:rPr>
        <w:t>’</w:t>
      </w:r>
      <w:r w:rsidRPr="00C73365">
        <w:rPr>
          <w:rFonts w:asciiTheme="minorHAnsi" w:hAnsiTheme="minorHAnsi" w:cstheme="minorHAnsi"/>
          <w:lang w:val="fr-FR"/>
        </w:rPr>
        <w:t>il en existe, sont après l</w:t>
      </w:r>
      <w:r w:rsidR="004572A0" w:rsidRPr="00C73365">
        <w:rPr>
          <w:rFonts w:asciiTheme="minorHAnsi" w:hAnsiTheme="minorHAnsi" w:cstheme="minorHAnsi"/>
          <w:lang w:val="fr-FR"/>
        </w:rPr>
        <w:t>’</w:t>
      </w:r>
      <w:r w:rsidRPr="00C73365">
        <w:rPr>
          <w:rFonts w:asciiTheme="minorHAnsi" w:hAnsiTheme="minorHAnsi" w:cstheme="minorHAnsi"/>
          <w:lang w:val="fr-FR"/>
        </w:rPr>
        <w:t>approbation des comptes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reportées à nouveau, pour être imputées sur les bénéfices des exercices ultérieurs jusqu</w:t>
      </w:r>
      <w:r w:rsidR="004572A0" w:rsidRPr="00C73365">
        <w:rPr>
          <w:rFonts w:asciiTheme="minorHAnsi" w:hAnsiTheme="minorHAnsi" w:cstheme="minorHAnsi"/>
          <w:lang w:val="fr-FR"/>
        </w:rPr>
        <w:t>’</w:t>
      </w:r>
      <w:r w:rsidRPr="00C73365">
        <w:rPr>
          <w:rFonts w:asciiTheme="minorHAnsi" w:hAnsiTheme="minorHAnsi" w:cstheme="minorHAnsi"/>
          <w:lang w:val="fr-FR"/>
        </w:rPr>
        <w:t>à extinction.</w:t>
      </w:r>
    </w:p>
    <w:p w14:paraId="3F242F82" w14:textId="77777777" w:rsidR="00B740A8" w:rsidRPr="00C73365" w:rsidRDefault="00B740A8" w:rsidP="00846FBD">
      <w:pPr>
        <w:pStyle w:val="Listecontinue2"/>
        <w:ind w:left="0"/>
        <w:rPr>
          <w:rFonts w:asciiTheme="minorHAnsi" w:hAnsiTheme="minorHAnsi" w:cstheme="minorHAnsi"/>
          <w:lang w:val="fr-FR"/>
        </w:rPr>
      </w:pPr>
      <w:r w:rsidRPr="00C73365">
        <w:rPr>
          <w:rFonts w:asciiTheme="minorHAnsi" w:hAnsiTheme="minorHAnsi" w:cstheme="minorHAnsi"/>
          <w:lang w:val="fr-FR"/>
        </w:rPr>
        <w:t>La part de chaque actionnaire dans les bénéfices et sa contribution aux pertes est proportionnelle à sa quotité dans le capital social.</w:t>
      </w:r>
    </w:p>
    <w:p w14:paraId="6A3F55DB"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Modalités de modification des droits des actionnaires</w:t>
      </w:r>
      <w:bookmarkEnd w:id="1587"/>
      <w:bookmarkEnd w:id="1588"/>
      <w:bookmarkEnd w:id="1589"/>
    </w:p>
    <w:p w14:paraId="1ACDA547" w14:textId="77777777" w:rsidR="00B740A8" w:rsidRPr="004834A9" w:rsidRDefault="00B740A8" w:rsidP="00B740A8">
      <w:pPr>
        <w:pStyle w:val="ENUM1"/>
        <w:rPr>
          <w:rFonts w:asciiTheme="minorHAnsi" w:hAnsiTheme="minorHAnsi" w:cstheme="minorHAnsi"/>
          <w:sz w:val="20"/>
          <w:szCs w:val="22"/>
          <w:lang w:val="fr-FR"/>
        </w:rPr>
      </w:pPr>
      <w:r w:rsidRPr="004834A9">
        <w:rPr>
          <w:rFonts w:asciiTheme="minorHAnsi" w:hAnsiTheme="minorHAnsi" w:cstheme="minorHAnsi"/>
          <w:sz w:val="20"/>
          <w:szCs w:val="22"/>
          <w:lang w:val="fr-FR"/>
        </w:rPr>
        <w:t>Les Statuts ne prévoient aucune règle particulière dérogeant au droit commun des sociétés.</w:t>
      </w:r>
    </w:p>
    <w:p w14:paraId="5E4A4BCA"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90" w:name="_Toc267998300"/>
      <w:bookmarkStart w:id="1591" w:name="_Toc271734116"/>
      <w:bookmarkStart w:id="1592" w:name="_Toc292135940"/>
      <w:r w:rsidRPr="00C73365">
        <w:rPr>
          <w:rFonts w:asciiTheme="minorHAnsi" w:hAnsiTheme="minorHAnsi" w:cstheme="minorHAnsi"/>
          <w:b/>
          <w:color w:val="7030A0"/>
          <w:lang w:val="fr-FR"/>
        </w:rPr>
        <w:t>Assemblées générales d’actionnaires</w:t>
      </w:r>
      <w:bookmarkEnd w:id="1590"/>
      <w:bookmarkEnd w:id="1591"/>
      <w:bookmarkEnd w:id="1592"/>
    </w:p>
    <w:p w14:paraId="634A6AA8"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Article 22 </w:t>
      </w:r>
      <w:r w:rsidRPr="00C73365">
        <w:rPr>
          <w:rFonts w:asciiTheme="minorHAnsi" w:hAnsiTheme="minorHAnsi" w:cstheme="minorHAnsi"/>
          <w:b/>
          <w:lang w:val="fr-FR"/>
        </w:rPr>
        <w:tab/>
        <w:t>QUORUM ET MAJORITE</w:t>
      </w:r>
    </w:p>
    <w:p w14:paraId="38EAACE9"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Les assemblées générales délibèrent dans les conditions fixées par la loi.</w:t>
      </w:r>
    </w:p>
    <w:p w14:paraId="1DF8467B"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Les Assemblées générales ordinaires et extraordinaires se réunissent sur première convocation et, le cas échéant, sur deuxième convocation dans les conditions de quorum prévues par la loi.</w:t>
      </w:r>
    </w:p>
    <w:p w14:paraId="58B49C5F"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Les délibérations des Assemblées générales sont prises dans les conditions de majorité prévues par la loi.</w:t>
      </w:r>
    </w:p>
    <w:p w14:paraId="23DFD17D"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prend toutes les décisions autres que celles qui sont réservées à la compétence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assemblée générale extraordinaire par la loi et les présents statuts. </w:t>
      </w:r>
    </w:p>
    <w:p w14:paraId="5C746E3E"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assemblée générale extraordinaire est seule habilitée à modifier les statuts dans toutes leurs dispositions. </w:t>
      </w:r>
    </w:p>
    <w:p w14:paraId="79B62573"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En cas de recours à la visioconférence ou autre moyen de télécommunication admis par la loi dans les conditions exposées à l</w:t>
      </w:r>
      <w:r w:rsidR="004572A0" w:rsidRPr="00C73365">
        <w:rPr>
          <w:rFonts w:asciiTheme="minorHAnsi" w:hAnsiTheme="minorHAnsi" w:cstheme="minorHAnsi"/>
          <w:lang w:val="fr-FR"/>
        </w:rPr>
        <w:t>’</w:t>
      </w:r>
      <w:r w:rsidRPr="00C73365">
        <w:rPr>
          <w:rFonts w:asciiTheme="minorHAnsi" w:hAnsiTheme="minorHAnsi" w:cstheme="minorHAnsi"/>
          <w:lang w:val="fr-FR"/>
        </w:rPr>
        <w:t>article 23 ci-après, seront réputés présents pour le calcul du quorum et de la majorité, les actionnaires qui participent aux assemblées par visioconférence ou par des moyens de télécommunication.</w:t>
      </w:r>
    </w:p>
    <w:p w14:paraId="5BC7A051"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Article 23 </w:t>
      </w:r>
      <w:r w:rsidRPr="00C73365">
        <w:rPr>
          <w:rFonts w:asciiTheme="minorHAnsi" w:hAnsiTheme="minorHAnsi" w:cstheme="minorHAnsi"/>
          <w:b/>
          <w:lang w:val="fr-FR"/>
        </w:rPr>
        <w:tab/>
        <w:t>CONVOCATION DES ASSEMBLEES GENERALES</w:t>
      </w:r>
    </w:p>
    <w:p w14:paraId="145E20DD"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Les assemblées générales sont convoquées soit par le Conseil d’administration, soit par les commissaires aux comptes, soit par un mandataire désigné en justice dans les conditions et selon les modalités prévues par la loi.</w:t>
      </w:r>
    </w:p>
    <w:p w14:paraId="7A1F852A"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Elles sont réunies au siège social ou en tout autre lieu précisé dans l</w:t>
      </w:r>
      <w:r w:rsidR="004572A0" w:rsidRPr="00C73365">
        <w:rPr>
          <w:rFonts w:asciiTheme="minorHAnsi" w:hAnsiTheme="minorHAnsi" w:cstheme="minorHAnsi"/>
          <w:lang w:val="fr-FR"/>
        </w:rPr>
        <w:t>’</w:t>
      </w:r>
      <w:r w:rsidRPr="00C73365">
        <w:rPr>
          <w:rFonts w:asciiTheme="minorHAnsi" w:hAnsiTheme="minorHAnsi" w:cstheme="minorHAnsi"/>
          <w:lang w:val="fr-FR"/>
        </w:rPr>
        <w:t>avis de convocation.</w:t>
      </w:r>
    </w:p>
    <w:p w14:paraId="26449605"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Lorsque les actions de </w:t>
      </w:r>
      <w:r w:rsidR="00D468B1" w:rsidRPr="00C73365">
        <w:rPr>
          <w:rFonts w:asciiTheme="minorHAnsi" w:hAnsiTheme="minorHAnsi" w:cstheme="minorHAnsi"/>
          <w:lang w:val="fr-FR"/>
        </w:rPr>
        <w:t>la</w:t>
      </w:r>
      <w:r w:rsidRPr="00C73365">
        <w:rPr>
          <w:rFonts w:asciiTheme="minorHAnsi" w:hAnsiTheme="minorHAnsi" w:cstheme="minorHAnsi"/>
          <w:lang w:val="fr-FR"/>
        </w:rPr>
        <w:t xml:space="preserve"> Société sont admises aux négociations sur un marché réglementé ou si toutes ses actions ne revêtent pas la forme nominative, elle est tenue, trente-cinq (35) jours au moins avant la réunion de toute assemblée de publier au Bulletin des Annonces Légales Obligatoires (BALO) un avis de réunion contenant les mentions prévues par les textes en vigueur.</w:t>
      </w:r>
    </w:p>
    <w:p w14:paraId="303BF7BD"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La convocation des assemblées générales est réalisée par l</w:t>
      </w:r>
      <w:r w:rsidR="004572A0" w:rsidRPr="00C73365">
        <w:rPr>
          <w:rFonts w:asciiTheme="minorHAnsi" w:hAnsiTheme="minorHAnsi" w:cstheme="minorHAnsi"/>
          <w:lang w:val="fr-FR"/>
        </w:rPr>
        <w:t>’</w:t>
      </w:r>
      <w:r w:rsidRPr="00C73365">
        <w:rPr>
          <w:rFonts w:asciiTheme="minorHAnsi" w:hAnsiTheme="minorHAnsi" w:cstheme="minorHAnsi"/>
          <w:lang w:val="fr-FR"/>
        </w:rPr>
        <w:t>insertion dans un journal habilité à recevoir les annonces légales dans le département du siège social et, en outre, au Bulletin des Annonces Légales et Obligatoires (BALO).</w:t>
      </w:r>
    </w:p>
    <w:p w14:paraId="079BD0CD"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Toutefois, les insertions prévues à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 peuvent être remplacées par une convocation faite, aux frais de la Société, par lettre simple ou recommandée adressée à chaque actionnaire. Cette convocation peut également être transmise par un moyen électronique de télécommunication mis en œuvre dans les conditions réglementaires applicables.</w:t>
      </w:r>
    </w:p>
    <w:p w14:paraId="7FA5F25B"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Tout actionnaire pourra également, si le Conseil le décide au moment de la convocation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participer et voter aux assemblées par visioconférence ou par tous moyens de télécommunication permettant leur identification, dans les conditions et suivants les modalités prévues par les dispositions législatives et réglementaires applicables.</w:t>
      </w:r>
    </w:p>
    <w:p w14:paraId="1C4F7B81"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Toute assemblée irrégulièrement convoquée peut être annulée. Toutefois, l</w:t>
      </w:r>
      <w:r w:rsidR="004572A0" w:rsidRPr="00C73365">
        <w:rPr>
          <w:rFonts w:asciiTheme="minorHAnsi" w:hAnsiTheme="minorHAnsi" w:cstheme="minorHAnsi"/>
          <w:lang w:val="fr-FR"/>
        </w:rPr>
        <w:t>’</w:t>
      </w:r>
      <w:r w:rsidRPr="00C73365">
        <w:rPr>
          <w:rFonts w:asciiTheme="minorHAnsi" w:hAnsiTheme="minorHAnsi" w:cstheme="minorHAnsi"/>
          <w:lang w:val="fr-FR"/>
        </w:rPr>
        <w:t>action en nullité n</w:t>
      </w:r>
      <w:r w:rsidR="004572A0" w:rsidRPr="00C73365">
        <w:rPr>
          <w:rFonts w:asciiTheme="minorHAnsi" w:hAnsiTheme="minorHAnsi" w:cstheme="minorHAnsi"/>
          <w:lang w:val="fr-FR"/>
        </w:rPr>
        <w:t>’</w:t>
      </w:r>
      <w:r w:rsidRPr="00C73365">
        <w:rPr>
          <w:rFonts w:asciiTheme="minorHAnsi" w:hAnsiTheme="minorHAnsi" w:cstheme="minorHAnsi"/>
          <w:lang w:val="fr-FR"/>
        </w:rPr>
        <w:t>est pas recevable lorsque tous les actionnaires étaient présents ou représentés.</w:t>
      </w:r>
    </w:p>
    <w:p w14:paraId="3041D3D0"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Article 24 </w:t>
      </w:r>
      <w:r w:rsidRPr="00C73365">
        <w:rPr>
          <w:rFonts w:asciiTheme="minorHAnsi" w:hAnsiTheme="minorHAnsi" w:cstheme="minorHAnsi"/>
          <w:b/>
          <w:lang w:val="fr-FR"/>
        </w:rPr>
        <w:tab/>
        <w:t>ORDRE DU JOUR DE L</w:t>
      </w:r>
      <w:r w:rsidR="004572A0" w:rsidRPr="00C73365">
        <w:rPr>
          <w:rFonts w:asciiTheme="minorHAnsi" w:hAnsiTheme="minorHAnsi" w:cstheme="minorHAnsi"/>
          <w:b/>
          <w:lang w:val="fr-FR"/>
        </w:rPr>
        <w:t>’</w:t>
      </w:r>
      <w:r w:rsidRPr="00C73365">
        <w:rPr>
          <w:rFonts w:asciiTheme="minorHAnsi" w:hAnsiTheme="minorHAnsi" w:cstheme="minorHAnsi"/>
          <w:b/>
          <w:lang w:val="fr-FR"/>
        </w:rPr>
        <w:t>ASSEMBLEE</w:t>
      </w:r>
    </w:p>
    <w:p w14:paraId="6867A522"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des assemblées est arrêté par l</w:t>
      </w:r>
      <w:r w:rsidR="004572A0" w:rsidRPr="00C73365">
        <w:rPr>
          <w:rFonts w:asciiTheme="minorHAnsi" w:hAnsiTheme="minorHAnsi" w:cstheme="minorHAnsi"/>
          <w:lang w:val="fr-FR"/>
        </w:rPr>
        <w:t>’</w:t>
      </w:r>
      <w:r w:rsidRPr="00C73365">
        <w:rPr>
          <w:rFonts w:asciiTheme="minorHAnsi" w:hAnsiTheme="minorHAnsi" w:cstheme="minorHAnsi"/>
          <w:lang w:val="fr-FR"/>
        </w:rPr>
        <w:t>auteur de la convocation.</w:t>
      </w:r>
    </w:p>
    <w:p w14:paraId="6B36E9A2"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Toutefois, un ou plusieurs actionnaires représentant au moins 5 % du capital (ou une association d</w:t>
      </w:r>
      <w:r w:rsidR="004572A0" w:rsidRPr="00C73365">
        <w:rPr>
          <w:rFonts w:asciiTheme="minorHAnsi" w:hAnsiTheme="minorHAnsi" w:cstheme="minorHAnsi"/>
          <w:lang w:val="fr-FR"/>
        </w:rPr>
        <w:t>’</w:t>
      </w:r>
      <w:r w:rsidRPr="00C73365">
        <w:rPr>
          <w:rFonts w:asciiTheme="minorHAnsi" w:hAnsiTheme="minorHAnsi" w:cstheme="minorHAnsi"/>
          <w:lang w:val="fr-FR"/>
        </w:rPr>
        <w:t>actionnaires répondant aux conditions légales) ont la faculté de requérir, dans les conditions prévues par la loi, l</w:t>
      </w:r>
      <w:r w:rsidR="004572A0" w:rsidRPr="00C73365">
        <w:rPr>
          <w:rFonts w:asciiTheme="minorHAnsi" w:hAnsiTheme="minorHAnsi" w:cstheme="minorHAnsi"/>
          <w:lang w:val="fr-FR"/>
        </w:rPr>
        <w:t>’</w:t>
      </w:r>
      <w:r w:rsidRPr="00C73365">
        <w:rPr>
          <w:rFonts w:asciiTheme="minorHAnsi" w:hAnsiTheme="minorHAnsi" w:cstheme="minorHAnsi"/>
          <w:lang w:val="fr-FR"/>
        </w:rPr>
        <w:t>inscription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 projets de résolutions. La demande est accompagnée du texte des projets de résolutions qui peuvent être assortis d</w:t>
      </w:r>
      <w:r w:rsidR="004572A0" w:rsidRPr="00C73365">
        <w:rPr>
          <w:rFonts w:asciiTheme="minorHAnsi" w:hAnsiTheme="minorHAnsi" w:cstheme="minorHAnsi"/>
          <w:lang w:val="fr-FR"/>
        </w:rPr>
        <w:t>’</w:t>
      </w:r>
      <w:r w:rsidRPr="00C73365">
        <w:rPr>
          <w:rFonts w:asciiTheme="minorHAnsi" w:hAnsiTheme="minorHAnsi" w:cstheme="minorHAnsi"/>
          <w:lang w:val="fr-FR"/>
        </w:rPr>
        <w:t>un bref exposé des motifs.</w:t>
      </w:r>
    </w:p>
    <w:p w14:paraId="34ADD55A"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Ces projets de résolutions, qui doivent être portés à la connaissance des actionnaires, sont inscrits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 et soumis au vote de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14:paraId="0BDEADF2"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ne peut délibérer sur une question qui n</w:t>
      </w:r>
      <w:r w:rsidR="004572A0" w:rsidRPr="00C73365">
        <w:rPr>
          <w:rFonts w:asciiTheme="minorHAnsi" w:hAnsiTheme="minorHAnsi" w:cstheme="minorHAnsi"/>
          <w:lang w:val="fr-FR"/>
        </w:rPr>
        <w:t>’</w:t>
      </w:r>
      <w:r w:rsidRPr="00C73365">
        <w:rPr>
          <w:rFonts w:asciiTheme="minorHAnsi" w:hAnsiTheme="minorHAnsi" w:cstheme="minorHAnsi"/>
          <w:lang w:val="fr-FR"/>
        </w:rPr>
        <w:t>est pas inscrite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w:t>
      </w:r>
    </w:p>
    <w:p w14:paraId="78C3E4FE"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Néanmoins, elle peut, en toutes circonstances, révoquer un ou plusieurs administrateurs et procéder à leur remplacement.</w:t>
      </w:r>
    </w:p>
    <w:p w14:paraId="0E34DA70"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 l</w:t>
      </w:r>
      <w:r w:rsidR="004572A0" w:rsidRPr="00C73365">
        <w:rPr>
          <w:rFonts w:asciiTheme="minorHAnsi" w:hAnsiTheme="minorHAnsi" w:cstheme="minorHAnsi"/>
          <w:lang w:val="fr-FR"/>
        </w:rPr>
        <w:t>’</w:t>
      </w:r>
      <w:r w:rsidRPr="00C73365">
        <w:rPr>
          <w:rFonts w:asciiTheme="minorHAnsi" w:hAnsiTheme="minorHAnsi" w:cstheme="minorHAnsi"/>
          <w:lang w:val="fr-FR"/>
        </w:rPr>
        <w:t>assemblée ne peut être modifié sur deuxième convocation.</w:t>
      </w:r>
    </w:p>
    <w:p w14:paraId="1CACBF66"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Lorsque l</w:t>
      </w:r>
      <w:r w:rsidR="004572A0" w:rsidRPr="00C73365">
        <w:rPr>
          <w:rFonts w:asciiTheme="minorHAnsi" w:hAnsiTheme="minorHAnsi" w:cstheme="minorHAnsi"/>
          <w:lang w:val="fr-FR"/>
        </w:rPr>
        <w:t>’</w:t>
      </w:r>
      <w:r w:rsidRPr="00C73365">
        <w:rPr>
          <w:rFonts w:asciiTheme="minorHAnsi" w:hAnsiTheme="minorHAnsi" w:cstheme="minorHAnsi"/>
          <w:lang w:val="fr-FR"/>
        </w:rPr>
        <w:t>assemblée est appelée à délibérer sur des modifications de l</w:t>
      </w:r>
      <w:r w:rsidR="004572A0" w:rsidRPr="00C73365">
        <w:rPr>
          <w:rFonts w:asciiTheme="minorHAnsi" w:hAnsiTheme="minorHAnsi" w:cstheme="minorHAnsi"/>
          <w:lang w:val="fr-FR"/>
        </w:rPr>
        <w:t>’</w:t>
      </w:r>
      <w:r w:rsidRPr="00C73365">
        <w:rPr>
          <w:rFonts w:asciiTheme="minorHAnsi" w:hAnsiTheme="minorHAnsi" w:cstheme="minorHAnsi"/>
          <w:lang w:val="fr-FR"/>
        </w:rPr>
        <w:t>organisation économique ou juridique de l</w:t>
      </w:r>
      <w:r w:rsidR="004572A0" w:rsidRPr="00C73365">
        <w:rPr>
          <w:rFonts w:asciiTheme="minorHAnsi" w:hAnsiTheme="minorHAnsi" w:cstheme="minorHAnsi"/>
          <w:lang w:val="fr-FR"/>
        </w:rPr>
        <w:t>’</w:t>
      </w:r>
      <w:r w:rsidRPr="00C73365">
        <w:rPr>
          <w:rFonts w:asciiTheme="minorHAnsi" w:hAnsiTheme="minorHAnsi" w:cstheme="minorHAnsi"/>
          <w:lang w:val="fr-FR"/>
        </w:rPr>
        <w:t>entreprise sur lesquelles le comité d</w:t>
      </w:r>
      <w:r w:rsidR="004572A0" w:rsidRPr="00C73365">
        <w:rPr>
          <w:rFonts w:asciiTheme="minorHAnsi" w:hAnsiTheme="minorHAnsi" w:cstheme="minorHAnsi"/>
          <w:lang w:val="fr-FR"/>
        </w:rPr>
        <w:t>’</w:t>
      </w:r>
      <w:r w:rsidRPr="00C73365">
        <w:rPr>
          <w:rFonts w:asciiTheme="minorHAnsi" w:hAnsiTheme="minorHAnsi" w:cstheme="minorHAnsi"/>
          <w:lang w:val="fr-FR"/>
        </w:rPr>
        <w:t>entreprise a été consulté en application de l</w:t>
      </w:r>
      <w:r w:rsidR="004572A0" w:rsidRPr="00C73365">
        <w:rPr>
          <w:rFonts w:asciiTheme="minorHAnsi" w:hAnsiTheme="minorHAnsi" w:cstheme="minorHAnsi"/>
          <w:lang w:val="fr-FR"/>
        </w:rPr>
        <w:t>’</w:t>
      </w:r>
      <w:r w:rsidRPr="00C73365">
        <w:rPr>
          <w:rFonts w:asciiTheme="minorHAnsi" w:hAnsiTheme="minorHAnsi" w:cstheme="minorHAnsi"/>
          <w:lang w:val="fr-FR"/>
        </w:rPr>
        <w:t>article L. 2323-6 du Code du travail, l</w:t>
      </w:r>
      <w:r w:rsidR="004572A0" w:rsidRPr="00C73365">
        <w:rPr>
          <w:rFonts w:asciiTheme="minorHAnsi" w:hAnsiTheme="minorHAnsi" w:cstheme="minorHAnsi"/>
          <w:lang w:val="fr-FR"/>
        </w:rPr>
        <w:t>’</w:t>
      </w:r>
      <w:r w:rsidRPr="00C73365">
        <w:rPr>
          <w:rFonts w:asciiTheme="minorHAnsi" w:hAnsiTheme="minorHAnsi" w:cstheme="minorHAnsi"/>
          <w:lang w:val="fr-FR"/>
        </w:rPr>
        <w:t>avis de celui-ci lui est communiqué.</w:t>
      </w:r>
    </w:p>
    <w:p w14:paraId="2A377530"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lastRenderedPageBreak/>
        <w:t>Article 25</w:t>
      </w:r>
      <w:r w:rsidRPr="00C73365">
        <w:rPr>
          <w:rFonts w:asciiTheme="minorHAnsi" w:hAnsiTheme="minorHAnsi" w:cstheme="minorHAnsi"/>
          <w:b/>
          <w:lang w:val="fr-FR"/>
        </w:rPr>
        <w:tab/>
        <w:t xml:space="preserve"> ADMISSION AUX ASSEMBLEES</w:t>
      </w:r>
    </w:p>
    <w:p w14:paraId="2C9770B4"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Tout actionnaire peut participer personnellement, par mandataire ou par correspondance, aux assemblées générales, de quelque nature qu</w:t>
      </w:r>
      <w:r w:rsidR="004572A0" w:rsidRPr="00C73365">
        <w:rPr>
          <w:rFonts w:asciiTheme="minorHAnsi" w:hAnsiTheme="minorHAnsi" w:cstheme="minorHAnsi"/>
          <w:lang w:val="fr-FR"/>
        </w:rPr>
        <w:t>’</w:t>
      </w:r>
      <w:r w:rsidRPr="00C73365">
        <w:rPr>
          <w:rFonts w:asciiTheme="minorHAnsi" w:hAnsiTheme="minorHAnsi" w:cstheme="minorHAnsi"/>
          <w:lang w:val="fr-FR"/>
        </w:rPr>
        <w:t>elles soient.</w:t>
      </w:r>
    </w:p>
    <w:p w14:paraId="48CB810E"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Il est justifié du droit de participer aux Assemblées générales :</w:t>
      </w:r>
    </w:p>
    <w:p w14:paraId="4222E3DB" w14:textId="77777777" w:rsidR="00B740A8" w:rsidRPr="00C73365" w:rsidRDefault="00B740A8" w:rsidP="00434C49">
      <w:pPr>
        <w:pStyle w:val="Paragraphedeliste"/>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pour les actions nominatives, par leur inscription, dans les délais fixés par la loi avant la tenue de l’Assemblée, dans les comptes de titres nominatifs tenus par la Société ;</w:t>
      </w:r>
    </w:p>
    <w:p w14:paraId="4F8C265E" w14:textId="77777777" w:rsidR="00B740A8" w:rsidRPr="00C73365" w:rsidRDefault="00B740A8" w:rsidP="00434C49">
      <w:pPr>
        <w:pStyle w:val="Paragraphedeliste"/>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pour les actions au porteur, par leur enregistrement, dans les délais fixés par la loi avant la tenue de l’Assemblée, dans les comptes de titres au porteur tenus par l’intermédiaire habilité.</w:t>
      </w:r>
    </w:p>
    <w:p w14:paraId="4EA8CDDF" w14:textId="77777777" w:rsidR="00B740A8" w:rsidRPr="00C73365" w:rsidRDefault="00B740A8" w:rsidP="00B740A8">
      <w:pPr>
        <w:rPr>
          <w:rFonts w:asciiTheme="minorHAnsi" w:hAnsiTheme="minorHAnsi" w:cstheme="minorHAnsi"/>
          <w:lang w:val="fr-FR"/>
        </w:rPr>
      </w:pPr>
    </w:p>
    <w:p w14:paraId="3CEEC92A"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L’inscription ou l’enregistrement comptable des titres dans les comptes de titres au porteur tenus par l’intermédiaire habilité est constaté par une attestation de participation délivrée par ce dernier.</w:t>
      </w:r>
    </w:p>
    <w:p w14:paraId="2FA83257"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Les actionnaires qui n</w:t>
      </w:r>
      <w:r w:rsidR="004572A0" w:rsidRPr="00C73365">
        <w:rPr>
          <w:rFonts w:asciiTheme="minorHAnsi" w:hAnsiTheme="minorHAnsi" w:cstheme="minorHAnsi"/>
          <w:lang w:val="fr-FR"/>
        </w:rPr>
        <w:t>’</w:t>
      </w:r>
      <w:r w:rsidRPr="00C73365">
        <w:rPr>
          <w:rFonts w:asciiTheme="minorHAnsi" w:hAnsiTheme="minorHAnsi" w:cstheme="minorHAnsi"/>
          <w:lang w:val="fr-FR"/>
        </w:rPr>
        <w:t>ont pas libéré leurs actions des versements exigibles n</w:t>
      </w:r>
      <w:r w:rsidR="004572A0" w:rsidRPr="00C73365">
        <w:rPr>
          <w:rFonts w:asciiTheme="minorHAnsi" w:hAnsiTheme="minorHAnsi" w:cstheme="minorHAnsi"/>
          <w:lang w:val="fr-FR"/>
        </w:rPr>
        <w:t>’</w:t>
      </w:r>
      <w:r w:rsidRPr="00C73365">
        <w:rPr>
          <w:rFonts w:asciiTheme="minorHAnsi" w:hAnsiTheme="minorHAnsi" w:cstheme="minorHAnsi"/>
          <w:lang w:val="fr-FR"/>
        </w:rPr>
        <w:t>ont pas accès à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14:paraId="62A00487" w14:textId="77777777" w:rsidR="00B740A8" w:rsidRPr="00C73365" w:rsidRDefault="00B740A8" w:rsidP="00B740A8">
      <w:pPr>
        <w:keepNext/>
        <w:keepLines/>
        <w:rPr>
          <w:rFonts w:asciiTheme="minorHAnsi" w:hAnsiTheme="minorHAnsi" w:cstheme="minorHAnsi"/>
          <w:b/>
          <w:lang w:val="fr-FR"/>
        </w:rPr>
      </w:pPr>
      <w:r w:rsidRPr="00C73365">
        <w:rPr>
          <w:rFonts w:asciiTheme="minorHAnsi" w:hAnsiTheme="minorHAnsi" w:cstheme="minorHAnsi"/>
          <w:b/>
          <w:lang w:val="fr-FR"/>
        </w:rPr>
        <w:t>Article 26</w:t>
      </w:r>
      <w:r w:rsidRPr="00C73365">
        <w:rPr>
          <w:rFonts w:asciiTheme="minorHAnsi" w:hAnsiTheme="minorHAnsi" w:cstheme="minorHAnsi"/>
          <w:b/>
          <w:lang w:val="fr-FR"/>
        </w:rPr>
        <w:tab/>
        <w:t xml:space="preserve"> REPRESENTATION DES ACTIONNAIRES ET VOTE PAR CORRESPONDANCE</w:t>
      </w:r>
    </w:p>
    <w:p w14:paraId="2FDA8F7A" w14:textId="77777777" w:rsidR="00B740A8" w:rsidRPr="00C73365" w:rsidRDefault="00B740A8" w:rsidP="00B740A8">
      <w:pPr>
        <w:keepNext/>
        <w:keepLines/>
        <w:ind w:left="1410" w:hanging="1410"/>
        <w:rPr>
          <w:rFonts w:asciiTheme="minorHAnsi" w:hAnsiTheme="minorHAnsi" w:cstheme="minorHAnsi"/>
          <w:b/>
          <w:lang w:val="fr-FR"/>
        </w:rPr>
      </w:pPr>
    </w:p>
    <w:p w14:paraId="324B46B3" w14:textId="4EDEAF2F" w:rsidR="00B740A8" w:rsidRPr="00C73365" w:rsidRDefault="00B740A8" w:rsidP="00846FBD">
      <w:pPr>
        <w:pStyle w:val="Liste"/>
        <w:rPr>
          <w:rFonts w:asciiTheme="minorHAnsi" w:hAnsiTheme="minorHAnsi" w:cstheme="minorHAnsi"/>
          <w:lang w:val="fr-FR"/>
        </w:rPr>
      </w:pPr>
      <w:r w:rsidRPr="00C73365">
        <w:rPr>
          <w:rFonts w:asciiTheme="minorHAnsi" w:hAnsiTheme="minorHAnsi" w:cstheme="minorHAnsi"/>
          <w:lang w:val="fr-FR"/>
        </w:rPr>
        <w:t>26.1</w:t>
      </w:r>
      <w:r w:rsidR="004572A0" w:rsidRPr="00C73365">
        <w:rPr>
          <w:rFonts w:asciiTheme="minorHAnsi" w:hAnsiTheme="minorHAnsi" w:cstheme="minorHAnsi"/>
          <w:lang w:val="fr-FR"/>
        </w:rPr>
        <w:tab/>
      </w:r>
      <w:r w:rsidR="00846FBD">
        <w:rPr>
          <w:rFonts w:asciiTheme="minorHAnsi" w:hAnsiTheme="minorHAnsi" w:cstheme="minorHAnsi"/>
          <w:lang w:val="fr-FR"/>
        </w:rPr>
        <w:t>Représentation des actionnaires</w:t>
      </w:r>
    </w:p>
    <w:p w14:paraId="0CE409F0"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Un actionnaire peut se faire représenter par un autre toute personne de son choix.</w:t>
      </w:r>
    </w:p>
    <w:p w14:paraId="235DE58D"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Tout actionnaire peut recevoir les pouvoirs émis par d</w:t>
      </w:r>
      <w:r w:rsidR="004572A0" w:rsidRPr="00C73365">
        <w:rPr>
          <w:rFonts w:asciiTheme="minorHAnsi" w:hAnsiTheme="minorHAnsi" w:cstheme="minorHAnsi"/>
          <w:lang w:val="fr-FR"/>
        </w:rPr>
        <w:t>’</w:t>
      </w:r>
      <w:r w:rsidRPr="00C73365">
        <w:rPr>
          <w:rFonts w:asciiTheme="minorHAnsi" w:hAnsiTheme="minorHAnsi" w:cstheme="minorHAnsi"/>
          <w:lang w:val="fr-FR"/>
        </w:rPr>
        <w:t>autres actionnaires en vue d</w:t>
      </w:r>
      <w:r w:rsidR="004572A0" w:rsidRPr="00C73365">
        <w:rPr>
          <w:rFonts w:asciiTheme="minorHAnsi" w:hAnsiTheme="minorHAnsi" w:cstheme="minorHAnsi"/>
          <w:lang w:val="fr-FR"/>
        </w:rPr>
        <w:t>’</w:t>
      </w:r>
      <w:r w:rsidRPr="00C73365">
        <w:rPr>
          <w:rFonts w:asciiTheme="minorHAnsi" w:hAnsiTheme="minorHAnsi" w:cstheme="minorHAnsi"/>
          <w:lang w:val="fr-FR"/>
        </w:rPr>
        <w:t>être représentés à une assemblée, sans autres limites que celles résultant des dispositions légales fixant le nombre maximal des voix dont peut disposer une même personne tant en son nom personnel que comme mandataire.</w:t>
      </w:r>
    </w:p>
    <w:p w14:paraId="6F3A641C" w14:textId="4CA7C285" w:rsidR="00B740A8" w:rsidRPr="00C73365" w:rsidRDefault="00B740A8" w:rsidP="00846FBD">
      <w:pPr>
        <w:pStyle w:val="Liste"/>
        <w:rPr>
          <w:rFonts w:asciiTheme="minorHAnsi" w:hAnsiTheme="minorHAnsi" w:cstheme="minorHAnsi"/>
          <w:lang w:val="fr-FR"/>
        </w:rPr>
      </w:pPr>
      <w:r w:rsidRPr="00C73365">
        <w:rPr>
          <w:rFonts w:asciiTheme="minorHAnsi" w:hAnsiTheme="minorHAnsi" w:cstheme="minorHAnsi"/>
          <w:lang w:val="fr-FR"/>
        </w:rPr>
        <w:t>26.2</w:t>
      </w:r>
      <w:r w:rsidR="004572A0" w:rsidRPr="00C73365">
        <w:rPr>
          <w:rFonts w:asciiTheme="minorHAnsi" w:hAnsiTheme="minorHAnsi" w:cstheme="minorHAnsi"/>
          <w:lang w:val="fr-FR"/>
        </w:rPr>
        <w:tab/>
      </w:r>
      <w:r w:rsidR="00846FBD">
        <w:rPr>
          <w:rFonts w:asciiTheme="minorHAnsi" w:hAnsiTheme="minorHAnsi" w:cstheme="minorHAnsi"/>
          <w:lang w:val="fr-FR"/>
        </w:rPr>
        <w:t>Vote par correspondance</w:t>
      </w:r>
    </w:p>
    <w:p w14:paraId="2E1F6E8C"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A compter de la convocation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un formulaire de vote par correspondance et ses annexes sont remis ou adressés, aux frais de la Société, à tout actionnaire qui en fait la demande par écrit.</w:t>
      </w:r>
    </w:p>
    <w:p w14:paraId="06E0CBC0"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La Société doit faire droit à toute demande déposée ou reçue au siège social au plus tard six (6) jours avant la date de réunion.</w:t>
      </w:r>
    </w:p>
    <w:p w14:paraId="78F544E3" w14:textId="77777777" w:rsidR="00B740A8" w:rsidRPr="00C73365" w:rsidRDefault="00B740A8" w:rsidP="004834A9">
      <w:pPr>
        <w:pStyle w:val="Listecontinue"/>
        <w:ind w:left="0"/>
        <w:rPr>
          <w:rFonts w:asciiTheme="minorHAnsi" w:hAnsiTheme="minorHAnsi" w:cstheme="minorHAnsi"/>
          <w:b/>
          <w:lang w:val="fr-FR"/>
        </w:rPr>
      </w:pPr>
      <w:r w:rsidRPr="00C73365">
        <w:rPr>
          <w:rFonts w:asciiTheme="minorHAnsi" w:hAnsiTheme="minorHAnsi" w:cstheme="minorHAnsi"/>
          <w:b/>
          <w:lang w:val="fr-FR"/>
        </w:rPr>
        <w:t xml:space="preserve">Article 27 </w:t>
      </w:r>
      <w:r w:rsidRPr="00C73365">
        <w:rPr>
          <w:rFonts w:asciiTheme="minorHAnsi" w:hAnsiTheme="minorHAnsi" w:cstheme="minorHAnsi"/>
          <w:b/>
          <w:lang w:val="fr-FR"/>
        </w:rPr>
        <w:tab/>
        <w:t>BUREAU DE L</w:t>
      </w:r>
      <w:r w:rsidR="004572A0" w:rsidRPr="00C73365">
        <w:rPr>
          <w:rFonts w:asciiTheme="minorHAnsi" w:hAnsiTheme="minorHAnsi" w:cstheme="minorHAnsi"/>
          <w:b/>
          <w:lang w:val="fr-FR"/>
        </w:rPr>
        <w:t>’</w:t>
      </w:r>
      <w:r w:rsidRPr="00C73365">
        <w:rPr>
          <w:rFonts w:asciiTheme="minorHAnsi" w:hAnsiTheme="minorHAnsi" w:cstheme="minorHAnsi"/>
          <w:b/>
          <w:lang w:val="fr-FR"/>
        </w:rPr>
        <w:t>ASSEMBLEE</w:t>
      </w:r>
    </w:p>
    <w:p w14:paraId="7460A4E2"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Les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sont présidées par le Président du Conseil d’administration ou, en son absence, par un administrateur délégué à cet effet par le Conseil. A défaut, l</w:t>
      </w:r>
      <w:r w:rsidR="004572A0" w:rsidRPr="00C73365">
        <w:rPr>
          <w:rFonts w:asciiTheme="minorHAnsi" w:hAnsiTheme="minorHAnsi" w:cstheme="minorHAnsi"/>
          <w:lang w:val="fr-FR"/>
        </w:rPr>
        <w:t>’</w:t>
      </w:r>
      <w:r w:rsidRPr="00C73365">
        <w:rPr>
          <w:rFonts w:asciiTheme="minorHAnsi" w:hAnsiTheme="minorHAnsi" w:cstheme="minorHAnsi"/>
          <w:lang w:val="fr-FR"/>
        </w:rPr>
        <w:t>assemblée élit elle-même son président.</w:t>
      </w:r>
    </w:p>
    <w:p w14:paraId="3AA26C03"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En cas de convocation par les commissaires aux comptes, par un mandataire de justice ou par les liquidateurs, l</w:t>
      </w:r>
      <w:r w:rsidR="004572A0" w:rsidRPr="00C73365">
        <w:rPr>
          <w:rFonts w:asciiTheme="minorHAnsi" w:hAnsiTheme="minorHAnsi" w:cstheme="minorHAnsi"/>
          <w:lang w:val="fr-FR"/>
        </w:rPr>
        <w:t>’</w:t>
      </w:r>
      <w:r w:rsidRPr="00C73365">
        <w:rPr>
          <w:rFonts w:asciiTheme="minorHAnsi" w:hAnsiTheme="minorHAnsi" w:cstheme="minorHAnsi"/>
          <w:lang w:val="fr-FR"/>
        </w:rPr>
        <w:t>assemblée est présidée par celui ou par l</w:t>
      </w:r>
      <w:r w:rsidR="004572A0" w:rsidRPr="00C73365">
        <w:rPr>
          <w:rFonts w:asciiTheme="minorHAnsi" w:hAnsiTheme="minorHAnsi" w:cstheme="minorHAnsi"/>
          <w:lang w:val="fr-FR"/>
        </w:rPr>
        <w:t>’</w:t>
      </w:r>
      <w:r w:rsidRPr="00C73365">
        <w:rPr>
          <w:rFonts w:asciiTheme="minorHAnsi" w:hAnsiTheme="minorHAnsi" w:cstheme="minorHAnsi"/>
          <w:lang w:val="fr-FR"/>
        </w:rPr>
        <w:t>un de ceux qui l</w:t>
      </w:r>
      <w:r w:rsidR="004572A0" w:rsidRPr="00C73365">
        <w:rPr>
          <w:rFonts w:asciiTheme="minorHAnsi" w:hAnsiTheme="minorHAnsi" w:cstheme="minorHAnsi"/>
          <w:lang w:val="fr-FR"/>
        </w:rPr>
        <w:t>’</w:t>
      </w:r>
      <w:r w:rsidRPr="00C73365">
        <w:rPr>
          <w:rFonts w:asciiTheme="minorHAnsi" w:hAnsiTheme="minorHAnsi" w:cstheme="minorHAnsi"/>
          <w:lang w:val="fr-FR"/>
        </w:rPr>
        <w:t>ont convoquée.</w:t>
      </w:r>
    </w:p>
    <w:p w14:paraId="041676F3"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Sont scrutateurs de l</w:t>
      </w:r>
      <w:r w:rsidR="004572A0" w:rsidRPr="00C73365">
        <w:rPr>
          <w:rFonts w:asciiTheme="minorHAnsi" w:hAnsiTheme="minorHAnsi" w:cstheme="minorHAnsi"/>
          <w:lang w:val="fr-FR"/>
        </w:rPr>
        <w:t>’</w:t>
      </w:r>
      <w:r w:rsidRPr="00C73365">
        <w:rPr>
          <w:rFonts w:asciiTheme="minorHAnsi" w:hAnsiTheme="minorHAnsi" w:cstheme="minorHAnsi"/>
          <w:lang w:val="fr-FR"/>
        </w:rPr>
        <w:t>assemblée les deux membres de ladite assemblée disposant du plus grand nombre de voix et acceptant cette fonction.</w:t>
      </w:r>
    </w:p>
    <w:p w14:paraId="6CDE032B"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bureau de l</w:t>
      </w:r>
      <w:r w:rsidR="004572A0" w:rsidRPr="00C73365">
        <w:rPr>
          <w:rFonts w:asciiTheme="minorHAnsi" w:hAnsiTheme="minorHAnsi" w:cstheme="minorHAnsi"/>
          <w:lang w:val="fr-FR"/>
        </w:rPr>
        <w:t>’</w:t>
      </w:r>
      <w:r w:rsidRPr="00C73365">
        <w:rPr>
          <w:rFonts w:asciiTheme="minorHAnsi" w:hAnsiTheme="minorHAnsi" w:cstheme="minorHAnsi"/>
          <w:lang w:val="fr-FR"/>
        </w:rPr>
        <w:t>assemblée en désigne le secrétaire qui peut être choisi en dehors des actionnaires.</w:t>
      </w:r>
    </w:p>
    <w:p w14:paraId="1C2C7FFC" w14:textId="77777777" w:rsidR="00B740A8" w:rsidRPr="00C73365" w:rsidRDefault="00B740A8" w:rsidP="004572A0">
      <w:pPr>
        <w:pStyle w:val="Listecontinue"/>
        <w:rPr>
          <w:rFonts w:asciiTheme="minorHAnsi" w:hAnsiTheme="minorHAnsi" w:cstheme="minorHAnsi"/>
          <w:b/>
          <w:lang w:val="fr-FR"/>
        </w:rPr>
      </w:pPr>
      <w:r w:rsidRPr="00C73365">
        <w:rPr>
          <w:rFonts w:asciiTheme="minorHAnsi" w:hAnsiTheme="minorHAnsi" w:cstheme="minorHAnsi"/>
          <w:b/>
          <w:lang w:val="fr-FR"/>
        </w:rPr>
        <w:t>Article 28</w:t>
      </w:r>
      <w:r w:rsidRPr="00C73365">
        <w:rPr>
          <w:rFonts w:asciiTheme="minorHAnsi" w:hAnsiTheme="minorHAnsi" w:cstheme="minorHAnsi"/>
          <w:b/>
          <w:lang w:val="fr-FR"/>
        </w:rPr>
        <w:tab/>
        <w:t xml:space="preserve"> PROCES-VERBAUX DES DELIBERATIONS</w:t>
      </w:r>
    </w:p>
    <w:p w14:paraId="7236A7A8"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Les délibérations des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sont constatées par des procès-verbaux établis par les membres du bureau et signés par eux.</w:t>
      </w:r>
    </w:p>
    <w:p w14:paraId="35CAD251"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Ils indiquent la date et le lieu de réunion, le mode de convocation, l</w:t>
      </w:r>
      <w:r w:rsidR="004572A0" w:rsidRPr="00C73365">
        <w:rPr>
          <w:rFonts w:asciiTheme="minorHAnsi" w:hAnsiTheme="minorHAnsi" w:cstheme="minorHAnsi"/>
          <w:lang w:val="fr-FR"/>
        </w:rPr>
        <w:t>’</w:t>
      </w:r>
      <w:r w:rsidRPr="00C73365">
        <w:rPr>
          <w:rFonts w:asciiTheme="minorHAnsi" w:hAnsiTheme="minorHAnsi" w:cstheme="minorHAnsi"/>
          <w:lang w:val="fr-FR"/>
        </w:rPr>
        <w:t>ordre du jour, la composition du bureau, le nombre d</w:t>
      </w:r>
      <w:r w:rsidR="004572A0" w:rsidRPr="00C73365">
        <w:rPr>
          <w:rFonts w:asciiTheme="minorHAnsi" w:hAnsiTheme="minorHAnsi" w:cstheme="minorHAnsi"/>
          <w:lang w:val="fr-FR"/>
        </w:rPr>
        <w:t>’</w:t>
      </w:r>
      <w:r w:rsidRPr="00C73365">
        <w:rPr>
          <w:rFonts w:asciiTheme="minorHAnsi" w:hAnsiTheme="minorHAnsi" w:cstheme="minorHAnsi"/>
          <w:lang w:val="fr-FR"/>
        </w:rPr>
        <w:t>actions participant au vote et le quorum atteint, les documents et rapports soumis à l</w:t>
      </w:r>
      <w:r w:rsidR="004572A0" w:rsidRPr="00C73365">
        <w:rPr>
          <w:rFonts w:asciiTheme="minorHAnsi" w:hAnsiTheme="minorHAnsi" w:cstheme="minorHAnsi"/>
          <w:lang w:val="fr-FR"/>
        </w:rPr>
        <w:t>’</w:t>
      </w:r>
      <w:r w:rsidRPr="00C73365">
        <w:rPr>
          <w:rFonts w:asciiTheme="minorHAnsi" w:hAnsiTheme="minorHAnsi" w:cstheme="minorHAnsi"/>
          <w:lang w:val="fr-FR"/>
        </w:rPr>
        <w:t>assemblée, un résumé des débats, le texte des résolutions mises aux voix et le résultat des votes.</w:t>
      </w:r>
    </w:p>
    <w:p w14:paraId="40F331B0"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Les procès-verbaux sont établis sur un registre spécial tenu au siège social dans les conditions réglementaires.</w:t>
      </w:r>
    </w:p>
    <w:p w14:paraId="4CC5F29F" w14:textId="5ADE52A3"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Si, à défaut du quorum requis, une assemblée ne peut délibérer régulièrement, il en est dressé procès-verbal par le bureau de ladite assemblée</w:t>
      </w:r>
      <w:r w:rsidR="00846FBD">
        <w:rPr>
          <w:rFonts w:asciiTheme="minorHAnsi" w:hAnsiTheme="minorHAnsi" w:cstheme="minorHAnsi"/>
          <w:lang w:val="fr-FR"/>
        </w:rPr>
        <w:t>.</w:t>
      </w:r>
    </w:p>
    <w:p w14:paraId="60F994C0"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93" w:name="_Toc267998301"/>
      <w:bookmarkStart w:id="1594" w:name="_Toc271734117"/>
      <w:bookmarkStart w:id="1595" w:name="_Toc292135941"/>
      <w:r w:rsidRPr="00C73365">
        <w:rPr>
          <w:rFonts w:asciiTheme="minorHAnsi" w:hAnsiTheme="minorHAnsi" w:cstheme="minorHAnsi"/>
          <w:b/>
          <w:color w:val="7030A0"/>
          <w:lang w:val="fr-FR"/>
        </w:rPr>
        <w:t>Dispositifs permettant de retarder, différer ou empêcher un changement de contrôle</w:t>
      </w:r>
      <w:bookmarkEnd w:id="1593"/>
      <w:bookmarkEnd w:id="1594"/>
      <w:bookmarkEnd w:id="1595"/>
    </w:p>
    <w:p w14:paraId="61CC8588"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Les Statuts de la Société ne prévoient aucune règle particulière dérogeant au droit commun des sociétés.</w:t>
      </w:r>
    </w:p>
    <w:p w14:paraId="7E2B8EF0"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Déclarations de franchissement de seuils</w:t>
      </w:r>
    </w:p>
    <w:p w14:paraId="681799E7"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11.2 </w:t>
      </w:r>
      <w:r w:rsidRPr="00C73365">
        <w:rPr>
          <w:rFonts w:asciiTheme="minorHAnsi" w:hAnsiTheme="minorHAnsi" w:cstheme="minorHAnsi"/>
          <w:b/>
          <w:lang w:val="fr-FR"/>
        </w:rPr>
        <w:tab/>
        <w:t>Franchissement de seuil</w:t>
      </w:r>
    </w:p>
    <w:p w14:paraId="6C78118D"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Outre les obligations légales d’informations, de franchissement de seuil et le cas échéant de déclaration d’intention, toute personne physique ou morale, toute entité juridique, agissant seule ou de concert, qui viendrait à détenir, de quelque manière que ce soit, au sens de l’article L. 233-7 et suivants du Code de commerce, directement ou indirectement, un nombre d’actions représentant une fraction égale à 2 % du capital et/ou des droits de vote de la Société, est tenue d’informer cette dernière du nombre total d’actions et de droits de vote ou de titres donnant accès à terme au capital de la Société qu’elle détient, directement ou indirectement ; par lettre recommandée avec demande d’avis de réception adressée au siège social, ou par tout autre moyen équivalent pour les actionnaires ou porteurs de titres résidents hors de France, dans un délai de cinq (5) jours de bourse à compter de la date du franchissement de ce seuil. </w:t>
      </w:r>
    </w:p>
    <w:p w14:paraId="554637DF"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Cette information est renouvelée pour la détention de chaque fraction additionnelle de 2 % du capital ou des droits de vote sans limitation.</w:t>
      </w:r>
    </w:p>
    <w:p w14:paraId="01DA445A"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Cette obligation d’information s’applique dans les mêmes conditions que celles prévues ci-dessus chaque fois que la fraction du capital social et/ou des droits de vote possédée devient inférieure à un multiple de 2 % du capital ou des droits de vote.</w:t>
      </w:r>
    </w:p>
    <w:p w14:paraId="2D7CD81C" w14:textId="77777777" w:rsidR="00B740A8" w:rsidRPr="00C73365" w:rsidRDefault="00B740A8" w:rsidP="004572A0">
      <w:pPr>
        <w:pStyle w:val="Corpsdetexte"/>
        <w:rPr>
          <w:rFonts w:asciiTheme="minorHAnsi" w:hAnsiTheme="minorHAnsi" w:cstheme="minorHAnsi"/>
          <w:lang w:val="fr-FR"/>
        </w:rPr>
      </w:pPr>
      <w:r w:rsidRPr="00C73365">
        <w:rPr>
          <w:rFonts w:asciiTheme="minorHAnsi" w:hAnsiTheme="minorHAnsi" w:cstheme="minorHAnsi"/>
          <w:lang w:val="fr-FR"/>
        </w:rPr>
        <w:t>A défaut d’avoir été régulièrement déclarées dans les conditions prévues ci-dessus, les actions excédant la fraction qui aurait dû être déclarée sont, à la demande, consignée dans le procès-verbal de l’Assemblée générale, d’un ou de plusieurs actionnaires représentant une fraction du capital ou des droits de vote de la Société au moins égale à 2 %, privées du droit de vote pour toute Assemblée d’actionnaires qui se tiendrait jusqu’à l’expiration d’une délai de deux (2) ans suivant la date de régularisation de la notification.</w:t>
      </w:r>
    </w:p>
    <w:p w14:paraId="297B727B" w14:textId="77777777"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Modification du capital</w:t>
      </w:r>
    </w:p>
    <w:p w14:paraId="7FE3AE06" w14:textId="77777777" w:rsidR="00B740A8" w:rsidRPr="00C73365" w:rsidRDefault="00B740A8"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Article 7 </w:t>
      </w:r>
      <w:r w:rsidRPr="00C73365">
        <w:rPr>
          <w:rFonts w:asciiTheme="minorHAnsi" w:hAnsiTheme="minorHAnsi" w:cstheme="minorHAnsi"/>
          <w:b/>
          <w:lang w:val="fr-FR"/>
        </w:rPr>
        <w:tab/>
        <w:t xml:space="preserve"> MODIFICATIONS DU CAPITAL</w:t>
      </w:r>
    </w:p>
    <w:p w14:paraId="5C98181C"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1 -</w:t>
      </w:r>
      <w:r w:rsidR="004572A0" w:rsidRPr="00C73365">
        <w:rPr>
          <w:rFonts w:asciiTheme="minorHAnsi" w:hAnsiTheme="minorHAnsi" w:cstheme="minorHAnsi"/>
          <w:lang w:val="fr-FR"/>
        </w:rPr>
        <w:tab/>
      </w:r>
      <w:r w:rsidRPr="00C73365">
        <w:rPr>
          <w:rFonts w:asciiTheme="minorHAnsi" w:hAnsiTheme="minorHAnsi" w:cstheme="minorHAnsi"/>
          <w:lang w:val="fr-FR"/>
        </w:rPr>
        <w:t>Le capital social peut être augmenté par tous procédés et selon toutes modalités prévues par la loi.</w:t>
      </w:r>
    </w:p>
    <w:p w14:paraId="51E1D4CB" w14:textId="77777777" w:rsidR="00B740A8" w:rsidRPr="00C73365" w:rsidRDefault="00B740A8" w:rsidP="00B740A8">
      <w:pPr>
        <w:rPr>
          <w:rFonts w:asciiTheme="minorHAnsi" w:hAnsiTheme="minorHAnsi" w:cstheme="minorHAnsi"/>
          <w:b/>
          <w:lang w:val="fr-FR"/>
        </w:rPr>
      </w:pPr>
    </w:p>
    <w:p w14:paraId="5FAD5BCB"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est seule compétente pour décider, sur rapport du Conseil d’administration, une augmentation de capital.</w:t>
      </w:r>
    </w:p>
    <w:p w14:paraId="18A751BE"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Les actionnaires ont, proportionnellement au montant de leurs actions, un droit de préférence à la souscription des actions de numéraire émises pour réaliser une augmentation de capital, droit auquel ils peuvent renoncer à titre individuel.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peut décider de supprimer ce droit préférentiel de souscription dans les conditions légales.</w:t>
      </w:r>
    </w:p>
    <w:p w14:paraId="65F79514" w14:textId="77777777" w:rsidR="00B740A8" w:rsidRPr="00C73365" w:rsidRDefault="00B740A8" w:rsidP="004572A0">
      <w:pPr>
        <w:pStyle w:val="Liste"/>
        <w:rPr>
          <w:rFonts w:asciiTheme="minorHAnsi" w:hAnsiTheme="minorHAnsi" w:cstheme="minorHAnsi"/>
          <w:lang w:val="fr-FR"/>
        </w:rPr>
      </w:pPr>
      <w:r w:rsidRPr="00C73365">
        <w:rPr>
          <w:rFonts w:asciiTheme="minorHAnsi" w:hAnsiTheme="minorHAnsi" w:cstheme="minorHAnsi"/>
          <w:lang w:val="fr-FR"/>
        </w:rPr>
        <w:t>2 -</w:t>
      </w:r>
      <w:r w:rsidR="004572A0" w:rsidRPr="00C73365">
        <w:rPr>
          <w:rFonts w:asciiTheme="minorHAnsi" w:hAnsiTheme="minorHAnsi" w:cstheme="minorHAnsi"/>
          <w:lang w:val="fr-FR"/>
        </w:rPr>
        <w:tab/>
      </w:r>
      <w:r w:rsidRPr="00C73365">
        <w:rPr>
          <w:rFonts w:asciiTheme="minorHAnsi" w:hAnsiTheme="minorHAnsi" w:cstheme="minorHAnsi"/>
          <w:lang w:val="fr-FR"/>
        </w:rPr>
        <w:t>La réduction du capital est autorisée ou décidée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et ne peut en aucun cas porter atteinte à l</w:t>
      </w:r>
      <w:r w:rsidR="004572A0" w:rsidRPr="00C73365">
        <w:rPr>
          <w:rFonts w:asciiTheme="minorHAnsi" w:hAnsiTheme="minorHAnsi" w:cstheme="minorHAnsi"/>
          <w:lang w:val="fr-FR"/>
        </w:rPr>
        <w:t>’</w:t>
      </w:r>
      <w:r w:rsidRPr="00C73365">
        <w:rPr>
          <w:rFonts w:asciiTheme="minorHAnsi" w:hAnsiTheme="minorHAnsi" w:cstheme="minorHAnsi"/>
          <w:lang w:val="fr-FR"/>
        </w:rPr>
        <w:t>égalité des actionnaires.</w:t>
      </w:r>
    </w:p>
    <w:p w14:paraId="661EFCCD"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La réduction du capital à un montant inférieur au minimum légal ne peut être décidée que sous la condition suspensive d</w:t>
      </w:r>
      <w:r w:rsidR="004572A0" w:rsidRPr="00C73365">
        <w:rPr>
          <w:rFonts w:asciiTheme="minorHAnsi" w:hAnsiTheme="minorHAnsi" w:cstheme="minorHAnsi"/>
          <w:lang w:val="fr-FR"/>
        </w:rPr>
        <w:t>’</w:t>
      </w:r>
      <w:r w:rsidRPr="00C73365">
        <w:rPr>
          <w:rFonts w:asciiTheme="minorHAnsi" w:hAnsiTheme="minorHAnsi" w:cstheme="minorHAnsi"/>
          <w:lang w:val="fr-FR"/>
        </w:rPr>
        <w:t>une augmentation de capital destinée à amener celui-ci au moins au minimum légal, à moins que la Société ne se transforme en société d</w:t>
      </w:r>
      <w:r w:rsidR="004572A0" w:rsidRPr="00C73365">
        <w:rPr>
          <w:rFonts w:asciiTheme="minorHAnsi" w:hAnsiTheme="minorHAnsi" w:cstheme="minorHAnsi"/>
          <w:lang w:val="fr-FR"/>
        </w:rPr>
        <w:t>’</w:t>
      </w:r>
      <w:r w:rsidRPr="00C73365">
        <w:rPr>
          <w:rFonts w:asciiTheme="minorHAnsi" w:hAnsiTheme="minorHAnsi" w:cstheme="minorHAnsi"/>
          <w:lang w:val="fr-FR"/>
        </w:rPr>
        <w:t>une autre forme n</w:t>
      </w:r>
      <w:r w:rsidR="004572A0" w:rsidRPr="00C73365">
        <w:rPr>
          <w:rFonts w:asciiTheme="minorHAnsi" w:hAnsiTheme="minorHAnsi" w:cstheme="minorHAnsi"/>
          <w:lang w:val="fr-FR"/>
        </w:rPr>
        <w:t>’</w:t>
      </w:r>
      <w:r w:rsidRPr="00C73365">
        <w:rPr>
          <w:rFonts w:asciiTheme="minorHAnsi" w:hAnsiTheme="minorHAnsi" w:cstheme="minorHAnsi"/>
          <w:lang w:val="fr-FR"/>
        </w:rPr>
        <w:t>exigeant pas un capital supérieur au capital social après sa réduction.</w:t>
      </w:r>
    </w:p>
    <w:p w14:paraId="4DD52AD3"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A défaut, tout intéressé peut demander en justice la dissolution de la Société. Celle-ci ne peut être prononcée si au jour où le Tribunal statue sur le fond, la régularisation a eu lieu.</w:t>
      </w:r>
    </w:p>
    <w:p w14:paraId="05D8BF24" w14:textId="77777777" w:rsidR="00B740A8" w:rsidRPr="00C73365" w:rsidRDefault="00B740A8" w:rsidP="00846FBD">
      <w:pPr>
        <w:pStyle w:val="Listecontinue"/>
        <w:ind w:left="0"/>
        <w:rPr>
          <w:rFonts w:asciiTheme="minorHAnsi" w:hAnsiTheme="minorHAnsi" w:cstheme="minorHAnsi"/>
          <w:b/>
          <w:lang w:val="fr-FR"/>
        </w:rPr>
      </w:pPr>
      <w:r w:rsidRPr="00C73365">
        <w:rPr>
          <w:rFonts w:asciiTheme="minorHAnsi" w:hAnsiTheme="minorHAnsi" w:cstheme="minorHAnsi"/>
          <w:b/>
          <w:lang w:val="fr-FR"/>
        </w:rPr>
        <w:t>Article 8</w:t>
      </w:r>
      <w:r w:rsidRPr="00C73365">
        <w:rPr>
          <w:rFonts w:asciiTheme="minorHAnsi" w:hAnsiTheme="minorHAnsi" w:cstheme="minorHAnsi"/>
          <w:b/>
          <w:lang w:val="fr-FR"/>
        </w:rPr>
        <w:tab/>
        <w:t xml:space="preserve"> AMORTISSEMENT DU CAPITAL</w:t>
      </w:r>
    </w:p>
    <w:p w14:paraId="67297D6D" w14:textId="77777777" w:rsidR="00B740A8" w:rsidRPr="00C73365" w:rsidRDefault="00B740A8" w:rsidP="00846FBD">
      <w:pPr>
        <w:pStyle w:val="Listecontinue"/>
        <w:ind w:left="0"/>
        <w:rPr>
          <w:rFonts w:asciiTheme="minorHAnsi" w:hAnsiTheme="minorHAnsi" w:cstheme="minorHAnsi"/>
          <w:lang w:val="fr-FR"/>
        </w:rPr>
      </w:pPr>
      <w:r w:rsidRPr="00C73365">
        <w:rPr>
          <w:rFonts w:asciiTheme="minorHAnsi" w:hAnsiTheme="minorHAnsi" w:cstheme="minorHAnsi"/>
          <w:lang w:val="fr-FR"/>
        </w:rPr>
        <w:t>Le capital social pourra être amorti conformément aux dispositions des articles L. 225-198 et suivants du Code de commerce.</w:t>
      </w:r>
    </w:p>
    <w:p w14:paraId="3DBDA506" w14:textId="77777777" w:rsidR="00F46C7B" w:rsidRPr="00C73365" w:rsidRDefault="00F46C7B" w:rsidP="00B740A8">
      <w:pPr>
        <w:pStyle w:val="ConmainL1"/>
        <w:numPr>
          <w:ilvl w:val="0"/>
          <w:numId w:val="9"/>
        </w:numPr>
        <w:rPr>
          <w:rFonts w:asciiTheme="minorHAnsi" w:hAnsiTheme="minorHAnsi" w:cstheme="minorHAnsi"/>
          <w:sz w:val="22"/>
          <w:lang w:val="fr-FR"/>
        </w:rPr>
      </w:pPr>
      <w:bookmarkStart w:id="1596" w:name="_Toc401594146"/>
      <w:bookmarkStart w:id="1597" w:name="_Toc462673306"/>
      <w:bookmarkStart w:id="1598" w:name="_Toc467835655"/>
      <w:bookmarkStart w:id="1599" w:name="_Toc510548488"/>
      <w:bookmarkEnd w:id="1548"/>
      <w:r w:rsidRPr="00C73365">
        <w:rPr>
          <w:rFonts w:asciiTheme="minorHAnsi" w:hAnsiTheme="minorHAnsi" w:cstheme="minorHAnsi"/>
          <w:sz w:val="22"/>
          <w:lang w:val="fr-FR"/>
        </w:rPr>
        <w:lastRenderedPageBreak/>
        <w:t>CONTRATS IMPORTANTS</w:t>
      </w:r>
      <w:bookmarkEnd w:id="1596"/>
      <w:bookmarkEnd w:id="1597"/>
      <w:bookmarkEnd w:id="1598"/>
      <w:bookmarkEnd w:id="1599"/>
    </w:p>
    <w:p w14:paraId="2F70BCA2" w14:textId="0D51FD1F" w:rsidR="00F46C7B" w:rsidRPr="00C73365" w:rsidRDefault="00F46C7B" w:rsidP="008D252A">
      <w:pPr>
        <w:pStyle w:val="ConmainL2"/>
        <w:numPr>
          <w:ilvl w:val="1"/>
          <w:numId w:val="9"/>
        </w:numPr>
        <w:rPr>
          <w:rFonts w:asciiTheme="minorHAnsi" w:hAnsiTheme="minorHAnsi" w:cstheme="minorHAnsi"/>
          <w:sz w:val="22"/>
          <w:lang w:val="fr-FR"/>
        </w:rPr>
      </w:pPr>
      <w:bookmarkStart w:id="1600" w:name="_Toc462673307"/>
      <w:bookmarkStart w:id="1601" w:name="_Toc467835656"/>
      <w:bookmarkStart w:id="1602" w:name="_Toc510548489"/>
      <w:r w:rsidRPr="00C73365">
        <w:rPr>
          <w:rFonts w:asciiTheme="minorHAnsi" w:hAnsiTheme="minorHAnsi" w:cstheme="minorHAnsi"/>
          <w:sz w:val="22"/>
          <w:lang w:val="fr-FR"/>
        </w:rPr>
        <w:t>Contrats de collaboration et de recherche et développement</w:t>
      </w:r>
      <w:bookmarkEnd w:id="1600"/>
      <w:bookmarkEnd w:id="1601"/>
      <w:bookmarkEnd w:id="1602"/>
    </w:p>
    <w:p w14:paraId="13016A72" w14:textId="77777777" w:rsidR="00F46C7B" w:rsidRPr="00C73365" w:rsidRDefault="00F46C7B" w:rsidP="004572A0">
      <w:pPr>
        <w:pStyle w:val="Listecontinue2"/>
        <w:rPr>
          <w:rFonts w:asciiTheme="minorHAnsi" w:hAnsiTheme="minorHAnsi" w:cstheme="minorHAnsi"/>
          <w:lang w:val="fr-FR"/>
        </w:rPr>
        <w:sectPr w:rsidR="00F46C7B" w:rsidRPr="00C73365" w:rsidSect="007C607C">
          <w:headerReference w:type="even" r:id="rId90"/>
          <w:footerReference w:type="even" r:id="rId91"/>
          <w:pgSz w:w="11907" w:h="16840" w:code="9"/>
          <w:pgMar w:top="1134" w:right="1134" w:bottom="1134" w:left="1134" w:header="709" w:footer="709" w:gutter="0"/>
          <w:cols w:space="708"/>
          <w:docGrid w:linePitch="360"/>
        </w:sectPr>
      </w:pPr>
    </w:p>
    <w:p w14:paraId="385D57DA" w14:textId="77777777" w:rsidR="00F46C7B" w:rsidRPr="00C73365" w:rsidRDefault="00F46C7B" w:rsidP="004572A0">
      <w:pPr>
        <w:pStyle w:val="Listecontinue2"/>
        <w:rPr>
          <w:rFonts w:asciiTheme="minorHAnsi" w:hAnsiTheme="minorHAnsi" w:cstheme="minorHAnsi"/>
          <w:lang w:val="fr-FR"/>
        </w:rPr>
      </w:pPr>
      <w:r w:rsidRPr="00C73365">
        <w:rPr>
          <w:rFonts w:asciiTheme="minorHAnsi" w:hAnsiTheme="minorHAnsi" w:cstheme="minorHAnsi"/>
          <w:lang w:val="fr-FR"/>
        </w:rPr>
        <w:t>Les contrats les plus importants liés aux accords de collaboration, de recherche et développement ainsi que les contrats de licences sont listés et décrits au paragraphe 11.3 « Contrats de collaboration, de recherches, de prestations de service et de licences accordés par la Société ou concédés à cette dernière » du présent document de référence.</w:t>
      </w:r>
    </w:p>
    <w:p w14:paraId="70002820" w14:textId="77777777" w:rsidR="00F46C7B" w:rsidRPr="00C73365" w:rsidRDefault="00F46C7B" w:rsidP="004572A0">
      <w:pPr>
        <w:pStyle w:val="Liste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14:paraId="51103CF9" w14:textId="77777777" w:rsidR="00F46C7B" w:rsidRPr="00C73365" w:rsidRDefault="00F46C7B" w:rsidP="009E5FDD">
      <w:pPr>
        <w:pStyle w:val="ConmainL2"/>
        <w:numPr>
          <w:ilvl w:val="1"/>
          <w:numId w:val="9"/>
        </w:numPr>
        <w:rPr>
          <w:rFonts w:asciiTheme="minorHAnsi" w:hAnsiTheme="minorHAnsi" w:cstheme="minorHAnsi"/>
          <w:sz w:val="22"/>
          <w:lang w:val="fr-FR"/>
        </w:rPr>
      </w:pPr>
      <w:bookmarkStart w:id="1603" w:name="_Toc460341075"/>
      <w:bookmarkStart w:id="1604" w:name="_Toc460341076"/>
      <w:bookmarkStart w:id="1605" w:name="_Toc460341077"/>
      <w:bookmarkStart w:id="1606" w:name="_Toc462673309"/>
      <w:bookmarkStart w:id="1607" w:name="_Toc467835658"/>
      <w:bookmarkStart w:id="1608" w:name="_Toc510548490"/>
      <w:bookmarkEnd w:id="1603"/>
      <w:bookmarkEnd w:id="1604"/>
      <w:bookmarkEnd w:id="1605"/>
      <w:r w:rsidRPr="00C73365">
        <w:rPr>
          <w:rFonts w:asciiTheme="minorHAnsi" w:hAnsiTheme="minorHAnsi" w:cstheme="minorHAnsi"/>
          <w:sz w:val="22"/>
          <w:lang w:val="fr-FR"/>
        </w:rPr>
        <w:t>Contrats de prestations de services et de mandat avec des « Clinical Research Organisation » (CRO), des laboratoires centralisés et des logisticiens cliniques</w:t>
      </w:r>
      <w:bookmarkEnd w:id="1606"/>
      <w:bookmarkEnd w:id="1607"/>
      <w:bookmarkEnd w:id="1608"/>
    </w:p>
    <w:p w14:paraId="77000547" w14:textId="77777777" w:rsidR="00F46C7B" w:rsidRPr="00131ABF" w:rsidRDefault="00F46C7B"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ABX464</w:t>
      </w:r>
    </w:p>
    <w:p w14:paraId="56D7796A" w14:textId="77777777" w:rsidR="006035D0" w:rsidRPr="00C73365" w:rsidRDefault="006035D0" w:rsidP="006035D0">
      <w:pPr>
        <w:rPr>
          <w:lang w:val="fr-FR"/>
        </w:rPr>
      </w:pPr>
    </w:p>
    <w:p w14:paraId="2359C4D5" w14:textId="77777777" w:rsidR="00F46C7B" w:rsidRPr="00C73365" w:rsidRDefault="00F46C7B" w:rsidP="004572A0">
      <w:pPr>
        <w:pStyle w:val="Retraitcorpsdetext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14:paraId="45E0D361" w14:textId="77777777" w:rsidR="00A112A0" w:rsidRPr="00C73365" w:rsidRDefault="00A112A0" w:rsidP="00434C49">
      <w:pPr>
        <w:pStyle w:val="Paragraphedeliste"/>
        <w:numPr>
          <w:ilvl w:val="0"/>
          <w:numId w:val="54"/>
        </w:numPr>
        <w:spacing w:after="0"/>
        <w:rPr>
          <w:rFonts w:asciiTheme="minorHAnsi" w:hAnsiTheme="minorHAnsi" w:cstheme="minorHAnsi"/>
          <w:lang w:val="fr-FR"/>
        </w:rPr>
      </w:pPr>
      <w:r w:rsidRPr="00C73365">
        <w:rPr>
          <w:rFonts w:asciiTheme="minorHAnsi" w:hAnsiTheme="minorHAnsi" w:cstheme="minorHAnsi"/>
          <w:lang w:val="fr-FR"/>
        </w:rPr>
        <w:t>Contrats de Fabrication</w:t>
      </w:r>
    </w:p>
    <w:p w14:paraId="5D1A0C53"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sous-traite auprès de PCAS la synthèse, la production et libération du principe actif du composé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Cette production est pour les études cliniques à venir avec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Le contrat a été signé le 16 mars 2016 pour une durée de 5 ans.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réserve le droit de reporter ou de résilier toutes prestations à tout moment, sous réserve du paiement des prestations réalisées et des frais non révocables.</w:t>
      </w:r>
    </w:p>
    <w:p w14:paraId="4B57AF0F"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sous-traite auprès de Delpharm la « mise en gélule » de ce principe actif, produit par PCAS, dans le cadre des essais à venir avec </w:t>
      </w:r>
      <w:r w:rsidR="00E32CFE" w:rsidRPr="00C73365">
        <w:rPr>
          <w:rFonts w:asciiTheme="minorHAnsi" w:hAnsiTheme="minorHAnsi" w:cstheme="minorHAnsi"/>
          <w:lang w:val="fr-FR"/>
        </w:rPr>
        <w:t>ABX464</w:t>
      </w:r>
      <w:r w:rsidRPr="00C73365">
        <w:rPr>
          <w:rFonts w:asciiTheme="minorHAnsi" w:hAnsiTheme="minorHAnsi" w:cstheme="minorHAnsi"/>
          <w:lang w:val="fr-FR"/>
        </w:rPr>
        <w:t>, pour l’instant sous forme de commandes signées respectivement les 10 mars 2016 et 4 juillet 2016.</w:t>
      </w:r>
    </w:p>
    <w:p w14:paraId="7DE3A34B" w14:textId="77777777" w:rsidR="00A112A0" w:rsidRPr="00C73365" w:rsidRDefault="00A112A0" w:rsidP="00434C49">
      <w:pPr>
        <w:pStyle w:val="Paragraphedeliste"/>
        <w:numPr>
          <w:ilvl w:val="0"/>
          <w:numId w:val="54"/>
        </w:numPr>
        <w:spacing w:after="0"/>
        <w:rPr>
          <w:rFonts w:asciiTheme="minorHAnsi" w:hAnsiTheme="minorHAnsi" w:cstheme="minorHAnsi"/>
          <w:szCs w:val="18"/>
          <w:lang w:val="fr-FR"/>
        </w:rPr>
      </w:pPr>
      <w:r w:rsidRPr="00C73365">
        <w:rPr>
          <w:rFonts w:asciiTheme="minorHAnsi" w:hAnsiTheme="minorHAnsi" w:cstheme="minorHAnsi"/>
          <w:szCs w:val="18"/>
          <w:lang w:val="fr-FR"/>
        </w:rPr>
        <w:t>Contrats de développement clinique</w:t>
      </w:r>
    </w:p>
    <w:p w14:paraId="20FC7413"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ABX464-005</w:t>
      </w:r>
    </w:p>
    <w:p w14:paraId="0FFDD240"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s’est portée « promoteur » (au sens du code de la santé publique) d’une recherche biomédicale sur l’Homme relative au candidat médicament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et codifiée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-005. La conduite opérationnelle de cet essai clinique de sécurité, pharmacocinétique et pharmacodynamie est sous-traitées en Espagne auprès de la Fundacio Lluita contra la SIDA (« FLS ») en conformité avec les Bonnes Pratiques Cliniques et la réglementation applicable. Dans le cadre de cet essai clinique, les patients infectés par le VIH se verront administrer le candidat médicament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pendant 28 jours en combinaison avec leur traitement antirétroviral. Des biopsies rectales seront collectées à différents intervalles pour mesurer l</w:t>
      </w:r>
      <w:r w:rsidR="004572A0" w:rsidRPr="00C73365">
        <w:rPr>
          <w:rFonts w:asciiTheme="minorHAnsi" w:hAnsiTheme="minorHAnsi" w:cstheme="minorHAnsi"/>
          <w:lang w:val="fr-FR"/>
        </w:rPr>
        <w:t>’</w:t>
      </w:r>
      <w:r w:rsidRPr="00C73365">
        <w:rPr>
          <w:rFonts w:asciiTheme="minorHAnsi" w:hAnsiTheme="minorHAnsi" w:cstheme="minorHAnsi"/>
          <w:lang w:val="fr-FR"/>
        </w:rPr>
        <w:t>effet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sur les réservoirs du VIH qui se trouvent principalement dans les intestins. Cet essai clinique, qui sera menée à l</w:t>
      </w:r>
      <w:r w:rsidR="004572A0" w:rsidRPr="00C73365">
        <w:rPr>
          <w:rFonts w:asciiTheme="minorHAnsi" w:hAnsiTheme="minorHAnsi" w:cstheme="minorHAnsi"/>
          <w:lang w:val="fr-FR"/>
        </w:rPr>
        <w:t>’</w:t>
      </w:r>
      <w:r w:rsidRPr="00C73365">
        <w:rPr>
          <w:rFonts w:asciiTheme="minorHAnsi" w:hAnsiTheme="minorHAnsi" w:cstheme="minorHAnsi"/>
          <w:lang w:val="fr-FR"/>
        </w:rPr>
        <w:t>Hôpital Universitaire Germans Trias i Pujol à Badalona (Barcelone, Espagne), permettra de quantifier sur la durée la charge virale et le niveau d</w:t>
      </w:r>
      <w:r w:rsidR="004572A0" w:rsidRPr="00C73365">
        <w:rPr>
          <w:rFonts w:asciiTheme="minorHAnsi" w:hAnsiTheme="minorHAnsi" w:cstheme="minorHAnsi"/>
          <w:lang w:val="fr-FR"/>
        </w:rPr>
        <w:t>’</w:t>
      </w:r>
      <w:r w:rsidRPr="00C73365">
        <w:rPr>
          <w:rFonts w:asciiTheme="minorHAnsi" w:hAnsiTheme="minorHAnsi" w:cstheme="minorHAnsi"/>
          <w:lang w:val="fr-FR"/>
        </w:rPr>
        <w:t>inflammation dans le réservoir et ainsi de mieux comprendre l</w:t>
      </w:r>
      <w:r w:rsidR="004572A0" w:rsidRPr="00C73365">
        <w:rPr>
          <w:rFonts w:asciiTheme="minorHAnsi" w:hAnsiTheme="minorHAnsi" w:cstheme="minorHAnsi"/>
          <w:lang w:val="fr-FR"/>
        </w:rPr>
        <w:t>’</w:t>
      </w:r>
      <w:r w:rsidRPr="00C73365">
        <w:rPr>
          <w:rFonts w:asciiTheme="minorHAnsi" w:hAnsiTheme="minorHAnsi" w:cstheme="minorHAnsi"/>
          <w:lang w:val="fr-FR"/>
        </w:rPr>
        <w:t>efficacité durable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observée dans les modèles précliniques.</w:t>
      </w:r>
    </w:p>
    <w:p w14:paraId="17779075"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Ces prestations cliniques sont réalisées sous l’emprise d’un contrat de prestations de services (« Clinical Study Services Agreement ») entre la Société et FLS d’effet au 7 novembre 2016 et d’échéance à la validation des résultats et du rapport final de l’essai clinique précitée, intervenant au plus tard le 6 mai 2018. Nonobstant, certaines obligations, notamment celles à la charge du prestataire relatives à la propriété intellectuelle, à la confidentialité, au droit d’audit, à l’archivage et aux autres obligations réglementaires survivent à l’échéance ou la résiliation dudit contrat.</w:t>
      </w:r>
    </w:p>
    <w:p w14:paraId="60ED9C9D"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Au titre de ce contrat,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 suspendre ou interrompre l’essai clinique à tout moment. Dans ce cas,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au prestataire l</w:t>
      </w:r>
      <w:r w:rsidR="004572A0" w:rsidRPr="00C73365">
        <w:rPr>
          <w:rFonts w:asciiTheme="minorHAnsi" w:hAnsiTheme="minorHAnsi" w:cstheme="minorHAnsi"/>
          <w:lang w:val="fr-FR"/>
        </w:rPr>
        <w:t>’</w:t>
      </w:r>
      <w:r w:rsidRPr="00C73365">
        <w:rPr>
          <w:rFonts w:asciiTheme="minorHAnsi" w:hAnsiTheme="minorHAnsi" w:cstheme="minorHAnsi"/>
          <w:lang w:val="fr-FR"/>
        </w:rPr>
        <w:t>intégralité des prestations déjà réalisées ainsi que les coûts nécessaires à la clôture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essai clinique en coordination entre les Parties. Chacune des parties pourra également interrompre le contrat à tout moment en respectant un préavis de 10 jours en cas de faute de l’autre partie qui n’aurait été réparée dans ce délai. </w:t>
      </w:r>
    </w:p>
    <w:p w14:paraId="169E1126"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ABX464- 101</w:t>
      </w:r>
    </w:p>
    <w:p w14:paraId="490497AD"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ABX464-101 est une étude clinique de preuve de concept de phase 2a dont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s’est portée « promoteur » (au sens du code de la santé publique) et visant à évaluer l</w:t>
      </w:r>
      <w:r w:rsidR="004572A0" w:rsidRPr="00C73365">
        <w:rPr>
          <w:rFonts w:asciiTheme="minorHAnsi" w:hAnsiTheme="minorHAnsi" w:cstheme="minorHAnsi"/>
          <w:lang w:val="fr-FR"/>
        </w:rPr>
        <w:t>’</w:t>
      </w:r>
      <w:r w:rsidRPr="00C73365">
        <w:rPr>
          <w:rFonts w:asciiTheme="minorHAnsi" w:hAnsiTheme="minorHAnsi" w:cstheme="minorHAnsi"/>
          <w:lang w:val="fr-FR"/>
        </w:rPr>
        <w:t>innocuité et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efficacité d’une dose quotidienne d’ABX464 50 mg par rapport à un placebo, chez des patients atteints de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modérée à sévère qui ont développé une intolérance ou n’ont pas répondu aux traitements immunomodulateurs, anti-TNFα, vedolizumab et/ou corticostéroïdes. </w:t>
      </w:r>
    </w:p>
    <w:p w14:paraId="503B9C84"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conduite opérationnelle de cette étude est sous-traitée à Orion Santé SARL. Un contrat cadre (« Master Services Agreement ») a été conclu le 25 mai 2016 à cet effet pour une durée de trois ans (prolongée, le cas échéant, à la clôture effective de toute prestation convenue antérieurement à l’échéance du contrat cadre). Un contrat d’application (« Work </w:t>
      </w:r>
      <w:r w:rsidRPr="00C73365">
        <w:rPr>
          <w:rFonts w:asciiTheme="minorHAnsi" w:hAnsiTheme="minorHAnsi" w:cstheme="minorHAnsi"/>
          <w:lang w:val="fr-FR"/>
        </w:rPr>
        <w:lastRenderedPageBreak/>
        <w:t xml:space="preserve">Order ») a été initié le 22 août 2017pour la durée de l’essai.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 suspendre ou interrompre l’essai. Dans ce cas,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au prestataire l’intégralité des prestations déjà réalisées à la date de la notification de l’interruption de l’essai ainsi que les coûts nécessaires à la clôture de l’essai. Chacune des parties pourra également suspendre ou interrompre le contrat cadre et/ou toute prestation à tout moment en respectant un préavis de 3 mois.</w:t>
      </w:r>
    </w:p>
    <w:p w14:paraId="19F05789"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a sous-traité auprès de Bioclinica des prestations de services et de conseil notamment de suivi d’acquisition, de revue et d’analyse d’imagerie médicale à cet effet. Afin de couvrir lesdites prestations, un contrat cadre de prestations de services (« General Services Agreement ») d’effet au 28 août 2017 a été conclu pour la durée de l’essai clinique. </w:t>
      </w:r>
    </w:p>
    <w:p w14:paraId="345AE59B"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Chacune des parties pourra suspendre ou interrompre les prestations ou le contrat dans son ensemble avec un préavis de trente (30) jours que ce soit pour cause ou sans cause. Dans l’hypothèse d’une résiliation sans cause de la part d’</w:t>
      </w:r>
      <w:r w:rsidR="00EF089C" w:rsidRPr="00C73365">
        <w:rPr>
          <w:rFonts w:asciiTheme="minorHAnsi" w:hAnsiTheme="minorHAnsi" w:cstheme="minorHAnsi"/>
          <w:lang w:val="fr-FR"/>
        </w:rPr>
        <w:t>ABIVAX</w:t>
      </w:r>
      <w:r w:rsidRPr="00C73365">
        <w:rPr>
          <w:rFonts w:asciiTheme="minorHAnsi" w:hAnsiTheme="minorHAnsi" w:cstheme="minorHAnsi"/>
          <w:lang w:val="fr-FR"/>
        </w:rPr>
        <w:t>, cette dernière devra au prestataire l’intégralité des prestations déjà réalisées à la date de la notification de l’interruption de l’essai, les frais non-révocables associés ainsi que, sous accord préalable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les coûts nécessaires à la clôture des prestations. </w:t>
      </w:r>
    </w:p>
    <w:p w14:paraId="1E27460D"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Sous l’emprise du contrat cadre (« Master Service Agreement ») passé avec EuroFins Medinet et d’effet au 3 novembre 2017 pour une durée de cinq (5) ans,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confié à cette dernière la conduite des analyses biologiques relatives à l’essai clinique.  Un contrat d’application (« Work Order ») couvrant ces prestations a été signé le 26 mai 2017 pour leur durée de réalisation. Aux termes du contrat cadre précité,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peut résilier l’ensemble de la relation contractuelle avec ou sans motif, sous réserve du respect d’un préavis de 15 jours. Elle peut également reporter ou résilier un contrat d’application en particulier, sous réserve du respect d’un préavis de 10 jours. Dans ce cas, Eurofins Medinet aurait droit au paiement de l’intégralité des prestations déjà réalisées à la date de la notification ainsi qu’au remboursement des autres frais non-révocables qui auraient déjà été engagés à cette date.</w:t>
      </w:r>
    </w:p>
    <w:p w14:paraId="63B712EC"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ABX464- 102</w:t>
      </w:r>
    </w:p>
    <w:p w14:paraId="015DDC67" w14:textId="77777777" w:rsidR="00A112A0" w:rsidRPr="00C73365" w:rsidRDefault="00A112A0"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ABX464-102 est une étude de suivi de 12 mois dont la société s’est portée « promoteur » (au sens du code de la santé publique) et menée en ouvert sur des patients atteints de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bénéficiant de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w:t>
      </w:r>
      <w:r w:rsidR="004572A0" w:rsidRPr="00C73365">
        <w:rPr>
          <w:rFonts w:asciiTheme="minorHAnsi" w:hAnsiTheme="minorHAnsi" w:cstheme="minorHAnsi"/>
          <w:lang w:val="fr-FR"/>
        </w:rPr>
        <w:t>’</w:t>
      </w:r>
      <w:r w:rsidRPr="00C73365">
        <w:rPr>
          <w:rFonts w:asciiTheme="minorHAnsi" w:hAnsiTheme="minorHAnsi" w:cstheme="minorHAnsi"/>
          <w:lang w:val="fr-FR"/>
        </w:rPr>
        <w:t>ABX464 dans l</w:t>
      </w:r>
      <w:r w:rsidR="004572A0" w:rsidRPr="00C73365">
        <w:rPr>
          <w:rFonts w:asciiTheme="minorHAnsi" w:hAnsiTheme="minorHAnsi" w:cstheme="minorHAnsi"/>
          <w:lang w:val="fr-FR"/>
        </w:rPr>
        <w:t>’</w:t>
      </w:r>
      <w:r w:rsidRPr="00C73365">
        <w:rPr>
          <w:rFonts w:asciiTheme="minorHAnsi" w:hAnsiTheme="minorHAnsi" w:cstheme="minorHAnsi"/>
          <w:lang w:val="fr-FR"/>
        </w:rPr>
        <w:t>étude ABX464-101.</w:t>
      </w:r>
    </w:p>
    <w:p w14:paraId="08DD07C7" w14:textId="77777777" w:rsidR="00A112A0" w:rsidRPr="00C73365" w:rsidRDefault="00A112A0" w:rsidP="00A96CCA">
      <w:pPr>
        <w:pStyle w:val="Paragraphedeliste"/>
        <w:spacing w:after="0"/>
        <w:ind w:left="0"/>
        <w:rPr>
          <w:rFonts w:asciiTheme="minorHAnsi" w:hAnsiTheme="minorHAnsi" w:cstheme="minorHAnsi"/>
          <w:szCs w:val="18"/>
          <w:lang w:val="fr-FR"/>
        </w:rPr>
      </w:pPr>
      <w:r w:rsidRPr="00C73365">
        <w:rPr>
          <w:rFonts w:asciiTheme="minorHAnsi" w:hAnsiTheme="minorHAnsi" w:cstheme="minorHAnsi"/>
          <w:szCs w:val="18"/>
          <w:lang w:val="fr-FR"/>
        </w:rPr>
        <w:t xml:space="preserve">La conduite opérationnelle de cette étude est sous-traitée à Orion Santé SARL. Un contrat cadre (« Master Services Agreement ») a été conclu le 25 mai 2016 à cet effet pour une durée de trois ans (prolongée, le cas échéant, à la clôture effective de toute prestation convenue antérieurement à l’échéance du contrat cadre).  Un contrat d’application (« Work Order ») a été initié le 22 août 2017pour la durée de l’essai.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pourra suspendre ou interrompre l’essai. Dans ce cas,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devra au prestataire l’intégralité des prestations déjà réalisées à la date de la notification de l’interruption de l’essai ainsi que les coûts nécessaires à la clôture de l’essai. Chacune des parties pourra également suspendre ou interrompre le contrat cadre et/ou toute prestation à tout moment en respectant un préavis de 3 mois.</w:t>
      </w:r>
    </w:p>
    <w:p w14:paraId="22802527" w14:textId="77777777" w:rsidR="00A112A0" w:rsidRPr="00131ABF" w:rsidRDefault="00F46C7B"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ABX544</w:t>
      </w:r>
    </w:p>
    <w:p w14:paraId="291E0F91" w14:textId="77777777" w:rsidR="00F46C7B" w:rsidRPr="00C73365" w:rsidRDefault="00F46C7B" w:rsidP="00A96CCA">
      <w:pPr>
        <w:pStyle w:val="ConmainL3"/>
        <w:keepNext w:val="0"/>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 xml:space="preserve">ExpreS²ion et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ont signé en date du 7 décembre 2016 un accord de service sur le processus de développement ainsi qu’un descriptif des modalités d’un accord de licence pour la plateforme d’ExpreS²ion pour </w:t>
      </w:r>
      <w:r w:rsidR="00E32CFE" w:rsidRPr="00C73365">
        <w:rPr>
          <w:rFonts w:asciiTheme="minorHAnsi" w:hAnsiTheme="minorHAnsi" w:cstheme="minorHAnsi"/>
          <w:szCs w:val="18"/>
          <w:lang w:val="fr-FR"/>
        </w:rPr>
        <w:t>ABX544</w:t>
      </w:r>
      <w:r w:rsidRPr="00C73365">
        <w:rPr>
          <w:rFonts w:asciiTheme="minorHAnsi" w:hAnsiTheme="minorHAnsi" w:cstheme="minorHAnsi"/>
          <w:szCs w:val="18"/>
          <w:lang w:val="fr-FR"/>
        </w:rPr>
        <w:t xml:space="preserve"> qui spécifie les modalités et conditions d’une licence commerciale sur la plateforme technologique propriétaire d’ExpreS2ion, </w:t>
      </w:r>
    </w:p>
    <w:p w14:paraId="0147E6F6" w14:textId="77777777" w:rsidR="00F46C7B" w:rsidRPr="00C73365" w:rsidRDefault="00F46C7B" w:rsidP="00A96CCA">
      <w:pPr>
        <w:pStyle w:val="ConmainL3"/>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Selon les termes de l’accord de service, ExpreS²ion développera le processus de la production BPF d’un antigène du virus Ebola nécessaire à la production d’</w:t>
      </w:r>
      <w:r w:rsidR="00E32CFE" w:rsidRPr="00C73365">
        <w:rPr>
          <w:rFonts w:asciiTheme="minorHAnsi" w:hAnsiTheme="minorHAnsi" w:cstheme="minorHAnsi"/>
          <w:szCs w:val="18"/>
          <w:lang w:val="fr-FR"/>
        </w:rPr>
        <w:t>ABX544</w:t>
      </w:r>
      <w:r w:rsidRPr="00C73365">
        <w:rPr>
          <w:rFonts w:asciiTheme="minorHAnsi" w:hAnsiTheme="minorHAnsi" w:cstheme="minorHAnsi"/>
          <w:szCs w:val="18"/>
          <w:lang w:val="fr-FR"/>
        </w:rPr>
        <w:t xml:space="preserve">. </w:t>
      </w:r>
    </w:p>
    <w:p w14:paraId="3E742CD1" w14:textId="77777777" w:rsidR="00FE5FB1" w:rsidRPr="00C73365" w:rsidRDefault="00F46C7B" w:rsidP="00A96CCA">
      <w:pPr>
        <w:pStyle w:val="ConmainL3"/>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 xml:space="preserve">L’accord de licence correspondant </w:t>
      </w:r>
      <w:r w:rsidR="009F7082" w:rsidRPr="00C73365">
        <w:rPr>
          <w:rFonts w:asciiTheme="minorHAnsi" w:hAnsiTheme="minorHAnsi" w:cstheme="minorHAnsi"/>
          <w:szCs w:val="18"/>
          <w:lang w:val="fr-FR"/>
        </w:rPr>
        <w:t>a été signé.</w:t>
      </w:r>
      <w:r w:rsidRPr="00C73365">
        <w:rPr>
          <w:rFonts w:asciiTheme="minorHAnsi" w:hAnsiTheme="minorHAnsi" w:cstheme="minorHAnsi"/>
          <w:szCs w:val="18"/>
          <w:lang w:val="fr-FR"/>
        </w:rPr>
        <w:t xml:space="preserve"> </w:t>
      </w:r>
    </w:p>
    <w:p w14:paraId="09E82E07" w14:textId="77777777" w:rsidR="00FC5DE4" w:rsidRPr="00131ABF" w:rsidRDefault="00FC5DE4"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ABX196</w:t>
      </w:r>
    </w:p>
    <w:p w14:paraId="2B3A6C94" w14:textId="77777777" w:rsidR="007D1D8D" w:rsidRPr="00C73365" w:rsidRDefault="007D1D8D"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Des travaux d’optimisation et de modification des procédés de fabrication du produit et la synthèse de la matière de départ du produit sous Bonnes Pratiques de Fabrication ont été sous-traités à la société Dextra par l’intermédiaire de bons de commande contresignés par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14:paraId="7B643FC8" w14:textId="77777777" w:rsidR="00FC5DE4" w:rsidRPr="00131ABF" w:rsidRDefault="00D10EEF"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C</w:t>
      </w:r>
      <w:r w:rsidR="00FC5DE4" w:rsidRPr="00131ABF">
        <w:rPr>
          <w:rFonts w:asciiTheme="minorHAnsi" w:hAnsiTheme="minorHAnsi" w:cstheme="minorHAnsi"/>
          <w:b/>
          <w:color w:val="7030A0"/>
          <w:lang w:val="fr-FR"/>
        </w:rPr>
        <w:t>ontrats concernant la recherche</w:t>
      </w:r>
    </w:p>
    <w:p w14:paraId="4FEFC993" w14:textId="77777777" w:rsidR="007D1D8D" w:rsidRPr="00C73365" w:rsidRDefault="007D1D8D" w:rsidP="004572A0">
      <w:pPr>
        <w:pStyle w:val="Corpsdetexte"/>
        <w:rPr>
          <w:rFonts w:asciiTheme="minorHAnsi" w:hAnsiTheme="minorHAnsi" w:cstheme="minorHAnsi"/>
          <w:lang w:val="fr-FR"/>
        </w:rPr>
      </w:pPr>
      <w:r w:rsidRPr="00C73365">
        <w:rPr>
          <w:rFonts w:asciiTheme="minorHAnsi" w:hAnsiTheme="minorHAnsi" w:cstheme="minorHAnsi"/>
          <w:lang w:val="fr-FR"/>
        </w:rPr>
        <w:t>La plateforme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basée sur une technologie visant à inhiber la biogenèse d’ARNm et sa chimiothèque composée de plus de 1</w:t>
      </w:r>
      <w:r w:rsidR="006035D0">
        <w:rPr>
          <w:rFonts w:asciiTheme="minorHAnsi" w:hAnsiTheme="minorHAnsi" w:cstheme="minorHAnsi"/>
          <w:lang w:val="fr-FR"/>
        </w:rPr>
        <w:t>2</w:t>
      </w:r>
      <w:r w:rsidRPr="00C73365">
        <w:rPr>
          <w:rFonts w:asciiTheme="minorHAnsi" w:hAnsiTheme="minorHAnsi" w:cstheme="minorHAnsi"/>
          <w:lang w:val="fr-FR"/>
        </w:rPr>
        <w:t xml:space="preserve">00 petites molécules. </w:t>
      </w:r>
    </w:p>
    <w:p w14:paraId="3D14F83A" w14:textId="77777777" w:rsidR="007D1D8D" w:rsidRPr="00C73365" w:rsidRDefault="007D1D8D"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collaboration entre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Evotec vise à accélérer de manière efficace la découverte et le développement préliminaire de petites molécules. La société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identifie les cibles et assure l’identification initiale de candidats médicaments ; la société Evotec s’appuie sur sa plateforme industrielle de pointe en matière de découverte de médicaments en optimisant les candidats médicaments et en menant des études préliminaires. Les cibles d’infections </w:t>
      </w:r>
      <w:r w:rsidRPr="00C73365">
        <w:rPr>
          <w:rFonts w:asciiTheme="minorHAnsi" w:hAnsiTheme="minorHAnsi" w:cstheme="minorHAnsi"/>
          <w:lang w:val="fr-FR"/>
        </w:rPr>
        <w:lastRenderedPageBreak/>
        <w:t xml:space="preserve">virales causées par le VRS, la grippe et la dengue ont déjà été identifiées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font actuellement l’objet d’évaluations en vue de prochains développements dans le cadre de ce partenariat.</w:t>
      </w:r>
    </w:p>
    <w:p w14:paraId="68838B28" w14:textId="77777777" w:rsidR="007D1D8D"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7D1D8D" w:rsidRPr="00C73365">
        <w:rPr>
          <w:rFonts w:asciiTheme="minorHAnsi" w:hAnsiTheme="minorHAnsi" w:cstheme="minorHAnsi"/>
          <w:lang w:val="fr-FR"/>
        </w:rPr>
        <w:t xml:space="preserve"> mène des études d’identification de nouvelles cibles ainsi que des études pharmacologiques in vitro et in vivo. Evotec dirige les travaux de recherche sur la conception et l’implémentation de la chimie médicinale, la pharmacologie, l’ADME (absorption, distribution, métabolisme et excrétion) ainsi que sur la chimie computationnelle, les modes d’action et l’identification des cibles moléculaires.</w:t>
      </w:r>
    </w:p>
    <w:p w14:paraId="197E5F51" w14:textId="77777777" w:rsidR="007D1D8D" w:rsidRPr="00C73365" w:rsidRDefault="007D1D8D"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Les droits commerciaux de candidats médicaments issus de cette collaboration seront détenus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Ce partenariat sera, en partie, soutenu par le financement obtenu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janvier 2017 dans le cadre de l’appel à projets « Projets de R&amp;D Structurants Pour la Compétitivité » (PSPC) du Programme d’Investissement d’Avenir (PIA). Le programme est piloté par le Commissariat Général de l’Investissement et opéré par </w:t>
      </w:r>
      <w:r w:rsidR="001479F8">
        <w:rPr>
          <w:rFonts w:asciiTheme="minorHAnsi" w:hAnsiTheme="minorHAnsi" w:cstheme="minorHAnsi"/>
          <w:lang w:val="fr-FR"/>
        </w:rPr>
        <w:t>Bpifrance</w:t>
      </w:r>
      <w:r w:rsidRPr="00C73365">
        <w:rPr>
          <w:rFonts w:asciiTheme="minorHAnsi" w:hAnsiTheme="minorHAnsi" w:cstheme="minorHAnsi"/>
          <w:lang w:val="fr-FR"/>
        </w:rPr>
        <w:t>.</w:t>
      </w:r>
    </w:p>
    <w:p w14:paraId="201B5B7A" w14:textId="77777777" w:rsidR="00F46C7B" w:rsidRPr="00C73365" w:rsidRDefault="00F46C7B" w:rsidP="009E5FDD">
      <w:pPr>
        <w:pStyle w:val="ConmainL2"/>
        <w:numPr>
          <w:ilvl w:val="1"/>
          <w:numId w:val="9"/>
        </w:numPr>
        <w:rPr>
          <w:rFonts w:asciiTheme="minorHAnsi" w:hAnsiTheme="minorHAnsi" w:cstheme="minorHAnsi"/>
          <w:sz w:val="22"/>
          <w:lang w:val="fr-FR"/>
        </w:rPr>
      </w:pPr>
      <w:bookmarkStart w:id="1609" w:name="_Toc462673310"/>
      <w:bookmarkStart w:id="1610" w:name="_Toc467835659"/>
      <w:bookmarkStart w:id="1611" w:name="_Toc510548491"/>
      <w:r w:rsidRPr="00C73365">
        <w:rPr>
          <w:rFonts w:asciiTheme="minorHAnsi" w:hAnsiTheme="minorHAnsi" w:cstheme="minorHAnsi"/>
          <w:sz w:val="22"/>
          <w:lang w:val="fr-FR"/>
        </w:rPr>
        <w:t>Contrat de cession de marque</w:t>
      </w:r>
      <w:bookmarkEnd w:id="1609"/>
      <w:bookmarkEnd w:id="1610"/>
      <w:bookmarkEnd w:id="1611"/>
    </w:p>
    <w:p w14:paraId="549121DF" w14:textId="77777777" w:rsidR="00F46C7B" w:rsidRPr="00C73365" w:rsidRDefault="00F46C7B" w:rsidP="004572A0">
      <w:pPr>
        <w:pStyle w:val="Listecontinu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14:paraId="5ECD5DF3" w14:textId="77777777" w:rsidR="00F46C7B" w:rsidRPr="00C73365" w:rsidRDefault="00F46C7B" w:rsidP="006035D0">
      <w:pPr>
        <w:rPr>
          <w:lang w:val="fr-FR"/>
        </w:rPr>
        <w:sectPr w:rsidR="00F46C7B" w:rsidRPr="00C73365" w:rsidSect="007C607C">
          <w:type w:val="continuous"/>
          <w:pgSz w:w="11907" w:h="16840" w:code="9"/>
          <w:pgMar w:top="1134" w:right="1134" w:bottom="1134" w:left="1134" w:header="709" w:footer="709" w:gutter="0"/>
          <w:cols w:space="567"/>
          <w:docGrid w:linePitch="360"/>
        </w:sectPr>
      </w:pPr>
      <w:r w:rsidRPr="00C93577">
        <w:rPr>
          <w:lang w:val="fr-FR"/>
        </w:rPr>
        <w:t xml:space="preserve">Un contrat de cession de marque a été conclu avec effet en date du 23 février 2015 avec Truffle Capital aux termes duquel Truffle Capital cède à </w:t>
      </w:r>
      <w:r w:rsidR="00EF089C" w:rsidRPr="00C93577">
        <w:rPr>
          <w:lang w:val="fr-FR"/>
        </w:rPr>
        <w:t>ABIVAX</w:t>
      </w:r>
      <w:r w:rsidRPr="00C93577">
        <w:rPr>
          <w:lang w:val="fr-FR"/>
        </w:rPr>
        <w:t xml:space="preserve"> tous les droits de propriété et de jouissance attachés à la marque française </w:t>
      </w:r>
      <w:r w:rsidR="00EF089C" w:rsidRPr="00C93577">
        <w:rPr>
          <w:lang w:val="fr-FR"/>
        </w:rPr>
        <w:t>ABIVAX</w:t>
      </w:r>
      <w:r w:rsidRPr="00C93577">
        <w:rPr>
          <w:lang w:val="fr-FR"/>
        </w:rPr>
        <w:t>,  enregistrée sous le numéro FR 13 4 043 749, déposée le 30 octobre 2013 en classe 5 pour les produits suivants : « Produits pharmaceutiques et vétérinaires ; produits hygiéniques pour la médecine ; préparations chimiques à usage médical ou pharmaceutique ; parasiticides », tous les droits de poursuite judiciaire pour les actes de contrefaçon non prescrits à la date d’effet de la cession ainsi que le droit de priorité issu de la convention d’union de Paris attaché à cette marque</w:t>
      </w:r>
      <w:r w:rsidRPr="00C73365">
        <w:rPr>
          <w:lang w:val="fr-FR"/>
        </w:rPr>
        <w:t>.</w:t>
      </w:r>
    </w:p>
    <w:p w14:paraId="079A0960" w14:textId="77777777" w:rsidR="0094169B" w:rsidRPr="00C73365" w:rsidRDefault="0094169B">
      <w:pPr>
        <w:spacing w:after="160" w:line="259" w:lineRule="auto"/>
        <w:rPr>
          <w:rFonts w:asciiTheme="minorHAnsi" w:hAnsiTheme="minorHAnsi" w:cstheme="minorHAnsi"/>
          <w:b/>
          <w:sz w:val="22"/>
          <w:szCs w:val="20"/>
          <w:lang w:val="fr-FR"/>
        </w:rPr>
      </w:pPr>
      <w:bookmarkStart w:id="1612" w:name="_Toc462673311"/>
      <w:bookmarkStart w:id="1613" w:name="_Toc467835660"/>
      <w:r w:rsidRPr="00C73365">
        <w:rPr>
          <w:rFonts w:asciiTheme="minorHAnsi" w:hAnsiTheme="minorHAnsi" w:cstheme="minorHAnsi"/>
          <w:sz w:val="22"/>
          <w:lang w:val="fr-FR"/>
        </w:rPr>
        <w:br w:type="page"/>
      </w:r>
    </w:p>
    <w:p w14:paraId="3B66500A" w14:textId="77777777" w:rsidR="00F46C7B" w:rsidRPr="00C73365" w:rsidRDefault="00F46C7B" w:rsidP="009E5FDD">
      <w:pPr>
        <w:pStyle w:val="ConmainL2"/>
        <w:numPr>
          <w:ilvl w:val="1"/>
          <w:numId w:val="9"/>
        </w:numPr>
        <w:rPr>
          <w:rFonts w:asciiTheme="minorHAnsi" w:hAnsiTheme="minorHAnsi" w:cstheme="minorHAnsi"/>
          <w:sz w:val="22"/>
          <w:lang w:val="fr-FR"/>
        </w:rPr>
      </w:pPr>
      <w:bookmarkStart w:id="1614" w:name="_Toc510548492"/>
      <w:r w:rsidRPr="00C73365">
        <w:rPr>
          <w:rFonts w:asciiTheme="minorHAnsi" w:hAnsiTheme="minorHAnsi" w:cstheme="minorHAnsi"/>
          <w:sz w:val="22"/>
          <w:lang w:val="fr-FR"/>
        </w:rPr>
        <w:lastRenderedPageBreak/>
        <w:t xml:space="preserve">Contrats d’aide </w:t>
      </w:r>
      <w:r w:rsidR="001479F8">
        <w:rPr>
          <w:rFonts w:asciiTheme="minorHAnsi" w:hAnsiTheme="minorHAnsi" w:cstheme="minorHAnsi"/>
          <w:sz w:val="22"/>
          <w:lang w:val="fr-FR"/>
        </w:rPr>
        <w:t>Bpifrance</w:t>
      </w:r>
      <w:r w:rsidRPr="00C73365">
        <w:rPr>
          <w:rFonts w:asciiTheme="minorHAnsi" w:hAnsiTheme="minorHAnsi" w:cstheme="minorHAnsi"/>
          <w:sz w:val="22"/>
          <w:lang w:val="fr-FR"/>
        </w:rPr>
        <w:t xml:space="preserve"> (subventions et/ou avances remboursables)</w:t>
      </w:r>
      <w:bookmarkEnd w:id="1612"/>
      <w:bookmarkEnd w:id="1613"/>
      <w:bookmarkEnd w:id="1614"/>
      <w:r w:rsidRPr="00C73365">
        <w:rPr>
          <w:rFonts w:asciiTheme="minorHAnsi" w:hAnsiTheme="minorHAnsi" w:cstheme="minorHAnsi"/>
          <w:sz w:val="22"/>
          <w:lang w:val="fr-FR"/>
        </w:rPr>
        <w:t xml:space="preserve"> </w:t>
      </w:r>
    </w:p>
    <w:p w14:paraId="5F1950E5" w14:textId="77777777"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d’aide à l’innovation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conjointe sur fonds FEDER (A 10 06 002G) (Produit </w:t>
      </w:r>
      <w:r w:rsidR="00E32CFE" w:rsidRPr="00C73365">
        <w:rPr>
          <w:rFonts w:asciiTheme="minorHAnsi" w:hAnsiTheme="minorHAnsi" w:cstheme="minorHAnsi"/>
          <w:b/>
          <w:color w:val="7030A0"/>
          <w:lang w:val="fr-FR"/>
        </w:rPr>
        <w:t>ABX196</w:t>
      </w:r>
      <w:r w:rsidRPr="00C73365">
        <w:rPr>
          <w:rFonts w:asciiTheme="minorHAnsi" w:hAnsiTheme="minorHAnsi" w:cstheme="minorHAnsi"/>
          <w:b/>
          <w:color w:val="7030A0"/>
          <w:lang w:val="fr-FR"/>
        </w:rPr>
        <w:t>)</w:t>
      </w:r>
    </w:p>
    <w:p w14:paraId="6941430C" w14:textId="77777777" w:rsidR="0094169B" w:rsidRPr="00C73365" w:rsidRDefault="0094169B" w:rsidP="00A96CCA">
      <w:pPr>
        <w:spacing w:after="0"/>
        <w:rPr>
          <w:rFonts w:asciiTheme="minorHAnsi" w:hAnsiTheme="minorHAnsi" w:cstheme="minorHAnsi"/>
          <w:lang w:val="fr-FR"/>
        </w:rPr>
      </w:pPr>
    </w:p>
    <w:p w14:paraId="07B605BE"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WITTYCELL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juillet 2014) et </w:t>
      </w:r>
      <w:r w:rsidR="001479F8">
        <w:rPr>
          <w:rFonts w:asciiTheme="minorHAnsi" w:hAnsiTheme="minorHAnsi" w:cstheme="minorHAnsi"/>
          <w:lang w:val="fr-FR"/>
        </w:rPr>
        <w:t>Bpifrance</w:t>
      </w:r>
      <w:r w:rsidRPr="00C73365">
        <w:rPr>
          <w:rFonts w:asciiTheme="minorHAnsi" w:hAnsiTheme="minorHAnsi" w:cstheme="minorHAnsi"/>
          <w:lang w:val="fr-FR"/>
        </w:rPr>
        <w:t xml:space="preserve"> ont conclu en date du 3 décembre 2010 un contrat d’aide à l’innovation conjointement à une aide sur fonds FEDER pour un montant de 800.000 euros dans le cadre du développement de nouveaux adjuvants vaccinaux.</w:t>
      </w:r>
    </w:p>
    <w:p w14:paraId="6D07107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La Société a perçu l’intégralité de l’aide à l’innovation octroyée par </w:t>
      </w:r>
      <w:r w:rsidR="001479F8">
        <w:rPr>
          <w:rFonts w:asciiTheme="minorHAnsi" w:hAnsiTheme="minorHAnsi" w:cstheme="minorHAnsi"/>
          <w:lang w:val="fr-FR"/>
        </w:rPr>
        <w:t>Bpifrance</w:t>
      </w:r>
      <w:r w:rsidRPr="00C73365">
        <w:rPr>
          <w:rFonts w:asciiTheme="minorHAnsi" w:hAnsiTheme="minorHAnsi" w:cstheme="minorHAnsi"/>
          <w:lang w:val="fr-FR"/>
        </w:rPr>
        <w:t xml:space="preserve"> conjointement à l’aide sur fonds FEDER.</w:t>
      </w:r>
    </w:p>
    <w:p w14:paraId="430F287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Dans le cadre d’un avenant au contrat conclu en date du 3 novembre 2014, un </w:t>
      </w:r>
      <w:r w:rsidR="000E5435" w:rsidRPr="00C73365">
        <w:rPr>
          <w:rFonts w:asciiTheme="minorHAnsi" w:hAnsiTheme="minorHAnsi" w:cstheme="minorHAnsi"/>
          <w:lang w:val="fr-FR"/>
        </w:rPr>
        <w:t>premier r</w:t>
      </w:r>
      <w:r w:rsidRPr="00C73365">
        <w:rPr>
          <w:rFonts w:asciiTheme="minorHAnsi" w:hAnsiTheme="minorHAnsi" w:cstheme="minorHAnsi"/>
          <w:lang w:val="fr-FR"/>
        </w:rPr>
        <w:t xml:space="preserve">eport d’échéances a été accordé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0E5435" w:rsidRPr="00C73365">
        <w:rPr>
          <w:rFonts w:asciiTheme="minorHAnsi" w:hAnsiTheme="minorHAnsi" w:cstheme="minorHAnsi"/>
          <w:lang w:val="fr-FR"/>
        </w:rPr>
        <w:t>Le 10 novembre 2016, un nouveau report d’échéance a été accordé.</w:t>
      </w:r>
    </w:p>
    <w:p w14:paraId="378FBCC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nouvel échéancier convenu, et actuellement appliqué est le suivant :</w:t>
      </w:r>
    </w:p>
    <w:tbl>
      <w:tblPr>
        <w:tblW w:w="3800" w:type="dxa"/>
        <w:tblInd w:w="3213" w:type="dxa"/>
        <w:tblCellMar>
          <w:left w:w="70" w:type="dxa"/>
          <w:right w:w="70" w:type="dxa"/>
        </w:tblCellMar>
        <w:tblLook w:val="04A0" w:firstRow="1" w:lastRow="0" w:firstColumn="1" w:lastColumn="0" w:noHBand="0" w:noVBand="1"/>
      </w:tblPr>
      <w:tblGrid>
        <w:gridCol w:w="2500"/>
        <w:gridCol w:w="1300"/>
      </w:tblGrid>
      <w:tr w:rsidR="00BE2C65" w:rsidRPr="00C73365" w14:paraId="4C5B1409" w14:textId="77777777" w:rsidTr="00C6091B">
        <w:trPr>
          <w:trHeight w:val="288"/>
        </w:trPr>
        <w:tc>
          <w:tcPr>
            <w:tcW w:w="2500" w:type="dxa"/>
            <w:tcBorders>
              <w:top w:val="single" w:sz="4" w:space="0" w:color="7030A0"/>
              <w:left w:val="nil"/>
              <w:bottom w:val="single" w:sz="4" w:space="0" w:color="7030A0"/>
              <w:right w:val="nil"/>
            </w:tcBorders>
            <w:shd w:val="clear" w:color="auto" w:fill="auto"/>
            <w:noWrap/>
            <w:vAlign w:val="center"/>
          </w:tcPr>
          <w:p w14:paraId="204A5246" w14:textId="77777777" w:rsidR="00BE2C65" w:rsidRPr="00C73365" w:rsidRDefault="00BE2C6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31 décembre 2017</w:t>
            </w:r>
            <w:r w:rsidR="009F7082" w:rsidRPr="00C73365">
              <w:rPr>
                <w:rFonts w:asciiTheme="minorHAnsi" w:hAnsiTheme="minorHAnsi" w:cstheme="minorHAnsi"/>
                <w:lang w:val="fr-FR"/>
              </w:rPr>
              <w:t xml:space="preserve"> (</w:t>
            </w:r>
            <w:r w:rsidR="00FC5DE4" w:rsidRPr="00C73365">
              <w:rPr>
                <w:rFonts w:asciiTheme="minorHAnsi" w:hAnsiTheme="minorHAnsi" w:cstheme="minorHAnsi"/>
                <w:lang w:val="fr-FR"/>
              </w:rPr>
              <w:t>prélevé</w:t>
            </w:r>
            <w:r w:rsidR="009F7082" w:rsidRPr="00C73365">
              <w:rPr>
                <w:rFonts w:asciiTheme="minorHAnsi" w:hAnsiTheme="minorHAnsi" w:cstheme="minorHAnsi"/>
                <w:lang w:val="fr-FR"/>
              </w:rPr>
              <w:t xml:space="preserve"> le 02/01/2018)</w:t>
            </w:r>
          </w:p>
        </w:tc>
        <w:tc>
          <w:tcPr>
            <w:tcW w:w="1300" w:type="dxa"/>
            <w:tcBorders>
              <w:top w:val="single" w:sz="4" w:space="0" w:color="7030A0"/>
              <w:left w:val="nil"/>
              <w:bottom w:val="single" w:sz="4" w:space="0" w:color="7030A0"/>
              <w:right w:val="nil"/>
            </w:tcBorders>
            <w:shd w:val="clear" w:color="auto" w:fill="auto"/>
            <w:noWrap/>
          </w:tcPr>
          <w:p w14:paraId="5E430671" w14:textId="77777777" w:rsidR="00BE2C65" w:rsidRPr="00C73365" w:rsidRDefault="00BE2C6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BE2C65" w:rsidRPr="00C73365" w14:paraId="15B80CEF" w14:textId="77777777" w:rsidTr="0094169B">
        <w:trPr>
          <w:trHeight w:val="288"/>
        </w:trPr>
        <w:tc>
          <w:tcPr>
            <w:tcW w:w="2500" w:type="dxa"/>
            <w:tcBorders>
              <w:top w:val="nil"/>
              <w:left w:val="nil"/>
              <w:bottom w:val="single" w:sz="4" w:space="0" w:color="7030A0"/>
              <w:right w:val="nil"/>
            </w:tcBorders>
            <w:shd w:val="clear" w:color="auto" w:fill="auto"/>
            <w:noWrap/>
            <w:vAlign w:val="center"/>
          </w:tcPr>
          <w:p w14:paraId="5D1C8831" w14:textId="77777777" w:rsidR="00BE2C65" w:rsidRPr="00C73365" w:rsidRDefault="00BE2C6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31 mars 2018</w:t>
            </w:r>
          </w:p>
        </w:tc>
        <w:tc>
          <w:tcPr>
            <w:tcW w:w="1300" w:type="dxa"/>
            <w:tcBorders>
              <w:top w:val="nil"/>
              <w:left w:val="nil"/>
              <w:bottom w:val="single" w:sz="4" w:space="0" w:color="7030A0"/>
              <w:right w:val="nil"/>
            </w:tcBorders>
            <w:shd w:val="clear" w:color="auto" w:fill="auto"/>
            <w:noWrap/>
          </w:tcPr>
          <w:p w14:paraId="2AA1A15C" w14:textId="77777777" w:rsidR="00BE2C65" w:rsidRPr="00C73365" w:rsidRDefault="00BE2C6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BE2C65" w:rsidRPr="00C73365" w14:paraId="044A6099" w14:textId="77777777" w:rsidTr="0094169B">
        <w:trPr>
          <w:trHeight w:val="454"/>
        </w:trPr>
        <w:tc>
          <w:tcPr>
            <w:tcW w:w="2500" w:type="dxa"/>
            <w:tcBorders>
              <w:top w:val="single" w:sz="4" w:space="0" w:color="7030A0"/>
              <w:left w:val="nil"/>
              <w:bottom w:val="single" w:sz="4" w:space="0" w:color="7030A0"/>
              <w:right w:val="nil"/>
            </w:tcBorders>
            <w:shd w:val="clear" w:color="auto" w:fill="auto"/>
            <w:noWrap/>
            <w:vAlign w:val="center"/>
            <w:hideMark/>
          </w:tcPr>
          <w:p w14:paraId="50D4DD61" w14:textId="77777777" w:rsidR="00BE2C65" w:rsidRPr="00C73365" w:rsidRDefault="00BE2C65" w:rsidP="00A96CCA">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300" w:type="dxa"/>
            <w:tcBorders>
              <w:top w:val="single" w:sz="4" w:space="0" w:color="7030A0"/>
              <w:left w:val="nil"/>
              <w:bottom w:val="single" w:sz="4" w:space="0" w:color="7030A0"/>
              <w:right w:val="nil"/>
            </w:tcBorders>
            <w:shd w:val="clear" w:color="auto" w:fill="auto"/>
            <w:vAlign w:val="center"/>
            <w:hideMark/>
          </w:tcPr>
          <w:p w14:paraId="113DA0B1" w14:textId="77777777" w:rsidR="00BE2C65" w:rsidRPr="00C73365" w:rsidRDefault="00077BCF" w:rsidP="00A96CCA">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170 </w:t>
            </w:r>
            <w:r w:rsidR="00EF089C" w:rsidRPr="00C73365">
              <w:rPr>
                <w:rFonts w:asciiTheme="minorHAnsi" w:hAnsiTheme="minorHAnsi" w:cstheme="minorHAnsi"/>
                <w:b/>
                <w:color w:val="7030A0"/>
                <w:szCs w:val="20"/>
                <w:lang w:val="fr-FR" w:eastAsia="fr-FR"/>
              </w:rPr>
              <w:t>K€</w:t>
            </w:r>
          </w:p>
        </w:tc>
      </w:tr>
    </w:tbl>
    <w:p w14:paraId="34688D32" w14:textId="77777777" w:rsidR="005C36A7" w:rsidRDefault="005C36A7" w:rsidP="00820BE1">
      <w:pPr>
        <w:rPr>
          <w:lang w:val="fr-FR"/>
        </w:rPr>
      </w:pPr>
    </w:p>
    <w:p w14:paraId="29FD992C" w14:textId="77777777" w:rsidR="00D35D6B" w:rsidRPr="00820BE1" w:rsidRDefault="00D35D6B" w:rsidP="00820BE1">
      <w:pPr>
        <w:rPr>
          <w:lang w:val="fr-FR"/>
        </w:rPr>
      </w:pPr>
      <w:r w:rsidRPr="00820BE1">
        <w:rPr>
          <w:lang w:val="fr-FR"/>
        </w:rPr>
        <w:t>A date d’enregistrement de ce document, la société a intégralement remboursé ces montants ci-dessus.</w:t>
      </w:r>
    </w:p>
    <w:p w14:paraId="00E9F6F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Et, au plus tard le 31 mars de chaque année,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2012, une annuité de remboursement égale à </w:t>
      </w:r>
    </w:p>
    <w:p w14:paraId="2AB339BE" w14:textId="77777777" w:rsidR="00F46C7B" w:rsidRPr="00C73365" w:rsidRDefault="00F46C7B" w:rsidP="00B170BA">
      <w:pPr>
        <w:pStyle w:val="Paragraphedeliste"/>
        <w:numPr>
          <w:ilvl w:val="0"/>
          <w:numId w:val="40"/>
        </w:numPr>
        <w:spacing w:after="0"/>
        <w:rPr>
          <w:rFonts w:asciiTheme="minorHAnsi" w:hAnsiTheme="minorHAnsi" w:cstheme="minorHAnsi"/>
          <w:lang w:val="fr-FR"/>
        </w:rPr>
      </w:pPr>
      <w:r w:rsidRPr="00C73365">
        <w:rPr>
          <w:rFonts w:asciiTheme="minorHAnsi" w:hAnsiTheme="minorHAnsi" w:cstheme="minorHAnsi"/>
          <w:lang w:val="fr-FR"/>
        </w:rPr>
        <w:t>31,95 % du produit, hors taxes, des cessions ou concessions de licences, de brevets ou de savoir-faire, perçu au cours de l’année calendaire précédente lorsque lesdites cessions ou concessions portent sur tout ou partie des résultats du programme aidé ;</w:t>
      </w:r>
    </w:p>
    <w:p w14:paraId="38BAFEB9" w14:textId="77777777" w:rsidR="00F46C7B" w:rsidRPr="00C73365" w:rsidRDefault="00F46C7B" w:rsidP="00B170BA">
      <w:pPr>
        <w:pStyle w:val="Paragraphedeliste"/>
        <w:numPr>
          <w:ilvl w:val="0"/>
          <w:numId w:val="40"/>
        </w:numPr>
        <w:spacing w:after="0"/>
        <w:rPr>
          <w:rFonts w:asciiTheme="minorHAnsi" w:hAnsiTheme="minorHAnsi" w:cstheme="minorHAnsi"/>
          <w:lang w:val="fr-FR"/>
        </w:rPr>
      </w:pPr>
      <w:r w:rsidRPr="00C73365">
        <w:rPr>
          <w:rFonts w:asciiTheme="minorHAnsi" w:hAnsiTheme="minorHAnsi" w:cstheme="minorHAnsi"/>
          <w:lang w:val="fr-FR"/>
        </w:rPr>
        <w:t>31,95 % du produit, hors taxes, généré par la commercialisation et notamment la vente à un tiers ou l’utilisation par le bénéficiaire de l’aide, pour ses besoins propres des prototypes, préséries, maquettes, réalisées dans le cadre du programme aidé.</w:t>
      </w:r>
    </w:p>
    <w:p w14:paraId="78CAD63C" w14:textId="77777777" w:rsidR="00F46C7B" w:rsidRPr="00C73365" w:rsidRDefault="00F46C7B" w:rsidP="00A96CCA">
      <w:pPr>
        <w:pStyle w:val="Paragraphedeliste"/>
        <w:spacing w:after="0"/>
        <w:ind w:left="720"/>
        <w:rPr>
          <w:rFonts w:asciiTheme="minorHAnsi" w:hAnsiTheme="minorHAnsi" w:cstheme="minorHAnsi"/>
          <w:lang w:val="fr-FR"/>
        </w:rPr>
      </w:pPr>
    </w:p>
    <w:p w14:paraId="1889A7D9"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Les sommes dues en application de ce qui précède s’imputeront en totalité et à due concurrence sur l’ultime échéance due et, le cas échéant, sur le pénultième.</w:t>
      </w:r>
      <w:r w:rsidR="00BE57BD" w:rsidRPr="00C73365">
        <w:rPr>
          <w:rFonts w:asciiTheme="minorHAnsi" w:hAnsiTheme="minorHAnsi" w:cstheme="minorHAnsi"/>
          <w:lang w:val="fr-FR"/>
        </w:rPr>
        <w:t xml:space="preserve"> La société ne sera pas </w:t>
      </w:r>
      <w:r w:rsidR="00CD615C" w:rsidRPr="00C73365">
        <w:rPr>
          <w:rFonts w:asciiTheme="minorHAnsi" w:hAnsiTheme="minorHAnsi" w:cstheme="minorHAnsi"/>
          <w:lang w:val="fr-FR"/>
        </w:rPr>
        <w:t>amenée</w:t>
      </w:r>
      <w:r w:rsidR="00BE57BD" w:rsidRPr="00C73365">
        <w:rPr>
          <w:rFonts w:asciiTheme="minorHAnsi" w:hAnsiTheme="minorHAnsi" w:cstheme="minorHAnsi"/>
          <w:lang w:val="fr-FR"/>
        </w:rPr>
        <w:t xml:space="preserve"> à rembourser </w:t>
      </w:r>
      <w:r w:rsidR="00665210" w:rsidRPr="00C73365">
        <w:rPr>
          <w:rFonts w:asciiTheme="minorHAnsi" w:hAnsiTheme="minorHAnsi" w:cstheme="minorHAnsi"/>
          <w:lang w:val="fr-FR"/>
        </w:rPr>
        <w:t>une somme supérieure</w:t>
      </w:r>
      <w:r w:rsidR="00BE57BD" w:rsidRPr="00C73365">
        <w:rPr>
          <w:rFonts w:asciiTheme="minorHAnsi" w:hAnsiTheme="minorHAnsi" w:cstheme="minorHAnsi"/>
          <w:lang w:val="fr-FR"/>
        </w:rPr>
        <w:t xml:space="preserve"> en principal au montant de l’aide qu’elle a perçue.</w:t>
      </w:r>
    </w:p>
    <w:p w14:paraId="73F8E09C" w14:textId="77777777"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ISI « CaReNA » (Produit </w:t>
      </w:r>
      <w:r w:rsidR="00E32CFE" w:rsidRPr="00C73365">
        <w:rPr>
          <w:rFonts w:asciiTheme="minorHAnsi" w:hAnsiTheme="minorHAnsi" w:cstheme="minorHAnsi"/>
          <w:b/>
          <w:color w:val="7030A0"/>
          <w:lang w:val="fr-FR"/>
        </w:rPr>
        <w:t>ABX464</w:t>
      </w:r>
      <w:r w:rsidRPr="00C73365">
        <w:rPr>
          <w:rFonts w:asciiTheme="minorHAnsi" w:hAnsiTheme="minorHAnsi" w:cstheme="minorHAnsi"/>
          <w:b/>
          <w:color w:val="7030A0"/>
          <w:lang w:val="fr-FR"/>
        </w:rPr>
        <w:t>)</w:t>
      </w:r>
    </w:p>
    <w:p w14:paraId="2DCDA407" w14:textId="77777777" w:rsidR="00F46C7B" w:rsidRPr="00C73365" w:rsidRDefault="00F46C7B" w:rsidP="004572A0">
      <w:pPr>
        <w:pStyle w:val="Retraitcorpsdetext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14:paraId="451A74FD"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Dans le cadre du développement de solutions thérapeutiques et diagnostiques ciblant l’épissage alternatif et l’ARN interférence dans le domaine de la virologie (VIH-Sida, HTLV-1) et du métabolisme (obésité), SPLICOS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octobre 2014) a conclu avec </w:t>
      </w:r>
      <w:r w:rsidR="001479F8">
        <w:rPr>
          <w:rFonts w:asciiTheme="minorHAnsi" w:hAnsiTheme="minorHAnsi" w:cstheme="minorHAnsi"/>
          <w:lang w:val="fr-FR"/>
        </w:rPr>
        <w:t>Bpifrance</w:t>
      </w:r>
      <w:r w:rsidRPr="00C73365">
        <w:rPr>
          <w:rFonts w:asciiTheme="minorHAnsi" w:hAnsiTheme="minorHAnsi" w:cstheme="minorHAnsi"/>
          <w:lang w:val="fr-FR"/>
        </w:rPr>
        <w:t xml:space="preserve"> un contrat cadre d’aide ainsi qu’un contrat bénéficiaire d’avance remboursable au projet d’Innovation Stratégique Industrielle « CaReNA » en date du 16 décembre 2013.</w:t>
      </w:r>
    </w:p>
    <w:p w14:paraId="2306DC96" w14:textId="77777777" w:rsidR="00F46C7B"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agissant en qualité de chef de file du projet CaReNA, est associée dans le cadre d’un contrat de consortium à THERADIAG, société spécialisée dans le diagnostic in vitro et le développement de tests théranotiques pour le monitoring des biothérapies notamment au travers de la filiale PRESTIZIA développant des tests sur sa plateforme miRNA, ainsi qu’au CNRS et à l’Université de Montpellier 2.</w:t>
      </w:r>
    </w:p>
    <w:p w14:paraId="594935B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Le projet CaReNA vise ainsi à développer le programme thérapeutique anti VIH-Sida avec le composé ABX464 jusqu’en étude de phase IIb (se référer au paragraphe 6.2.2 du présent document de référence), ainsi qu’un test compagnon mis en place par THERADIAG parallèlement au développement clinique, plus précisément THERADIAG développera et validera un test de quantification-détection de miR-124 ainsi que d’autres tests pronostiques relatifs à l’émergence d’éventuelles résistances.</w:t>
      </w:r>
    </w:p>
    <w:p w14:paraId="689DA0E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Au-delà du programme anti VIH-Sida, le projet CaReNA étendra ses investigations pharmacologiques à un autre rétrovirus susceptible d’être efficacement combattu par la même approche : HTLV-1.</w:t>
      </w:r>
    </w:p>
    <w:p w14:paraId="02331424"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programme initial prévoyait également de développer un programme thérapeutique anti-obésité visant à identifier et développer jusqu’en étude clinique de phase IIa une molécule originale qui cible l’épissage alternatif du gène de la lamine A/C LMMA et réduit l’obésité ainsi que des tests de détection-quantification d’un ou plusieurs miARN cibles par </w:t>
      </w:r>
      <w:r w:rsidRPr="00C73365">
        <w:rPr>
          <w:rFonts w:asciiTheme="minorHAnsi" w:hAnsiTheme="minorHAnsi" w:cstheme="minorHAnsi"/>
          <w:lang w:val="fr-FR"/>
        </w:rPr>
        <w:lastRenderedPageBreak/>
        <w:t xml:space="preserve">THERADIAG. En date du 18 février 2015, </w:t>
      </w:r>
      <w:r w:rsidR="001479F8">
        <w:rPr>
          <w:rFonts w:asciiTheme="minorHAnsi" w:hAnsiTheme="minorHAnsi" w:cstheme="minorHAnsi"/>
          <w:lang w:val="fr-FR"/>
        </w:rPr>
        <w:t>Bpifrance</w:t>
      </w:r>
      <w:r w:rsidRPr="00C73365">
        <w:rPr>
          <w:rFonts w:asciiTheme="minorHAnsi" w:hAnsiTheme="minorHAnsi" w:cstheme="minorHAnsi"/>
          <w:lang w:val="fr-FR"/>
        </w:rPr>
        <w:t xml:space="preserve"> a accepté le réaménagement du projet « CaReNA » proposé par la Société </w:t>
      </w:r>
      <w:r w:rsidR="005C36A7" w:rsidRPr="00C73365">
        <w:rPr>
          <w:rFonts w:asciiTheme="minorHAnsi" w:hAnsiTheme="minorHAnsi" w:cstheme="minorHAnsi"/>
          <w:lang w:val="fr-FR"/>
        </w:rPr>
        <w:t>à la suite de</w:t>
      </w:r>
      <w:r w:rsidRPr="00C73365">
        <w:rPr>
          <w:rFonts w:asciiTheme="minorHAnsi" w:hAnsiTheme="minorHAnsi" w:cstheme="minorHAnsi"/>
          <w:lang w:val="fr-FR"/>
        </w:rPr>
        <w:t xml:space="preserve"> l’abandon du projet sur l’obésité. </w:t>
      </w:r>
    </w:p>
    <w:p w14:paraId="7C986877"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fonction de la réalisation de certaines phases et étapes clés, 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w:t>
      </w:r>
      <w:r w:rsidR="001479F8">
        <w:rPr>
          <w:rFonts w:asciiTheme="minorHAnsi" w:hAnsiTheme="minorHAnsi" w:cstheme="minorHAnsi"/>
          <w:lang w:val="fr-FR"/>
        </w:rPr>
        <w:t>Bpifrance</w:t>
      </w:r>
      <w:r w:rsidRPr="00C73365">
        <w:rPr>
          <w:rFonts w:asciiTheme="minorHAnsi" w:hAnsiTheme="minorHAnsi" w:cstheme="minorHAnsi"/>
          <w:lang w:val="fr-FR"/>
        </w:rPr>
        <w:t xml:space="preserve"> au projet CaReNA se décompose entre :</w:t>
      </w:r>
    </w:p>
    <w:p w14:paraId="7DEC90B2" w14:textId="77777777" w:rsidR="00F46C7B" w:rsidRPr="00C73365" w:rsidRDefault="00F46C7B" w:rsidP="00B170BA">
      <w:pPr>
        <w:pStyle w:val="Paragraphedeliste"/>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subventions pour un montant global maximum de 2 506 701 euros dont 1 396 524 euros</w:t>
      </w:r>
      <w:r w:rsidRPr="00C73365">
        <w:rPr>
          <w:rStyle w:val="Appelnotedebasdep"/>
          <w:rFonts w:asciiTheme="minorHAnsi" w:hAnsiTheme="minorHAnsi" w:cstheme="minorHAnsi"/>
          <w:lang w:val="fr-FR"/>
        </w:rPr>
        <w:footnoteReference w:customMarkFollows="1" w:id="25"/>
        <w:t>34</w:t>
      </w:r>
      <w:r w:rsidRPr="00C73365">
        <w:rPr>
          <w:rFonts w:asciiTheme="minorHAnsi" w:hAnsiTheme="minorHAnsi" w:cstheme="minorHAnsi"/>
          <w:lang w:val="fr-FR"/>
        </w:rPr>
        <w:t xml:space="preserve">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de subvention de 45% des dépenses programmées) ; et</w:t>
      </w:r>
    </w:p>
    <w:p w14:paraId="7777E9FB" w14:textId="77777777" w:rsidR="00F46C7B" w:rsidRPr="00C73365" w:rsidRDefault="00F46C7B" w:rsidP="00B170BA">
      <w:pPr>
        <w:pStyle w:val="Paragraphedeliste"/>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avances remboursables d</w:t>
      </w:r>
      <w:r w:rsidR="004572A0" w:rsidRPr="00C73365">
        <w:rPr>
          <w:rFonts w:asciiTheme="minorHAnsi" w:hAnsiTheme="minorHAnsi" w:cstheme="minorHAnsi"/>
          <w:lang w:val="fr-FR"/>
        </w:rPr>
        <w:t>’</w:t>
      </w:r>
      <w:r w:rsidRPr="00C73365">
        <w:rPr>
          <w:rFonts w:asciiTheme="minorHAnsi" w:hAnsiTheme="minorHAnsi" w:cstheme="minorHAnsi"/>
          <w:lang w:val="fr-FR"/>
        </w:rPr>
        <w:t>un montant global maximum de 4 758 247 euros dont 3 829 682 euros</w:t>
      </w:r>
      <w:r w:rsidRPr="00C73365">
        <w:rPr>
          <w:rStyle w:val="Appelnotedebasdep"/>
          <w:rFonts w:asciiTheme="minorHAnsi" w:hAnsiTheme="minorHAnsi" w:cstheme="minorHAnsi"/>
          <w:lang w:val="fr-FR"/>
        </w:rPr>
        <w:footnoteReference w:customMarkFollows="1" w:id="26"/>
        <w:t>35</w:t>
      </w:r>
      <w:r w:rsidRPr="00C73365">
        <w:rPr>
          <w:rFonts w:asciiTheme="minorHAnsi" w:hAnsiTheme="minorHAnsi" w:cstheme="minorHAnsi"/>
          <w:lang w:val="fr-FR"/>
        </w:rPr>
        <w:t xml:space="preserve">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d’avance remboursable de 50% des dépenses programmées).</w:t>
      </w:r>
    </w:p>
    <w:p w14:paraId="4E5842FC" w14:textId="77777777" w:rsidR="00F46C7B" w:rsidRPr="00C73365" w:rsidRDefault="00F46C7B" w:rsidP="00A96CCA">
      <w:pPr>
        <w:spacing w:after="0"/>
        <w:rPr>
          <w:rFonts w:asciiTheme="minorHAnsi" w:hAnsiTheme="minorHAnsi" w:cstheme="minorHAnsi"/>
          <w:lang w:val="fr-FR"/>
        </w:rPr>
      </w:pPr>
    </w:p>
    <w:p w14:paraId="2B0EA0AE"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Il est précisé qu’à la date d’enregistrement du présent document de référence, l’Etape-Clé EC1 ainsi que l’Etape-Clé EC2 ont été franchies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ses partenaires dans le cadre du projet CaReNA.</w:t>
      </w:r>
    </w:p>
    <w:p w14:paraId="6B36F299"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 xml:space="preserve">Echéancier des versements réalisés en EC1 et EC2 et des versements maximaux des </w:t>
      </w:r>
      <w:r w:rsidR="009538A0" w:rsidRPr="00C73365">
        <w:rPr>
          <w:rFonts w:asciiTheme="minorHAnsi" w:hAnsiTheme="minorHAnsi" w:cstheme="minorHAnsi"/>
          <w:b/>
          <w:lang w:val="fr-FR"/>
        </w:rPr>
        <w:t>subventions restant</w:t>
      </w:r>
      <w:r w:rsidRPr="00C73365">
        <w:rPr>
          <w:rFonts w:asciiTheme="minorHAnsi" w:hAnsiTheme="minorHAnsi" w:cstheme="minorHAnsi"/>
          <w:b/>
          <w:lang w:val="fr-FR"/>
        </w:rPr>
        <w:t xml:space="preserve"> à percevoir (en euros) :</w:t>
      </w:r>
    </w:p>
    <w:p w14:paraId="3605CB0C" w14:textId="77777777" w:rsidR="00F46C7B" w:rsidRPr="00C73365" w:rsidRDefault="00F46C7B" w:rsidP="004572A0">
      <w:pPr>
        <w:pStyle w:val="Retraitcorpset1relig"/>
        <w:rPr>
          <w:rFonts w:asciiTheme="minorHAnsi" w:hAnsiTheme="minorHAnsi" w:cstheme="minorHAnsi"/>
          <w:b/>
          <w:lang w:val="fr-FR" w:eastAsia="fr-FR"/>
        </w:rPr>
      </w:pPr>
      <w:r w:rsidRPr="00C73365">
        <w:rPr>
          <w:rFonts w:asciiTheme="minorHAnsi" w:hAnsiTheme="minorHAnsi" w:cstheme="minorHAnsi"/>
          <w:b/>
          <w:lang w:val="fr-FR" w:eastAsia="fr-FR"/>
        </w:rPr>
        <w:t>Versement en subventions par étape clé</w:t>
      </w:r>
      <w:r w:rsidRPr="00C73365">
        <w:rPr>
          <w:rFonts w:asciiTheme="minorHAnsi" w:hAnsiTheme="minorHAnsi" w:cstheme="minorHAnsi"/>
          <w:b/>
          <w:color w:val="7030A0"/>
          <w:lang w:val="fr-FR" w:eastAsia="fr-FR"/>
        </w:rPr>
        <w:t>*</w:t>
      </w:r>
    </w:p>
    <w:tbl>
      <w:tblPr>
        <w:tblW w:w="9556" w:type="dxa"/>
        <w:tblCellMar>
          <w:left w:w="70" w:type="dxa"/>
          <w:right w:w="70" w:type="dxa"/>
        </w:tblCellMar>
        <w:tblLook w:val="04A0" w:firstRow="1" w:lastRow="0" w:firstColumn="1" w:lastColumn="0" w:noHBand="0" w:noVBand="1"/>
      </w:tblPr>
      <w:tblGrid>
        <w:gridCol w:w="1304"/>
        <w:gridCol w:w="157"/>
        <w:gridCol w:w="1475"/>
        <w:gridCol w:w="157"/>
        <w:gridCol w:w="1049"/>
        <w:gridCol w:w="201"/>
        <w:gridCol w:w="1049"/>
        <w:gridCol w:w="201"/>
        <w:gridCol w:w="1049"/>
        <w:gridCol w:w="201"/>
        <w:gridCol w:w="1081"/>
        <w:gridCol w:w="157"/>
        <w:gridCol w:w="1475"/>
      </w:tblGrid>
      <w:tr w:rsidR="00F46C7B" w:rsidRPr="00036317" w14:paraId="5DD8B7BA" w14:textId="77777777" w:rsidTr="007C607C">
        <w:trPr>
          <w:trHeight w:val="786"/>
        </w:trPr>
        <w:tc>
          <w:tcPr>
            <w:tcW w:w="1304" w:type="dxa"/>
            <w:tcBorders>
              <w:top w:val="single" w:sz="12" w:space="0" w:color="7030A0"/>
              <w:left w:val="nil"/>
              <w:bottom w:val="single" w:sz="8" w:space="0" w:color="7030A0"/>
              <w:right w:val="nil"/>
            </w:tcBorders>
            <w:shd w:val="clear" w:color="auto" w:fill="auto"/>
            <w:vAlign w:val="center"/>
            <w:hideMark/>
          </w:tcPr>
          <w:p w14:paraId="174B61C1"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7" w:type="dxa"/>
            <w:tcBorders>
              <w:top w:val="nil"/>
              <w:left w:val="nil"/>
              <w:bottom w:val="nil"/>
              <w:right w:val="nil"/>
            </w:tcBorders>
            <w:shd w:val="clear" w:color="auto" w:fill="auto"/>
            <w:noWrap/>
            <w:vAlign w:val="bottom"/>
            <w:hideMark/>
          </w:tcPr>
          <w:p w14:paraId="41F1ED26"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475" w:type="dxa"/>
            <w:tcBorders>
              <w:top w:val="single" w:sz="12" w:space="0" w:color="7030A0"/>
              <w:left w:val="nil"/>
              <w:bottom w:val="single" w:sz="8" w:space="0" w:color="7030A0"/>
              <w:right w:val="nil"/>
            </w:tcBorders>
            <w:shd w:val="clear" w:color="auto" w:fill="auto"/>
            <w:vAlign w:val="center"/>
            <w:hideMark/>
          </w:tcPr>
          <w:p w14:paraId="7923A1F1"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p>
        </w:tc>
        <w:tc>
          <w:tcPr>
            <w:tcW w:w="157" w:type="dxa"/>
            <w:tcBorders>
              <w:top w:val="nil"/>
              <w:left w:val="nil"/>
              <w:bottom w:val="nil"/>
              <w:right w:val="nil"/>
            </w:tcBorders>
            <w:shd w:val="clear" w:color="auto" w:fill="auto"/>
            <w:noWrap/>
            <w:vAlign w:val="bottom"/>
            <w:hideMark/>
          </w:tcPr>
          <w:p w14:paraId="6708A444" w14:textId="77777777"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14:paraId="5192BF83"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EC1</w:t>
            </w:r>
          </w:p>
        </w:tc>
        <w:tc>
          <w:tcPr>
            <w:tcW w:w="201" w:type="dxa"/>
            <w:tcBorders>
              <w:top w:val="single" w:sz="12" w:space="0" w:color="7030A0"/>
              <w:left w:val="nil"/>
              <w:bottom w:val="single" w:sz="8" w:space="0" w:color="7030A0"/>
              <w:right w:val="nil"/>
            </w:tcBorders>
            <w:shd w:val="clear" w:color="auto" w:fill="auto"/>
            <w:vAlign w:val="center"/>
            <w:hideMark/>
          </w:tcPr>
          <w:p w14:paraId="05C9D345"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49" w:type="dxa"/>
            <w:tcBorders>
              <w:top w:val="single" w:sz="12" w:space="0" w:color="7030A0"/>
              <w:left w:val="nil"/>
              <w:bottom w:val="single" w:sz="8" w:space="0" w:color="7030A0"/>
              <w:right w:val="nil"/>
            </w:tcBorders>
            <w:shd w:val="clear" w:color="auto" w:fill="auto"/>
            <w:vAlign w:val="center"/>
            <w:hideMark/>
          </w:tcPr>
          <w:p w14:paraId="2ABAA6E7"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EC2</w:t>
            </w:r>
          </w:p>
        </w:tc>
        <w:tc>
          <w:tcPr>
            <w:tcW w:w="201" w:type="dxa"/>
            <w:tcBorders>
              <w:top w:val="single" w:sz="12" w:space="0" w:color="7030A0"/>
              <w:left w:val="nil"/>
              <w:bottom w:val="single" w:sz="8" w:space="0" w:color="7030A0"/>
              <w:right w:val="nil"/>
            </w:tcBorders>
            <w:shd w:val="clear" w:color="auto" w:fill="auto"/>
            <w:vAlign w:val="center"/>
            <w:hideMark/>
          </w:tcPr>
          <w:p w14:paraId="55A1C588"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49" w:type="dxa"/>
            <w:tcBorders>
              <w:top w:val="single" w:sz="12" w:space="0" w:color="7030A0"/>
              <w:left w:val="nil"/>
              <w:bottom w:val="single" w:sz="8" w:space="0" w:color="7030A0"/>
              <w:right w:val="nil"/>
            </w:tcBorders>
            <w:shd w:val="clear" w:color="auto" w:fill="auto"/>
            <w:vAlign w:val="center"/>
            <w:hideMark/>
          </w:tcPr>
          <w:p w14:paraId="3A23D589"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EC3</w:t>
            </w:r>
            <w:r w:rsidR="0017787F" w:rsidRPr="00C73365">
              <w:rPr>
                <w:rFonts w:asciiTheme="minorHAnsi" w:hAnsiTheme="minorHAnsi" w:cstheme="minorHAnsi"/>
                <w:b/>
                <w:bCs/>
                <w:color w:val="000000"/>
                <w:szCs w:val="20"/>
                <w:lang w:val="fr-FR" w:eastAsia="fr-FR"/>
              </w:rPr>
              <w:t>**</w:t>
            </w:r>
          </w:p>
        </w:tc>
        <w:tc>
          <w:tcPr>
            <w:tcW w:w="201" w:type="dxa"/>
            <w:tcBorders>
              <w:top w:val="single" w:sz="12" w:space="0" w:color="7030A0"/>
              <w:left w:val="nil"/>
              <w:bottom w:val="single" w:sz="8" w:space="0" w:color="7030A0"/>
              <w:right w:val="nil"/>
            </w:tcBorders>
            <w:shd w:val="clear" w:color="auto" w:fill="auto"/>
            <w:vAlign w:val="center"/>
            <w:hideMark/>
          </w:tcPr>
          <w:p w14:paraId="0BC3CE87"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81" w:type="dxa"/>
            <w:tcBorders>
              <w:top w:val="single" w:sz="12" w:space="0" w:color="7030A0"/>
              <w:left w:val="nil"/>
              <w:bottom w:val="single" w:sz="8" w:space="0" w:color="7030A0"/>
              <w:right w:val="nil"/>
            </w:tcBorders>
            <w:shd w:val="clear" w:color="auto" w:fill="auto"/>
            <w:vAlign w:val="center"/>
            <w:hideMark/>
          </w:tcPr>
          <w:p w14:paraId="71D6B7C7"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EC4</w:t>
            </w:r>
            <w:r w:rsidRPr="00C73365">
              <w:rPr>
                <w:rFonts w:asciiTheme="minorHAnsi" w:hAnsiTheme="minorHAnsi" w:cstheme="minorHAnsi"/>
                <w:b/>
                <w:bCs/>
                <w:color w:val="7030A0"/>
                <w:szCs w:val="20"/>
                <w:lang w:val="fr-FR" w:eastAsia="fr-FR"/>
              </w:rPr>
              <w:t>**</w:t>
            </w:r>
          </w:p>
        </w:tc>
        <w:tc>
          <w:tcPr>
            <w:tcW w:w="157" w:type="dxa"/>
            <w:tcBorders>
              <w:top w:val="nil"/>
              <w:left w:val="nil"/>
              <w:bottom w:val="nil"/>
              <w:right w:val="nil"/>
            </w:tcBorders>
            <w:shd w:val="clear" w:color="auto" w:fill="auto"/>
            <w:noWrap/>
            <w:vAlign w:val="bottom"/>
            <w:hideMark/>
          </w:tcPr>
          <w:p w14:paraId="555549F9" w14:textId="77777777"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475" w:type="dxa"/>
            <w:tcBorders>
              <w:top w:val="single" w:sz="12" w:space="0" w:color="7030A0"/>
              <w:left w:val="nil"/>
              <w:bottom w:val="single" w:sz="8" w:space="0" w:color="7030A0"/>
              <w:right w:val="nil"/>
            </w:tcBorders>
            <w:shd w:val="clear" w:color="auto" w:fill="auto"/>
            <w:vAlign w:val="center"/>
            <w:hideMark/>
          </w:tcPr>
          <w:p w14:paraId="4403B8E3"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F46C7B" w:rsidRPr="00C73365" w14:paraId="28468EB2" w14:textId="77777777" w:rsidTr="007C607C">
        <w:trPr>
          <w:trHeight w:val="219"/>
        </w:trPr>
        <w:tc>
          <w:tcPr>
            <w:tcW w:w="1304" w:type="dxa"/>
            <w:tcBorders>
              <w:top w:val="nil"/>
              <w:left w:val="nil"/>
              <w:bottom w:val="nil"/>
              <w:right w:val="nil"/>
            </w:tcBorders>
            <w:shd w:val="clear" w:color="auto" w:fill="auto"/>
            <w:vAlign w:val="center"/>
            <w:hideMark/>
          </w:tcPr>
          <w:p w14:paraId="5E0D3D8D" w14:textId="77777777"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7" w:type="dxa"/>
            <w:tcBorders>
              <w:top w:val="nil"/>
              <w:left w:val="nil"/>
              <w:bottom w:val="nil"/>
              <w:right w:val="nil"/>
            </w:tcBorders>
            <w:shd w:val="clear" w:color="auto" w:fill="auto"/>
            <w:noWrap/>
            <w:vAlign w:val="bottom"/>
            <w:hideMark/>
          </w:tcPr>
          <w:p w14:paraId="3CFF220A"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14:paraId="22C9AEFA"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634 000</w:t>
            </w:r>
          </w:p>
        </w:tc>
        <w:tc>
          <w:tcPr>
            <w:tcW w:w="157" w:type="dxa"/>
            <w:tcBorders>
              <w:top w:val="nil"/>
              <w:left w:val="nil"/>
              <w:bottom w:val="nil"/>
              <w:right w:val="nil"/>
            </w:tcBorders>
            <w:shd w:val="clear" w:color="auto" w:fill="auto"/>
            <w:noWrap/>
            <w:vAlign w:val="bottom"/>
            <w:hideMark/>
          </w:tcPr>
          <w:p w14:paraId="2E4A8264"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14:paraId="7B78FA6F"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410 139</w:t>
            </w:r>
          </w:p>
        </w:tc>
        <w:tc>
          <w:tcPr>
            <w:tcW w:w="201" w:type="dxa"/>
            <w:tcBorders>
              <w:top w:val="nil"/>
              <w:left w:val="nil"/>
              <w:bottom w:val="nil"/>
              <w:right w:val="nil"/>
            </w:tcBorders>
            <w:shd w:val="clear" w:color="auto" w:fill="auto"/>
            <w:vAlign w:val="center"/>
            <w:hideMark/>
          </w:tcPr>
          <w:p w14:paraId="6B2C78CC"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14:paraId="24230958"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142 861</w:t>
            </w:r>
          </w:p>
        </w:tc>
        <w:tc>
          <w:tcPr>
            <w:tcW w:w="201" w:type="dxa"/>
            <w:tcBorders>
              <w:top w:val="nil"/>
              <w:left w:val="nil"/>
              <w:bottom w:val="nil"/>
              <w:right w:val="nil"/>
            </w:tcBorders>
            <w:shd w:val="clear" w:color="auto" w:fill="auto"/>
            <w:vAlign w:val="center"/>
            <w:hideMark/>
          </w:tcPr>
          <w:p w14:paraId="6F2A49B6"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14:paraId="445AB5AA" w14:textId="77777777" w:rsidR="00F46C7B" w:rsidRPr="00C73365" w:rsidRDefault="00F46C7B" w:rsidP="00A96CCA">
            <w:pPr>
              <w:spacing w:after="0"/>
              <w:jc w:val="right"/>
              <w:rPr>
                <w:rFonts w:asciiTheme="minorHAnsi" w:hAnsiTheme="minorHAnsi" w:cstheme="minorHAnsi"/>
                <w:szCs w:val="20"/>
                <w:lang w:val="fr-FR" w:eastAsia="fr-FR"/>
              </w:rPr>
            </w:pPr>
          </w:p>
        </w:tc>
        <w:tc>
          <w:tcPr>
            <w:tcW w:w="201" w:type="dxa"/>
            <w:tcBorders>
              <w:top w:val="nil"/>
              <w:left w:val="nil"/>
              <w:bottom w:val="nil"/>
              <w:right w:val="nil"/>
            </w:tcBorders>
            <w:shd w:val="clear" w:color="auto" w:fill="auto"/>
            <w:vAlign w:val="center"/>
            <w:hideMark/>
          </w:tcPr>
          <w:p w14:paraId="66F81FFC" w14:textId="77777777" w:rsidR="00F46C7B" w:rsidRPr="00C73365" w:rsidRDefault="00F46C7B" w:rsidP="00A96CCA">
            <w:pPr>
              <w:spacing w:after="0"/>
              <w:jc w:val="right"/>
              <w:rPr>
                <w:rFonts w:asciiTheme="minorHAnsi" w:hAnsiTheme="minorHAnsi" w:cstheme="minorHAnsi"/>
                <w:szCs w:val="20"/>
                <w:lang w:val="fr-FR" w:eastAsia="fr-FR"/>
              </w:rPr>
            </w:pPr>
          </w:p>
        </w:tc>
        <w:tc>
          <w:tcPr>
            <w:tcW w:w="1081" w:type="dxa"/>
            <w:tcBorders>
              <w:top w:val="nil"/>
              <w:left w:val="nil"/>
              <w:bottom w:val="nil"/>
              <w:right w:val="nil"/>
            </w:tcBorders>
            <w:shd w:val="clear" w:color="auto" w:fill="auto"/>
            <w:vAlign w:val="center"/>
            <w:hideMark/>
          </w:tcPr>
          <w:p w14:paraId="57EFEF98"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209 524</w:t>
            </w:r>
          </w:p>
        </w:tc>
        <w:tc>
          <w:tcPr>
            <w:tcW w:w="157" w:type="dxa"/>
            <w:tcBorders>
              <w:top w:val="nil"/>
              <w:left w:val="nil"/>
              <w:bottom w:val="nil"/>
              <w:right w:val="nil"/>
            </w:tcBorders>
            <w:shd w:val="clear" w:color="auto" w:fill="auto"/>
            <w:noWrap/>
            <w:vAlign w:val="bottom"/>
            <w:hideMark/>
          </w:tcPr>
          <w:p w14:paraId="2AC78D63"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14:paraId="4487C969"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1 396 524</w:t>
            </w:r>
          </w:p>
        </w:tc>
      </w:tr>
      <w:tr w:rsidR="00F46C7B" w:rsidRPr="00C73365" w14:paraId="7F5D4316" w14:textId="77777777" w:rsidTr="007C607C">
        <w:trPr>
          <w:trHeight w:val="219"/>
        </w:trPr>
        <w:tc>
          <w:tcPr>
            <w:tcW w:w="1304" w:type="dxa"/>
            <w:tcBorders>
              <w:top w:val="nil"/>
              <w:left w:val="nil"/>
              <w:bottom w:val="nil"/>
              <w:right w:val="nil"/>
            </w:tcBorders>
            <w:shd w:val="clear" w:color="auto" w:fill="auto"/>
            <w:vAlign w:val="center"/>
            <w:hideMark/>
          </w:tcPr>
          <w:p w14:paraId="35DD1C6E"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THERADIAG</w:t>
            </w:r>
          </w:p>
        </w:tc>
        <w:tc>
          <w:tcPr>
            <w:tcW w:w="157" w:type="dxa"/>
            <w:tcBorders>
              <w:top w:val="nil"/>
              <w:left w:val="nil"/>
              <w:bottom w:val="nil"/>
              <w:right w:val="nil"/>
            </w:tcBorders>
            <w:shd w:val="clear" w:color="auto" w:fill="auto"/>
            <w:noWrap/>
            <w:vAlign w:val="bottom"/>
            <w:hideMark/>
          </w:tcPr>
          <w:p w14:paraId="7E9872A9"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14:paraId="3973C145"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97 000  </w:t>
            </w:r>
          </w:p>
        </w:tc>
        <w:tc>
          <w:tcPr>
            <w:tcW w:w="157" w:type="dxa"/>
            <w:tcBorders>
              <w:top w:val="nil"/>
              <w:left w:val="nil"/>
              <w:bottom w:val="nil"/>
              <w:right w:val="nil"/>
            </w:tcBorders>
            <w:shd w:val="clear" w:color="auto" w:fill="auto"/>
            <w:vAlign w:val="center"/>
            <w:hideMark/>
          </w:tcPr>
          <w:p w14:paraId="28CA41EB"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14:paraId="724FA3A4"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50 005  </w:t>
            </w:r>
          </w:p>
        </w:tc>
        <w:tc>
          <w:tcPr>
            <w:tcW w:w="201" w:type="dxa"/>
            <w:tcBorders>
              <w:top w:val="nil"/>
              <w:left w:val="nil"/>
              <w:bottom w:val="nil"/>
              <w:right w:val="nil"/>
            </w:tcBorders>
            <w:shd w:val="clear" w:color="auto" w:fill="auto"/>
            <w:vAlign w:val="center"/>
            <w:hideMark/>
          </w:tcPr>
          <w:p w14:paraId="7445D185"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14:paraId="3583E0C4"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w:t>
            </w:r>
          </w:p>
        </w:tc>
        <w:tc>
          <w:tcPr>
            <w:tcW w:w="201" w:type="dxa"/>
            <w:tcBorders>
              <w:top w:val="nil"/>
              <w:left w:val="nil"/>
              <w:bottom w:val="nil"/>
              <w:right w:val="nil"/>
            </w:tcBorders>
            <w:shd w:val="clear" w:color="auto" w:fill="auto"/>
            <w:vAlign w:val="center"/>
            <w:hideMark/>
          </w:tcPr>
          <w:p w14:paraId="1F528603"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14:paraId="3BEBED84" w14:textId="77777777" w:rsidR="00F46C7B" w:rsidRPr="00C73365" w:rsidRDefault="00F46C7B" w:rsidP="00A96CCA">
            <w:pPr>
              <w:spacing w:after="0"/>
              <w:jc w:val="right"/>
              <w:rPr>
                <w:rFonts w:asciiTheme="minorHAnsi" w:hAnsiTheme="minorHAnsi" w:cstheme="minorHAnsi"/>
                <w:szCs w:val="20"/>
                <w:lang w:val="fr-FR" w:eastAsia="fr-FR"/>
              </w:rPr>
            </w:pPr>
          </w:p>
        </w:tc>
        <w:tc>
          <w:tcPr>
            <w:tcW w:w="201" w:type="dxa"/>
            <w:tcBorders>
              <w:top w:val="nil"/>
              <w:left w:val="nil"/>
              <w:bottom w:val="nil"/>
              <w:right w:val="nil"/>
            </w:tcBorders>
            <w:shd w:val="clear" w:color="auto" w:fill="auto"/>
            <w:vAlign w:val="center"/>
            <w:hideMark/>
          </w:tcPr>
          <w:p w14:paraId="6503C548" w14:textId="77777777" w:rsidR="00F46C7B" w:rsidRPr="00C73365" w:rsidRDefault="00F46C7B" w:rsidP="00A96CCA">
            <w:pPr>
              <w:spacing w:after="0"/>
              <w:jc w:val="right"/>
              <w:rPr>
                <w:rFonts w:asciiTheme="minorHAnsi" w:hAnsiTheme="minorHAnsi" w:cstheme="minorHAnsi"/>
                <w:szCs w:val="20"/>
                <w:lang w:val="fr-FR" w:eastAsia="fr-FR"/>
              </w:rPr>
            </w:pPr>
          </w:p>
        </w:tc>
        <w:tc>
          <w:tcPr>
            <w:tcW w:w="1081" w:type="dxa"/>
            <w:tcBorders>
              <w:top w:val="nil"/>
              <w:left w:val="nil"/>
              <w:bottom w:val="nil"/>
              <w:right w:val="nil"/>
            </w:tcBorders>
            <w:shd w:val="clear" w:color="auto" w:fill="auto"/>
            <w:vAlign w:val="center"/>
            <w:hideMark/>
          </w:tcPr>
          <w:p w14:paraId="5CB43D50"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105 464  </w:t>
            </w:r>
          </w:p>
        </w:tc>
        <w:tc>
          <w:tcPr>
            <w:tcW w:w="157" w:type="dxa"/>
            <w:tcBorders>
              <w:top w:val="nil"/>
              <w:left w:val="nil"/>
              <w:bottom w:val="nil"/>
              <w:right w:val="nil"/>
            </w:tcBorders>
            <w:shd w:val="clear" w:color="auto" w:fill="auto"/>
            <w:vAlign w:val="center"/>
            <w:hideMark/>
          </w:tcPr>
          <w:p w14:paraId="09A0FDF5"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14:paraId="003B55F5"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252 469  </w:t>
            </w:r>
          </w:p>
        </w:tc>
      </w:tr>
      <w:tr w:rsidR="00F46C7B" w:rsidRPr="00C73365" w14:paraId="649994E3" w14:textId="77777777" w:rsidTr="007C607C">
        <w:trPr>
          <w:trHeight w:val="228"/>
        </w:trPr>
        <w:tc>
          <w:tcPr>
            <w:tcW w:w="1304" w:type="dxa"/>
            <w:tcBorders>
              <w:top w:val="nil"/>
              <w:left w:val="nil"/>
              <w:bottom w:val="single" w:sz="8" w:space="0" w:color="7030A0"/>
              <w:right w:val="nil"/>
            </w:tcBorders>
            <w:shd w:val="clear" w:color="auto" w:fill="auto"/>
            <w:vAlign w:val="center"/>
            <w:hideMark/>
          </w:tcPr>
          <w:p w14:paraId="37E38DD8"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57" w:type="dxa"/>
            <w:tcBorders>
              <w:top w:val="nil"/>
              <w:left w:val="nil"/>
              <w:bottom w:val="nil"/>
              <w:right w:val="nil"/>
            </w:tcBorders>
            <w:shd w:val="clear" w:color="auto" w:fill="auto"/>
            <w:noWrap/>
            <w:vAlign w:val="bottom"/>
            <w:hideMark/>
          </w:tcPr>
          <w:p w14:paraId="2FC55A15"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single" w:sz="8" w:space="0" w:color="7030A0"/>
              <w:right w:val="nil"/>
            </w:tcBorders>
            <w:shd w:val="clear" w:color="auto" w:fill="auto"/>
            <w:vAlign w:val="center"/>
            <w:hideMark/>
          </w:tcPr>
          <w:p w14:paraId="411D9D76"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312 000</w:t>
            </w:r>
          </w:p>
        </w:tc>
        <w:tc>
          <w:tcPr>
            <w:tcW w:w="157" w:type="dxa"/>
            <w:tcBorders>
              <w:top w:val="nil"/>
              <w:left w:val="nil"/>
              <w:bottom w:val="nil"/>
              <w:right w:val="nil"/>
            </w:tcBorders>
            <w:shd w:val="clear" w:color="auto" w:fill="auto"/>
            <w:noWrap/>
            <w:vAlign w:val="bottom"/>
            <w:hideMark/>
          </w:tcPr>
          <w:p w14:paraId="282E9CCC"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14:paraId="1F420B4A"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250 140</w:t>
            </w:r>
          </w:p>
        </w:tc>
        <w:tc>
          <w:tcPr>
            <w:tcW w:w="201" w:type="dxa"/>
            <w:tcBorders>
              <w:top w:val="nil"/>
              <w:left w:val="nil"/>
              <w:bottom w:val="single" w:sz="8" w:space="0" w:color="7030A0"/>
              <w:right w:val="nil"/>
            </w:tcBorders>
            <w:shd w:val="clear" w:color="auto" w:fill="auto"/>
            <w:vAlign w:val="center"/>
            <w:hideMark/>
          </w:tcPr>
          <w:p w14:paraId="43B7CCCE"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14:paraId="7D38DA24"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96 486  </w:t>
            </w:r>
          </w:p>
        </w:tc>
        <w:tc>
          <w:tcPr>
            <w:tcW w:w="201" w:type="dxa"/>
            <w:tcBorders>
              <w:top w:val="nil"/>
              <w:left w:val="nil"/>
              <w:bottom w:val="single" w:sz="8" w:space="0" w:color="7030A0"/>
              <w:right w:val="nil"/>
            </w:tcBorders>
            <w:shd w:val="clear" w:color="auto" w:fill="auto"/>
            <w:vAlign w:val="center"/>
            <w:hideMark/>
          </w:tcPr>
          <w:p w14:paraId="09159915"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14:paraId="1C9E73CD"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1" w:type="dxa"/>
            <w:tcBorders>
              <w:top w:val="nil"/>
              <w:left w:val="nil"/>
              <w:bottom w:val="single" w:sz="8" w:space="0" w:color="7030A0"/>
              <w:right w:val="nil"/>
            </w:tcBorders>
            <w:shd w:val="clear" w:color="auto" w:fill="auto"/>
            <w:vAlign w:val="center"/>
            <w:hideMark/>
          </w:tcPr>
          <w:p w14:paraId="05CD49A8"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81" w:type="dxa"/>
            <w:tcBorders>
              <w:top w:val="nil"/>
              <w:left w:val="nil"/>
              <w:bottom w:val="single" w:sz="8" w:space="0" w:color="7030A0"/>
              <w:right w:val="nil"/>
            </w:tcBorders>
            <w:shd w:val="clear" w:color="auto" w:fill="auto"/>
            <w:vAlign w:val="center"/>
            <w:hideMark/>
          </w:tcPr>
          <w:p w14:paraId="2F8F5EC4"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199 082</w:t>
            </w:r>
          </w:p>
        </w:tc>
        <w:tc>
          <w:tcPr>
            <w:tcW w:w="157" w:type="dxa"/>
            <w:tcBorders>
              <w:top w:val="nil"/>
              <w:left w:val="nil"/>
              <w:bottom w:val="nil"/>
              <w:right w:val="nil"/>
            </w:tcBorders>
            <w:shd w:val="clear" w:color="auto" w:fill="auto"/>
            <w:noWrap/>
            <w:vAlign w:val="bottom"/>
            <w:hideMark/>
          </w:tcPr>
          <w:p w14:paraId="2A33498A"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single" w:sz="8" w:space="0" w:color="7030A0"/>
              <w:right w:val="nil"/>
            </w:tcBorders>
            <w:shd w:val="clear" w:color="auto" w:fill="auto"/>
            <w:vAlign w:val="center"/>
            <w:hideMark/>
          </w:tcPr>
          <w:p w14:paraId="0C98FFCA"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857 708</w:t>
            </w:r>
          </w:p>
        </w:tc>
      </w:tr>
      <w:tr w:rsidR="00F46C7B" w:rsidRPr="00C73365" w14:paraId="1E4E15E5" w14:textId="77777777" w:rsidTr="007C607C">
        <w:trPr>
          <w:trHeight w:val="397"/>
        </w:trPr>
        <w:tc>
          <w:tcPr>
            <w:tcW w:w="1304" w:type="dxa"/>
            <w:tcBorders>
              <w:top w:val="nil"/>
              <w:left w:val="nil"/>
              <w:bottom w:val="single" w:sz="8" w:space="0" w:color="7030A0"/>
              <w:right w:val="nil"/>
            </w:tcBorders>
            <w:shd w:val="clear" w:color="auto" w:fill="auto"/>
            <w:vAlign w:val="center"/>
            <w:hideMark/>
          </w:tcPr>
          <w:p w14:paraId="72F1C49E" w14:textId="77777777"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57" w:type="dxa"/>
            <w:tcBorders>
              <w:top w:val="nil"/>
              <w:left w:val="nil"/>
              <w:bottom w:val="nil"/>
              <w:right w:val="nil"/>
            </w:tcBorders>
            <w:shd w:val="clear" w:color="auto" w:fill="auto"/>
            <w:noWrap/>
            <w:vAlign w:val="bottom"/>
            <w:hideMark/>
          </w:tcPr>
          <w:p w14:paraId="4010E0C7" w14:textId="77777777" w:rsidR="00F46C7B" w:rsidRPr="00C73365" w:rsidRDefault="00F46C7B" w:rsidP="00A96CCA">
            <w:pPr>
              <w:spacing w:after="0"/>
              <w:rPr>
                <w:rFonts w:asciiTheme="minorHAnsi" w:hAnsiTheme="minorHAnsi" w:cstheme="minorHAnsi"/>
                <w:b/>
                <w:bCs/>
                <w:color w:val="7030A0"/>
                <w:szCs w:val="20"/>
                <w:lang w:val="fr-FR" w:eastAsia="fr-FR"/>
              </w:rPr>
            </w:pPr>
          </w:p>
        </w:tc>
        <w:tc>
          <w:tcPr>
            <w:tcW w:w="1475" w:type="dxa"/>
            <w:tcBorders>
              <w:top w:val="nil"/>
              <w:left w:val="nil"/>
              <w:bottom w:val="single" w:sz="8" w:space="0" w:color="7030A0"/>
              <w:right w:val="nil"/>
            </w:tcBorders>
            <w:shd w:val="clear" w:color="auto" w:fill="auto"/>
            <w:vAlign w:val="center"/>
            <w:hideMark/>
          </w:tcPr>
          <w:p w14:paraId="628C040A"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1 043 000</w:t>
            </w:r>
          </w:p>
        </w:tc>
        <w:tc>
          <w:tcPr>
            <w:tcW w:w="157" w:type="dxa"/>
            <w:tcBorders>
              <w:top w:val="nil"/>
              <w:left w:val="nil"/>
              <w:bottom w:val="nil"/>
              <w:right w:val="nil"/>
            </w:tcBorders>
            <w:shd w:val="clear" w:color="auto" w:fill="auto"/>
            <w:vAlign w:val="center"/>
            <w:hideMark/>
          </w:tcPr>
          <w:p w14:paraId="3083D3FE" w14:textId="77777777"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14:paraId="4C688161"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710 284  </w:t>
            </w:r>
          </w:p>
        </w:tc>
        <w:tc>
          <w:tcPr>
            <w:tcW w:w="201" w:type="dxa"/>
            <w:tcBorders>
              <w:top w:val="nil"/>
              <w:left w:val="nil"/>
              <w:bottom w:val="single" w:sz="8" w:space="0" w:color="7030A0"/>
              <w:right w:val="nil"/>
            </w:tcBorders>
            <w:shd w:val="clear" w:color="auto" w:fill="auto"/>
            <w:vAlign w:val="center"/>
            <w:hideMark/>
          </w:tcPr>
          <w:p w14:paraId="6038325D"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14:paraId="66F1089A"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239 347  </w:t>
            </w:r>
          </w:p>
        </w:tc>
        <w:tc>
          <w:tcPr>
            <w:tcW w:w="201" w:type="dxa"/>
            <w:tcBorders>
              <w:top w:val="nil"/>
              <w:left w:val="nil"/>
              <w:bottom w:val="single" w:sz="8" w:space="0" w:color="7030A0"/>
              <w:right w:val="nil"/>
            </w:tcBorders>
            <w:shd w:val="clear" w:color="auto" w:fill="auto"/>
            <w:vAlign w:val="center"/>
            <w:hideMark/>
          </w:tcPr>
          <w:p w14:paraId="47E3EE96"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14:paraId="0E44C6E3"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201" w:type="dxa"/>
            <w:tcBorders>
              <w:top w:val="nil"/>
              <w:left w:val="nil"/>
              <w:bottom w:val="single" w:sz="8" w:space="0" w:color="7030A0"/>
              <w:right w:val="nil"/>
            </w:tcBorders>
            <w:shd w:val="clear" w:color="auto" w:fill="auto"/>
            <w:vAlign w:val="center"/>
            <w:hideMark/>
          </w:tcPr>
          <w:p w14:paraId="7F8EB67F"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81" w:type="dxa"/>
            <w:tcBorders>
              <w:top w:val="nil"/>
              <w:left w:val="nil"/>
              <w:bottom w:val="single" w:sz="8" w:space="0" w:color="7030A0"/>
              <w:right w:val="nil"/>
            </w:tcBorders>
            <w:shd w:val="clear" w:color="auto" w:fill="auto"/>
            <w:vAlign w:val="center"/>
            <w:hideMark/>
          </w:tcPr>
          <w:p w14:paraId="20FC23A5"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514 070  </w:t>
            </w:r>
          </w:p>
        </w:tc>
        <w:tc>
          <w:tcPr>
            <w:tcW w:w="157" w:type="dxa"/>
            <w:tcBorders>
              <w:top w:val="nil"/>
              <w:left w:val="nil"/>
              <w:bottom w:val="nil"/>
              <w:right w:val="nil"/>
            </w:tcBorders>
            <w:shd w:val="clear" w:color="auto" w:fill="auto"/>
            <w:vAlign w:val="center"/>
            <w:hideMark/>
          </w:tcPr>
          <w:p w14:paraId="03F02E03" w14:textId="77777777"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475" w:type="dxa"/>
            <w:tcBorders>
              <w:top w:val="nil"/>
              <w:left w:val="nil"/>
              <w:bottom w:val="single" w:sz="8" w:space="0" w:color="7030A0"/>
              <w:right w:val="nil"/>
            </w:tcBorders>
            <w:shd w:val="clear" w:color="auto" w:fill="auto"/>
            <w:vAlign w:val="center"/>
            <w:hideMark/>
          </w:tcPr>
          <w:p w14:paraId="3021DDFE"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2 506 701  </w:t>
            </w:r>
          </w:p>
        </w:tc>
      </w:tr>
    </w:tbl>
    <w:p w14:paraId="34AAA3A5" w14:textId="77777777" w:rsidR="00F46C7B" w:rsidRPr="00C73365" w:rsidRDefault="00F46C7B" w:rsidP="004572A0">
      <w:pPr>
        <w:pStyle w:val="Lgende"/>
        <w:rPr>
          <w:rFonts w:asciiTheme="minorHAnsi" w:hAnsiTheme="minorHAnsi" w:cstheme="minorHAnsi"/>
          <w:lang w:val="fr-FR"/>
        </w:rPr>
      </w:pPr>
      <w:r w:rsidRPr="00C73365">
        <w:rPr>
          <w:rFonts w:asciiTheme="minorHAnsi" w:hAnsiTheme="minorHAnsi" w:cstheme="minorHAnsi"/>
          <w:lang w:val="fr-FR"/>
        </w:rPr>
        <w:t>* Montant maximal versé au titre de la prochaine étape clé</w:t>
      </w:r>
    </w:p>
    <w:p w14:paraId="1154C64A" w14:textId="77777777" w:rsidR="00F46C7B" w:rsidRPr="00C73365" w:rsidRDefault="00F46C7B" w:rsidP="004572A0">
      <w:pPr>
        <w:pStyle w:val="Corpsdetexte"/>
        <w:rPr>
          <w:rFonts w:asciiTheme="minorHAnsi" w:hAnsiTheme="minorHAnsi" w:cstheme="minorHAnsi"/>
          <w:i/>
          <w:lang w:val="fr-FR"/>
        </w:rPr>
      </w:pPr>
      <w:r w:rsidRPr="00C73365">
        <w:rPr>
          <w:rFonts w:asciiTheme="minorHAnsi" w:hAnsiTheme="minorHAnsi" w:cstheme="minorHAnsi"/>
          <w:i/>
          <w:lang w:val="fr-FR"/>
        </w:rPr>
        <w:t>** Solde (15% minimum)</w:t>
      </w:r>
    </w:p>
    <w:p w14:paraId="7C47B416"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Echéancier des versements réalisés en EC1 et EC2 et des versements maximaux des avances remboursables restant à percevoir (en euros) :</w:t>
      </w:r>
    </w:p>
    <w:p w14:paraId="65D49A77" w14:textId="77777777" w:rsidR="00F46C7B" w:rsidRPr="00C73365" w:rsidRDefault="00F46C7B" w:rsidP="00A96CCA">
      <w:pPr>
        <w:pStyle w:val="Paragraphedeliste"/>
        <w:spacing w:after="0"/>
        <w:ind w:left="72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Versement en avances remboursables par étape clé</w:t>
      </w:r>
      <w:r w:rsidRPr="00C73365">
        <w:rPr>
          <w:rFonts w:asciiTheme="minorHAnsi" w:hAnsiTheme="minorHAnsi" w:cstheme="minorHAnsi"/>
          <w:b/>
          <w:bCs/>
          <w:color w:val="7030A0"/>
          <w:szCs w:val="20"/>
          <w:lang w:val="fr-FR" w:eastAsia="fr-FR"/>
        </w:rPr>
        <w:t>*</w:t>
      </w:r>
    </w:p>
    <w:tbl>
      <w:tblPr>
        <w:tblW w:w="9781" w:type="dxa"/>
        <w:tblCellMar>
          <w:left w:w="70" w:type="dxa"/>
          <w:right w:w="70" w:type="dxa"/>
        </w:tblCellMar>
        <w:tblLook w:val="04A0" w:firstRow="1" w:lastRow="0" w:firstColumn="1" w:lastColumn="0" w:noHBand="0" w:noVBand="1"/>
      </w:tblPr>
      <w:tblGrid>
        <w:gridCol w:w="1302"/>
        <w:gridCol w:w="157"/>
        <w:gridCol w:w="1494"/>
        <w:gridCol w:w="157"/>
        <w:gridCol w:w="1037"/>
        <w:gridCol w:w="200"/>
        <w:gridCol w:w="1037"/>
        <w:gridCol w:w="200"/>
        <w:gridCol w:w="1068"/>
        <w:gridCol w:w="200"/>
        <w:gridCol w:w="1063"/>
        <w:gridCol w:w="157"/>
        <w:gridCol w:w="1709"/>
      </w:tblGrid>
      <w:tr w:rsidR="00F46C7B" w:rsidRPr="00036317" w14:paraId="4A586A39" w14:textId="77777777" w:rsidTr="00881350">
        <w:trPr>
          <w:trHeight w:val="839"/>
        </w:trPr>
        <w:tc>
          <w:tcPr>
            <w:tcW w:w="1302" w:type="dxa"/>
            <w:tcBorders>
              <w:top w:val="single" w:sz="12" w:space="0" w:color="7030A0"/>
              <w:left w:val="nil"/>
              <w:bottom w:val="single" w:sz="8" w:space="0" w:color="7030A0"/>
              <w:right w:val="nil"/>
            </w:tcBorders>
            <w:shd w:val="clear" w:color="auto" w:fill="auto"/>
            <w:vAlign w:val="center"/>
            <w:hideMark/>
          </w:tcPr>
          <w:p w14:paraId="2836A56B"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7" w:type="dxa"/>
            <w:tcBorders>
              <w:top w:val="nil"/>
              <w:left w:val="nil"/>
              <w:bottom w:val="nil"/>
              <w:right w:val="nil"/>
            </w:tcBorders>
            <w:shd w:val="clear" w:color="auto" w:fill="auto"/>
            <w:noWrap/>
            <w:vAlign w:val="bottom"/>
            <w:hideMark/>
          </w:tcPr>
          <w:p w14:paraId="5374B9B6"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494" w:type="dxa"/>
            <w:tcBorders>
              <w:top w:val="single" w:sz="12" w:space="0" w:color="7030A0"/>
              <w:left w:val="nil"/>
              <w:bottom w:val="single" w:sz="8" w:space="0" w:color="7030A0"/>
              <w:right w:val="nil"/>
            </w:tcBorders>
            <w:shd w:val="clear" w:color="auto" w:fill="auto"/>
            <w:hideMark/>
          </w:tcPr>
          <w:p w14:paraId="40054BAA"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remboursables</w:t>
            </w:r>
          </w:p>
        </w:tc>
        <w:tc>
          <w:tcPr>
            <w:tcW w:w="157" w:type="dxa"/>
            <w:tcBorders>
              <w:top w:val="nil"/>
              <w:left w:val="nil"/>
              <w:bottom w:val="nil"/>
              <w:right w:val="nil"/>
            </w:tcBorders>
            <w:shd w:val="clear" w:color="auto" w:fill="auto"/>
            <w:noWrap/>
            <w:vAlign w:val="bottom"/>
            <w:hideMark/>
          </w:tcPr>
          <w:p w14:paraId="26349CB7" w14:textId="77777777"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037" w:type="dxa"/>
            <w:tcBorders>
              <w:top w:val="single" w:sz="12" w:space="0" w:color="7030A0"/>
              <w:left w:val="nil"/>
              <w:bottom w:val="single" w:sz="8" w:space="0" w:color="7030A0"/>
              <w:right w:val="nil"/>
            </w:tcBorders>
            <w:shd w:val="clear" w:color="auto" w:fill="auto"/>
            <w:vAlign w:val="center"/>
            <w:hideMark/>
          </w:tcPr>
          <w:p w14:paraId="4B6CD7CB"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EC1</w:t>
            </w:r>
          </w:p>
        </w:tc>
        <w:tc>
          <w:tcPr>
            <w:tcW w:w="200" w:type="dxa"/>
            <w:tcBorders>
              <w:top w:val="single" w:sz="12" w:space="0" w:color="7030A0"/>
              <w:left w:val="nil"/>
              <w:bottom w:val="single" w:sz="8" w:space="0" w:color="7030A0"/>
              <w:right w:val="nil"/>
            </w:tcBorders>
            <w:shd w:val="clear" w:color="auto" w:fill="auto"/>
            <w:vAlign w:val="center"/>
            <w:hideMark/>
          </w:tcPr>
          <w:p w14:paraId="299F733E"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37" w:type="dxa"/>
            <w:tcBorders>
              <w:top w:val="single" w:sz="12" w:space="0" w:color="7030A0"/>
              <w:left w:val="nil"/>
              <w:bottom w:val="single" w:sz="8" w:space="0" w:color="7030A0"/>
              <w:right w:val="nil"/>
            </w:tcBorders>
            <w:shd w:val="clear" w:color="auto" w:fill="auto"/>
            <w:vAlign w:val="center"/>
            <w:hideMark/>
          </w:tcPr>
          <w:p w14:paraId="6514EBF6"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EC2</w:t>
            </w:r>
          </w:p>
        </w:tc>
        <w:tc>
          <w:tcPr>
            <w:tcW w:w="200" w:type="dxa"/>
            <w:tcBorders>
              <w:top w:val="single" w:sz="12" w:space="0" w:color="7030A0"/>
              <w:left w:val="nil"/>
              <w:bottom w:val="single" w:sz="8" w:space="0" w:color="7030A0"/>
              <w:right w:val="nil"/>
            </w:tcBorders>
            <w:shd w:val="clear" w:color="auto" w:fill="auto"/>
            <w:vAlign w:val="center"/>
            <w:hideMark/>
          </w:tcPr>
          <w:p w14:paraId="6EAD1F6B"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68" w:type="dxa"/>
            <w:tcBorders>
              <w:top w:val="single" w:sz="12" w:space="0" w:color="7030A0"/>
              <w:left w:val="nil"/>
              <w:bottom w:val="single" w:sz="8" w:space="0" w:color="7030A0"/>
              <w:right w:val="nil"/>
            </w:tcBorders>
            <w:shd w:val="clear" w:color="auto" w:fill="auto"/>
            <w:vAlign w:val="center"/>
            <w:hideMark/>
          </w:tcPr>
          <w:p w14:paraId="029B5106"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EC3</w:t>
            </w:r>
            <w:r w:rsidR="0017787F" w:rsidRPr="00C73365">
              <w:rPr>
                <w:rFonts w:asciiTheme="minorHAnsi" w:hAnsiTheme="minorHAnsi" w:cstheme="minorHAnsi"/>
                <w:b/>
                <w:bCs/>
                <w:color w:val="000000"/>
                <w:szCs w:val="20"/>
                <w:lang w:val="fr-FR" w:eastAsia="fr-FR"/>
              </w:rPr>
              <w:t>**</w:t>
            </w:r>
          </w:p>
        </w:tc>
        <w:tc>
          <w:tcPr>
            <w:tcW w:w="200" w:type="dxa"/>
            <w:tcBorders>
              <w:top w:val="single" w:sz="12" w:space="0" w:color="7030A0"/>
              <w:left w:val="nil"/>
              <w:bottom w:val="single" w:sz="8" w:space="0" w:color="7030A0"/>
              <w:right w:val="nil"/>
            </w:tcBorders>
            <w:shd w:val="clear" w:color="auto" w:fill="auto"/>
            <w:vAlign w:val="center"/>
            <w:hideMark/>
          </w:tcPr>
          <w:p w14:paraId="1B7FFE1E"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63" w:type="dxa"/>
            <w:tcBorders>
              <w:top w:val="single" w:sz="12" w:space="0" w:color="7030A0"/>
              <w:left w:val="nil"/>
              <w:bottom w:val="single" w:sz="8" w:space="0" w:color="7030A0"/>
              <w:right w:val="nil"/>
            </w:tcBorders>
            <w:shd w:val="clear" w:color="auto" w:fill="auto"/>
            <w:vAlign w:val="center"/>
            <w:hideMark/>
          </w:tcPr>
          <w:p w14:paraId="18447B74"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EC4</w:t>
            </w:r>
            <w:r w:rsidRPr="00C73365">
              <w:rPr>
                <w:rFonts w:asciiTheme="minorHAnsi" w:hAnsiTheme="minorHAnsi" w:cstheme="minorHAnsi"/>
                <w:b/>
                <w:bCs/>
                <w:color w:val="7030A0"/>
                <w:szCs w:val="20"/>
                <w:lang w:val="fr-FR" w:eastAsia="fr-FR"/>
              </w:rPr>
              <w:t>**</w:t>
            </w:r>
          </w:p>
        </w:tc>
        <w:tc>
          <w:tcPr>
            <w:tcW w:w="157" w:type="dxa"/>
            <w:tcBorders>
              <w:top w:val="nil"/>
              <w:left w:val="nil"/>
              <w:bottom w:val="nil"/>
              <w:right w:val="nil"/>
            </w:tcBorders>
            <w:shd w:val="clear" w:color="auto" w:fill="auto"/>
            <w:noWrap/>
            <w:vAlign w:val="bottom"/>
            <w:hideMark/>
          </w:tcPr>
          <w:p w14:paraId="1640BE40" w14:textId="77777777"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709" w:type="dxa"/>
            <w:tcBorders>
              <w:top w:val="single" w:sz="12" w:space="0" w:color="7030A0"/>
              <w:left w:val="nil"/>
              <w:bottom w:val="single" w:sz="8" w:space="0" w:color="7030A0"/>
              <w:right w:val="nil"/>
            </w:tcBorders>
            <w:shd w:val="clear" w:color="auto" w:fill="auto"/>
            <w:hideMark/>
          </w:tcPr>
          <w:p w14:paraId="4CCF5E10" w14:textId="77777777"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avances remboursables</w:t>
            </w:r>
          </w:p>
        </w:tc>
      </w:tr>
      <w:tr w:rsidR="00F46C7B" w:rsidRPr="00C73365" w14:paraId="5AB697CE" w14:textId="77777777" w:rsidTr="00881350">
        <w:trPr>
          <w:trHeight w:val="216"/>
        </w:trPr>
        <w:tc>
          <w:tcPr>
            <w:tcW w:w="1302" w:type="dxa"/>
            <w:tcBorders>
              <w:top w:val="nil"/>
              <w:left w:val="nil"/>
              <w:bottom w:val="nil"/>
              <w:right w:val="nil"/>
            </w:tcBorders>
            <w:shd w:val="clear" w:color="auto" w:fill="auto"/>
            <w:vAlign w:val="center"/>
            <w:hideMark/>
          </w:tcPr>
          <w:p w14:paraId="3CEFE174" w14:textId="77777777"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7" w:type="dxa"/>
            <w:tcBorders>
              <w:top w:val="nil"/>
              <w:left w:val="nil"/>
              <w:bottom w:val="nil"/>
              <w:right w:val="nil"/>
            </w:tcBorders>
            <w:shd w:val="clear" w:color="auto" w:fill="auto"/>
            <w:noWrap/>
            <w:vAlign w:val="bottom"/>
            <w:hideMark/>
          </w:tcPr>
          <w:p w14:paraId="59A8E353"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nil"/>
              <w:right w:val="nil"/>
            </w:tcBorders>
            <w:shd w:val="clear" w:color="auto" w:fill="auto"/>
            <w:vAlign w:val="center"/>
            <w:hideMark/>
          </w:tcPr>
          <w:p w14:paraId="3F25CC3B"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1 150 000</w:t>
            </w:r>
          </w:p>
        </w:tc>
        <w:tc>
          <w:tcPr>
            <w:tcW w:w="157" w:type="dxa"/>
            <w:tcBorders>
              <w:top w:val="nil"/>
              <w:left w:val="nil"/>
              <w:bottom w:val="nil"/>
              <w:right w:val="nil"/>
            </w:tcBorders>
            <w:shd w:val="clear" w:color="auto" w:fill="auto"/>
            <w:noWrap/>
            <w:vAlign w:val="bottom"/>
            <w:hideMark/>
          </w:tcPr>
          <w:p w14:paraId="2818CE8C"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14:paraId="5AB8A5E7"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1 008 340</w:t>
            </w:r>
          </w:p>
        </w:tc>
        <w:tc>
          <w:tcPr>
            <w:tcW w:w="200" w:type="dxa"/>
            <w:tcBorders>
              <w:top w:val="nil"/>
              <w:left w:val="nil"/>
              <w:bottom w:val="nil"/>
              <w:right w:val="nil"/>
            </w:tcBorders>
            <w:shd w:val="clear" w:color="auto" w:fill="auto"/>
            <w:vAlign w:val="center"/>
            <w:hideMark/>
          </w:tcPr>
          <w:p w14:paraId="78C16EF9"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14:paraId="2FCB416A"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28 735</w:t>
            </w:r>
          </w:p>
        </w:tc>
        <w:tc>
          <w:tcPr>
            <w:tcW w:w="200" w:type="dxa"/>
            <w:tcBorders>
              <w:top w:val="nil"/>
              <w:left w:val="nil"/>
              <w:bottom w:val="nil"/>
              <w:right w:val="nil"/>
            </w:tcBorders>
            <w:shd w:val="clear" w:color="auto" w:fill="auto"/>
            <w:vAlign w:val="center"/>
            <w:hideMark/>
          </w:tcPr>
          <w:p w14:paraId="23995C32"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68" w:type="dxa"/>
            <w:tcBorders>
              <w:top w:val="nil"/>
              <w:left w:val="nil"/>
              <w:bottom w:val="nil"/>
              <w:right w:val="nil"/>
            </w:tcBorders>
            <w:shd w:val="clear" w:color="auto" w:fill="auto"/>
            <w:vAlign w:val="center"/>
            <w:hideMark/>
          </w:tcPr>
          <w:p w14:paraId="4D72B817" w14:textId="77777777" w:rsidR="00F46C7B" w:rsidRPr="00C73365" w:rsidRDefault="00881350" w:rsidP="00A96CCA">
            <w:pPr>
              <w:spacing w:after="0"/>
              <w:jc w:val="right"/>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1 067 925</w:t>
            </w:r>
          </w:p>
        </w:tc>
        <w:tc>
          <w:tcPr>
            <w:tcW w:w="200" w:type="dxa"/>
            <w:tcBorders>
              <w:top w:val="nil"/>
              <w:left w:val="nil"/>
              <w:bottom w:val="nil"/>
              <w:right w:val="nil"/>
            </w:tcBorders>
            <w:shd w:val="clear" w:color="auto" w:fill="auto"/>
            <w:vAlign w:val="center"/>
            <w:hideMark/>
          </w:tcPr>
          <w:p w14:paraId="450D2099"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63" w:type="dxa"/>
            <w:tcBorders>
              <w:top w:val="nil"/>
              <w:left w:val="nil"/>
              <w:bottom w:val="nil"/>
              <w:right w:val="nil"/>
            </w:tcBorders>
            <w:shd w:val="clear" w:color="auto" w:fill="auto"/>
            <w:vAlign w:val="center"/>
            <w:hideMark/>
          </w:tcPr>
          <w:p w14:paraId="23A86A0C"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574 682</w:t>
            </w:r>
          </w:p>
        </w:tc>
        <w:tc>
          <w:tcPr>
            <w:tcW w:w="157" w:type="dxa"/>
            <w:tcBorders>
              <w:top w:val="nil"/>
              <w:left w:val="nil"/>
              <w:bottom w:val="nil"/>
              <w:right w:val="nil"/>
            </w:tcBorders>
            <w:shd w:val="clear" w:color="auto" w:fill="auto"/>
            <w:noWrap/>
            <w:vAlign w:val="bottom"/>
            <w:hideMark/>
          </w:tcPr>
          <w:p w14:paraId="0EF90762"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nil"/>
              <w:right w:val="nil"/>
            </w:tcBorders>
            <w:shd w:val="clear" w:color="auto" w:fill="auto"/>
            <w:vAlign w:val="center"/>
            <w:hideMark/>
          </w:tcPr>
          <w:p w14:paraId="029CF6D9" w14:textId="77777777" w:rsidR="00F46C7B" w:rsidRPr="00C73365" w:rsidRDefault="00881350"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3 829 682</w:t>
            </w:r>
          </w:p>
        </w:tc>
      </w:tr>
      <w:tr w:rsidR="00F46C7B" w:rsidRPr="00C73365" w14:paraId="50EA152A" w14:textId="77777777" w:rsidTr="00881350">
        <w:trPr>
          <w:trHeight w:val="216"/>
        </w:trPr>
        <w:tc>
          <w:tcPr>
            <w:tcW w:w="1302" w:type="dxa"/>
            <w:tcBorders>
              <w:top w:val="nil"/>
              <w:left w:val="nil"/>
              <w:bottom w:val="nil"/>
              <w:right w:val="nil"/>
            </w:tcBorders>
            <w:shd w:val="clear" w:color="auto" w:fill="auto"/>
            <w:vAlign w:val="center"/>
            <w:hideMark/>
          </w:tcPr>
          <w:p w14:paraId="29EAA3CA"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THERADIAG</w:t>
            </w:r>
          </w:p>
        </w:tc>
        <w:tc>
          <w:tcPr>
            <w:tcW w:w="157" w:type="dxa"/>
            <w:tcBorders>
              <w:top w:val="nil"/>
              <w:left w:val="nil"/>
              <w:bottom w:val="nil"/>
              <w:right w:val="nil"/>
            </w:tcBorders>
            <w:shd w:val="clear" w:color="auto" w:fill="auto"/>
            <w:noWrap/>
            <w:vAlign w:val="bottom"/>
            <w:hideMark/>
          </w:tcPr>
          <w:p w14:paraId="299A40B8"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nil"/>
              <w:right w:val="nil"/>
            </w:tcBorders>
            <w:shd w:val="clear" w:color="auto" w:fill="auto"/>
            <w:vAlign w:val="center"/>
            <w:hideMark/>
          </w:tcPr>
          <w:p w14:paraId="1DB19F7F"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176 000  </w:t>
            </w:r>
          </w:p>
        </w:tc>
        <w:tc>
          <w:tcPr>
            <w:tcW w:w="157" w:type="dxa"/>
            <w:tcBorders>
              <w:top w:val="nil"/>
              <w:left w:val="nil"/>
              <w:bottom w:val="nil"/>
              <w:right w:val="nil"/>
            </w:tcBorders>
            <w:shd w:val="clear" w:color="auto" w:fill="auto"/>
            <w:vAlign w:val="center"/>
            <w:hideMark/>
          </w:tcPr>
          <w:p w14:paraId="42409E02"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14:paraId="43FA8885"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200" w:type="dxa"/>
            <w:tcBorders>
              <w:top w:val="nil"/>
              <w:left w:val="nil"/>
              <w:bottom w:val="nil"/>
              <w:right w:val="nil"/>
            </w:tcBorders>
            <w:shd w:val="clear" w:color="auto" w:fill="auto"/>
            <w:vAlign w:val="center"/>
            <w:hideMark/>
          </w:tcPr>
          <w:p w14:paraId="7D542F54"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14:paraId="21A8A1A1"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227 426  </w:t>
            </w:r>
          </w:p>
        </w:tc>
        <w:tc>
          <w:tcPr>
            <w:tcW w:w="200" w:type="dxa"/>
            <w:tcBorders>
              <w:top w:val="nil"/>
              <w:left w:val="nil"/>
              <w:bottom w:val="nil"/>
              <w:right w:val="nil"/>
            </w:tcBorders>
            <w:shd w:val="clear" w:color="auto" w:fill="auto"/>
            <w:vAlign w:val="center"/>
            <w:hideMark/>
          </w:tcPr>
          <w:p w14:paraId="5D4D578E"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68" w:type="dxa"/>
            <w:tcBorders>
              <w:top w:val="nil"/>
              <w:left w:val="nil"/>
              <w:bottom w:val="nil"/>
              <w:right w:val="nil"/>
            </w:tcBorders>
            <w:shd w:val="clear" w:color="auto" w:fill="auto"/>
            <w:vAlign w:val="center"/>
            <w:hideMark/>
          </w:tcPr>
          <w:p w14:paraId="7B24DA05" w14:textId="77777777" w:rsidR="00F46C7B" w:rsidRPr="00C73365" w:rsidRDefault="00881350" w:rsidP="00A96CCA">
            <w:pPr>
              <w:spacing w:after="0"/>
              <w:jc w:val="right"/>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385 574</w:t>
            </w:r>
          </w:p>
        </w:tc>
        <w:tc>
          <w:tcPr>
            <w:tcW w:w="200" w:type="dxa"/>
            <w:tcBorders>
              <w:top w:val="nil"/>
              <w:left w:val="nil"/>
              <w:bottom w:val="nil"/>
              <w:right w:val="nil"/>
            </w:tcBorders>
            <w:shd w:val="clear" w:color="auto" w:fill="auto"/>
            <w:vAlign w:val="center"/>
            <w:hideMark/>
          </w:tcPr>
          <w:p w14:paraId="4FCCE02F"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63" w:type="dxa"/>
            <w:tcBorders>
              <w:top w:val="nil"/>
              <w:left w:val="nil"/>
              <w:bottom w:val="nil"/>
              <w:right w:val="nil"/>
            </w:tcBorders>
            <w:shd w:val="clear" w:color="auto" w:fill="auto"/>
            <w:vAlign w:val="center"/>
            <w:hideMark/>
          </w:tcPr>
          <w:p w14:paraId="01C15A59"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139 555  </w:t>
            </w:r>
          </w:p>
        </w:tc>
        <w:tc>
          <w:tcPr>
            <w:tcW w:w="157" w:type="dxa"/>
            <w:tcBorders>
              <w:top w:val="nil"/>
              <w:left w:val="nil"/>
              <w:bottom w:val="nil"/>
              <w:right w:val="nil"/>
            </w:tcBorders>
            <w:shd w:val="clear" w:color="auto" w:fill="auto"/>
            <w:vAlign w:val="center"/>
            <w:hideMark/>
          </w:tcPr>
          <w:p w14:paraId="71B3B1B1"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nil"/>
              <w:right w:val="nil"/>
            </w:tcBorders>
            <w:shd w:val="clear" w:color="auto" w:fill="auto"/>
            <w:vAlign w:val="center"/>
            <w:hideMark/>
          </w:tcPr>
          <w:p w14:paraId="15B4B756" w14:textId="77777777" w:rsidR="00F46C7B" w:rsidRPr="00C73365" w:rsidRDefault="00881350"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928 555</w:t>
            </w:r>
          </w:p>
        </w:tc>
      </w:tr>
      <w:tr w:rsidR="00F46C7B" w:rsidRPr="00C73365" w14:paraId="2EBD5C75" w14:textId="77777777" w:rsidTr="00881350">
        <w:trPr>
          <w:trHeight w:val="224"/>
        </w:trPr>
        <w:tc>
          <w:tcPr>
            <w:tcW w:w="1302" w:type="dxa"/>
            <w:tcBorders>
              <w:top w:val="nil"/>
              <w:left w:val="nil"/>
              <w:bottom w:val="single" w:sz="8" w:space="0" w:color="7030A0"/>
              <w:right w:val="nil"/>
            </w:tcBorders>
            <w:shd w:val="clear" w:color="auto" w:fill="auto"/>
            <w:vAlign w:val="center"/>
            <w:hideMark/>
          </w:tcPr>
          <w:p w14:paraId="3F3ACB91"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57" w:type="dxa"/>
            <w:tcBorders>
              <w:top w:val="nil"/>
              <w:left w:val="nil"/>
              <w:bottom w:val="nil"/>
              <w:right w:val="nil"/>
            </w:tcBorders>
            <w:shd w:val="clear" w:color="auto" w:fill="auto"/>
            <w:noWrap/>
            <w:vAlign w:val="bottom"/>
            <w:hideMark/>
          </w:tcPr>
          <w:p w14:paraId="4DA05550"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single" w:sz="8" w:space="0" w:color="7030A0"/>
              <w:right w:val="nil"/>
            </w:tcBorders>
            <w:shd w:val="clear" w:color="auto" w:fill="auto"/>
            <w:vAlign w:val="center"/>
            <w:hideMark/>
          </w:tcPr>
          <w:p w14:paraId="1AF5BD86"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7" w:type="dxa"/>
            <w:tcBorders>
              <w:top w:val="nil"/>
              <w:left w:val="nil"/>
              <w:bottom w:val="nil"/>
              <w:right w:val="nil"/>
            </w:tcBorders>
            <w:shd w:val="clear" w:color="auto" w:fill="auto"/>
            <w:noWrap/>
            <w:vAlign w:val="bottom"/>
            <w:hideMark/>
          </w:tcPr>
          <w:p w14:paraId="607480E4"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single" w:sz="8" w:space="0" w:color="7030A0"/>
              <w:right w:val="nil"/>
            </w:tcBorders>
            <w:shd w:val="clear" w:color="auto" w:fill="auto"/>
            <w:vAlign w:val="center"/>
            <w:hideMark/>
          </w:tcPr>
          <w:p w14:paraId="7081820B"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14:paraId="3366CA52"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37" w:type="dxa"/>
            <w:tcBorders>
              <w:top w:val="nil"/>
              <w:left w:val="nil"/>
              <w:bottom w:val="single" w:sz="8" w:space="0" w:color="7030A0"/>
              <w:right w:val="nil"/>
            </w:tcBorders>
            <w:shd w:val="clear" w:color="auto" w:fill="auto"/>
            <w:vAlign w:val="center"/>
            <w:hideMark/>
          </w:tcPr>
          <w:p w14:paraId="096C7C0A"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14:paraId="21DF53B7"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68" w:type="dxa"/>
            <w:tcBorders>
              <w:top w:val="nil"/>
              <w:left w:val="nil"/>
              <w:bottom w:val="single" w:sz="8" w:space="0" w:color="7030A0"/>
              <w:right w:val="nil"/>
            </w:tcBorders>
            <w:shd w:val="clear" w:color="auto" w:fill="auto"/>
            <w:vAlign w:val="center"/>
            <w:hideMark/>
          </w:tcPr>
          <w:p w14:paraId="0F9B6348"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14:paraId="573C85CA"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63" w:type="dxa"/>
            <w:tcBorders>
              <w:top w:val="nil"/>
              <w:left w:val="nil"/>
              <w:bottom w:val="single" w:sz="8" w:space="0" w:color="7030A0"/>
              <w:right w:val="nil"/>
            </w:tcBorders>
            <w:shd w:val="clear" w:color="auto" w:fill="auto"/>
            <w:vAlign w:val="center"/>
            <w:hideMark/>
          </w:tcPr>
          <w:p w14:paraId="47E57EE8"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7" w:type="dxa"/>
            <w:tcBorders>
              <w:top w:val="nil"/>
              <w:left w:val="nil"/>
              <w:bottom w:val="nil"/>
              <w:right w:val="nil"/>
            </w:tcBorders>
            <w:shd w:val="clear" w:color="auto" w:fill="auto"/>
            <w:noWrap/>
            <w:vAlign w:val="bottom"/>
            <w:hideMark/>
          </w:tcPr>
          <w:p w14:paraId="4A427308" w14:textId="77777777"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single" w:sz="8" w:space="0" w:color="7030A0"/>
              <w:right w:val="nil"/>
            </w:tcBorders>
            <w:shd w:val="clear" w:color="auto" w:fill="auto"/>
            <w:vAlign w:val="center"/>
            <w:hideMark/>
          </w:tcPr>
          <w:p w14:paraId="7243D132" w14:textId="77777777"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46C7B" w:rsidRPr="00C73365" w14:paraId="260AB642" w14:textId="77777777" w:rsidTr="00881350">
        <w:trPr>
          <w:trHeight w:val="341"/>
        </w:trPr>
        <w:tc>
          <w:tcPr>
            <w:tcW w:w="1302" w:type="dxa"/>
            <w:tcBorders>
              <w:top w:val="nil"/>
              <w:left w:val="nil"/>
              <w:bottom w:val="single" w:sz="8" w:space="0" w:color="7030A0"/>
              <w:right w:val="nil"/>
            </w:tcBorders>
            <w:shd w:val="clear" w:color="auto" w:fill="auto"/>
            <w:vAlign w:val="center"/>
            <w:hideMark/>
          </w:tcPr>
          <w:p w14:paraId="3190C08F" w14:textId="77777777"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57" w:type="dxa"/>
            <w:tcBorders>
              <w:top w:val="nil"/>
              <w:left w:val="nil"/>
              <w:bottom w:val="nil"/>
              <w:right w:val="nil"/>
            </w:tcBorders>
            <w:shd w:val="clear" w:color="auto" w:fill="auto"/>
            <w:noWrap/>
            <w:vAlign w:val="bottom"/>
            <w:hideMark/>
          </w:tcPr>
          <w:p w14:paraId="1937EF70" w14:textId="77777777" w:rsidR="00F46C7B" w:rsidRPr="00C73365" w:rsidRDefault="00F46C7B" w:rsidP="00A96CCA">
            <w:pPr>
              <w:spacing w:after="0"/>
              <w:rPr>
                <w:rFonts w:asciiTheme="minorHAnsi" w:hAnsiTheme="minorHAnsi" w:cstheme="minorHAnsi"/>
                <w:b/>
                <w:bCs/>
                <w:color w:val="7030A0"/>
                <w:szCs w:val="20"/>
                <w:lang w:val="fr-FR" w:eastAsia="fr-FR"/>
              </w:rPr>
            </w:pPr>
          </w:p>
        </w:tc>
        <w:tc>
          <w:tcPr>
            <w:tcW w:w="1494" w:type="dxa"/>
            <w:tcBorders>
              <w:top w:val="nil"/>
              <w:left w:val="nil"/>
              <w:bottom w:val="single" w:sz="8" w:space="0" w:color="7030A0"/>
              <w:right w:val="nil"/>
            </w:tcBorders>
            <w:shd w:val="clear" w:color="auto" w:fill="auto"/>
            <w:vAlign w:val="center"/>
            <w:hideMark/>
          </w:tcPr>
          <w:p w14:paraId="11E96C17"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1 326 000  </w:t>
            </w:r>
          </w:p>
        </w:tc>
        <w:tc>
          <w:tcPr>
            <w:tcW w:w="157" w:type="dxa"/>
            <w:tcBorders>
              <w:top w:val="nil"/>
              <w:left w:val="nil"/>
              <w:bottom w:val="nil"/>
              <w:right w:val="nil"/>
            </w:tcBorders>
            <w:shd w:val="clear" w:color="auto" w:fill="auto"/>
            <w:vAlign w:val="center"/>
            <w:hideMark/>
          </w:tcPr>
          <w:p w14:paraId="42E45E03" w14:textId="77777777"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037" w:type="dxa"/>
            <w:tcBorders>
              <w:top w:val="nil"/>
              <w:left w:val="nil"/>
              <w:bottom w:val="single" w:sz="8" w:space="0" w:color="7030A0"/>
              <w:right w:val="nil"/>
            </w:tcBorders>
            <w:shd w:val="clear" w:color="auto" w:fill="auto"/>
            <w:vAlign w:val="center"/>
            <w:hideMark/>
          </w:tcPr>
          <w:p w14:paraId="4DF760A5"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1 008 340  </w:t>
            </w:r>
          </w:p>
        </w:tc>
        <w:tc>
          <w:tcPr>
            <w:tcW w:w="200" w:type="dxa"/>
            <w:tcBorders>
              <w:top w:val="nil"/>
              <w:left w:val="nil"/>
              <w:bottom w:val="single" w:sz="8" w:space="0" w:color="7030A0"/>
              <w:right w:val="nil"/>
            </w:tcBorders>
            <w:shd w:val="clear" w:color="auto" w:fill="auto"/>
            <w:vAlign w:val="center"/>
            <w:hideMark/>
          </w:tcPr>
          <w:p w14:paraId="264385B1"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37" w:type="dxa"/>
            <w:tcBorders>
              <w:top w:val="nil"/>
              <w:left w:val="nil"/>
              <w:bottom w:val="single" w:sz="8" w:space="0" w:color="7030A0"/>
              <w:right w:val="nil"/>
            </w:tcBorders>
            <w:shd w:val="clear" w:color="auto" w:fill="auto"/>
            <w:vAlign w:val="center"/>
            <w:hideMark/>
          </w:tcPr>
          <w:p w14:paraId="076C926C"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256 161  </w:t>
            </w:r>
          </w:p>
        </w:tc>
        <w:tc>
          <w:tcPr>
            <w:tcW w:w="200" w:type="dxa"/>
            <w:tcBorders>
              <w:top w:val="nil"/>
              <w:left w:val="nil"/>
              <w:bottom w:val="single" w:sz="8" w:space="0" w:color="7030A0"/>
              <w:right w:val="nil"/>
            </w:tcBorders>
            <w:shd w:val="clear" w:color="auto" w:fill="auto"/>
            <w:vAlign w:val="center"/>
            <w:hideMark/>
          </w:tcPr>
          <w:p w14:paraId="6B39F8C5"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68" w:type="dxa"/>
            <w:tcBorders>
              <w:top w:val="nil"/>
              <w:left w:val="nil"/>
              <w:bottom w:val="single" w:sz="8" w:space="0" w:color="7030A0"/>
              <w:right w:val="nil"/>
            </w:tcBorders>
            <w:shd w:val="clear" w:color="auto" w:fill="auto"/>
            <w:vAlign w:val="center"/>
            <w:hideMark/>
          </w:tcPr>
          <w:p w14:paraId="2A099EF8" w14:textId="77777777" w:rsidR="00F46C7B" w:rsidRPr="00C73365" w:rsidRDefault="00881350" w:rsidP="00A96CCA">
            <w:pPr>
              <w:spacing w:after="0"/>
              <w:jc w:val="right"/>
              <w:rPr>
                <w:rFonts w:asciiTheme="minorHAnsi" w:hAnsiTheme="minorHAnsi" w:cstheme="minorHAnsi"/>
                <w:b/>
                <w:bCs/>
                <w:color w:val="7030A0"/>
                <w:szCs w:val="20"/>
                <w:highlight w:val="yellow"/>
                <w:lang w:val="fr-FR" w:eastAsia="fr-FR"/>
              </w:rPr>
            </w:pPr>
            <w:r w:rsidRPr="00C73365">
              <w:rPr>
                <w:rFonts w:asciiTheme="minorHAnsi" w:hAnsiTheme="minorHAnsi" w:cstheme="minorHAnsi"/>
                <w:b/>
                <w:bCs/>
                <w:color w:val="7030A0"/>
                <w:szCs w:val="20"/>
                <w:lang w:val="fr-FR" w:eastAsia="fr-FR"/>
              </w:rPr>
              <w:t>1 453 499</w:t>
            </w:r>
          </w:p>
        </w:tc>
        <w:tc>
          <w:tcPr>
            <w:tcW w:w="200" w:type="dxa"/>
            <w:tcBorders>
              <w:top w:val="nil"/>
              <w:left w:val="nil"/>
              <w:bottom w:val="single" w:sz="8" w:space="0" w:color="7030A0"/>
              <w:right w:val="nil"/>
            </w:tcBorders>
            <w:shd w:val="clear" w:color="auto" w:fill="auto"/>
            <w:vAlign w:val="center"/>
            <w:hideMark/>
          </w:tcPr>
          <w:p w14:paraId="4E245E3E"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63" w:type="dxa"/>
            <w:tcBorders>
              <w:top w:val="nil"/>
              <w:left w:val="nil"/>
              <w:bottom w:val="single" w:sz="8" w:space="0" w:color="7030A0"/>
              <w:right w:val="nil"/>
            </w:tcBorders>
            <w:shd w:val="clear" w:color="auto" w:fill="auto"/>
            <w:vAlign w:val="center"/>
            <w:hideMark/>
          </w:tcPr>
          <w:p w14:paraId="64405BAB" w14:textId="77777777"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714 237  </w:t>
            </w:r>
          </w:p>
        </w:tc>
        <w:tc>
          <w:tcPr>
            <w:tcW w:w="157" w:type="dxa"/>
            <w:tcBorders>
              <w:top w:val="nil"/>
              <w:left w:val="nil"/>
              <w:bottom w:val="nil"/>
              <w:right w:val="nil"/>
            </w:tcBorders>
            <w:shd w:val="clear" w:color="auto" w:fill="auto"/>
            <w:vAlign w:val="center"/>
            <w:hideMark/>
          </w:tcPr>
          <w:p w14:paraId="1409A596" w14:textId="77777777"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709" w:type="dxa"/>
            <w:tcBorders>
              <w:top w:val="nil"/>
              <w:left w:val="nil"/>
              <w:bottom w:val="single" w:sz="8" w:space="0" w:color="7030A0"/>
              <w:right w:val="nil"/>
            </w:tcBorders>
            <w:shd w:val="clear" w:color="auto" w:fill="auto"/>
            <w:vAlign w:val="center"/>
            <w:hideMark/>
          </w:tcPr>
          <w:p w14:paraId="512225A3" w14:textId="77777777" w:rsidR="00F46C7B" w:rsidRPr="00C73365" w:rsidRDefault="00881350"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4 758 237</w:t>
            </w:r>
            <w:r w:rsidR="002F7301" w:rsidRPr="00C73365">
              <w:rPr>
                <w:rFonts w:asciiTheme="minorHAnsi" w:hAnsiTheme="minorHAnsi" w:cstheme="minorHAnsi"/>
                <w:b/>
                <w:bCs/>
                <w:color w:val="7030A0"/>
                <w:szCs w:val="20"/>
                <w:lang w:val="fr-FR" w:eastAsia="fr-FR"/>
              </w:rPr>
              <w:t xml:space="preserve">  </w:t>
            </w:r>
          </w:p>
        </w:tc>
      </w:tr>
    </w:tbl>
    <w:p w14:paraId="03FEC5DE" w14:textId="77777777" w:rsidR="00F46C7B" w:rsidRPr="00C73365" w:rsidRDefault="00F46C7B" w:rsidP="004572A0">
      <w:pPr>
        <w:pStyle w:val="Lgende"/>
        <w:rPr>
          <w:rFonts w:asciiTheme="minorHAnsi" w:hAnsiTheme="minorHAnsi" w:cstheme="minorHAnsi"/>
          <w:lang w:val="fr-FR"/>
        </w:rPr>
      </w:pPr>
      <w:r w:rsidRPr="00C73365">
        <w:rPr>
          <w:rFonts w:asciiTheme="minorHAnsi" w:hAnsiTheme="minorHAnsi" w:cstheme="minorHAnsi"/>
          <w:lang w:val="fr-FR"/>
        </w:rPr>
        <w:t>* Montant maximal versé au titre de la prochaine étape clé</w:t>
      </w:r>
    </w:p>
    <w:p w14:paraId="5FF9787D" w14:textId="77777777" w:rsidR="00F46C7B" w:rsidRPr="00C73365" w:rsidRDefault="00F46C7B" w:rsidP="004572A0">
      <w:pPr>
        <w:pStyle w:val="Corpsdetexte"/>
        <w:rPr>
          <w:rFonts w:asciiTheme="minorHAnsi" w:hAnsiTheme="minorHAnsi" w:cstheme="minorHAnsi"/>
          <w:i/>
          <w:lang w:val="fr-FR"/>
        </w:rPr>
      </w:pPr>
      <w:r w:rsidRPr="00C73365">
        <w:rPr>
          <w:rFonts w:asciiTheme="minorHAnsi" w:hAnsiTheme="minorHAnsi" w:cstheme="minorHAnsi"/>
          <w:i/>
          <w:lang w:val="fr-FR"/>
        </w:rPr>
        <w:t>** Solde (15% minimum)</w:t>
      </w:r>
    </w:p>
    <w:p w14:paraId="00903F03" w14:textId="77777777" w:rsidR="000E3F43" w:rsidRPr="00C73365" w:rsidRDefault="000E3F43" w:rsidP="00A96CCA">
      <w:pPr>
        <w:spacing w:after="0"/>
        <w:rPr>
          <w:rFonts w:asciiTheme="minorHAnsi" w:hAnsiTheme="minorHAnsi" w:cstheme="minorHAnsi"/>
          <w:sz w:val="8"/>
          <w:szCs w:val="8"/>
          <w:lang w:val="fr-FR"/>
        </w:rPr>
      </w:pPr>
    </w:p>
    <w:p w14:paraId="38CE0346" w14:textId="77777777" w:rsidR="000E3F43" w:rsidRPr="00C73365" w:rsidRDefault="000E3F43" w:rsidP="00A96CCA">
      <w:pPr>
        <w:spacing w:after="0"/>
        <w:rPr>
          <w:rFonts w:asciiTheme="minorHAnsi" w:hAnsiTheme="minorHAnsi" w:cstheme="minorHAnsi"/>
          <w:sz w:val="8"/>
          <w:szCs w:val="8"/>
          <w:lang w:val="fr-FR"/>
        </w:rPr>
      </w:pPr>
    </w:p>
    <w:p w14:paraId="52605C36"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lastRenderedPageBreak/>
        <w:t xml:space="preserve">Les retours financiers dus à </w:t>
      </w:r>
      <w:r w:rsidR="001479F8">
        <w:rPr>
          <w:rFonts w:asciiTheme="minorHAnsi" w:hAnsiTheme="minorHAnsi" w:cstheme="minorHAnsi"/>
          <w:lang w:val="fr-FR"/>
        </w:rPr>
        <w:t>Bpifrance</w:t>
      </w:r>
      <w:r w:rsidRPr="00C73365">
        <w:rPr>
          <w:rFonts w:asciiTheme="minorHAnsi" w:hAnsiTheme="minorHAnsi" w:cstheme="minorHAnsi"/>
          <w:lang w:val="fr-FR"/>
        </w:rPr>
        <w:t xml:space="preserve"> au titre des avances remboursables du projet CaReNA comprennent, d’une part le remboursement du nominal des avances remboursables actualisé au taux communautaire en vigueur à la date de décision d’octroi de l’aide par </w:t>
      </w:r>
      <w:r w:rsidR="001479F8">
        <w:rPr>
          <w:rFonts w:asciiTheme="minorHAnsi" w:hAnsiTheme="minorHAnsi" w:cstheme="minorHAnsi"/>
          <w:lang w:val="fr-FR"/>
        </w:rPr>
        <w:t>Bpifrance</w:t>
      </w:r>
      <w:r w:rsidRPr="00C73365">
        <w:rPr>
          <w:rFonts w:asciiTheme="minorHAnsi" w:hAnsiTheme="minorHAnsi" w:cstheme="minorHAnsi"/>
          <w:lang w:val="fr-FR"/>
        </w:rPr>
        <w:t xml:space="preserve"> majoré de 100 points de base, d’autre part des versements complémentaires</w:t>
      </w:r>
      <w:r w:rsidR="008B3EAD" w:rsidRPr="00C73365">
        <w:rPr>
          <w:rFonts w:asciiTheme="minorHAnsi" w:hAnsiTheme="minorHAnsi" w:cstheme="minorHAnsi"/>
          <w:lang w:val="fr-FR"/>
        </w:rPr>
        <w:t>.</w:t>
      </w:r>
    </w:p>
    <w:p w14:paraId="55BE695E"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Dans le cadre du contrat bénéficiaire d’avance remboursable, la Société s’est engagée à rembourser un montant total de 4 397 000 euros selon l’échéancier forfaitaire prévisionnel suivant :</w:t>
      </w:r>
    </w:p>
    <w:tbl>
      <w:tblPr>
        <w:tblpPr w:leftFromText="141" w:rightFromText="141" w:vertAnchor="text" w:horzAnchor="page" w:tblpX="4376" w:tblpY="122"/>
        <w:tblW w:w="3946" w:type="dxa"/>
        <w:tblCellMar>
          <w:left w:w="70" w:type="dxa"/>
          <w:right w:w="70" w:type="dxa"/>
        </w:tblCellMar>
        <w:tblLook w:val="04A0" w:firstRow="1" w:lastRow="0" w:firstColumn="1" w:lastColumn="0" w:noHBand="0" w:noVBand="1"/>
      </w:tblPr>
      <w:tblGrid>
        <w:gridCol w:w="2500"/>
        <w:gridCol w:w="146"/>
        <w:gridCol w:w="1300"/>
      </w:tblGrid>
      <w:tr w:rsidR="00F46C7B" w:rsidRPr="00C73365" w14:paraId="375E71E3" w14:textId="77777777"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hideMark/>
          </w:tcPr>
          <w:p w14:paraId="04DD2E9E" w14:textId="77777777"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2020</w:t>
            </w:r>
          </w:p>
        </w:tc>
        <w:tc>
          <w:tcPr>
            <w:tcW w:w="146" w:type="dxa"/>
            <w:tcBorders>
              <w:top w:val="single" w:sz="4" w:space="0" w:color="7030A0"/>
              <w:left w:val="nil"/>
              <w:bottom w:val="single" w:sz="4" w:space="0" w:color="7030A0"/>
              <w:right w:val="nil"/>
            </w:tcBorders>
            <w:shd w:val="clear" w:color="auto" w:fill="auto"/>
            <w:noWrap/>
            <w:vAlign w:val="bottom"/>
            <w:hideMark/>
          </w:tcPr>
          <w:p w14:paraId="3452135B" w14:textId="77777777"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hideMark/>
          </w:tcPr>
          <w:p w14:paraId="4BBD4720" w14:textId="77777777"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300 </w:t>
            </w:r>
            <w:r w:rsidR="00EF089C" w:rsidRPr="00C73365">
              <w:rPr>
                <w:rFonts w:asciiTheme="minorHAnsi" w:hAnsiTheme="minorHAnsi" w:cstheme="minorHAnsi"/>
                <w:lang w:val="fr-FR"/>
              </w:rPr>
              <w:t>K€</w:t>
            </w:r>
          </w:p>
        </w:tc>
      </w:tr>
      <w:tr w:rsidR="00F46C7B" w:rsidRPr="00C73365" w14:paraId="43FDFCF0" w14:textId="77777777"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tcPr>
          <w:p w14:paraId="3D43F472" w14:textId="77777777"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2021</w:t>
            </w:r>
          </w:p>
        </w:tc>
        <w:tc>
          <w:tcPr>
            <w:tcW w:w="146" w:type="dxa"/>
            <w:tcBorders>
              <w:top w:val="single" w:sz="4" w:space="0" w:color="7030A0"/>
              <w:left w:val="nil"/>
              <w:bottom w:val="single" w:sz="4" w:space="0" w:color="7030A0"/>
              <w:right w:val="nil"/>
            </w:tcBorders>
            <w:shd w:val="clear" w:color="auto" w:fill="auto"/>
            <w:noWrap/>
            <w:vAlign w:val="bottom"/>
          </w:tcPr>
          <w:p w14:paraId="7305913A" w14:textId="77777777"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tcPr>
          <w:p w14:paraId="37A159C7" w14:textId="77777777"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500 </w:t>
            </w:r>
            <w:r w:rsidR="00EF089C" w:rsidRPr="00C73365">
              <w:rPr>
                <w:rFonts w:asciiTheme="minorHAnsi" w:hAnsiTheme="minorHAnsi" w:cstheme="minorHAnsi"/>
                <w:lang w:val="fr-FR"/>
              </w:rPr>
              <w:t>K€</w:t>
            </w:r>
          </w:p>
        </w:tc>
      </w:tr>
      <w:tr w:rsidR="00F46C7B" w:rsidRPr="00C73365" w14:paraId="4738E3CB" w14:textId="77777777"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tcPr>
          <w:p w14:paraId="01DD4E45" w14:textId="77777777"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2022</w:t>
            </w:r>
          </w:p>
        </w:tc>
        <w:tc>
          <w:tcPr>
            <w:tcW w:w="146" w:type="dxa"/>
            <w:tcBorders>
              <w:top w:val="single" w:sz="4" w:space="0" w:color="7030A0"/>
              <w:left w:val="nil"/>
              <w:bottom w:val="single" w:sz="4" w:space="0" w:color="7030A0"/>
              <w:right w:val="nil"/>
            </w:tcBorders>
            <w:shd w:val="clear" w:color="auto" w:fill="auto"/>
            <w:noWrap/>
            <w:vAlign w:val="bottom"/>
          </w:tcPr>
          <w:p w14:paraId="221060B2" w14:textId="77777777"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tcPr>
          <w:p w14:paraId="695A45E9" w14:textId="77777777"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750 </w:t>
            </w:r>
            <w:r w:rsidR="00EF089C" w:rsidRPr="00C73365">
              <w:rPr>
                <w:rFonts w:asciiTheme="minorHAnsi" w:hAnsiTheme="minorHAnsi" w:cstheme="minorHAnsi"/>
                <w:lang w:val="fr-FR"/>
              </w:rPr>
              <w:t>K€</w:t>
            </w:r>
          </w:p>
        </w:tc>
      </w:tr>
      <w:tr w:rsidR="00F46C7B" w:rsidRPr="00C73365" w14:paraId="23202C6A" w14:textId="77777777" w:rsidTr="009538A0">
        <w:trPr>
          <w:trHeight w:val="288"/>
        </w:trPr>
        <w:tc>
          <w:tcPr>
            <w:tcW w:w="2500" w:type="dxa"/>
            <w:tcBorders>
              <w:top w:val="nil"/>
              <w:left w:val="nil"/>
              <w:bottom w:val="single" w:sz="4" w:space="0" w:color="7030A0"/>
              <w:right w:val="nil"/>
            </w:tcBorders>
            <w:shd w:val="clear" w:color="auto" w:fill="auto"/>
            <w:noWrap/>
            <w:vAlign w:val="center"/>
          </w:tcPr>
          <w:p w14:paraId="6C87CF04" w14:textId="77777777" w:rsidR="00F46C7B" w:rsidRPr="00C73365" w:rsidRDefault="00F46C7B" w:rsidP="009538A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2023</w:t>
            </w:r>
          </w:p>
        </w:tc>
        <w:tc>
          <w:tcPr>
            <w:tcW w:w="146" w:type="dxa"/>
            <w:tcBorders>
              <w:top w:val="nil"/>
              <w:left w:val="nil"/>
              <w:bottom w:val="single" w:sz="4" w:space="0" w:color="7030A0"/>
              <w:right w:val="nil"/>
            </w:tcBorders>
            <w:shd w:val="clear" w:color="auto" w:fill="auto"/>
            <w:noWrap/>
            <w:vAlign w:val="bottom"/>
          </w:tcPr>
          <w:p w14:paraId="311DB85A" w14:textId="77777777" w:rsidR="00F46C7B" w:rsidRPr="00C73365" w:rsidRDefault="00F46C7B" w:rsidP="009538A0">
            <w:pPr>
              <w:spacing w:after="0"/>
              <w:rPr>
                <w:rFonts w:asciiTheme="minorHAnsi" w:hAnsiTheme="minorHAnsi" w:cstheme="minorHAnsi"/>
                <w:color w:val="000000"/>
                <w:szCs w:val="20"/>
                <w:lang w:val="fr-FR" w:eastAsia="fr-FR"/>
              </w:rPr>
            </w:pPr>
          </w:p>
        </w:tc>
        <w:tc>
          <w:tcPr>
            <w:tcW w:w="1300" w:type="dxa"/>
            <w:tcBorders>
              <w:top w:val="nil"/>
              <w:left w:val="nil"/>
              <w:bottom w:val="single" w:sz="4" w:space="0" w:color="7030A0"/>
              <w:right w:val="nil"/>
            </w:tcBorders>
            <w:shd w:val="clear" w:color="auto" w:fill="auto"/>
            <w:noWrap/>
          </w:tcPr>
          <w:p w14:paraId="5C361DC0" w14:textId="77777777" w:rsidR="00F46C7B" w:rsidRPr="00C73365" w:rsidRDefault="00F46C7B" w:rsidP="009538A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1 100 </w:t>
            </w:r>
            <w:r w:rsidR="00EF089C" w:rsidRPr="00C73365">
              <w:rPr>
                <w:rFonts w:asciiTheme="minorHAnsi" w:hAnsiTheme="minorHAnsi" w:cstheme="minorHAnsi"/>
                <w:color w:val="000000"/>
                <w:szCs w:val="20"/>
                <w:lang w:val="fr-FR" w:eastAsia="fr-FR"/>
              </w:rPr>
              <w:t>K€</w:t>
            </w:r>
          </w:p>
        </w:tc>
      </w:tr>
      <w:tr w:rsidR="00F46C7B" w:rsidRPr="00C73365" w14:paraId="16551ACC" w14:textId="77777777" w:rsidTr="009538A0">
        <w:trPr>
          <w:trHeight w:val="288"/>
        </w:trPr>
        <w:tc>
          <w:tcPr>
            <w:tcW w:w="2500" w:type="dxa"/>
            <w:tcBorders>
              <w:top w:val="nil"/>
              <w:left w:val="nil"/>
              <w:bottom w:val="single" w:sz="4" w:space="0" w:color="7030A0"/>
              <w:right w:val="nil"/>
            </w:tcBorders>
            <w:shd w:val="clear" w:color="auto" w:fill="auto"/>
            <w:noWrap/>
            <w:vAlign w:val="center"/>
          </w:tcPr>
          <w:p w14:paraId="245493EF" w14:textId="77777777" w:rsidR="00F46C7B" w:rsidRPr="00C73365" w:rsidRDefault="00F46C7B" w:rsidP="009538A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2024</w:t>
            </w:r>
          </w:p>
        </w:tc>
        <w:tc>
          <w:tcPr>
            <w:tcW w:w="146" w:type="dxa"/>
            <w:tcBorders>
              <w:top w:val="nil"/>
              <w:left w:val="nil"/>
              <w:bottom w:val="single" w:sz="4" w:space="0" w:color="7030A0"/>
              <w:right w:val="nil"/>
            </w:tcBorders>
            <w:shd w:val="clear" w:color="auto" w:fill="auto"/>
            <w:noWrap/>
            <w:vAlign w:val="bottom"/>
          </w:tcPr>
          <w:p w14:paraId="5BBBFEDB" w14:textId="77777777" w:rsidR="00F46C7B" w:rsidRPr="00C73365" w:rsidRDefault="00F46C7B" w:rsidP="009538A0">
            <w:pPr>
              <w:spacing w:after="0"/>
              <w:rPr>
                <w:rFonts w:asciiTheme="minorHAnsi" w:hAnsiTheme="minorHAnsi" w:cstheme="minorHAnsi"/>
                <w:color w:val="000000"/>
                <w:szCs w:val="20"/>
                <w:lang w:val="fr-FR" w:eastAsia="fr-FR"/>
              </w:rPr>
            </w:pPr>
          </w:p>
        </w:tc>
        <w:tc>
          <w:tcPr>
            <w:tcW w:w="1300" w:type="dxa"/>
            <w:tcBorders>
              <w:top w:val="nil"/>
              <w:left w:val="nil"/>
              <w:bottom w:val="single" w:sz="4" w:space="0" w:color="7030A0"/>
              <w:right w:val="nil"/>
            </w:tcBorders>
            <w:shd w:val="clear" w:color="auto" w:fill="auto"/>
            <w:noWrap/>
          </w:tcPr>
          <w:p w14:paraId="562CF8E4" w14:textId="77777777" w:rsidR="00F46C7B" w:rsidRPr="00C73365" w:rsidRDefault="00F46C7B" w:rsidP="009538A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1 747 </w:t>
            </w:r>
            <w:r w:rsidR="00EF089C" w:rsidRPr="00C73365">
              <w:rPr>
                <w:rFonts w:asciiTheme="minorHAnsi" w:hAnsiTheme="minorHAnsi" w:cstheme="minorHAnsi"/>
                <w:color w:val="000000"/>
                <w:szCs w:val="20"/>
                <w:lang w:val="fr-FR" w:eastAsia="fr-FR"/>
              </w:rPr>
              <w:t>K€</w:t>
            </w:r>
          </w:p>
        </w:tc>
      </w:tr>
      <w:tr w:rsidR="00F46C7B" w:rsidRPr="00C73365" w14:paraId="67847B14" w14:textId="77777777" w:rsidTr="009538A0">
        <w:trPr>
          <w:trHeight w:val="454"/>
        </w:trPr>
        <w:tc>
          <w:tcPr>
            <w:tcW w:w="2500" w:type="dxa"/>
            <w:tcBorders>
              <w:top w:val="single" w:sz="4" w:space="0" w:color="7030A0"/>
              <w:left w:val="nil"/>
              <w:bottom w:val="single" w:sz="4" w:space="0" w:color="7030A0"/>
              <w:right w:val="nil"/>
            </w:tcBorders>
            <w:shd w:val="clear" w:color="auto" w:fill="auto"/>
            <w:noWrap/>
            <w:vAlign w:val="center"/>
            <w:hideMark/>
          </w:tcPr>
          <w:p w14:paraId="59F1C106" w14:textId="77777777" w:rsidR="00F46C7B" w:rsidRPr="00C73365" w:rsidRDefault="00F46C7B" w:rsidP="009538A0">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46" w:type="dxa"/>
            <w:tcBorders>
              <w:top w:val="single" w:sz="4" w:space="0" w:color="7030A0"/>
              <w:left w:val="nil"/>
              <w:bottom w:val="single" w:sz="4" w:space="0" w:color="7030A0"/>
              <w:right w:val="nil"/>
            </w:tcBorders>
            <w:shd w:val="clear" w:color="auto" w:fill="auto"/>
            <w:vAlign w:val="center"/>
            <w:hideMark/>
          </w:tcPr>
          <w:p w14:paraId="2A86F6DF" w14:textId="77777777" w:rsidR="00F46C7B" w:rsidRPr="00C73365" w:rsidRDefault="00F46C7B" w:rsidP="009538A0">
            <w:pPr>
              <w:spacing w:after="0"/>
              <w:rPr>
                <w:rFonts w:asciiTheme="minorHAnsi" w:hAnsiTheme="minorHAnsi" w:cstheme="minorHAnsi"/>
                <w:b/>
                <w:color w:val="7030A0"/>
                <w:szCs w:val="20"/>
                <w:lang w:val="fr-FR" w:eastAsia="fr-FR"/>
              </w:rPr>
            </w:pPr>
          </w:p>
        </w:tc>
        <w:tc>
          <w:tcPr>
            <w:tcW w:w="1300" w:type="dxa"/>
            <w:tcBorders>
              <w:top w:val="single" w:sz="4" w:space="0" w:color="7030A0"/>
              <w:left w:val="nil"/>
              <w:bottom w:val="single" w:sz="4" w:space="0" w:color="7030A0"/>
              <w:right w:val="nil"/>
            </w:tcBorders>
            <w:shd w:val="clear" w:color="auto" w:fill="auto"/>
            <w:vAlign w:val="center"/>
            <w:hideMark/>
          </w:tcPr>
          <w:p w14:paraId="16B98DE0" w14:textId="77777777" w:rsidR="00F46C7B" w:rsidRPr="00C73365" w:rsidRDefault="00F46C7B" w:rsidP="009538A0">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4 397 </w:t>
            </w:r>
            <w:r w:rsidR="00EF089C" w:rsidRPr="00C73365">
              <w:rPr>
                <w:rFonts w:asciiTheme="minorHAnsi" w:hAnsiTheme="minorHAnsi" w:cstheme="minorHAnsi"/>
                <w:b/>
                <w:color w:val="7030A0"/>
                <w:szCs w:val="20"/>
                <w:lang w:val="fr-FR" w:eastAsia="fr-FR"/>
              </w:rPr>
              <w:t>K€</w:t>
            </w:r>
          </w:p>
        </w:tc>
      </w:tr>
    </w:tbl>
    <w:p w14:paraId="60728AA7" w14:textId="77777777" w:rsidR="00F46C7B" w:rsidRPr="00C73365" w:rsidRDefault="00F46C7B" w:rsidP="00A96CCA">
      <w:pPr>
        <w:spacing w:after="0"/>
        <w:rPr>
          <w:rFonts w:asciiTheme="minorHAnsi" w:hAnsiTheme="minorHAnsi" w:cstheme="minorHAnsi"/>
          <w:lang w:val="fr-FR"/>
        </w:rPr>
      </w:pPr>
    </w:p>
    <w:p w14:paraId="253E0116" w14:textId="77777777" w:rsidR="00F46C7B" w:rsidRPr="00C73365" w:rsidRDefault="00F46C7B" w:rsidP="00A96CCA">
      <w:pPr>
        <w:spacing w:after="0"/>
        <w:rPr>
          <w:rFonts w:asciiTheme="minorHAnsi" w:hAnsiTheme="minorHAnsi" w:cstheme="minorHAnsi"/>
          <w:lang w:val="fr-FR"/>
        </w:rPr>
      </w:pPr>
    </w:p>
    <w:p w14:paraId="56BC695B" w14:textId="77777777" w:rsidR="00007EC8" w:rsidRPr="00C73365" w:rsidRDefault="00007EC8" w:rsidP="00A96CCA">
      <w:pPr>
        <w:spacing w:after="0"/>
        <w:rPr>
          <w:rFonts w:asciiTheme="minorHAnsi" w:hAnsiTheme="minorHAnsi" w:cstheme="minorHAnsi"/>
          <w:lang w:val="fr-FR"/>
        </w:rPr>
      </w:pPr>
    </w:p>
    <w:p w14:paraId="1522A306" w14:textId="77777777" w:rsidR="00007EC8" w:rsidRPr="00C73365" w:rsidRDefault="00007EC8" w:rsidP="00A96CCA">
      <w:pPr>
        <w:spacing w:after="0"/>
        <w:rPr>
          <w:rFonts w:asciiTheme="minorHAnsi" w:hAnsiTheme="minorHAnsi" w:cstheme="minorHAnsi"/>
          <w:lang w:val="fr-FR"/>
        </w:rPr>
      </w:pPr>
    </w:p>
    <w:p w14:paraId="6CD4E449" w14:textId="77777777" w:rsidR="00007EC8" w:rsidRPr="00C73365" w:rsidRDefault="00007EC8" w:rsidP="00A96CCA">
      <w:pPr>
        <w:spacing w:after="0"/>
        <w:rPr>
          <w:rFonts w:asciiTheme="minorHAnsi" w:hAnsiTheme="minorHAnsi" w:cstheme="minorHAnsi"/>
          <w:lang w:val="fr-FR"/>
        </w:rPr>
      </w:pPr>
    </w:p>
    <w:p w14:paraId="3E46ACD2" w14:textId="77777777" w:rsidR="00007EC8" w:rsidRPr="00C73365" w:rsidRDefault="00007EC8" w:rsidP="00A96CCA">
      <w:pPr>
        <w:spacing w:after="0"/>
        <w:rPr>
          <w:rFonts w:asciiTheme="minorHAnsi" w:hAnsiTheme="minorHAnsi" w:cstheme="minorHAnsi"/>
          <w:lang w:val="fr-FR"/>
        </w:rPr>
      </w:pPr>
    </w:p>
    <w:p w14:paraId="3860C822" w14:textId="77777777" w:rsidR="00332F45" w:rsidRPr="00C73365" w:rsidRDefault="00332F45" w:rsidP="00A96CCA">
      <w:pPr>
        <w:spacing w:after="0"/>
        <w:rPr>
          <w:rFonts w:asciiTheme="minorHAnsi" w:hAnsiTheme="minorHAnsi" w:cstheme="minorHAnsi"/>
          <w:lang w:val="fr-FR"/>
        </w:rPr>
      </w:pPr>
    </w:p>
    <w:p w14:paraId="73EAA401" w14:textId="77777777" w:rsidR="00332F45" w:rsidRPr="00C73365" w:rsidRDefault="00332F45" w:rsidP="00A96CCA">
      <w:pPr>
        <w:spacing w:after="0"/>
        <w:rPr>
          <w:rFonts w:asciiTheme="minorHAnsi" w:hAnsiTheme="minorHAnsi" w:cstheme="minorHAnsi"/>
          <w:lang w:val="fr-FR"/>
        </w:rPr>
      </w:pPr>
    </w:p>
    <w:p w14:paraId="0BA2AA89" w14:textId="77777777" w:rsidR="00820BE1" w:rsidRDefault="00820BE1" w:rsidP="004572A0">
      <w:pPr>
        <w:pStyle w:val="Corpsdetexte"/>
        <w:rPr>
          <w:rFonts w:asciiTheme="minorHAnsi" w:hAnsiTheme="minorHAnsi" w:cstheme="minorHAnsi"/>
          <w:lang w:val="fr-FR"/>
        </w:rPr>
      </w:pPr>
      <w:bookmarkStart w:id="1615" w:name="_Hlk510180253"/>
    </w:p>
    <w:p w14:paraId="7A74FA18" w14:textId="77777777" w:rsidR="009E7D93" w:rsidRPr="00C73365" w:rsidRDefault="009E7D93"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Ce montant correspond au montant maximum d’avances remboursables prévus initialement par le contrat. </w:t>
      </w:r>
      <w:r w:rsidR="00F46C7B" w:rsidRPr="00C73365">
        <w:rPr>
          <w:rFonts w:asciiTheme="minorHAnsi" w:hAnsiTheme="minorHAnsi" w:cstheme="minorHAnsi"/>
          <w:lang w:val="fr-FR"/>
        </w:rPr>
        <w:t xml:space="preserve">Dans </w:t>
      </w:r>
      <w:r w:rsidR="003C16D4" w:rsidRPr="00C73365">
        <w:rPr>
          <w:rFonts w:asciiTheme="minorHAnsi" w:hAnsiTheme="minorHAnsi" w:cstheme="minorHAnsi"/>
          <w:lang w:val="fr-FR"/>
        </w:rPr>
        <w:t>le cas</w:t>
      </w:r>
      <w:r w:rsidR="00F46C7B" w:rsidRPr="00C73365">
        <w:rPr>
          <w:rFonts w:asciiTheme="minorHAnsi" w:hAnsiTheme="minorHAnsi" w:cstheme="minorHAnsi"/>
          <w:lang w:val="fr-FR"/>
        </w:rPr>
        <w:t xml:space="preserve"> où le montant total des avances remboursables effectivement versé par </w:t>
      </w:r>
      <w:r w:rsidR="001479F8">
        <w:rPr>
          <w:rFonts w:asciiTheme="minorHAnsi" w:hAnsiTheme="minorHAnsi" w:cstheme="minorHAnsi"/>
          <w:lang w:val="fr-FR"/>
        </w:rPr>
        <w:t>Bpifrance</w:t>
      </w:r>
      <w:r w:rsidR="00F46C7B" w:rsidRPr="00C73365">
        <w:rPr>
          <w:rFonts w:asciiTheme="minorHAnsi" w:hAnsiTheme="minorHAnsi" w:cstheme="minorHAnsi"/>
          <w:lang w:val="fr-FR"/>
        </w:rPr>
        <w:t xml:space="preserve"> serait inférieur </w:t>
      </w:r>
      <w:r w:rsidR="009538A0" w:rsidRPr="00C73365">
        <w:rPr>
          <w:rFonts w:asciiTheme="minorHAnsi" w:hAnsiTheme="minorHAnsi" w:cstheme="minorHAnsi"/>
          <w:lang w:val="fr-FR"/>
        </w:rPr>
        <w:t>à la somme convenue</w:t>
      </w:r>
      <w:r w:rsidR="00F46C7B" w:rsidRPr="00C73365">
        <w:rPr>
          <w:rFonts w:asciiTheme="minorHAnsi" w:hAnsiTheme="minorHAnsi" w:cstheme="minorHAnsi"/>
          <w:lang w:val="fr-FR"/>
        </w:rPr>
        <w:t xml:space="preserve"> initialement (</w:t>
      </w:r>
      <w:r w:rsidR="003F0197" w:rsidRPr="00C73365">
        <w:rPr>
          <w:rFonts w:asciiTheme="minorHAnsi" w:hAnsiTheme="minorHAnsi" w:cstheme="minorHAnsi"/>
          <w:lang w:val="fr-FR"/>
        </w:rPr>
        <w:t>initialement</w:t>
      </w:r>
      <w:r w:rsidR="00F46C7B" w:rsidRPr="00C73365">
        <w:rPr>
          <w:rFonts w:asciiTheme="minorHAnsi" w:hAnsiTheme="minorHAnsi" w:cstheme="minorHAnsi"/>
          <w:lang w:val="fr-FR"/>
        </w:rPr>
        <w:t xml:space="preserve"> 3</w:t>
      </w:r>
      <w:r w:rsidR="00317657" w:rsidRPr="00C73365">
        <w:rPr>
          <w:rFonts w:asciiTheme="minorHAnsi" w:hAnsiTheme="minorHAnsi" w:cstheme="minorHAnsi"/>
          <w:lang w:val="fr-FR"/>
        </w:rPr>
        <w:t> </w:t>
      </w:r>
      <w:r w:rsidR="00F46C7B" w:rsidRPr="00C73365">
        <w:rPr>
          <w:rFonts w:asciiTheme="minorHAnsi" w:hAnsiTheme="minorHAnsi" w:cstheme="minorHAnsi"/>
          <w:lang w:val="fr-FR"/>
        </w:rPr>
        <w:t>8</w:t>
      </w:r>
      <w:r w:rsidR="00317657" w:rsidRPr="00C73365">
        <w:rPr>
          <w:rFonts w:asciiTheme="minorHAnsi" w:hAnsiTheme="minorHAnsi" w:cstheme="minorHAnsi"/>
          <w:lang w:val="fr-FR"/>
        </w:rPr>
        <w:t xml:space="preserve">30 </w:t>
      </w:r>
      <w:r w:rsidR="00EF089C" w:rsidRPr="00C73365">
        <w:rPr>
          <w:rFonts w:asciiTheme="minorHAnsi" w:hAnsiTheme="minorHAnsi" w:cstheme="minorHAnsi"/>
          <w:lang w:val="fr-FR"/>
        </w:rPr>
        <w:t>K€</w:t>
      </w:r>
      <w:r w:rsidR="00F46C7B" w:rsidRPr="00C73365">
        <w:rPr>
          <w:rFonts w:asciiTheme="minorHAnsi" w:hAnsiTheme="minorHAnsi" w:cstheme="minorHAnsi"/>
          <w:lang w:val="fr-FR"/>
        </w:rPr>
        <w:t xml:space="preserve">), les remboursements indiqués ci-dessus seront réduits au prorata des sommes versées.  </w:t>
      </w:r>
    </w:p>
    <w:bookmarkEnd w:id="1615"/>
    <w:p w14:paraId="74AB70FD" w14:textId="77777777" w:rsidR="00C8587A" w:rsidRPr="00C73365" w:rsidRDefault="009E7D93"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cas échéant,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verser à </w:t>
      </w:r>
      <w:r w:rsidR="001479F8">
        <w:rPr>
          <w:rFonts w:asciiTheme="minorHAnsi" w:hAnsiTheme="minorHAnsi" w:cstheme="minorHAnsi"/>
          <w:lang w:val="fr-FR"/>
        </w:rPr>
        <w:t>Bpifrance</w:t>
      </w:r>
      <w:r w:rsidRPr="00C73365">
        <w:rPr>
          <w:rFonts w:asciiTheme="minorHAnsi" w:hAnsiTheme="minorHAnsi" w:cstheme="minorHAnsi"/>
          <w:lang w:val="fr-FR"/>
        </w:rPr>
        <w:t xml:space="preserve"> une annuité égale à 50 % du produit généré par la cession des titres de propriété intellectuelle issus du projet, ainsi que la cession des prototypes, préséries et maquettes réalisées dans le cadre du projet. Dans ce cas, les sommes versées seront déduites en priorité et à due concurrence de l’ultime échéance visées ci-dessus et le cas échéant des précédentes. </w:t>
      </w:r>
    </w:p>
    <w:p w14:paraId="701A86EE" w14:textId="77777777" w:rsidR="008B3EAD" w:rsidRPr="00C73365" w:rsidRDefault="008B3EAD"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Concernant les versements complémentaires, les conditions suivantes seront appliquées. 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pendant une durée de 5 année consécutive après la date de terminaison de l’échéancier et dès lors qu’elle aura atteint un montant cumulé de chiffre d’affaires hors taxes égal ou supérieur à 50 000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1.2% du chiffre d’affaires annuel généré par l’exploitation des produits issus du projet.</w:t>
      </w:r>
      <w:r w:rsidR="00234CD1"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Le montant des versements complémentaires est plafonné à la somme de 6 800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r w:rsidR="00234CD1"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14:paraId="44B73D64" w14:textId="77777777" w:rsidR="00C8587A" w:rsidRPr="00C73365" w:rsidRDefault="00C8587A" w:rsidP="00A96CCA">
      <w:pPr>
        <w:spacing w:after="0"/>
        <w:rPr>
          <w:rFonts w:asciiTheme="minorHAnsi" w:hAnsiTheme="minorHAnsi" w:cstheme="minorHAnsi"/>
          <w:lang w:val="fr-FR"/>
        </w:rPr>
      </w:pPr>
    </w:p>
    <w:p w14:paraId="44BAF294" w14:textId="77777777"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Projet </w:t>
      </w:r>
      <w:r w:rsidR="000E5435" w:rsidRPr="00C73365">
        <w:rPr>
          <w:rFonts w:asciiTheme="minorHAnsi" w:hAnsiTheme="minorHAnsi" w:cstheme="minorHAnsi"/>
          <w:b/>
          <w:color w:val="7030A0"/>
          <w:lang w:val="fr-FR"/>
        </w:rPr>
        <w:t>PSPC</w:t>
      </w:r>
      <w:r w:rsidR="009414F6" w:rsidRPr="00C73365">
        <w:rPr>
          <w:rFonts w:asciiTheme="minorHAnsi" w:hAnsiTheme="minorHAnsi" w:cstheme="minorHAnsi"/>
          <w:b/>
          <w:color w:val="7030A0"/>
          <w:lang w:val="fr-FR"/>
        </w:rPr>
        <w:t xml:space="preserve"> </w:t>
      </w:r>
      <w:r w:rsidRPr="00C73365">
        <w:rPr>
          <w:rFonts w:asciiTheme="minorHAnsi" w:hAnsiTheme="minorHAnsi" w:cstheme="minorHAnsi"/>
          <w:b/>
          <w:color w:val="7030A0"/>
          <w:lang w:val="fr-FR"/>
        </w:rPr>
        <w:t xml:space="preserve">« RNP VIR » </w:t>
      </w:r>
    </w:p>
    <w:p w14:paraId="52F8FC05" w14:textId="77777777" w:rsidR="00C8587A" w:rsidRPr="00C73365" w:rsidRDefault="00C8587A" w:rsidP="00A96CCA">
      <w:pPr>
        <w:spacing w:after="0"/>
        <w:rPr>
          <w:rFonts w:asciiTheme="minorHAnsi" w:hAnsiTheme="minorHAnsi" w:cstheme="minorHAnsi"/>
          <w:lang w:val="fr-FR"/>
        </w:rPr>
      </w:pPr>
    </w:p>
    <w:p w14:paraId="34E92701"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Dans la continuité du projet CaReNa, focalisé sur le développement clinique d’une molécule et ayant permis de démontrer la validité d’une approche thérapeutique innovante ciblant les RNPs virales,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conclu avec </w:t>
      </w:r>
      <w:r w:rsidR="001479F8">
        <w:rPr>
          <w:rFonts w:asciiTheme="minorHAnsi" w:hAnsiTheme="minorHAnsi" w:cstheme="minorHAnsi"/>
          <w:lang w:val="fr-FR"/>
        </w:rPr>
        <w:t>Bpifrance</w:t>
      </w:r>
      <w:r w:rsidRPr="00C73365">
        <w:rPr>
          <w:rFonts w:asciiTheme="minorHAnsi" w:hAnsiTheme="minorHAnsi" w:cstheme="minorHAnsi"/>
          <w:lang w:val="fr-FR"/>
        </w:rPr>
        <w:t xml:space="preserve"> un contrat cadre d’aide ainsi qu’un contrat bénéficiaire d’avance remboursable au projet de recherche et développement structurants pour la compétitivité « RNP VIR » en date du 1</w:t>
      </w:r>
      <w:r w:rsidR="00BE2C65" w:rsidRPr="00C73365">
        <w:rPr>
          <w:rFonts w:asciiTheme="minorHAnsi" w:hAnsiTheme="minorHAnsi" w:cstheme="minorHAnsi"/>
          <w:lang w:val="fr-FR"/>
        </w:rPr>
        <w:t>6</w:t>
      </w:r>
      <w:r w:rsidRPr="00C73365">
        <w:rPr>
          <w:rFonts w:asciiTheme="minorHAnsi" w:hAnsiTheme="minorHAnsi" w:cstheme="minorHAnsi"/>
          <w:lang w:val="fr-FR"/>
        </w:rPr>
        <w:t xml:space="preserve"> décembre 2016.</w:t>
      </w:r>
    </w:p>
    <w:p w14:paraId="6F8A2D5F"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Le projet RNP-VIR permettra d’approfondir les méthodes de découverte de nouvelles molécules visant au traitement de multiples maladies infectieuses par le développement de la plateforme technologique antivirale. </w:t>
      </w:r>
    </w:p>
    <w:p w14:paraId="22FB97D0" w14:textId="77777777" w:rsidR="00F46C7B" w:rsidRPr="00C73365" w:rsidRDefault="00EF089C" w:rsidP="004572A0">
      <w:pPr>
        <w:pStyle w:val="Corpsdetexte"/>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agissant en qualité de chef de file du projet RNP VIR, est associée dans le cadre d’un contrat de consortium au CNRS et à l’Institut Curie.</w:t>
      </w:r>
    </w:p>
    <w:p w14:paraId="28FBDB9C"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En fonction de la réalisation de certaines phases et étapes clés, 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w:t>
      </w:r>
      <w:r w:rsidR="001479F8">
        <w:rPr>
          <w:rFonts w:asciiTheme="minorHAnsi" w:hAnsiTheme="minorHAnsi" w:cstheme="minorHAnsi"/>
          <w:lang w:val="fr-FR"/>
        </w:rPr>
        <w:t>Bpifrance</w:t>
      </w:r>
      <w:r w:rsidRPr="00C73365">
        <w:rPr>
          <w:rFonts w:asciiTheme="minorHAnsi" w:hAnsiTheme="minorHAnsi" w:cstheme="minorHAnsi"/>
          <w:lang w:val="fr-FR"/>
        </w:rPr>
        <w:t xml:space="preserve"> au projet RNP Vir se décompose entre :</w:t>
      </w:r>
    </w:p>
    <w:p w14:paraId="6124A95D" w14:textId="77777777" w:rsidR="00F46C7B" w:rsidRPr="00C73365" w:rsidRDefault="00F46C7B" w:rsidP="00B170BA">
      <w:pPr>
        <w:pStyle w:val="Paragraphedeliste"/>
        <w:numPr>
          <w:ilvl w:val="0"/>
          <w:numId w:val="40"/>
        </w:numPr>
        <w:spacing w:after="0"/>
        <w:rPr>
          <w:rFonts w:asciiTheme="minorHAnsi" w:hAnsiTheme="minorHAnsi" w:cstheme="minorHAnsi"/>
          <w:lang w:val="fr-FR"/>
        </w:rPr>
      </w:pPr>
      <w:r w:rsidRPr="00C73365">
        <w:rPr>
          <w:rFonts w:asciiTheme="minorHAnsi" w:hAnsiTheme="minorHAnsi" w:cstheme="minorHAnsi"/>
          <w:lang w:val="fr-FR"/>
        </w:rPr>
        <w:t xml:space="preserve">des subventions pour un montant global maximum de 4 043 658 euros dont 2 111 734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de subvention de 50% des dépenses programmées) ; et</w:t>
      </w:r>
    </w:p>
    <w:p w14:paraId="56824FBE" w14:textId="77777777" w:rsidR="00F46C7B" w:rsidRPr="00C73365" w:rsidRDefault="00F46C7B" w:rsidP="00B170BA">
      <w:pPr>
        <w:pStyle w:val="Paragraphedeliste"/>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avances remboursables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montant global maximum de 6 297 925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d’avance remboursable de 50% des dépenses programmées).</w:t>
      </w:r>
    </w:p>
    <w:p w14:paraId="603A08A2" w14:textId="77777777" w:rsidR="00F46C7B" w:rsidRPr="00C73365" w:rsidRDefault="00F46C7B" w:rsidP="00A96CCA">
      <w:pPr>
        <w:spacing w:after="0"/>
        <w:rPr>
          <w:rFonts w:asciiTheme="minorHAnsi" w:hAnsiTheme="minorHAnsi" w:cstheme="minorHAnsi"/>
          <w:lang w:val="fr-FR"/>
        </w:rPr>
      </w:pPr>
    </w:p>
    <w:p w14:paraId="2D6A1C2C"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Echéancier versements maximaux des subventions par étape clé (en euros) :</w:t>
      </w:r>
    </w:p>
    <w:tbl>
      <w:tblPr>
        <w:tblW w:w="10209" w:type="dxa"/>
        <w:tblCellMar>
          <w:left w:w="70" w:type="dxa"/>
          <w:right w:w="70" w:type="dxa"/>
        </w:tblCellMar>
        <w:tblLook w:val="04A0" w:firstRow="1" w:lastRow="0" w:firstColumn="1" w:lastColumn="0" w:noHBand="0" w:noVBand="1"/>
      </w:tblPr>
      <w:tblGrid>
        <w:gridCol w:w="1207"/>
        <w:gridCol w:w="146"/>
        <w:gridCol w:w="1151"/>
        <w:gridCol w:w="146"/>
        <w:gridCol w:w="1108"/>
        <w:gridCol w:w="146"/>
        <w:gridCol w:w="1108"/>
        <w:gridCol w:w="146"/>
        <w:gridCol w:w="1108"/>
        <w:gridCol w:w="146"/>
        <w:gridCol w:w="1108"/>
        <w:gridCol w:w="146"/>
        <w:gridCol w:w="1108"/>
        <w:gridCol w:w="146"/>
        <w:gridCol w:w="1289"/>
      </w:tblGrid>
      <w:tr w:rsidR="0093444B" w:rsidRPr="00036317" w14:paraId="54F79B3B" w14:textId="77777777" w:rsidTr="0093444B">
        <w:trPr>
          <w:trHeight w:val="804"/>
        </w:trPr>
        <w:tc>
          <w:tcPr>
            <w:tcW w:w="1207" w:type="dxa"/>
            <w:tcBorders>
              <w:top w:val="single" w:sz="12" w:space="0" w:color="7030A0"/>
              <w:left w:val="nil"/>
              <w:bottom w:val="single" w:sz="8" w:space="0" w:color="7030A0"/>
              <w:right w:val="nil"/>
            </w:tcBorders>
            <w:shd w:val="clear" w:color="auto" w:fill="auto"/>
            <w:vAlign w:val="center"/>
            <w:hideMark/>
          </w:tcPr>
          <w:p w14:paraId="5AC79E59"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lastRenderedPageBreak/>
              <w:t>Bénéficiaires</w:t>
            </w:r>
          </w:p>
        </w:tc>
        <w:tc>
          <w:tcPr>
            <w:tcW w:w="146" w:type="dxa"/>
            <w:tcBorders>
              <w:top w:val="nil"/>
              <w:left w:val="nil"/>
              <w:bottom w:val="nil"/>
              <w:right w:val="nil"/>
            </w:tcBorders>
            <w:shd w:val="clear" w:color="auto" w:fill="auto"/>
            <w:noWrap/>
            <w:vAlign w:val="bottom"/>
            <w:hideMark/>
          </w:tcPr>
          <w:p w14:paraId="3712986B"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51" w:type="dxa"/>
            <w:tcBorders>
              <w:top w:val="single" w:sz="12" w:space="0" w:color="7030A0"/>
              <w:left w:val="nil"/>
              <w:bottom w:val="single" w:sz="8" w:space="0" w:color="7030A0"/>
              <w:right w:val="nil"/>
            </w:tcBorders>
            <w:shd w:val="clear" w:color="auto" w:fill="auto"/>
            <w:vAlign w:val="center"/>
            <w:hideMark/>
          </w:tcPr>
          <w:p w14:paraId="5F6E23C6"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p>
        </w:tc>
        <w:tc>
          <w:tcPr>
            <w:tcW w:w="146" w:type="dxa"/>
            <w:tcBorders>
              <w:top w:val="nil"/>
              <w:left w:val="nil"/>
              <w:bottom w:val="nil"/>
              <w:right w:val="nil"/>
            </w:tcBorders>
            <w:shd w:val="clear" w:color="auto" w:fill="auto"/>
            <w:noWrap/>
            <w:vAlign w:val="bottom"/>
            <w:hideMark/>
          </w:tcPr>
          <w:p w14:paraId="1F5F5A25"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14:paraId="2811F08B"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14:paraId="5345D9B0"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14:paraId="39BD22EF"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14:paraId="27F1F72E"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14:paraId="08A456B6"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14:paraId="239F4408"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14:paraId="3001BE6C"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14:paraId="4DF31511"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14:paraId="017C133B"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14:paraId="0FFA810C"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289" w:type="dxa"/>
            <w:tcBorders>
              <w:top w:val="single" w:sz="12" w:space="0" w:color="7030A0"/>
              <w:left w:val="nil"/>
              <w:bottom w:val="single" w:sz="8" w:space="0" w:color="7030A0"/>
              <w:right w:val="nil"/>
            </w:tcBorders>
            <w:shd w:val="clear" w:color="auto" w:fill="auto"/>
            <w:vAlign w:val="center"/>
            <w:hideMark/>
          </w:tcPr>
          <w:p w14:paraId="18356F32" w14:textId="77777777"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F46C7B" w:rsidRPr="00C73365" w14:paraId="19EE96A7" w14:textId="77777777" w:rsidTr="0093444B">
        <w:trPr>
          <w:trHeight w:val="205"/>
        </w:trPr>
        <w:tc>
          <w:tcPr>
            <w:tcW w:w="1207" w:type="dxa"/>
            <w:tcBorders>
              <w:top w:val="nil"/>
              <w:left w:val="nil"/>
              <w:bottom w:val="nil"/>
              <w:right w:val="nil"/>
            </w:tcBorders>
            <w:shd w:val="clear" w:color="auto" w:fill="auto"/>
            <w:vAlign w:val="center"/>
            <w:hideMark/>
          </w:tcPr>
          <w:p w14:paraId="3A0B0242" w14:textId="77777777"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14:paraId="53627BA3"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151" w:type="dxa"/>
            <w:tcBorders>
              <w:top w:val="nil"/>
              <w:left w:val="nil"/>
              <w:bottom w:val="nil"/>
              <w:right w:val="nil"/>
            </w:tcBorders>
            <w:shd w:val="clear" w:color="auto" w:fill="auto"/>
            <w:vAlign w:val="center"/>
            <w:hideMark/>
          </w:tcPr>
          <w:p w14:paraId="042DF802"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347</w:t>
            </w:r>
            <w:r w:rsidR="00354796"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14:paraId="72900564"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14:paraId="1A2BD507"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523 000</w:t>
            </w:r>
          </w:p>
        </w:tc>
        <w:tc>
          <w:tcPr>
            <w:tcW w:w="146" w:type="dxa"/>
            <w:tcBorders>
              <w:top w:val="nil"/>
              <w:left w:val="nil"/>
              <w:bottom w:val="nil"/>
              <w:right w:val="nil"/>
            </w:tcBorders>
            <w:shd w:val="clear" w:color="auto" w:fill="auto"/>
            <w:noWrap/>
            <w:vAlign w:val="bottom"/>
            <w:hideMark/>
          </w:tcPr>
          <w:p w14:paraId="1E981F39"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14:paraId="4CF29197"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414 000</w:t>
            </w:r>
          </w:p>
        </w:tc>
        <w:tc>
          <w:tcPr>
            <w:tcW w:w="146" w:type="dxa"/>
            <w:tcBorders>
              <w:top w:val="nil"/>
              <w:left w:val="nil"/>
              <w:bottom w:val="nil"/>
              <w:right w:val="nil"/>
            </w:tcBorders>
            <w:shd w:val="clear" w:color="auto" w:fill="auto"/>
            <w:noWrap/>
            <w:vAlign w:val="bottom"/>
            <w:hideMark/>
          </w:tcPr>
          <w:p w14:paraId="10C83D6D"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14:paraId="6CE943D4"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414 000</w:t>
            </w:r>
          </w:p>
        </w:tc>
        <w:tc>
          <w:tcPr>
            <w:tcW w:w="146" w:type="dxa"/>
            <w:tcBorders>
              <w:top w:val="nil"/>
              <w:left w:val="nil"/>
              <w:bottom w:val="nil"/>
              <w:right w:val="nil"/>
            </w:tcBorders>
            <w:shd w:val="clear" w:color="auto" w:fill="auto"/>
            <w:noWrap/>
            <w:vAlign w:val="bottom"/>
            <w:hideMark/>
          </w:tcPr>
          <w:p w14:paraId="4BDC15EC"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14:paraId="5541ECF4"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96 000</w:t>
            </w:r>
          </w:p>
        </w:tc>
        <w:tc>
          <w:tcPr>
            <w:tcW w:w="146" w:type="dxa"/>
            <w:tcBorders>
              <w:top w:val="nil"/>
              <w:left w:val="nil"/>
              <w:bottom w:val="nil"/>
              <w:right w:val="nil"/>
            </w:tcBorders>
            <w:shd w:val="clear" w:color="auto" w:fill="auto"/>
            <w:noWrap/>
            <w:vAlign w:val="bottom"/>
            <w:hideMark/>
          </w:tcPr>
          <w:p w14:paraId="5D2C2DE5"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14:paraId="02E9A18E"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317 734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14:paraId="57E7859F"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289" w:type="dxa"/>
            <w:tcBorders>
              <w:top w:val="nil"/>
              <w:left w:val="nil"/>
              <w:bottom w:val="nil"/>
              <w:right w:val="nil"/>
            </w:tcBorders>
            <w:shd w:val="clear" w:color="auto" w:fill="auto"/>
            <w:vAlign w:val="center"/>
            <w:hideMark/>
          </w:tcPr>
          <w:p w14:paraId="67FE1814"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2 111 734</w:t>
            </w:r>
          </w:p>
        </w:tc>
      </w:tr>
      <w:tr w:rsidR="00F46C7B" w:rsidRPr="00C73365" w14:paraId="2487ED96" w14:textId="77777777" w:rsidTr="0093444B">
        <w:trPr>
          <w:trHeight w:val="214"/>
        </w:trPr>
        <w:tc>
          <w:tcPr>
            <w:tcW w:w="1207" w:type="dxa"/>
            <w:tcBorders>
              <w:top w:val="nil"/>
              <w:left w:val="nil"/>
              <w:bottom w:val="single" w:sz="8" w:space="0" w:color="7030A0"/>
              <w:right w:val="nil"/>
            </w:tcBorders>
            <w:shd w:val="clear" w:color="auto" w:fill="auto"/>
            <w:vAlign w:val="center"/>
            <w:hideMark/>
          </w:tcPr>
          <w:p w14:paraId="711640E8" w14:textId="77777777"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46" w:type="dxa"/>
            <w:tcBorders>
              <w:top w:val="nil"/>
              <w:left w:val="nil"/>
              <w:bottom w:val="nil"/>
              <w:right w:val="nil"/>
            </w:tcBorders>
            <w:shd w:val="clear" w:color="auto" w:fill="auto"/>
            <w:noWrap/>
            <w:vAlign w:val="bottom"/>
            <w:hideMark/>
          </w:tcPr>
          <w:p w14:paraId="7DC505FB"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151" w:type="dxa"/>
            <w:tcBorders>
              <w:top w:val="nil"/>
              <w:left w:val="nil"/>
              <w:bottom w:val="single" w:sz="8" w:space="0" w:color="7030A0"/>
              <w:right w:val="nil"/>
            </w:tcBorders>
            <w:shd w:val="clear" w:color="auto" w:fill="auto"/>
            <w:vAlign w:val="center"/>
            <w:hideMark/>
          </w:tcPr>
          <w:p w14:paraId="0A835836"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721 000</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14:paraId="6BDBC3FD"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14:paraId="68FABFD6"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534 000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14:paraId="769E698D"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14:paraId="36444D3F"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228 000</w:t>
            </w:r>
            <w:r w:rsidRPr="00C73365">
              <w:rPr>
                <w:rFonts w:asciiTheme="minorHAnsi" w:hAnsiTheme="minorHAnsi" w:cstheme="minorHAnsi"/>
                <w:color w:val="7030A0"/>
                <w:sz w:val="18"/>
                <w:szCs w:val="18"/>
                <w:lang w:val="fr-FR" w:eastAsia="fr-FR"/>
              </w:rPr>
              <w:t xml:space="preserve"> **</w:t>
            </w:r>
          </w:p>
        </w:tc>
        <w:tc>
          <w:tcPr>
            <w:tcW w:w="146" w:type="dxa"/>
            <w:tcBorders>
              <w:top w:val="nil"/>
              <w:left w:val="nil"/>
              <w:bottom w:val="nil"/>
              <w:right w:val="nil"/>
            </w:tcBorders>
            <w:shd w:val="clear" w:color="auto" w:fill="auto"/>
            <w:noWrap/>
            <w:vAlign w:val="bottom"/>
            <w:hideMark/>
          </w:tcPr>
          <w:p w14:paraId="755429A6"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14:paraId="38CEB540"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159 000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14:paraId="6D0C1A1C"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14:paraId="0452976A"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0</w:t>
            </w:r>
          </w:p>
        </w:tc>
        <w:tc>
          <w:tcPr>
            <w:tcW w:w="146" w:type="dxa"/>
            <w:tcBorders>
              <w:top w:val="nil"/>
              <w:left w:val="nil"/>
              <w:bottom w:val="nil"/>
              <w:right w:val="nil"/>
            </w:tcBorders>
            <w:shd w:val="clear" w:color="auto" w:fill="auto"/>
            <w:noWrap/>
            <w:vAlign w:val="bottom"/>
            <w:hideMark/>
          </w:tcPr>
          <w:p w14:paraId="6F877F11"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14:paraId="3C22ACE8"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289 924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14:paraId="19501255"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289" w:type="dxa"/>
            <w:tcBorders>
              <w:top w:val="nil"/>
              <w:left w:val="nil"/>
              <w:bottom w:val="single" w:sz="8" w:space="0" w:color="7030A0"/>
              <w:right w:val="nil"/>
            </w:tcBorders>
            <w:shd w:val="clear" w:color="auto" w:fill="auto"/>
            <w:vAlign w:val="center"/>
            <w:hideMark/>
          </w:tcPr>
          <w:p w14:paraId="2FDBF662"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1 931 924 </w:t>
            </w:r>
            <w:r w:rsidRPr="00C73365">
              <w:rPr>
                <w:rFonts w:asciiTheme="minorHAnsi" w:hAnsiTheme="minorHAnsi" w:cstheme="minorHAnsi"/>
                <w:color w:val="7030A0"/>
                <w:sz w:val="18"/>
                <w:szCs w:val="18"/>
                <w:lang w:val="fr-FR" w:eastAsia="fr-FR"/>
              </w:rPr>
              <w:t>**</w:t>
            </w:r>
          </w:p>
        </w:tc>
      </w:tr>
      <w:tr w:rsidR="00F46C7B" w:rsidRPr="00C73365" w14:paraId="51BC7C96" w14:textId="77777777" w:rsidTr="0093444B">
        <w:trPr>
          <w:trHeight w:val="214"/>
        </w:trPr>
        <w:tc>
          <w:tcPr>
            <w:tcW w:w="1207" w:type="dxa"/>
            <w:tcBorders>
              <w:top w:val="nil"/>
              <w:left w:val="nil"/>
              <w:bottom w:val="single" w:sz="8" w:space="0" w:color="7030A0"/>
              <w:right w:val="nil"/>
            </w:tcBorders>
            <w:shd w:val="clear" w:color="auto" w:fill="auto"/>
            <w:vAlign w:val="center"/>
            <w:hideMark/>
          </w:tcPr>
          <w:p w14:paraId="0DB2611F" w14:textId="77777777"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14:paraId="0F449CA2" w14:textId="77777777" w:rsidR="00F46C7B" w:rsidRPr="00C73365" w:rsidRDefault="00F46C7B" w:rsidP="00A96CCA">
            <w:pPr>
              <w:spacing w:after="0"/>
              <w:rPr>
                <w:rFonts w:asciiTheme="minorHAnsi" w:hAnsiTheme="minorHAnsi" w:cstheme="minorHAnsi"/>
                <w:b/>
                <w:bCs/>
                <w:color w:val="7030A0"/>
                <w:szCs w:val="20"/>
                <w:lang w:val="fr-FR" w:eastAsia="fr-FR"/>
              </w:rPr>
            </w:pPr>
          </w:p>
        </w:tc>
        <w:tc>
          <w:tcPr>
            <w:tcW w:w="1151" w:type="dxa"/>
            <w:tcBorders>
              <w:top w:val="nil"/>
              <w:left w:val="nil"/>
              <w:bottom w:val="single" w:sz="8" w:space="0" w:color="7030A0"/>
              <w:right w:val="nil"/>
            </w:tcBorders>
            <w:shd w:val="clear" w:color="auto" w:fill="auto"/>
            <w:vAlign w:val="center"/>
            <w:hideMark/>
          </w:tcPr>
          <w:p w14:paraId="5639B96F"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1 068 000</w:t>
            </w:r>
          </w:p>
        </w:tc>
        <w:tc>
          <w:tcPr>
            <w:tcW w:w="146" w:type="dxa"/>
            <w:tcBorders>
              <w:top w:val="nil"/>
              <w:left w:val="nil"/>
              <w:bottom w:val="nil"/>
              <w:right w:val="nil"/>
            </w:tcBorders>
            <w:shd w:val="clear" w:color="auto" w:fill="auto"/>
            <w:noWrap/>
            <w:vAlign w:val="bottom"/>
            <w:hideMark/>
          </w:tcPr>
          <w:p w14:paraId="7F8BB535"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14:paraId="2DB3A2F3"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1 057 000  </w:t>
            </w:r>
          </w:p>
        </w:tc>
        <w:tc>
          <w:tcPr>
            <w:tcW w:w="146" w:type="dxa"/>
            <w:tcBorders>
              <w:top w:val="nil"/>
              <w:left w:val="nil"/>
              <w:bottom w:val="nil"/>
              <w:right w:val="nil"/>
            </w:tcBorders>
            <w:shd w:val="clear" w:color="auto" w:fill="auto"/>
            <w:noWrap/>
            <w:vAlign w:val="bottom"/>
            <w:hideMark/>
          </w:tcPr>
          <w:p w14:paraId="5F7EFEF2"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14:paraId="26076C5F"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642 000</w:t>
            </w:r>
          </w:p>
        </w:tc>
        <w:tc>
          <w:tcPr>
            <w:tcW w:w="146" w:type="dxa"/>
            <w:tcBorders>
              <w:top w:val="nil"/>
              <w:left w:val="nil"/>
              <w:bottom w:val="nil"/>
              <w:right w:val="nil"/>
            </w:tcBorders>
            <w:shd w:val="clear" w:color="auto" w:fill="auto"/>
            <w:noWrap/>
            <w:vAlign w:val="bottom"/>
            <w:hideMark/>
          </w:tcPr>
          <w:p w14:paraId="05D545EB"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14:paraId="61E7EDD5"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573 000</w:t>
            </w:r>
          </w:p>
        </w:tc>
        <w:tc>
          <w:tcPr>
            <w:tcW w:w="146" w:type="dxa"/>
            <w:tcBorders>
              <w:top w:val="nil"/>
              <w:left w:val="nil"/>
              <w:bottom w:val="nil"/>
              <w:right w:val="nil"/>
            </w:tcBorders>
            <w:shd w:val="clear" w:color="auto" w:fill="auto"/>
            <w:noWrap/>
            <w:vAlign w:val="bottom"/>
            <w:hideMark/>
          </w:tcPr>
          <w:p w14:paraId="199BFDB1"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14:paraId="106025B4"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96 000</w:t>
            </w:r>
          </w:p>
        </w:tc>
        <w:tc>
          <w:tcPr>
            <w:tcW w:w="146" w:type="dxa"/>
            <w:tcBorders>
              <w:top w:val="nil"/>
              <w:left w:val="nil"/>
              <w:bottom w:val="nil"/>
              <w:right w:val="nil"/>
            </w:tcBorders>
            <w:shd w:val="clear" w:color="auto" w:fill="auto"/>
            <w:noWrap/>
            <w:vAlign w:val="bottom"/>
            <w:hideMark/>
          </w:tcPr>
          <w:p w14:paraId="539318EC"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14:paraId="4D2FE7DB"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607 658 </w:t>
            </w:r>
            <w:r w:rsidRPr="00C73365">
              <w:rPr>
                <w:rFonts w:asciiTheme="minorHAnsi" w:hAnsiTheme="minorHAnsi" w:cstheme="minorHAnsi"/>
                <w:b/>
                <w:bCs/>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14:paraId="41DE9965"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289" w:type="dxa"/>
            <w:tcBorders>
              <w:top w:val="nil"/>
              <w:left w:val="nil"/>
              <w:bottom w:val="single" w:sz="8" w:space="0" w:color="7030A0"/>
              <w:right w:val="nil"/>
            </w:tcBorders>
            <w:shd w:val="clear" w:color="auto" w:fill="auto"/>
            <w:vAlign w:val="center"/>
            <w:hideMark/>
          </w:tcPr>
          <w:p w14:paraId="13AF938E"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4 043 658</w:t>
            </w:r>
          </w:p>
        </w:tc>
      </w:tr>
    </w:tbl>
    <w:p w14:paraId="470463B4" w14:textId="77777777" w:rsidR="00F46C7B" w:rsidRPr="00C73365" w:rsidRDefault="00F46C7B" w:rsidP="004572A0">
      <w:pPr>
        <w:pStyle w:val="Lgende"/>
        <w:rPr>
          <w:rFonts w:asciiTheme="minorHAnsi" w:hAnsiTheme="minorHAnsi" w:cstheme="minorHAnsi"/>
          <w:lang w:val="fr-FR"/>
        </w:rPr>
      </w:pPr>
      <w:r w:rsidRPr="00C73365">
        <w:rPr>
          <w:rFonts w:asciiTheme="minorHAnsi" w:hAnsiTheme="minorHAnsi" w:cstheme="minorHAnsi"/>
          <w:lang w:val="fr-FR"/>
        </w:rPr>
        <w:t>T0 = 02/01/2017</w:t>
      </w:r>
    </w:p>
    <w:p w14:paraId="0E71C8BC" w14:textId="77777777" w:rsidR="00F46C7B" w:rsidRPr="00C93577" w:rsidRDefault="00F46C7B" w:rsidP="004572A0">
      <w:pPr>
        <w:pStyle w:val="Listepuces"/>
        <w:rPr>
          <w:rFonts w:asciiTheme="minorHAnsi" w:hAnsiTheme="minorHAnsi" w:cstheme="minorHAnsi"/>
          <w:lang w:val="fr-FR"/>
        </w:rPr>
      </w:pPr>
      <w:r w:rsidRPr="00C93577">
        <w:rPr>
          <w:rFonts w:asciiTheme="minorHAnsi" w:hAnsiTheme="minorHAnsi" w:cstheme="minorHAnsi"/>
          <w:lang w:val="fr-FR"/>
        </w:rPr>
        <w:t>15% minimum du montant total des subventions</w:t>
      </w:r>
    </w:p>
    <w:p w14:paraId="3E2E8DB1" w14:textId="77777777" w:rsidR="00F46C7B" w:rsidRPr="00C73365" w:rsidRDefault="00F46C7B" w:rsidP="004572A0">
      <w:pPr>
        <w:pStyle w:val="Corpsdetexte"/>
        <w:rPr>
          <w:rFonts w:asciiTheme="minorHAnsi" w:hAnsiTheme="minorHAnsi" w:cstheme="minorHAnsi"/>
          <w:i/>
          <w:lang w:val="fr-FR"/>
        </w:rPr>
      </w:pPr>
      <w:r w:rsidRPr="00C73365">
        <w:rPr>
          <w:rFonts w:asciiTheme="minorHAnsi" w:hAnsiTheme="minorHAnsi" w:cstheme="minorHAnsi"/>
          <w:i/>
          <w:lang w:val="fr-FR"/>
        </w:rPr>
        <w:t>** Subventions avec Retours à l’Etat</w:t>
      </w:r>
    </w:p>
    <w:p w14:paraId="1AFE9E63" w14:textId="77777777"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14:paraId="350F02B3" w14:textId="77777777" w:rsidR="00F46C7B" w:rsidRPr="00C73365" w:rsidRDefault="00F46C7B" w:rsidP="004572A0">
      <w:pPr>
        <w:pStyle w:val="Corpsdetexte"/>
        <w:rPr>
          <w:rFonts w:asciiTheme="minorHAnsi" w:hAnsiTheme="minorHAnsi" w:cstheme="minorHAnsi"/>
          <w:b/>
          <w:lang w:val="fr-FR"/>
        </w:rPr>
      </w:pPr>
      <w:r w:rsidRPr="00C73365">
        <w:rPr>
          <w:rFonts w:asciiTheme="minorHAnsi" w:hAnsiTheme="minorHAnsi" w:cstheme="minorHAnsi"/>
          <w:b/>
          <w:lang w:val="fr-FR"/>
        </w:rPr>
        <w:t>Echéancier versements maximaux des avances remboursables par étape clé(en euros) :</w:t>
      </w:r>
    </w:p>
    <w:tbl>
      <w:tblPr>
        <w:tblW w:w="9937" w:type="dxa"/>
        <w:tblCellMar>
          <w:left w:w="70" w:type="dxa"/>
          <w:right w:w="70" w:type="dxa"/>
        </w:tblCellMar>
        <w:tblLook w:val="04A0" w:firstRow="1" w:lastRow="0" w:firstColumn="1" w:lastColumn="0" w:noHBand="0" w:noVBand="1"/>
      </w:tblPr>
      <w:tblGrid>
        <w:gridCol w:w="1206"/>
        <w:gridCol w:w="146"/>
        <w:gridCol w:w="1218"/>
        <w:gridCol w:w="146"/>
        <w:gridCol w:w="1049"/>
        <w:gridCol w:w="146"/>
        <w:gridCol w:w="1050"/>
        <w:gridCol w:w="146"/>
        <w:gridCol w:w="1050"/>
        <w:gridCol w:w="146"/>
        <w:gridCol w:w="1042"/>
        <w:gridCol w:w="146"/>
        <w:gridCol w:w="1042"/>
        <w:gridCol w:w="146"/>
        <w:gridCol w:w="1258"/>
      </w:tblGrid>
      <w:tr w:rsidR="00F46C7B" w:rsidRPr="00036317" w14:paraId="379DEE69" w14:textId="77777777" w:rsidTr="007C607C">
        <w:trPr>
          <w:trHeight w:val="944"/>
        </w:trPr>
        <w:tc>
          <w:tcPr>
            <w:tcW w:w="1206" w:type="dxa"/>
            <w:tcBorders>
              <w:top w:val="single" w:sz="12" w:space="0" w:color="7030A0"/>
              <w:left w:val="nil"/>
              <w:bottom w:val="single" w:sz="8" w:space="0" w:color="7030A0"/>
              <w:right w:val="nil"/>
            </w:tcBorders>
            <w:shd w:val="clear" w:color="auto" w:fill="auto"/>
            <w:vAlign w:val="center"/>
            <w:hideMark/>
          </w:tcPr>
          <w:p w14:paraId="1BE7527D"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14:paraId="14544780"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18" w:type="dxa"/>
            <w:tcBorders>
              <w:top w:val="single" w:sz="12" w:space="0" w:color="7030A0"/>
              <w:left w:val="nil"/>
              <w:bottom w:val="single" w:sz="8" w:space="0" w:color="7030A0"/>
              <w:right w:val="nil"/>
            </w:tcBorders>
            <w:shd w:val="clear" w:color="auto" w:fill="auto"/>
            <w:vAlign w:val="center"/>
            <w:hideMark/>
          </w:tcPr>
          <w:p w14:paraId="0047B4EC"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w:t>
            </w:r>
          </w:p>
        </w:tc>
        <w:tc>
          <w:tcPr>
            <w:tcW w:w="146" w:type="dxa"/>
            <w:tcBorders>
              <w:top w:val="nil"/>
              <w:left w:val="nil"/>
              <w:bottom w:val="nil"/>
              <w:right w:val="nil"/>
            </w:tcBorders>
            <w:shd w:val="clear" w:color="auto" w:fill="auto"/>
            <w:noWrap/>
            <w:vAlign w:val="bottom"/>
            <w:hideMark/>
          </w:tcPr>
          <w:p w14:paraId="59F476C8"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14:paraId="127DC794" w14:textId="77777777"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00F46C7B"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14:paraId="7E5E305C"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50" w:type="dxa"/>
            <w:tcBorders>
              <w:top w:val="single" w:sz="12" w:space="0" w:color="7030A0"/>
              <w:left w:val="nil"/>
              <w:bottom w:val="single" w:sz="8" w:space="0" w:color="7030A0"/>
              <w:right w:val="nil"/>
            </w:tcBorders>
            <w:shd w:val="clear" w:color="auto" w:fill="auto"/>
            <w:vAlign w:val="center"/>
            <w:hideMark/>
          </w:tcPr>
          <w:p w14:paraId="7E723114" w14:textId="77777777"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00F46C7B"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14:paraId="7DD1CF9D"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50" w:type="dxa"/>
            <w:tcBorders>
              <w:top w:val="single" w:sz="12" w:space="0" w:color="7030A0"/>
              <w:left w:val="nil"/>
              <w:bottom w:val="single" w:sz="8" w:space="0" w:color="7030A0"/>
              <w:right w:val="nil"/>
            </w:tcBorders>
            <w:shd w:val="clear" w:color="auto" w:fill="auto"/>
            <w:vAlign w:val="center"/>
            <w:hideMark/>
          </w:tcPr>
          <w:p w14:paraId="7516A3E8" w14:textId="77777777"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00F46C7B"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14:paraId="009AEE73"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2" w:type="dxa"/>
            <w:tcBorders>
              <w:top w:val="single" w:sz="12" w:space="0" w:color="7030A0"/>
              <w:left w:val="nil"/>
              <w:bottom w:val="single" w:sz="8" w:space="0" w:color="7030A0"/>
              <w:right w:val="nil"/>
            </w:tcBorders>
            <w:shd w:val="clear" w:color="auto" w:fill="auto"/>
            <w:vAlign w:val="center"/>
            <w:hideMark/>
          </w:tcPr>
          <w:p w14:paraId="52BA6C4C" w14:textId="77777777"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00F46C7B"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14:paraId="54D97421"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2" w:type="dxa"/>
            <w:tcBorders>
              <w:top w:val="single" w:sz="12" w:space="0" w:color="7030A0"/>
              <w:left w:val="nil"/>
              <w:bottom w:val="single" w:sz="8" w:space="0" w:color="7030A0"/>
              <w:right w:val="nil"/>
            </w:tcBorders>
            <w:shd w:val="clear" w:color="auto" w:fill="auto"/>
            <w:vAlign w:val="center"/>
            <w:hideMark/>
          </w:tcPr>
          <w:p w14:paraId="3548F719" w14:textId="77777777"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2022 </w:t>
            </w:r>
            <w:r w:rsidR="00F46C7B" w:rsidRPr="00C73365">
              <w:rPr>
                <w:rFonts w:asciiTheme="minorHAnsi" w:hAnsiTheme="minorHAnsi" w:cstheme="minorHAnsi"/>
                <w:b/>
                <w:bCs/>
                <w:color w:val="7030A0"/>
                <w:sz w:val="18"/>
                <w:szCs w:val="18"/>
                <w:lang w:val="fr-FR" w:eastAsia="fr-FR"/>
              </w:rPr>
              <w:t>*</w:t>
            </w:r>
            <w:r w:rsidR="00F46C7B" w:rsidRPr="00C73365">
              <w:rPr>
                <w:rFonts w:asciiTheme="minorHAnsi" w:hAnsiTheme="minorHAnsi" w:cstheme="minorHAnsi"/>
                <w:b/>
                <w:bCs/>
                <w:color w:val="7030A0"/>
                <w:sz w:val="18"/>
                <w:szCs w:val="18"/>
                <w:lang w:val="fr-FR" w:eastAsia="fr-FR"/>
              </w:rPr>
              <w:br/>
            </w:r>
            <w:r w:rsidR="00F46C7B"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14:paraId="4B3C3D24"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58" w:type="dxa"/>
            <w:tcBorders>
              <w:top w:val="single" w:sz="12" w:space="0" w:color="7030A0"/>
              <w:left w:val="nil"/>
              <w:bottom w:val="single" w:sz="8" w:space="0" w:color="7030A0"/>
              <w:right w:val="nil"/>
            </w:tcBorders>
            <w:shd w:val="clear" w:color="auto" w:fill="auto"/>
            <w:vAlign w:val="center"/>
            <w:hideMark/>
          </w:tcPr>
          <w:p w14:paraId="61027DB8" w14:textId="77777777"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avances récupérables</w:t>
            </w:r>
          </w:p>
        </w:tc>
      </w:tr>
      <w:tr w:rsidR="00F46C7B" w:rsidRPr="00C73365" w14:paraId="6FF8B643" w14:textId="77777777" w:rsidTr="007C607C">
        <w:trPr>
          <w:trHeight w:val="251"/>
        </w:trPr>
        <w:tc>
          <w:tcPr>
            <w:tcW w:w="1206" w:type="dxa"/>
            <w:tcBorders>
              <w:top w:val="nil"/>
              <w:left w:val="nil"/>
              <w:bottom w:val="single" w:sz="8" w:space="0" w:color="7030A0"/>
              <w:right w:val="nil"/>
            </w:tcBorders>
            <w:shd w:val="clear" w:color="auto" w:fill="auto"/>
            <w:vAlign w:val="center"/>
            <w:hideMark/>
          </w:tcPr>
          <w:p w14:paraId="40D00192" w14:textId="77777777"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14:paraId="06D90633" w14:textId="77777777" w:rsidR="00F46C7B" w:rsidRPr="00C73365" w:rsidRDefault="00F46C7B" w:rsidP="00A96CCA">
            <w:pPr>
              <w:spacing w:after="0"/>
              <w:rPr>
                <w:rFonts w:asciiTheme="minorHAnsi" w:hAnsiTheme="minorHAnsi" w:cstheme="minorHAnsi"/>
                <w:color w:val="000000"/>
                <w:szCs w:val="20"/>
                <w:lang w:val="fr-FR" w:eastAsia="fr-FR"/>
              </w:rPr>
            </w:pPr>
          </w:p>
        </w:tc>
        <w:tc>
          <w:tcPr>
            <w:tcW w:w="1218" w:type="dxa"/>
            <w:tcBorders>
              <w:top w:val="nil"/>
              <w:left w:val="nil"/>
              <w:bottom w:val="single" w:sz="8" w:space="0" w:color="7030A0"/>
              <w:right w:val="nil"/>
            </w:tcBorders>
            <w:shd w:val="clear" w:color="auto" w:fill="auto"/>
            <w:vAlign w:val="center"/>
            <w:hideMark/>
          </w:tcPr>
          <w:p w14:paraId="4ECF82EE"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756</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14:paraId="09DECB57"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14:paraId="432B8B24"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123</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14:paraId="7885C94E"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050" w:type="dxa"/>
            <w:tcBorders>
              <w:top w:val="nil"/>
              <w:left w:val="nil"/>
              <w:bottom w:val="single" w:sz="8" w:space="0" w:color="7030A0"/>
              <w:right w:val="nil"/>
            </w:tcBorders>
            <w:shd w:val="clear" w:color="auto" w:fill="auto"/>
            <w:vAlign w:val="center"/>
            <w:hideMark/>
          </w:tcPr>
          <w:p w14:paraId="3F889E63"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153</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14:paraId="773108EA"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050" w:type="dxa"/>
            <w:tcBorders>
              <w:top w:val="nil"/>
              <w:left w:val="nil"/>
              <w:bottom w:val="single" w:sz="8" w:space="0" w:color="7030A0"/>
              <w:right w:val="nil"/>
            </w:tcBorders>
            <w:shd w:val="clear" w:color="auto" w:fill="auto"/>
            <w:vAlign w:val="center"/>
            <w:hideMark/>
          </w:tcPr>
          <w:p w14:paraId="2F2FE7C1"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154</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14:paraId="5BDA9C92"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2" w:type="dxa"/>
            <w:tcBorders>
              <w:top w:val="nil"/>
              <w:left w:val="nil"/>
              <w:bottom w:val="single" w:sz="8" w:space="0" w:color="7030A0"/>
              <w:right w:val="nil"/>
            </w:tcBorders>
            <w:shd w:val="clear" w:color="auto" w:fill="auto"/>
            <w:vAlign w:val="center"/>
            <w:hideMark/>
          </w:tcPr>
          <w:p w14:paraId="6CB5757D"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167</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14:paraId="08691E32"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2" w:type="dxa"/>
            <w:tcBorders>
              <w:top w:val="nil"/>
              <w:left w:val="nil"/>
              <w:bottom w:val="single" w:sz="8" w:space="0" w:color="7030A0"/>
              <w:right w:val="nil"/>
            </w:tcBorders>
            <w:shd w:val="clear" w:color="auto" w:fill="auto"/>
            <w:vAlign w:val="center"/>
            <w:hideMark/>
          </w:tcPr>
          <w:p w14:paraId="43B8194A"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944 925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14:paraId="08AEFD69" w14:textId="77777777" w:rsidR="00F46C7B" w:rsidRPr="00C73365" w:rsidRDefault="00F46C7B" w:rsidP="00A96CCA">
            <w:pPr>
              <w:spacing w:after="0"/>
              <w:jc w:val="center"/>
              <w:rPr>
                <w:rFonts w:asciiTheme="minorHAnsi" w:hAnsiTheme="minorHAnsi" w:cstheme="minorHAnsi"/>
                <w:color w:val="000000"/>
                <w:szCs w:val="20"/>
                <w:lang w:val="fr-FR" w:eastAsia="fr-FR"/>
              </w:rPr>
            </w:pPr>
          </w:p>
        </w:tc>
        <w:tc>
          <w:tcPr>
            <w:tcW w:w="1258" w:type="dxa"/>
            <w:tcBorders>
              <w:top w:val="nil"/>
              <w:left w:val="nil"/>
              <w:bottom w:val="single" w:sz="8" w:space="0" w:color="7030A0"/>
              <w:right w:val="nil"/>
            </w:tcBorders>
            <w:shd w:val="clear" w:color="auto" w:fill="auto"/>
            <w:vAlign w:val="center"/>
            <w:hideMark/>
          </w:tcPr>
          <w:p w14:paraId="3C3C4A3C" w14:textId="77777777"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6 297 925</w:t>
            </w:r>
          </w:p>
        </w:tc>
      </w:tr>
      <w:tr w:rsidR="00F46C7B" w:rsidRPr="00C73365" w14:paraId="32629E7C" w14:textId="77777777" w:rsidTr="007C607C">
        <w:trPr>
          <w:trHeight w:val="397"/>
        </w:trPr>
        <w:tc>
          <w:tcPr>
            <w:tcW w:w="1206" w:type="dxa"/>
            <w:tcBorders>
              <w:top w:val="nil"/>
              <w:left w:val="nil"/>
              <w:bottom w:val="single" w:sz="8" w:space="0" w:color="7030A0"/>
              <w:right w:val="nil"/>
            </w:tcBorders>
            <w:shd w:val="clear" w:color="auto" w:fill="auto"/>
            <w:vAlign w:val="center"/>
            <w:hideMark/>
          </w:tcPr>
          <w:p w14:paraId="337519B5" w14:textId="77777777"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14:paraId="2E6807DA" w14:textId="77777777" w:rsidR="00F46C7B" w:rsidRPr="00C73365" w:rsidRDefault="00F46C7B" w:rsidP="00A96CCA">
            <w:pPr>
              <w:spacing w:after="0"/>
              <w:rPr>
                <w:rFonts w:asciiTheme="minorHAnsi" w:hAnsiTheme="minorHAnsi" w:cstheme="minorHAnsi"/>
                <w:b/>
                <w:bCs/>
                <w:color w:val="7030A0"/>
                <w:szCs w:val="20"/>
                <w:lang w:val="fr-FR" w:eastAsia="fr-FR"/>
              </w:rPr>
            </w:pPr>
          </w:p>
        </w:tc>
        <w:tc>
          <w:tcPr>
            <w:tcW w:w="1218" w:type="dxa"/>
            <w:tcBorders>
              <w:top w:val="nil"/>
              <w:left w:val="nil"/>
              <w:bottom w:val="single" w:sz="8" w:space="0" w:color="7030A0"/>
              <w:right w:val="nil"/>
            </w:tcBorders>
            <w:shd w:val="clear" w:color="auto" w:fill="auto"/>
            <w:vAlign w:val="center"/>
            <w:hideMark/>
          </w:tcPr>
          <w:p w14:paraId="6801FA87"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1 756 000</w:t>
            </w:r>
          </w:p>
        </w:tc>
        <w:tc>
          <w:tcPr>
            <w:tcW w:w="146" w:type="dxa"/>
            <w:tcBorders>
              <w:top w:val="nil"/>
              <w:left w:val="nil"/>
              <w:bottom w:val="nil"/>
              <w:right w:val="nil"/>
            </w:tcBorders>
            <w:shd w:val="clear" w:color="auto" w:fill="auto"/>
            <w:noWrap/>
            <w:vAlign w:val="bottom"/>
            <w:hideMark/>
          </w:tcPr>
          <w:p w14:paraId="2EF5000F"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14:paraId="08101253"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1 123 000</w:t>
            </w:r>
          </w:p>
        </w:tc>
        <w:tc>
          <w:tcPr>
            <w:tcW w:w="146" w:type="dxa"/>
            <w:tcBorders>
              <w:top w:val="nil"/>
              <w:left w:val="nil"/>
              <w:bottom w:val="nil"/>
              <w:right w:val="nil"/>
            </w:tcBorders>
            <w:shd w:val="clear" w:color="auto" w:fill="auto"/>
            <w:noWrap/>
            <w:vAlign w:val="bottom"/>
            <w:hideMark/>
          </w:tcPr>
          <w:p w14:paraId="6B9BA994"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50" w:type="dxa"/>
            <w:tcBorders>
              <w:top w:val="nil"/>
              <w:left w:val="nil"/>
              <w:bottom w:val="single" w:sz="8" w:space="0" w:color="7030A0"/>
              <w:right w:val="nil"/>
            </w:tcBorders>
            <w:shd w:val="clear" w:color="auto" w:fill="auto"/>
            <w:vAlign w:val="center"/>
            <w:hideMark/>
          </w:tcPr>
          <w:p w14:paraId="4DC59225"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1 153 000</w:t>
            </w:r>
          </w:p>
        </w:tc>
        <w:tc>
          <w:tcPr>
            <w:tcW w:w="146" w:type="dxa"/>
            <w:tcBorders>
              <w:top w:val="nil"/>
              <w:left w:val="nil"/>
              <w:bottom w:val="nil"/>
              <w:right w:val="nil"/>
            </w:tcBorders>
            <w:shd w:val="clear" w:color="auto" w:fill="auto"/>
            <w:noWrap/>
            <w:vAlign w:val="bottom"/>
            <w:hideMark/>
          </w:tcPr>
          <w:p w14:paraId="2F846731"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50" w:type="dxa"/>
            <w:tcBorders>
              <w:top w:val="nil"/>
              <w:left w:val="nil"/>
              <w:bottom w:val="single" w:sz="8" w:space="0" w:color="7030A0"/>
              <w:right w:val="nil"/>
            </w:tcBorders>
            <w:shd w:val="clear" w:color="auto" w:fill="auto"/>
            <w:vAlign w:val="center"/>
            <w:hideMark/>
          </w:tcPr>
          <w:p w14:paraId="05777CCD"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1 154 000</w:t>
            </w:r>
          </w:p>
        </w:tc>
        <w:tc>
          <w:tcPr>
            <w:tcW w:w="146" w:type="dxa"/>
            <w:tcBorders>
              <w:top w:val="nil"/>
              <w:left w:val="nil"/>
              <w:bottom w:val="nil"/>
              <w:right w:val="nil"/>
            </w:tcBorders>
            <w:shd w:val="clear" w:color="auto" w:fill="auto"/>
            <w:noWrap/>
            <w:vAlign w:val="bottom"/>
            <w:hideMark/>
          </w:tcPr>
          <w:p w14:paraId="53FB6836"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2" w:type="dxa"/>
            <w:tcBorders>
              <w:top w:val="nil"/>
              <w:left w:val="nil"/>
              <w:bottom w:val="single" w:sz="8" w:space="0" w:color="7030A0"/>
              <w:right w:val="nil"/>
            </w:tcBorders>
            <w:shd w:val="clear" w:color="auto" w:fill="auto"/>
            <w:vAlign w:val="center"/>
            <w:hideMark/>
          </w:tcPr>
          <w:p w14:paraId="6ED9D21B"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167 000</w:t>
            </w:r>
          </w:p>
        </w:tc>
        <w:tc>
          <w:tcPr>
            <w:tcW w:w="146" w:type="dxa"/>
            <w:tcBorders>
              <w:top w:val="nil"/>
              <w:left w:val="nil"/>
              <w:bottom w:val="nil"/>
              <w:right w:val="nil"/>
            </w:tcBorders>
            <w:shd w:val="clear" w:color="auto" w:fill="auto"/>
            <w:noWrap/>
            <w:vAlign w:val="bottom"/>
            <w:hideMark/>
          </w:tcPr>
          <w:p w14:paraId="355E44A1"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2" w:type="dxa"/>
            <w:tcBorders>
              <w:top w:val="nil"/>
              <w:left w:val="nil"/>
              <w:bottom w:val="single" w:sz="8" w:space="0" w:color="7030A0"/>
              <w:right w:val="nil"/>
            </w:tcBorders>
            <w:shd w:val="clear" w:color="auto" w:fill="auto"/>
            <w:vAlign w:val="center"/>
            <w:hideMark/>
          </w:tcPr>
          <w:p w14:paraId="7C7BA0D6"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944 925 </w:t>
            </w:r>
            <w:r w:rsidRPr="00C73365">
              <w:rPr>
                <w:rFonts w:asciiTheme="minorHAnsi" w:hAnsiTheme="minorHAnsi" w:cstheme="minorHAnsi"/>
                <w:b/>
                <w:bCs/>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14:paraId="2DD63578"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258" w:type="dxa"/>
            <w:tcBorders>
              <w:top w:val="nil"/>
              <w:left w:val="nil"/>
              <w:bottom w:val="single" w:sz="8" w:space="0" w:color="7030A0"/>
              <w:right w:val="nil"/>
            </w:tcBorders>
            <w:shd w:val="clear" w:color="auto" w:fill="auto"/>
            <w:vAlign w:val="center"/>
            <w:hideMark/>
          </w:tcPr>
          <w:p w14:paraId="0DCDFCA9" w14:textId="77777777"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6 297 925</w:t>
            </w:r>
          </w:p>
        </w:tc>
      </w:tr>
    </w:tbl>
    <w:p w14:paraId="0C66D2A4" w14:textId="77777777" w:rsidR="00F46C7B" w:rsidRPr="00C73365" w:rsidRDefault="00F46C7B" w:rsidP="004572A0">
      <w:pPr>
        <w:pStyle w:val="Lgende"/>
        <w:rPr>
          <w:rFonts w:asciiTheme="minorHAnsi" w:hAnsiTheme="minorHAnsi" w:cstheme="minorHAnsi"/>
          <w:lang w:val="fr-FR"/>
        </w:rPr>
      </w:pPr>
      <w:r w:rsidRPr="00C73365">
        <w:rPr>
          <w:rFonts w:asciiTheme="minorHAnsi" w:hAnsiTheme="minorHAnsi" w:cstheme="minorHAnsi"/>
          <w:lang w:val="fr-FR"/>
        </w:rPr>
        <w:t>T0 = 02/01/2017</w:t>
      </w:r>
    </w:p>
    <w:p w14:paraId="5FAB9E04" w14:textId="77777777" w:rsidR="00F46C7B" w:rsidRPr="00C93577" w:rsidRDefault="00F46C7B" w:rsidP="004572A0">
      <w:pPr>
        <w:pStyle w:val="Listepuces"/>
        <w:rPr>
          <w:rFonts w:asciiTheme="minorHAnsi" w:hAnsiTheme="minorHAnsi" w:cstheme="minorHAnsi"/>
          <w:lang w:val="fr-FR"/>
        </w:rPr>
      </w:pPr>
      <w:r w:rsidRPr="00C93577">
        <w:rPr>
          <w:rFonts w:asciiTheme="minorHAnsi" w:hAnsiTheme="minorHAnsi" w:cstheme="minorHAnsi"/>
          <w:lang w:val="fr-FR"/>
        </w:rPr>
        <w:t>15% minimum du montant total des avances récupérables</w:t>
      </w:r>
    </w:p>
    <w:p w14:paraId="55D9E162" w14:textId="77777777" w:rsidR="00714A61" w:rsidRPr="00C73365" w:rsidRDefault="00714A61" w:rsidP="00A96CCA">
      <w:pPr>
        <w:autoSpaceDE w:val="0"/>
        <w:autoSpaceDN w:val="0"/>
        <w:adjustRightInd w:val="0"/>
        <w:spacing w:after="0"/>
        <w:rPr>
          <w:rFonts w:asciiTheme="minorHAnsi" w:hAnsiTheme="minorHAnsi" w:cstheme="minorHAnsi"/>
          <w:i/>
          <w:color w:val="7030A0"/>
          <w:sz w:val="18"/>
          <w:szCs w:val="20"/>
          <w:lang w:val="fr-FR"/>
        </w:rPr>
      </w:pPr>
    </w:p>
    <w:p w14:paraId="22A855F4" w14:textId="77777777" w:rsidR="00714A61" w:rsidRPr="00C73365" w:rsidRDefault="00714A61"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montants reçus en subventions et avances remboursables dépendent des dépenses effectivement engagées pour chaque </w:t>
      </w:r>
      <w:r w:rsidR="0070666C" w:rsidRPr="00C73365">
        <w:rPr>
          <w:rFonts w:asciiTheme="minorHAnsi" w:eastAsia="MS Mincho" w:hAnsiTheme="minorHAnsi" w:cstheme="minorHAnsi"/>
          <w:lang w:val="fr-FR" w:eastAsia="fr-FR"/>
        </w:rPr>
        <w:t>étape</w:t>
      </w:r>
      <w:r w:rsidRPr="00C73365">
        <w:rPr>
          <w:rFonts w:asciiTheme="minorHAnsi" w:eastAsia="MS Mincho" w:hAnsiTheme="minorHAnsi" w:cstheme="minorHAnsi"/>
          <w:lang w:val="fr-FR" w:eastAsia="fr-FR"/>
        </w:rPr>
        <w:t xml:space="preserve">. </w:t>
      </w:r>
      <w:r w:rsidR="0070666C" w:rsidRPr="00C73365">
        <w:rPr>
          <w:rFonts w:asciiTheme="minorHAnsi" w:eastAsia="MS Mincho" w:hAnsiTheme="minorHAnsi" w:cstheme="minorHAnsi"/>
          <w:lang w:val="fr-FR" w:eastAsia="fr-FR"/>
        </w:rPr>
        <w:t>Ils sont</w:t>
      </w:r>
      <w:r w:rsidRPr="00C73365">
        <w:rPr>
          <w:rFonts w:asciiTheme="minorHAnsi" w:eastAsia="MS Mincho" w:hAnsiTheme="minorHAnsi" w:cstheme="minorHAnsi"/>
          <w:lang w:val="fr-FR" w:eastAsia="fr-FR"/>
        </w:rPr>
        <w:t xml:space="preserve"> ainsi susceptibles </w:t>
      </w:r>
      <w:r w:rsidR="0070666C" w:rsidRPr="00C73365">
        <w:rPr>
          <w:rFonts w:asciiTheme="minorHAnsi" w:eastAsia="MS Mincho" w:hAnsiTheme="minorHAnsi" w:cstheme="minorHAnsi"/>
          <w:lang w:val="fr-FR" w:eastAsia="fr-FR"/>
        </w:rPr>
        <w:t>d’évoluer selon les aménagements du projet</w:t>
      </w:r>
      <w:r w:rsidRPr="00C73365">
        <w:rPr>
          <w:rFonts w:asciiTheme="minorHAnsi" w:eastAsia="MS Mincho" w:hAnsiTheme="minorHAnsi" w:cstheme="minorHAnsi"/>
          <w:lang w:val="fr-FR" w:eastAsia="fr-FR"/>
        </w:rPr>
        <w:t xml:space="preserve">. Voici ci-dessous </w:t>
      </w:r>
      <w:r w:rsidR="0070666C" w:rsidRPr="00C73365">
        <w:rPr>
          <w:rFonts w:asciiTheme="minorHAnsi" w:eastAsia="MS Mincho" w:hAnsiTheme="minorHAnsi" w:cstheme="minorHAnsi"/>
          <w:lang w:val="fr-FR" w:eastAsia="fr-FR"/>
        </w:rPr>
        <w:t>les échéanciers</w:t>
      </w:r>
      <w:r w:rsidRPr="00C73365">
        <w:rPr>
          <w:rFonts w:asciiTheme="minorHAnsi" w:eastAsia="MS Mincho" w:hAnsiTheme="minorHAnsi" w:cstheme="minorHAnsi"/>
          <w:lang w:val="fr-FR" w:eastAsia="fr-FR"/>
        </w:rPr>
        <w:t xml:space="preserve"> des versements attendus au 31.03.2018</w:t>
      </w:r>
      <w:r w:rsidR="0070666C" w:rsidRPr="00C73365">
        <w:rPr>
          <w:rFonts w:asciiTheme="minorHAnsi" w:eastAsia="MS Mincho" w:hAnsiTheme="minorHAnsi" w:cstheme="minorHAnsi"/>
          <w:lang w:val="fr-FR" w:eastAsia="fr-FR"/>
        </w:rPr>
        <w:t xml:space="preserve"> selon les évolutions du projet.</w:t>
      </w:r>
    </w:p>
    <w:p w14:paraId="2EF633F4" w14:textId="77777777" w:rsidR="00714A61" w:rsidRPr="00C73365" w:rsidRDefault="00714A61" w:rsidP="004572A0">
      <w:pPr>
        <w:pStyle w:val="Corpsdetexte"/>
        <w:rPr>
          <w:rFonts w:asciiTheme="minorHAnsi" w:hAnsiTheme="minorHAnsi" w:cstheme="minorHAnsi"/>
          <w:b/>
          <w:lang w:val="fr-FR"/>
        </w:rPr>
      </w:pPr>
      <w:r w:rsidRPr="00C73365">
        <w:rPr>
          <w:rFonts w:asciiTheme="minorHAnsi" w:hAnsiTheme="minorHAnsi" w:cstheme="minorHAnsi"/>
          <w:b/>
          <w:lang w:val="fr-FR"/>
        </w:rPr>
        <w:t>Echéancier versements</w:t>
      </w:r>
      <w:r w:rsidR="00EC2AFC" w:rsidRPr="00C73365">
        <w:rPr>
          <w:rFonts w:asciiTheme="minorHAnsi" w:hAnsiTheme="minorHAnsi" w:cstheme="minorHAnsi"/>
          <w:b/>
          <w:lang w:val="fr-FR"/>
        </w:rPr>
        <w:t xml:space="preserve"> reçus et</w:t>
      </w:r>
      <w:r w:rsidRPr="00C73365">
        <w:rPr>
          <w:rFonts w:asciiTheme="minorHAnsi" w:hAnsiTheme="minorHAnsi" w:cstheme="minorHAnsi"/>
          <w:b/>
          <w:lang w:val="fr-FR"/>
        </w:rPr>
        <w:t xml:space="preserve"> estimés au 31.03.2018 des subventions par étape clé (en euros) :</w:t>
      </w:r>
    </w:p>
    <w:tbl>
      <w:tblPr>
        <w:tblW w:w="10369" w:type="dxa"/>
        <w:tblCellMar>
          <w:left w:w="70" w:type="dxa"/>
          <w:right w:w="70" w:type="dxa"/>
        </w:tblCellMar>
        <w:tblLook w:val="04A0" w:firstRow="1" w:lastRow="0" w:firstColumn="1" w:lastColumn="0" w:noHBand="0" w:noVBand="1"/>
      </w:tblPr>
      <w:tblGrid>
        <w:gridCol w:w="1207"/>
        <w:gridCol w:w="146"/>
        <w:gridCol w:w="1151"/>
        <w:gridCol w:w="160"/>
        <w:gridCol w:w="146"/>
        <w:gridCol w:w="1108"/>
        <w:gridCol w:w="146"/>
        <w:gridCol w:w="1108"/>
        <w:gridCol w:w="146"/>
        <w:gridCol w:w="1108"/>
        <w:gridCol w:w="146"/>
        <w:gridCol w:w="1108"/>
        <w:gridCol w:w="146"/>
        <w:gridCol w:w="1108"/>
        <w:gridCol w:w="146"/>
        <w:gridCol w:w="1289"/>
      </w:tblGrid>
      <w:tr w:rsidR="00EC2AFC" w:rsidRPr="00036317" w14:paraId="5935194A" w14:textId="77777777" w:rsidTr="004849E1">
        <w:trPr>
          <w:trHeight w:val="804"/>
        </w:trPr>
        <w:tc>
          <w:tcPr>
            <w:tcW w:w="1207" w:type="dxa"/>
            <w:tcBorders>
              <w:top w:val="single" w:sz="12" w:space="0" w:color="7030A0"/>
              <w:left w:val="nil"/>
              <w:bottom w:val="single" w:sz="8" w:space="0" w:color="7030A0"/>
              <w:right w:val="nil"/>
            </w:tcBorders>
            <w:shd w:val="clear" w:color="auto" w:fill="auto"/>
            <w:vAlign w:val="center"/>
            <w:hideMark/>
          </w:tcPr>
          <w:p w14:paraId="3633E7F7" w14:textId="77777777" w:rsidR="00714A61" w:rsidRPr="00C73365" w:rsidRDefault="00714A61" w:rsidP="00280009">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14:paraId="0056BDC9" w14:textId="77777777"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151" w:type="dxa"/>
            <w:tcBorders>
              <w:top w:val="single" w:sz="12" w:space="0" w:color="7030A0"/>
              <w:left w:val="nil"/>
              <w:bottom w:val="single" w:sz="8" w:space="0" w:color="7030A0"/>
              <w:right w:val="nil"/>
            </w:tcBorders>
            <w:shd w:val="clear" w:color="auto" w:fill="auto"/>
            <w:vAlign w:val="center"/>
            <w:hideMark/>
          </w:tcPr>
          <w:p w14:paraId="1ABB6D56" w14:textId="77777777" w:rsidR="00714A61" w:rsidRPr="00C73365" w:rsidRDefault="00714A61" w:rsidP="00280009">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r w:rsidR="00EC2AFC" w:rsidRPr="00C73365">
              <w:rPr>
                <w:rFonts w:asciiTheme="minorHAnsi" w:hAnsiTheme="minorHAnsi" w:cstheme="minorHAnsi"/>
                <w:b/>
                <w:bCs/>
                <w:color w:val="000000"/>
                <w:szCs w:val="20"/>
                <w:lang w:val="fr-FR" w:eastAsia="fr-FR"/>
              </w:rPr>
              <w:t xml:space="preserve"> </w:t>
            </w:r>
          </w:p>
        </w:tc>
        <w:tc>
          <w:tcPr>
            <w:tcW w:w="160" w:type="dxa"/>
            <w:tcBorders>
              <w:top w:val="nil"/>
              <w:left w:val="nil"/>
              <w:bottom w:val="nil"/>
              <w:right w:val="nil"/>
            </w:tcBorders>
          </w:tcPr>
          <w:p w14:paraId="235E4141" w14:textId="77777777"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46" w:type="dxa"/>
            <w:tcBorders>
              <w:top w:val="nil"/>
              <w:left w:val="nil"/>
              <w:bottom w:val="nil"/>
              <w:right w:val="nil"/>
            </w:tcBorders>
            <w:shd w:val="clear" w:color="auto" w:fill="auto"/>
            <w:noWrap/>
            <w:vAlign w:val="bottom"/>
            <w:hideMark/>
          </w:tcPr>
          <w:p w14:paraId="71FA27A3" w14:textId="77777777"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14:paraId="24CF8DEE" w14:textId="77777777"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14:paraId="4984A4B9" w14:textId="77777777"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14:paraId="00B02F11" w14:textId="77777777"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14:paraId="020A5B33" w14:textId="77777777"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14:paraId="62595399" w14:textId="77777777"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14:paraId="17E8F008" w14:textId="77777777"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14:paraId="5E4D2D29" w14:textId="77777777"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14:paraId="51CA57F5" w14:textId="77777777"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14:paraId="5A9D3894" w14:textId="77777777" w:rsidR="00EC2AFC" w:rsidRPr="00C73365" w:rsidRDefault="00714A61" w:rsidP="00881350">
            <w:pPr>
              <w:spacing w:after="0"/>
              <w:jc w:val="center"/>
              <w:rPr>
                <w:rFonts w:asciiTheme="minorHAnsi" w:hAnsiTheme="minorHAnsi" w:cstheme="minorHAnsi"/>
                <w:b/>
                <w:bCs/>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14:paraId="5C907927" w14:textId="77777777"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289" w:type="dxa"/>
            <w:tcBorders>
              <w:top w:val="single" w:sz="12" w:space="0" w:color="7030A0"/>
              <w:left w:val="nil"/>
              <w:bottom w:val="single" w:sz="8" w:space="0" w:color="7030A0"/>
              <w:right w:val="nil"/>
            </w:tcBorders>
            <w:shd w:val="clear" w:color="auto" w:fill="auto"/>
            <w:vAlign w:val="center"/>
            <w:hideMark/>
          </w:tcPr>
          <w:p w14:paraId="2D84C2E2" w14:textId="77777777" w:rsidR="00714A61" w:rsidRPr="00C73365" w:rsidRDefault="00714A61" w:rsidP="00714A6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EC2AFC" w:rsidRPr="00C73365" w14:paraId="31F9682F" w14:textId="77777777" w:rsidTr="004849E1">
        <w:trPr>
          <w:trHeight w:val="205"/>
        </w:trPr>
        <w:tc>
          <w:tcPr>
            <w:tcW w:w="1207" w:type="dxa"/>
            <w:tcBorders>
              <w:top w:val="single" w:sz="8" w:space="0" w:color="7030A0"/>
              <w:left w:val="nil"/>
              <w:bottom w:val="single" w:sz="4" w:space="0" w:color="7030A0"/>
              <w:right w:val="nil"/>
            </w:tcBorders>
            <w:shd w:val="clear" w:color="auto" w:fill="auto"/>
            <w:vAlign w:val="center"/>
            <w:hideMark/>
          </w:tcPr>
          <w:p w14:paraId="651806C5" w14:textId="77777777" w:rsidR="00714A61" w:rsidRPr="00C73365" w:rsidRDefault="00EF089C" w:rsidP="00280009">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14:paraId="65C89A11" w14:textId="77777777" w:rsidR="00714A61" w:rsidRPr="00C73365" w:rsidRDefault="00714A61" w:rsidP="00280009">
            <w:pPr>
              <w:spacing w:after="0"/>
              <w:rPr>
                <w:rFonts w:asciiTheme="minorHAnsi" w:hAnsiTheme="minorHAnsi" w:cstheme="minorHAnsi"/>
                <w:color w:val="000000"/>
                <w:szCs w:val="20"/>
                <w:lang w:val="fr-FR" w:eastAsia="fr-FR"/>
              </w:rPr>
            </w:pPr>
          </w:p>
        </w:tc>
        <w:tc>
          <w:tcPr>
            <w:tcW w:w="1151" w:type="dxa"/>
            <w:tcBorders>
              <w:top w:val="single" w:sz="8" w:space="0" w:color="7030A0"/>
              <w:left w:val="nil"/>
              <w:bottom w:val="single" w:sz="4" w:space="0" w:color="7030A0"/>
              <w:right w:val="nil"/>
            </w:tcBorders>
            <w:shd w:val="clear" w:color="auto" w:fill="auto"/>
            <w:vAlign w:val="center"/>
            <w:hideMark/>
          </w:tcPr>
          <w:p w14:paraId="5BCB6A98" w14:textId="77777777" w:rsidR="00714A61" w:rsidRPr="00C73365" w:rsidRDefault="00714A61" w:rsidP="00280009">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347 000</w:t>
            </w:r>
          </w:p>
        </w:tc>
        <w:tc>
          <w:tcPr>
            <w:tcW w:w="160" w:type="dxa"/>
            <w:tcBorders>
              <w:top w:val="nil"/>
              <w:left w:val="nil"/>
              <w:bottom w:val="nil"/>
              <w:right w:val="nil"/>
            </w:tcBorders>
          </w:tcPr>
          <w:p w14:paraId="25C5430E" w14:textId="77777777" w:rsidR="00714A61" w:rsidRPr="00C73365" w:rsidRDefault="00714A61" w:rsidP="00280009">
            <w:pPr>
              <w:spacing w:after="0"/>
              <w:jc w:val="center"/>
              <w:rPr>
                <w:rFonts w:asciiTheme="minorHAnsi" w:hAnsiTheme="minorHAnsi" w:cstheme="minorHAnsi"/>
                <w:color w:val="000000"/>
                <w:szCs w:val="20"/>
                <w:lang w:val="fr-FR" w:eastAsia="fr-FR"/>
              </w:rPr>
            </w:pPr>
          </w:p>
        </w:tc>
        <w:tc>
          <w:tcPr>
            <w:tcW w:w="146" w:type="dxa"/>
            <w:tcBorders>
              <w:top w:val="nil"/>
              <w:left w:val="nil"/>
              <w:bottom w:val="nil"/>
              <w:right w:val="nil"/>
            </w:tcBorders>
            <w:shd w:val="clear" w:color="auto" w:fill="auto"/>
            <w:noWrap/>
            <w:vAlign w:val="bottom"/>
            <w:hideMark/>
          </w:tcPr>
          <w:p w14:paraId="1BAA30E7" w14:textId="77777777" w:rsidR="00714A61" w:rsidRPr="00C73365" w:rsidRDefault="00714A61" w:rsidP="00280009">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14:paraId="6B22C5F6" w14:textId="77777777"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285</w:t>
            </w:r>
            <w:r w:rsidR="00EC2AFC"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781</w:t>
            </w:r>
          </w:p>
        </w:tc>
        <w:tc>
          <w:tcPr>
            <w:tcW w:w="146" w:type="dxa"/>
            <w:tcBorders>
              <w:top w:val="nil"/>
              <w:left w:val="nil"/>
              <w:bottom w:val="nil"/>
              <w:right w:val="nil"/>
            </w:tcBorders>
            <w:shd w:val="clear" w:color="auto" w:fill="auto"/>
            <w:noWrap/>
            <w:vAlign w:val="bottom"/>
            <w:hideMark/>
          </w:tcPr>
          <w:p w14:paraId="3011697A" w14:textId="77777777"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14:paraId="27083195" w14:textId="77777777" w:rsidR="00714A61" w:rsidRPr="00C73365" w:rsidRDefault="00881350"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651 219</w:t>
            </w:r>
          </w:p>
        </w:tc>
        <w:tc>
          <w:tcPr>
            <w:tcW w:w="146" w:type="dxa"/>
            <w:tcBorders>
              <w:top w:val="nil"/>
              <w:left w:val="nil"/>
              <w:bottom w:val="nil"/>
              <w:right w:val="nil"/>
            </w:tcBorders>
            <w:shd w:val="clear" w:color="auto" w:fill="auto"/>
            <w:noWrap/>
            <w:vAlign w:val="bottom"/>
            <w:hideMark/>
          </w:tcPr>
          <w:p w14:paraId="0062E6D1" w14:textId="77777777"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14:paraId="6D3D908D" w14:textId="77777777"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414 000</w:t>
            </w:r>
          </w:p>
        </w:tc>
        <w:tc>
          <w:tcPr>
            <w:tcW w:w="146" w:type="dxa"/>
            <w:tcBorders>
              <w:top w:val="nil"/>
              <w:left w:val="nil"/>
              <w:bottom w:val="nil"/>
              <w:right w:val="nil"/>
            </w:tcBorders>
            <w:shd w:val="clear" w:color="auto" w:fill="auto"/>
            <w:noWrap/>
            <w:vAlign w:val="bottom"/>
            <w:hideMark/>
          </w:tcPr>
          <w:p w14:paraId="6DDF6D01" w14:textId="77777777"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14:paraId="2F65AA4A" w14:textId="77777777"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96 000</w:t>
            </w:r>
          </w:p>
        </w:tc>
        <w:tc>
          <w:tcPr>
            <w:tcW w:w="146" w:type="dxa"/>
            <w:tcBorders>
              <w:top w:val="nil"/>
              <w:left w:val="nil"/>
              <w:bottom w:val="nil"/>
              <w:right w:val="nil"/>
            </w:tcBorders>
            <w:shd w:val="clear" w:color="auto" w:fill="auto"/>
            <w:noWrap/>
            <w:vAlign w:val="bottom"/>
            <w:hideMark/>
          </w:tcPr>
          <w:p w14:paraId="6A429426" w14:textId="77777777"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14:paraId="173A69A6" w14:textId="77777777"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317 734 </w:t>
            </w:r>
            <w:r w:rsidRPr="00C73365">
              <w:rPr>
                <w:rFonts w:asciiTheme="minorHAnsi" w:hAnsiTheme="minorHAnsi" w:cstheme="minorHAnsi"/>
                <w:color w:val="7030A0"/>
                <w:szCs w:val="20"/>
                <w:lang w:val="fr-FR" w:eastAsia="fr-FR"/>
              </w:rPr>
              <w:t>*</w:t>
            </w:r>
          </w:p>
        </w:tc>
        <w:tc>
          <w:tcPr>
            <w:tcW w:w="146" w:type="dxa"/>
            <w:tcBorders>
              <w:top w:val="nil"/>
              <w:left w:val="nil"/>
              <w:bottom w:val="nil"/>
              <w:right w:val="nil"/>
            </w:tcBorders>
            <w:shd w:val="clear" w:color="auto" w:fill="auto"/>
            <w:noWrap/>
            <w:vAlign w:val="bottom"/>
            <w:hideMark/>
          </w:tcPr>
          <w:p w14:paraId="36F3B1BD" w14:textId="77777777" w:rsidR="00714A61" w:rsidRPr="00C73365" w:rsidRDefault="00714A61" w:rsidP="00714A61">
            <w:pPr>
              <w:spacing w:after="0"/>
              <w:jc w:val="center"/>
              <w:rPr>
                <w:rFonts w:asciiTheme="minorHAnsi" w:hAnsiTheme="minorHAnsi" w:cstheme="minorHAnsi"/>
                <w:color w:val="000000"/>
                <w:szCs w:val="20"/>
                <w:lang w:val="fr-FR" w:eastAsia="fr-FR"/>
              </w:rPr>
            </w:pPr>
          </w:p>
        </w:tc>
        <w:tc>
          <w:tcPr>
            <w:tcW w:w="1289" w:type="dxa"/>
            <w:tcBorders>
              <w:top w:val="single" w:sz="8" w:space="0" w:color="7030A0"/>
              <w:left w:val="nil"/>
              <w:bottom w:val="single" w:sz="4" w:space="0" w:color="7030A0"/>
              <w:right w:val="nil"/>
            </w:tcBorders>
            <w:shd w:val="clear" w:color="auto" w:fill="auto"/>
            <w:vAlign w:val="center"/>
            <w:hideMark/>
          </w:tcPr>
          <w:p w14:paraId="3DF66E7C" w14:textId="77777777" w:rsidR="00714A61" w:rsidRPr="00C73365" w:rsidRDefault="00881350"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2 111 734</w:t>
            </w:r>
          </w:p>
        </w:tc>
      </w:tr>
    </w:tbl>
    <w:p w14:paraId="481EA472" w14:textId="77777777" w:rsidR="004849E1" w:rsidRPr="00C73365" w:rsidRDefault="004849E1" w:rsidP="00714A61">
      <w:pPr>
        <w:autoSpaceDE w:val="0"/>
        <w:autoSpaceDN w:val="0"/>
        <w:adjustRightInd w:val="0"/>
        <w:spacing w:after="0"/>
        <w:rPr>
          <w:rFonts w:asciiTheme="minorHAnsi" w:hAnsiTheme="minorHAnsi" w:cstheme="minorHAnsi"/>
          <w:i/>
          <w:color w:val="7030A0"/>
          <w:sz w:val="18"/>
          <w:szCs w:val="20"/>
          <w:lang w:val="fr-FR"/>
        </w:rPr>
      </w:pPr>
    </w:p>
    <w:p w14:paraId="5A978D4B" w14:textId="77777777" w:rsidR="00714A61" w:rsidRPr="00C73365" w:rsidRDefault="00714A61" w:rsidP="004572A0">
      <w:pPr>
        <w:pStyle w:val="Corpsdetexte"/>
        <w:rPr>
          <w:rFonts w:asciiTheme="minorHAnsi" w:hAnsiTheme="minorHAnsi" w:cstheme="minorHAnsi"/>
          <w:i/>
          <w:lang w:val="fr-FR"/>
        </w:rPr>
      </w:pPr>
      <w:r w:rsidRPr="00C73365">
        <w:rPr>
          <w:rFonts w:asciiTheme="minorHAnsi" w:hAnsiTheme="minorHAnsi" w:cstheme="minorHAnsi"/>
          <w:i/>
          <w:lang w:val="fr-FR"/>
        </w:rPr>
        <w:t>T0 = 02/01/2017</w:t>
      </w:r>
    </w:p>
    <w:p w14:paraId="031454F6" w14:textId="77777777" w:rsidR="00714A61" w:rsidRPr="00C93577" w:rsidRDefault="00714A61" w:rsidP="004572A0">
      <w:pPr>
        <w:pStyle w:val="Listepuces"/>
        <w:rPr>
          <w:rFonts w:asciiTheme="minorHAnsi" w:hAnsiTheme="minorHAnsi" w:cstheme="minorHAnsi"/>
          <w:lang w:val="fr-FR"/>
        </w:rPr>
      </w:pPr>
      <w:r w:rsidRPr="00C93577">
        <w:rPr>
          <w:rFonts w:asciiTheme="minorHAnsi" w:hAnsiTheme="minorHAnsi" w:cstheme="minorHAnsi"/>
          <w:lang w:val="fr-FR"/>
        </w:rPr>
        <w:t>15% minimum du montant total des subventions</w:t>
      </w:r>
    </w:p>
    <w:p w14:paraId="3E0C0542" w14:textId="77777777" w:rsidR="00714A61" w:rsidRPr="00C73365" w:rsidRDefault="00714A61" w:rsidP="004572A0">
      <w:pPr>
        <w:pStyle w:val="Corpsdetexte"/>
        <w:rPr>
          <w:rFonts w:asciiTheme="minorHAnsi" w:hAnsiTheme="minorHAnsi" w:cstheme="minorHAnsi"/>
          <w:i/>
          <w:lang w:val="fr-FR"/>
        </w:rPr>
      </w:pPr>
      <w:r w:rsidRPr="00C73365">
        <w:rPr>
          <w:rFonts w:asciiTheme="minorHAnsi" w:hAnsiTheme="minorHAnsi" w:cstheme="minorHAnsi"/>
          <w:i/>
          <w:lang w:val="fr-FR"/>
        </w:rPr>
        <w:t>** Subventions avec Retours à l’Etat</w:t>
      </w:r>
    </w:p>
    <w:p w14:paraId="6E328F0A" w14:textId="77777777" w:rsidR="00EC2AFC" w:rsidRPr="00C73365" w:rsidRDefault="00EC2AFC" w:rsidP="00714A61">
      <w:pPr>
        <w:autoSpaceDE w:val="0"/>
        <w:autoSpaceDN w:val="0"/>
        <w:adjustRightInd w:val="0"/>
        <w:spacing w:after="0"/>
        <w:rPr>
          <w:rFonts w:asciiTheme="minorHAnsi" w:hAnsiTheme="minorHAnsi" w:cstheme="minorHAnsi"/>
          <w:i/>
          <w:color w:val="7030A0"/>
          <w:sz w:val="18"/>
          <w:szCs w:val="20"/>
          <w:lang w:val="fr-FR"/>
        </w:rPr>
      </w:pPr>
    </w:p>
    <w:p w14:paraId="24A67037" w14:textId="77777777" w:rsidR="00714A61" w:rsidRPr="00C73365" w:rsidRDefault="00714A61" w:rsidP="004572A0">
      <w:pPr>
        <w:pStyle w:val="Corpsdetexte"/>
        <w:rPr>
          <w:rFonts w:asciiTheme="minorHAnsi" w:hAnsiTheme="minorHAnsi" w:cstheme="minorHAnsi"/>
          <w:b/>
          <w:lang w:val="fr-FR"/>
        </w:rPr>
      </w:pPr>
      <w:r w:rsidRPr="00C73365">
        <w:rPr>
          <w:rFonts w:asciiTheme="minorHAnsi" w:hAnsiTheme="minorHAnsi" w:cstheme="minorHAnsi"/>
          <w:b/>
          <w:lang w:val="fr-FR"/>
        </w:rPr>
        <w:t>Echéancier versements estimés au 31.03.2018 des avances remboursables par étape clé(en euros) :</w:t>
      </w:r>
    </w:p>
    <w:tbl>
      <w:tblPr>
        <w:tblW w:w="10447" w:type="dxa"/>
        <w:tblCellMar>
          <w:left w:w="70" w:type="dxa"/>
          <w:right w:w="70" w:type="dxa"/>
        </w:tblCellMar>
        <w:tblLook w:val="04A0" w:firstRow="1" w:lastRow="0" w:firstColumn="1" w:lastColumn="0" w:noHBand="0" w:noVBand="1"/>
      </w:tblPr>
      <w:tblGrid>
        <w:gridCol w:w="1269"/>
        <w:gridCol w:w="153"/>
        <w:gridCol w:w="1282"/>
        <w:gridCol w:w="153"/>
        <w:gridCol w:w="955"/>
        <w:gridCol w:w="153"/>
        <w:gridCol w:w="955"/>
        <w:gridCol w:w="153"/>
        <w:gridCol w:w="955"/>
        <w:gridCol w:w="165"/>
        <w:gridCol w:w="955"/>
        <w:gridCol w:w="153"/>
        <w:gridCol w:w="963"/>
        <w:gridCol w:w="165"/>
        <w:gridCol w:w="2018"/>
      </w:tblGrid>
      <w:tr w:rsidR="00424C2A" w:rsidRPr="00036317" w14:paraId="5AB8830A" w14:textId="77777777" w:rsidTr="00424C2A">
        <w:trPr>
          <w:trHeight w:val="956"/>
        </w:trPr>
        <w:tc>
          <w:tcPr>
            <w:tcW w:w="1269" w:type="dxa"/>
            <w:tcBorders>
              <w:top w:val="single" w:sz="12" w:space="0" w:color="7030A0"/>
              <w:left w:val="nil"/>
              <w:bottom w:val="single" w:sz="8" w:space="0" w:color="7030A0"/>
              <w:right w:val="nil"/>
            </w:tcBorders>
            <w:shd w:val="clear" w:color="auto" w:fill="auto"/>
            <w:vAlign w:val="center"/>
            <w:hideMark/>
          </w:tcPr>
          <w:p w14:paraId="202BB1F1"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3" w:type="dxa"/>
            <w:tcBorders>
              <w:top w:val="nil"/>
              <w:left w:val="nil"/>
              <w:bottom w:val="nil"/>
              <w:right w:val="nil"/>
            </w:tcBorders>
            <w:shd w:val="clear" w:color="auto" w:fill="auto"/>
            <w:noWrap/>
            <w:vAlign w:val="bottom"/>
            <w:hideMark/>
          </w:tcPr>
          <w:p w14:paraId="47563AB9"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1282" w:type="dxa"/>
            <w:tcBorders>
              <w:top w:val="single" w:sz="12" w:space="0" w:color="7030A0"/>
              <w:left w:val="nil"/>
              <w:bottom w:val="single" w:sz="8" w:space="0" w:color="7030A0"/>
              <w:right w:val="nil"/>
            </w:tcBorders>
            <w:shd w:val="clear" w:color="auto" w:fill="auto"/>
            <w:vAlign w:val="center"/>
            <w:hideMark/>
          </w:tcPr>
          <w:p w14:paraId="5217B2AF"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 (reçus)</w:t>
            </w:r>
          </w:p>
        </w:tc>
        <w:tc>
          <w:tcPr>
            <w:tcW w:w="153" w:type="dxa"/>
            <w:tcBorders>
              <w:top w:val="nil"/>
              <w:left w:val="nil"/>
              <w:bottom w:val="nil"/>
              <w:right w:val="nil"/>
            </w:tcBorders>
            <w:shd w:val="clear" w:color="auto" w:fill="auto"/>
            <w:noWrap/>
            <w:vAlign w:val="bottom"/>
            <w:hideMark/>
          </w:tcPr>
          <w:p w14:paraId="722EB77E"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14:paraId="05424766"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p w14:paraId="5AB9D9D0"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14:paraId="26E5DE86"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14:paraId="5B968BFA"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p w14:paraId="3984D2BB"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14:paraId="379532C4"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14:paraId="71C95314"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p w14:paraId="53852A37"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65" w:type="dxa"/>
            <w:tcBorders>
              <w:top w:val="nil"/>
              <w:left w:val="nil"/>
              <w:bottom w:val="nil"/>
              <w:right w:val="nil"/>
            </w:tcBorders>
            <w:shd w:val="clear" w:color="auto" w:fill="auto"/>
            <w:noWrap/>
            <w:vAlign w:val="bottom"/>
          </w:tcPr>
          <w:p w14:paraId="36B154E0"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14:paraId="4C11E77F"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p w14:paraId="65EACFF9"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14:paraId="7C395F51"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63" w:type="dxa"/>
            <w:tcBorders>
              <w:top w:val="single" w:sz="12" w:space="0" w:color="7030A0"/>
              <w:left w:val="nil"/>
              <w:bottom w:val="single" w:sz="8" w:space="0" w:color="7030A0"/>
              <w:right w:val="nil"/>
            </w:tcBorders>
            <w:shd w:val="clear" w:color="auto" w:fill="auto"/>
            <w:vAlign w:val="center"/>
          </w:tcPr>
          <w:p w14:paraId="400A9ACA" w14:textId="77777777" w:rsidR="00EC2AFC" w:rsidRPr="00C73365" w:rsidRDefault="00EC2AFC" w:rsidP="00EC2AFC">
            <w:pPr>
              <w:spacing w:after="0"/>
              <w:jc w:val="center"/>
              <w:rPr>
                <w:rFonts w:asciiTheme="minorHAnsi" w:hAnsiTheme="minorHAnsi" w:cstheme="minorHAnsi"/>
                <w:b/>
                <w:bCs/>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p w14:paraId="71E114AA"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65" w:type="dxa"/>
            <w:tcBorders>
              <w:top w:val="nil"/>
              <w:left w:val="nil"/>
              <w:bottom w:val="nil"/>
              <w:right w:val="nil"/>
            </w:tcBorders>
            <w:shd w:val="clear" w:color="auto" w:fill="auto"/>
            <w:noWrap/>
            <w:vAlign w:val="bottom"/>
          </w:tcPr>
          <w:p w14:paraId="62E2C36E"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2018" w:type="dxa"/>
            <w:tcBorders>
              <w:top w:val="single" w:sz="12" w:space="0" w:color="7030A0"/>
              <w:left w:val="nil"/>
              <w:bottom w:val="single" w:sz="8" w:space="0" w:color="7030A0"/>
              <w:right w:val="nil"/>
            </w:tcBorders>
            <w:shd w:val="clear" w:color="auto" w:fill="auto"/>
            <w:vAlign w:val="center"/>
          </w:tcPr>
          <w:p w14:paraId="30702E99" w14:textId="77777777"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subventions(estimés)</w:t>
            </w:r>
          </w:p>
        </w:tc>
      </w:tr>
      <w:tr w:rsidR="00424C2A" w:rsidRPr="00C73365" w14:paraId="68EE57AD" w14:textId="77777777" w:rsidTr="00424C2A">
        <w:trPr>
          <w:trHeight w:val="254"/>
        </w:trPr>
        <w:tc>
          <w:tcPr>
            <w:tcW w:w="1269" w:type="dxa"/>
            <w:tcBorders>
              <w:top w:val="nil"/>
              <w:left w:val="nil"/>
              <w:bottom w:val="single" w:sz="8" w:space="0" w:color="7030A0"/>
              <w:right w:val="nil"/>
            </w:tcBorders>
            <w:shd w:val="clear" w:color="auto" w:fill="auto"/>
            <w:vAlign w:val="center"/>
            <w:hideMark/>
          </w:tcPr>
          <w:p w14:paraId="73880034" w14:textId="77777777" w:rsidR="00EC2AFC" w:rsidRPr="00C73365" w:rsidRDefault="00EF089C" w:rsidP="00EC2AFC">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3" w:type="dxa"/>
            <w:tcBorders>
              <w:top w:val="nil"/>
              <w:left w:val="nil"/>
              <w:bottom w:val="nil"/>
              <w:right w:val="nil"/>
            </w:tcBorders>
            <w:shd w:val="clear" w:color="auto" w:fill="auto"/>
            <w:noWrap/>
            <w:vAlign w:val="bottom"/>
            <w:hideMark/>
          </w:tcPr>
          <w:p w14:paraId="437CC878" w14:textId="77777777" w:rsidR="00EC2AFC" w:rsidRPr="00C73365" w:rsidRDefault="00EC2AFC" w:rsidP="00EC2AFC">
            <w:pPr>
              <w:spacing w:after="0"/>
              <w:rPr>
                <w:rFonts w:asciiTheme="minorHAnsi" w:hAnsiTheme="minorHAnsi" w:cstheme="minorHAnsi"/>
                <w:color w:val="000000"/>
                <w:szCs w:val="20"/>
                <w:lang w:val="fr-FR" w:eastAsia="fr-FR"/>
              </w:rPr>
            </w:pPr>
          </w:p>
        </w:tc>
        <w:tc>
          <w:tcPr>
            <w:tcW w:w="1282" w:type="dxa"/>
            <w:tcBorders>
              <w:top w:val="nil"/>
              <w:left w:val="nil"/>
              <w:bottom w:val="single" w:sz="8" w:space="0" w:color="7030A0"/>
              <w:right w:val="nil"/>
            </w:tcBorders>
            <w:shd w:val="clear" w:color="auto" w:fill="auto"/>
            <w:vAlign w:val="center"/>
            <w:hideMark/>
          </w:tcPr>
          <w:p w14:paraId="25238DEB" w14:textId="77777777"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1 756 000</w:t>
            </w:r>
          </w:p>
        </w:tc>
        <w:tc>
          <w:tcPr>
            <w:tcW w:w="153" w:type="dxa"/>
            <w:tcBorders>
              <w:top w:val="nil"/>
              <w:left w:val="nil"/>
              <w:bottom w:val="nil"/>
              <w:right w:val="nil"/>
            </w:tcBorders>
            <w:shd w:val="clear" w:color="auto" w:fill="auto"/>
            <w:noWrap/>
            <w:vAlign w:val="bottom"/>
            <w:hideMark/>
          </w:tcPr>
          <w:p w14:paraId="6008408B" w14:textId="77777777"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14:paraId="37A0FBF9" w14:textId="77777777"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904 849</w:t>
            </w:r>
          </w:p>
        </w:tc>
        <w:tc>
          <w:tcPr>
            <w:tcW w:w="153" w:type="dxa"/>
            <w:tcBorders>
              <w:top w:val="nil"/>
              <w:left w:val="nil"/>
              <w:bottom w:val="nil"/>
              <w:right w:val="nil"/>
            </w:tcBorders>
            <w:shd w:val="clear" w:color="auto" w:fill="auto"/>
            <w:noWrap/>
            <w:vAlign w:val="bottom"/>
            <w:hideMark/>
          </w:tcPr>
          <w:p w14:paraId="35EF5361" w14:textId="77777777"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14:paraId="395E7480" w14:textId="77777777" w:rsidR="00EC2AFC" w:rsidRPr="00C73365" w:rsidRDefault="00424C2A"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1 371 151</w:t>
            </w:r>
          </w:p>
        </w:tc>
        <w:tc>
          <w:tcPr>
            <w:tcW w:w="153" w:type="dxa"/>
            <w:tcBorders>
              <w:top w:val="nil"/>
              <w:left w:val="nil"/>
              <w:bottom w:val="nil"/>
              <w:right w:val="nil"/>
            </w:tcBorders>
            <w:shd w:val="clear" w:color="auto" w:fill="auto"/>
            <w:noWrap/>
            <w:vAlign w:val="bottom"/>
            <w:hideMark/>
          </w:tcPr>
          <w:p w14:paraId="77A8182E" w14:textId="77777777"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14:paraId="06B49A12" w14:textId="77777777"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1 154 000</w:t>
            </w:r>
          </w:p>
        </w:tc>
        <w:tc>
          <w:tcPr>
            <w:tcW w:w="165" w:type="dxa"/>
            <w:tcBorders>
              <w:top w:val="nil"/>
              <w:left w:val="nil"/>
              <w:bottom w:val="nil"/>
              <w:right w:val="nil"/>
            </w:tcBorders>
            <w:shd w:val="clear" w:color="auto" w:fill="auto"/>
            <w:noWrap/>
            <w:vAlign w:val="bottom"/>
            <w:hideMark/>
          </w:tcPr>
          <w:p w14:paraId="598753AB" w14:textId="77777777"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14:paraId="37A1AAA0" w14:textId="77777777"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167 000</w:t>
            </w:r>
          </w:p>
        </w:tc>
        <w:tc>
          <w:tcPr>
            <w:tcW w:w="153" w:type="dxa"/>
            <w:tcBorders>
              <w:top w:val="nil"/>
              <w:left w:val="nil"/>
              <w:bottom w:val="nil"/>
              <w:right w:val="nil"/>
            </w:tcBorders>
            <w:shd w:val="clear" w:color="auto" w:fill="auto"/>
            <w:noWrap/>
            <w:vAlign w:val="bottom"/>
            <w:hideMark/>
          </w:tcPr>
          <w:p w14:paraId="501B9E5B" w14:textId="77777777" w:rsidR="00EC2AFC" w:rsidRPr="00C73365" w:rsidRDefault="00EC2AFC" w:rsidP="00EC2AFC">
            <w:pPr>
              <w:spacing w:after="0"/>
              <w:jc w:val="center"/>
              <w:rPr>
                <w:rFonts w:asciiTheme="minorHAnsi" w:hAnsiTheme="minorHAnsi" w:cstheme="minorHAnsi"/>
                <w:color w:val="000000"/>
                <w:szCs w:val="20"/>
                <w:lang w:val="fr-FR" w:eastAsia="fr-FR"/>
              </w:rPr>
            </w:pPr>
          </w:p>
        </w:tc>
        <w:tc>
          <w:tcPr>
            <w:tcW w:w="963" w:type="dxa"/>
            <w:tcBorders>
              <w:top w:val="nil"/>
              <w:left w:val="nil"/>
              <w:bottom w:val="single" w:sz="8" w:space="0" w:color="7030A0"/>
              <w:right w:val="nil"/>
            </w:tcBorders>
            <w:shd w:val="clear" w:color="auto" w:fill="auto"/>
            <w:vAlign w:val="center"/>
            <w:hideMark/>
          </w:tcPr>
          <w:p w14:paraId="4E96E7EB" w14:textId="77777777"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944 925 </w:t>
            </w:r>
            <w:r w:rsidRPr="00C73365">
              <w:rPr>
                <w:rFonts w:asciiTheme="minorHAnsi" w:hAnsiTheme="minorHAnsi" w:cstheme="minorHAnsi"/>
                <w:color w:val="7030A0"/>
                <w:szCs w:val="20"/>
                <w:lang w:val="fr-FR" w:eastAsia="fr-FR"/>
              </w:rPr>
              <w:t>*</w:t>
            </w:r>
          </w:p>
        </w:tc>
        <w:tc>
          <w:tcPr>
            <w:tcW w:w="165" w:type="dxa"/>
            <w:tcBorders>
              <w:top w:val="nil"/>
              <w:left w:val="nil"/>
              <w:bottom w:val="nil"/>
              <w:right w:val="nil"/>
            </w:tcBorders>
            <w:shd w:val="clear" w:color="auto" w:fill="auto"/>
            <w:noWrap/>
            <w:vAlign w:val="bottom"/>
            <w:hideMark/>
          </w:tcPr>
          <w:p w14:paraId="0E4BFA91" w14:textId="77777777" w:rsidR="00EC2AFC" w:rsidRPr="00C73365" w:rsidRDefault="00EC2AFC" w:rsidP="00EC2AFC">
            <w:pPr>
              <w:spacing w:after="0"/>
              <w:jc w:val="center"/>
              <w:rPr>
                <w:rFonts w:asciiTheme="minorHAnsi" w:hAnsiTheme="minorHAnsi" w:cstheme="minorHAnsi"/>
                <w:color w:val="000000"/>
                <w:szCs w:val="20"/>
                <w:lang w:val="fr-FR" w:eastAsia="fr-FR"/>
              </w:rPr>
            </w:pPr>
          </w:p>
        </w:tc>
        <w:tc>
          <w:tcPr>
            <w:tcW w:w="2018" w:type="dxa"/>
            <w:tcBorders>
              <w:top w:val="nil"/>
              <w:left w:val="nil"/>
              <w:bottom w:val="single" w:sz="8" w:space="0" w:color="7030A0"/>
              <w:right w:val="nil"/>
            </w:tcBorders>
            <w:shd w:val="clear" w:color="auto" w:fill="auto"/>
            <w:vAlign w:val="center"/>
            <w:hideMark/>
          </w:tcPr>
          <w:p w14:paraId="13D83823" w14:textId="77777777" w:rsidR="00EC2AFC" w:rsidRPr="00C73365" w:rsidRDefault="00424C2A"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6 297 925</w:t>
            </w:r>
          </w:p>
        </w:tc>
      </w:tr>
    </w:tbl>
    <w:p w14:paraId="1AA67432" w14:textId="77777777" w:rsidR="00714A61" w:rsidRPr="00C73365" w:rsidRDefault="00714A61" w:rsidP="004572A0">
      <w:pPr>
        <w:pStyle w:val="Lgende"/>
        <w:rPr>
          <w:rFonts w:asciiTheme="minorHAnsi" w:hAnsiTheme="minorHAnsi" w:cstheme="minorHAnsi"/>
          <w:lang w:val="fr-FR"/>
        </w:rPr>
      </w:pPr>
      <w:r w:rsidRPr="00C73365">
        <w:rPr>
          <w:rFonts w:asciiTheme="minorHAnsi" w:hAnsiTheme="minorHAnsi" w:cstheme="minorHAnsi"/>
          <w:lang w:val="fr-FR"/>
        </w:rPr>
        <w:t>T0 = 02/01/2017</w:t>
      </w:r>
    </w:p>
    <w:p w14:paraId="7EC46EAA" w14:textId="77777777" w:rsidR="00714A61" w:rsidRPr="00C93577" w:rsidRDefault="00714A61" w:rsidP="004572A0">
      <w:pPr>
        <w:pStyle w:val="Listepuces"/>
        <w:rPr>
          <w:rFonts w:asciiTheme="minorHAnsi" w:hAnsiTheme="minorHAnsi" w:cstheme="minorHAnsi"/>
          <w:lang w:val="fr-FR"/>
        </w:rPr>
      </w:pPr>
      <w:r w:rsidRPr="00C93577">
        <w:rPr>
          <w:rFonts w:asciiTheme="minorHAnsi" w:hAnsiTheme="minorHAnsi" w:cstheme="minorHAnsi"/>
          <w:lang w:val="fr-FR"/>
        </w:rPr>
        <w:t>15% minimum du montant total des avances récupérables</w:t>
      </w:r>
    </w:p>
    <w:p w14:paraId="50D65B0E" w14:textId="77777777" w:rsidR="00714A61" w:rsidRPr="00C73365" w:rsidRDefault="00714A61" w:rsidP="00A96CCA">
      <w:pPr>
        <w:widowControl w:val="0"/>
        <w:spacing w:after="0"/>
        <w:rPr>
          <w:rFonts w:asciiTheme="minorHAnsi" w:eastAsia="MS Mincho" w:hAnsiTheme="minorHAnsi" w:cstheme="minorHAnsi"/>
          <w:szCs w:val="20"/>
          <w:lang w:val="fr-FR" w:eastAsia="fr-FR"/>
        </w:rPr>
      </w:pPr>
    </w:p>
    <w:p w14:paraId="4A70061F" w14:textId="77777777" w:rsidR="00714A61" w:rsidRPr="00C73365" w:rsidRDefault="00714A61" w:rsidP="00A96CCA">
      <w:pPr>
        <w:widowControl w:val="0"/>
        <w:spacing w:after="0"/>
        <w:rPr>
          <w:rFonts w:asciiTheme="minorHAnsi" w:eastAsia="MS Mincho" w:hAnsiTheme="minorHAnsi" w:cstheme="minorHAnsi"/>
          <w:szCs w:val="20"/>
          <w:lang w:val="fr-FR" w:eastAsia="fr-FR"/>
        </w:rPr>
      </w:pPr>
    </w:p>
    <w:p w14:paraId="46A7AB87" w14:textId="77777777" w:rsidR="00BE2C65" w:rsidRPr="00C73365" w:rsidRDefault="00BE2C65"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retours financiers s’effectueront au moyen de versements déterminés, en fonction des prévisions de chiffre d’affaires généré par l’exploitation directe ou indirecte, des produits ou services issus du projet.</w:t>
      </w:r>
    </w:p>
    <w:p w14:paraId="296C32D6" w14:textId="77777777" w:rsidR="00BE2C65" w:rsidRPr="00C73365" w:rsidRDefault="00BE2C65"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0,95% qui sera calculée selon les modalités contractuelles.</w:t>
      </w:r>
    </w:p>
    <w:p w14:paraId="36E6F896" w14:textId="77777777" w:rsidR="00BE2C65" w:rsidRPr="00C73365" w:rsidRDefault="00BE2C65"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w:t>
      </w:r>
      <w:r w:rsidR="0070666C"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xml:space="preserve"> forfaitaire de remboursement</w:t>
      </w:r>
      <w:r w:rsidR="0070666C"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xml:space="preserve">, lié à la réussite du projet, </w:t>
      </w:r>
      <w:r w:rsidR="00424C2A" w:rsidRPr="00C73365">
        <w:rPr>
          <w:rFonts w:asciiTheme="minorHAnsi" w:eastAsia="MS Mincho" w:hAnsiTheme="minorHAnsi" w:cstheme="minorHAnsi"/>
          <w:lang w:val="fr-FR" w:eastAsia="fr-FR"/>
        </w:rPr>
        <w:t xml:space="preserve">est </w:t>
      </w:r>
      <w:r w:rsidRPr="00C73365">
        <w:rPr>
          <w:rFonts w:asciiTheme="minorHAnsi" w:eastAsia="MS Mincho" w:hAnsiTheme="minorHAnsi" w:cstheme="minorHAnsi"/>
          <w:lang w:val="fr-FR" w:eastAsia="fr-FR"/>
        </w:rPr>
        <w:t xml:space="preserve">le suivant : </w:t>
      </w:r>
    </w:p>
    <w:tbl>
      <w:tblPr>
        <w:tblpPr w:leftFromText="141" w:rightFromText="141" w:vertAnchor="text" w:horzAnchor="margin" w:tblpXSpec="center" w:tblpY="136"/>
        <w:tblW w:w="4238" w:type="dxa"/>
        <w:tblCellMar>
          <w:left w:w="70" w:type="dxa"/>
          <w:right w:w="70" w:type="dxa"/>
        </w:tblCellMar>
        <w:tblLook w:val="04A0" w:firstRow="1" w:lastRow="0" w:firstColumn="1" w:lastColumn="0" w:noHBand="0" w:noVBand="1"/>
      </w:tblPr>
      <w:tblGrid>
        <w:gridCol w:w="2686"/>
        <w:gridCol w:w="156"/>
        <w:gridCol w:w="1396"/>
      </w:tblGrid>
      <w:tr w:rsidR="00F46C7B" w:rsidRPr="00C73365" w14:paraId="5CA64C8A" w14:textId="77777777" w:rsidTr="0070666C">
        <w:trPr>
          <w:trHeight w:val="270"/>
        </w:trPr>
        <w:tc>
          <w:tcPr>
            <w:tcW w:w="2686" w:type="dxa"/>
            <w:tcBorders>
              <w:top w:val="single" w:sz="4" w:space="0" w:color="7030A0"/>
              <w:left w:val="nil"/>
              <w:bottom w:val="single" w:sz="4" w:space="0" w:color="7030A0"/>
              <w:right w:val="nil"/>
            </w:tcBorders>
            <w:shd w:val="clear" w:color="auto" w:fill="auto"/>
            <w:noWrap/>
            <w:vAlign w:val="center"/>
            <w:hideMark/>
          </w:tcPr>
          <w:p w14:paraId="55DB58D9" w14:textId="77777777"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2022</w:t>
            </w:r>
          </w:p>
        </w:tc>
        <w:tc>
          <w:tcPr>
            <w:tcW w:w="156" w:type="dxa"/>
            <w:tcBorders>
              <w:top w:val="single" w:sz="4" w:space="0" w:color="7030A0"/>
              <w:left w:val="nil"/>
              <w:bottom w:val="single" w:sz="4" w:space="0" w:color="7030A0"/>
              <w:right w:val="nil"/>
            </w:tcBorders>
            <w:shd w:val="clear" w:color="auto" w:fill="auto"/>
            <w:noWrap/>
            <w:vAlign w:val="bottom"/>
            <w:hideMark/>
          </w:tcPr>
          <w:p w14:paraId="5AEC6C2D" w14:textId="77777777"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hideMark/>
          </w:tcPr>
          <w:p w14:paraId="3AFED10A" w14:textId="77777777"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14:paraId="26F86B1D" w14:textId="77777777" w:rsidTr="0070666C">
        <w:trPr>
          <w:trHeight w:val="270"/>
        </w:trPr>
        <w:tc>
          <w:tcPr>
            <w:tcW w:w="2686" w:type="dxa"/>
            <w:tcBorders>
              <w:top w:val="single" w:sz="4" w:space="0" w:color="7030A0"/>
              <w:left w:val="nil"/>
              <w:bottom w:val="single" w:sz="4" w:space="0" w:color="7030A0"/>
              <w:right w:val="nil"/>
            </w:tcBorders>
            <w:shd w:val="clear" w:color="auto" w:fill="auto"/>
            <w:noWrap/>
          </w:tcPr>
          <w:p w14:paraId="72D33727" w14:textId="77777777"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2023</w:t>
            </w:r>
          </w:p>
        </w:tc>
        <w:tc>
          <w:tcPr>
            <w:tcW w:w="156" w:type="dxa"/>
            <w:tcBorders>
              <w:top w:val="single" w:sz="4" w:space="0" w:color="7030A0"/>
              <w:left w:val="nil"/>
              <w:bottom w:val="single" w:sz="4" w:space="0" w:color="7030A0"/>
              <w:right w:val="nil"/>
            </w:tcBorders>
            <w:shd w:val="clear" w:color="auto" w:fill="auto"/>
            <w:noWrap/>
            <w:vAlign w:val="bottom"/>
          </w:tcPr>
          <w:p w14:paraId="2BF7B806" w14:textId="77777777"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tcPr>
          <w:p w14:paraId="595B8489" w14:textId="77777777"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14:paraId="6B5569F5" w14:textId="77777777" w:rsidTr="0070666C">
        <w:trPr>
          <w:trHeight w:val="270"/>
        </w:trPr>
        <w:tc>
          <w:tcPr>
            <w:tcW w:w="2686" w:type="dxa"/>
            <w:tcBorders>
              <w:top w:val="single" w:sz="4" w:space="0" w:color="7030A0"/>
              <w:left w:val="nil"/>
              <w:bottom w:val="single" w:sz="4" w:space="0" w:color="7030A0"/>
              <w:right w:val="nil"/>
            </w:tcBorders>
            <w:shd w:val="clear" w:color="auto" w:fill="auto"/>
            <w:noWrap/>
          </w:tcPr>
          <w:p w14:paraId="23320E3B" w14:textId="77777777"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2024</w:t>
            </w:r>
          </w:p>
        </w:tc>
        <w:tc>
          <w:tcPr>
            <w:tcW w:w="156" w:type="dxa"/>
            <w:tcBorders>
              <w:top w:val="single" w:sz="4" w:space="0" w:color="7030A0"/>
              <w:left w:val="nil"/>
              <w:bottom w:val="single" w:sz="4" w:space="0" w:color="7030A0"/>
              <w:right w:val="nil"/>
            </w:tcBorders>
            <w:shd w:val="clear" w:color="auto" w:fill="auto"/>
            <w:noWrap/>
            <w:vAlign w:val="bottom"/>
          </w:tcPr>
          <w:p w14:paraId="5258A6FA" w14:textId="77777777"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tcPr>
          <w:p w14:paraId="2E0AB1D8" w14:textId="77777777"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14:paraId="5E1C4566" w14:textId="77777777" w:rsidTr="0070666C">
        <w:trPr>
          <w:trHeight w:val="270"/>
        </w:trPr>
        <w:tc>
          <w:tcPr>
            <w:tcW w:w="2686" w:type="dxa"/>
            <w:tcBorders>
              <w:top w:val="nil"/>
              <w:left w:val="nil"/>
              <w:bottom w:val="single" w:sz="4" w:space="0" w:color="7030A0"/>
              <w:right w:val="nil"/>
            </w:tcBorders>
            <w:shd w:val="clear" w:color="auto" w:fill="auto"/>
            <w:noWrap/>
          </w:tcPr>
          <w:p w14:paraId="46CEC893" w14:textId="77777777" w:rsidR="00F46C7B" w:rsidRPr="00C73365" w:rsidRDefault="00F46C7B" w:rsidP="0070666C">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2025</w:t>
            </w:r>
          </w:p>
        </w:tc>
        <w:tc>
          <w:tcPr>
            <w:tcW w:w="156" w:type="dxa"/>
            <w:tcBorders>
              <w:top w:val="nil"/>
              <w:left w:val="nil"/>
              <w:bottom w:val="single" w:sz="4" w:space="0" w:color="7030A0"/>
              <w:right w:val="nil"/>
            </w:tcBorders>
            <w:shd w:val="clear" w:color="auto" w:fill="auto"/>
            <w:noWrap/>
            <w:vAlign w:val="bottom"/>
          </w:tcPr>
          <w:p w14:paraId="05F190E3" w14:textId="77777777" w:rsidR="00F46C7B" w:rsidRPr="00C73365" w:rsidRDefault="00F46C7B" w:rsidP="0070666C">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tcPr>
          <w:p w14:paraId="1F501402" w14:textId="77777777" w:rsidR="00F46C7B" w:rsidRPr="00C73365" w:rsidRDefault="00F46C7B" w:rsidP="0070666C">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14:paraId="3F693EED" w14:textId="77777777" w:rsidTr="0070666C">
        <w:trPr>
          <w:trHeight w:val="426"/>
        </w:trPr>
        <w:tc>
          <w:tcPr>
            <w:tcW w:w="2686" w:type="dxa"/>
            <w:tcBorders>
              <w:top w:val="single" w:sz="4" w:space="0" w:color="7030A0"/>
              <w:left w:val="nil"/>
              <w:bottom w:val="single" w:sz="4" w:space="0" w:color="7030A0"/>
              <w:right w:val="nil"/>
            </w:tcBorders>
            <w:shd w:val="clear" w:color="auto" w:fill="auto"/>
            <w:noWrap/>
            <w:vAlign w:val="center"/>
            <w:hideMark/>
          </w:tcPr>
          <w:p w14:paraId="7D9F4E7D" w14:textId="77777777" w:rsidR="00F46C7B" w:rsidRPr="00C73365" w:rsidRDefault="00F46C7B" w:rsidP="0070666C">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single" w:sz="4" w:space="0" w:color="7030A0"/>
              <w:left w:val="nil"/>
              <w:bottom w:val="single" w:sz="4" w:space="0" w:color="7030A0"/>
              <w:right w:val="nil"/>
            </w:tcBorders>
            <w:shd w:val="clear" w:color="auto" w:fill="auto"/>
            <w:vAlign w:val="center"/>
            <w:hideMark/>
          </w:tcPr>
          <w:p w14:paraId="63931BF3" w14:textId="77777777" w:rsidR="00F46C7B" w:rsidRPr="00C73365" w:rsidRDefault="00F46C7B" w:rsidP="0070666C">
            <w:pPr>
              <w:spacing w:after="0"/>
              <w:rPr>
                <w:rFonts w:asciiTheme="minorHAnsi" w:hAnsiTheme="minorHAnsi" w:cstheme="minorHAnsi"/>
                <w:b/>
                <w:color w:val="7030A0"/>
                <w:szCs w:val="20"/>
                <w:lang w:val="fr-FR" w:eastAsia="fr-FR"/>
              </w:rPr>
            </w:pPr>
          </w:p>
        </w:tc>
        <w:tc>
          <w:tcPr>
            <w:tcW w:w="1396" w:type="dxa"/>
            <w:tcBorders>
              <w:top w:val="single" w:sz="4" w:space="0" w:color="7030A0"/>
              <w:left w:val="nil"/>
              <w:bottom w:val="single" w:sz="4" w:space="0" w:color="7030A0"/>
              <w:right w:val="nil"/>
            </w:tcBorders>
            <w:shd w:val="clear" w:color="auto" w:fill="auto"/>
            <w:vAlign w:val="center"/>
            <w:hideMark/>
          </w:tcPr>
          <w:p w14:paraId="1DA433F0" w14:textId="77777777" w:rsidR="00F46C7B" w:rsidRPr="00C73365" w:rsidRDefault="00F46C7B" w:rsidP="0070666C">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6 576 </w:t>
            </w:r>
            <w:r w:rsidR="00EF089C" w:rsidRPr="00C73365">
              <w:rPr>
                <w:rFonts w:asciiTheme="minorHAnsi" w:hAnsiTheme="minorHAnsi" w:cstheme="minorHAnsi"/>
                <w:b/>
                <w:color w:val="7030A0"/>
                <w:szCs w:val="20"/>
                <w:lang w:val="fr-FR" w:eastAsia="fr-FR"/>
              </w:rPr>
              <w:t>K€</w:t>
            </w:r>
          </w:p>
        </w:tc>
      </w:tr>
    </w:tbl>
    <w:p w14:paraId="439FE18A" w14:textId="77777777" w:rsidR="00F46C7B" w:rsidRPr="00C73365" w:rsidRDefault="00F46C7B" w:rsidP="00A96CCA">
      <w:pPr>
        <w:spacing w:after="0"/>
        <w:rPr>
          <w:rFonts w:asciiTheme="minorHAnsi" w:hAnsiTheme="minorHAnsi" w:cstheme="minorHAnsi"/>
          <w:lang w:val="fr-FR"/>
        </w:rPr>
      </w:pPr>
    </w:p>
    <w:p w14:paraId="679C43FF" w14:textId="77777777" w:rsidR="00F46C7B" w:rsidRPr="00C73365" w:rsidRDefault="00F46C7B" w:rsidP="00A96CCA">
      <w:pPr>
        <w:spacing w:after="0"/>
        <w:rPr>
          <w:rFonts w:asciiTheme="minorHAnsi" w:hAnsiTheme="minorHAnsi" w:cstheme="minorHAnsi"/>
          <w:lang w:val="fr-FR"/>
        </w:rPr>
      </w:pPr>
    </w:p>
    <w:p w14:paraId="70E977CF" w14:textId="77777777" w:rsidR="00F46C7B" w:rsidRPr="00C73365" w:rsidRDefault="00F46C7B" w:rsidP="00A96CCA">
      <w:pPr>
        <w:spacing w:after="0"/>
        <w:rPr>
          <w:rFonts w:asciiTheme="minorHAnsi" w:hAnsiTheme="minorHAnsi" w:cstheme="minorHAnsi"/>
          <w:lang w:val="fr-FR"/>
        </w:rPr>
      </w:pPr>
    </w:p>
    <w:p w14:paraId="47A628CD" w14:textId="77777777" w:rsidR="00F46C7B" w:rsidRPr="00C73365" w:rsidRDefault="00F46C7B" w:rsidP="00A96CCA">
      <w:pPr>
        <w:spacing w:after="0"/>
        <w:rPr>
          <w:rFonts w:asciiTheme="minorHAnsi" w:hAnsiTheme="minorHAnsi" w:cstheme="minorHAnsi"/>
          <w:lang w:val="fr-FR"/>
        </w:rPr>
      </w:pPr>
    </w:p>
    <w:p w14:paraId="4C7809D4" w14:textId="77777777" w:rsidR="00F46C7B" w:rsidRPr="00C73365" w:rsidRDefault="00F46C7B" w:rsidP="00A96CCA">
      <w:pPr>
        <w:spacing w:after="0"/>
        <w:rPr>
          <w:rFonts w:asciiTheme="minorHAnsi" w:hAnsiTheme="minorHAnsi" w:cstheme="minorHAnsi"/>
          <w:lang w:val="fr-FR"/>
        </w:rPr>
      </w:pPr>
    </w:p>
    <w:p w14:paraId="341DDD30" w14:textId="77777777" w:rsidR="00F46C7B" w:rsidRPr="00C73365" w:rsidRDefault="00F46C7B" w:rsidP="00A96CCA">
      <w:pPr>
        <w:spacing w:after="0"/>
        <w:rPr>
          <w:rFonts w:asciiTheme="minorHAnsi" w:hAnsiTheme="minorHAnsi" w:cstheme="minorHAnsi"/>
          <w:lang w:val="fr-FR"/>
        </w:rPr>
      </w:pPr>
    </w:p>
    <w:p w14:paraId="78BB45BD" w14:textId="77777777" w:rsidR="00F46C7B" w:rsidRPr="00C73365" w:rsidRDefault="00F46C7B" w:rsidP="00A96CCA">
      <w:pPr>
        <w:spacing w:after="0"/>
        <w:rPr>
          <w:rFonts w:asciiTheme="minorHAnsi" w:hAnsiTheme="minorHAnsi" w:cstheme="minorHAnsi"/>
          <w:lang w:val="fr-FR"/>
        </w:rPr>
      </w:pPr>
    </w:p>
    <w:p w14:paraId="436F528E" w14:textId="77777777" w:rsidR="00F46C7B" w:rsidRPr="00C73365" w:rsidRDefault="00F46C7B" w:rsidP="00A96CCA">
      <w:pPr>
        <w:spacing w:after="0"/>
        <w:rPr>
          <w:rFonts w:asciiTheme="minorHAnsi" w:hAnsiTheme="minorHAnsi" w:cstheme="minorHAnsi"/>
          <w:lang w:val="fr-FR"/>
        </w:rPr>
      </w:pPr>
    </w:p>
    <w:p w14:paraId="20BEE4D5" w14:textId="77777777" w:rsidR="003C16D4" w:rsidRPr="00C73365" w:rsidRDefault="00424C2A" w:rsidP="004572A0">
      <w:pPr>
        <w:pStyle w:val="Corpsdetexte"/>
        <w:rPr>
          <w:rFonts w:asciiTheme="minorHAnsi" w:hAnsiTheme="minorHAnsi" w:cstheme="minorHAnsi"/>
          <w:szCs w:val="22"/>
          <w:lang w:val="fr-FR"/>
        </w:rPr>
      </w:pPr>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p w14:paraId="565D91A6" w14:textId="77777777" w:rsidR="008B3EAD" w:rsidRPr="00C73365" w:rsidRDefault="008B3EAD"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r w:rsidRPr="00C73365">
        <w:rPr>
          <w:rFonts w:asciiTheme="minorHAnsi" w:hAnsiTheme="minorHAnsi" w:cstheme="minorHAnsi"/>
          <w:b/>
          <w:color w:val="7030A0"/>
          <w:lang w:val="fr-FR" w:eastAsia="fr-FR"/>
        </w:rPr>
        <w:t xml:space="preserve"> </w:t>
      </w:r>
    </w:p>
    <w:p w14:paraId="5EA97813" w14:textId="77777777" w:rsidR="00BE2C65" w:rsidRPr="00C73365" w:rsidRDefault="00234CD1"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Concernant les versements complémentaires, s</w:t>
      </w:r>
      <w:r w:rsidR="00BE2C65" w:rsidRPr="00C73365">
        <w:rPr>
          <w:rFonts w:asciiTheme="minorHAnsi" w:eastAsia="MS Mincho" w:hAnsiTheme="minorHAnsi" w:cstheme="minorHAnsi"/>
          <w:lang w:val="fr-FR" w:eastAsia="fr-FR"/>
        </w:rPr>
        <w:t xml:space="preserve">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00BE2C65" w:rsidRPr="00C73365">
        <w:rPr>
          <w:rFonts w:asciiTheme="minorHAnsi" w:eastAsia="MS Mincho" w:hAnsiTheme="minorHAnsi" w:cstheme="minorHAnsi"/>
          <w:lang w:val="fr-FR" w:eastAsia="fr-FR"/>
        </w:rPr>
        <w:t xml:space="preserve">, pendant </w:t>
      </w:r>
      <w:r w:rsidR="006E11AF" w:rsidRPr="00C73365">
        <w:rPr>
          <w:rFonts w:asciiTheme="minorHAnsi" w:eastAsia="MS Mincho" w:hAnsiTheme="minorHAnsi" w:cstheme="minorHAnsi"/>
          <w:lang w:val="fr-FR" w:eastAsia="fr-FR"/>
        </w:rPr>
        <w:t>une durée de 5 année consécutive</w:t>
      </w:r>
      <w:r w:rsidR="00BE2C65" w:rsidRPr="00C73365">
        <w:rPr>
          <w:rFonts w:asciiTheme="minorHAnsi" w:eastAsia="MS Mincho" w:hAnsiTheme="minorHAnsi" w:cstheme="minorHAnsi"/>
          <w:lang w:val="fr-FR" w:eastAsia="fr-FR"/>
        </w:rPr>
        <w:t xml:space="preserve"> après la date de terminaison de l’échéancier et dès lors qu’elle aura atteint un montant cumulé de chiffre d’affaires hors taxes égal ou supérieur à 25 000 </w:t>
      </w:r>
      <w:r w:rsidR="00EF089C" w:rsidRPr="00C73365">
        <w:rPr>
          <w:rFonts w:asciiTheme="minorHAnsi" w:eastAsia="MS Mincho" w:hAnsiTheme="minorHAnsi" w:cstheme="minorHAnsi"/>
          <w:lang w:val="fr-FR" w:eastAsia="fr-FR"/>
        </w:rPr>
        <w:t>K€</w:t>
      </w:r>
      <w:r w:rsidR="00BE2C65" w:rsidRPr="00C73365">
        <w:rPr>
          <w:rFonts w:asciiTheme="minorHAnsi" w:eastAsia="MS Mincho" w:hAnsiTheme="minorHAnsi" w:cstheme="minorHAnsi"/>
          <w:lang w:val="fr-FR" w:eastAsia="fr-FR"/>
        </w:rPr>
        <w:t>, 3% du chiffre d’affaires annuel généré par l’exploitation des produits issus du projet.</w:t>
      </w:r>
    </w:p>
    <w:p w14:paraId="26706AE3" w14:textId="77777777" w:rsidR="00BE2C65" w:rsidRPr="00C73365" w:rsidRDefault="00BE2C65"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versements complémentaires est plafonné à la somme de 5 500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14:paraId="41C15537" w14:textId="77777777" w:rsidR="00BE2C65" w:rsidRPr="00C73365" w:rsidRDefault="00BE2C65"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14:paraId="30EEF526" w14:textId="77777777" w:rsidR="00332F45" w:rsidRPr="00C73365" w:rsidRDefault="007974ED"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Aide conjointe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et Région Occitanie Projet EBOLA (part Avances Remboursables)</w:t>
      </w:r>
    </w:p>
    <w:p w14:paraId="5A3F884C" w14:textId="77777777" w:rsidR="007974ED" w:rsidRPr="00C73365" w:rsidRDefault="007974ED" w:rsidP="00A96CCA">
      <w:pPr>
        <w:pStyle w:val="Paragraphedeliste"/>
        <w:spacing w:after="0"/>
        <w:ind w:left="1980"/>
        <w:rPr>
          <w:rFonts w:asciiTheme="minorHAnsi" w:hAnsiTheme="minorHAnsi" w:cstheme="minorHAnsi"/>
          <w:lang w:val="fr-FR"/>
        </w:rPr>
      </w:pPr>
    </w:p>
    <w:p w14:paraId="525CAF1D" w14:textId="77777777" w:rsidR="00D10EEF" w:rsidRPr="00C73365" w:rsidRDefault="00D10EEF" w:rsidP="004572A0">
      <w:pPr>
        <w:pStyle w:val="Corpsdetexte"/>
        <w:rPr>
          <w:rFonts w:asciiTheme="minorHAnsi" w:hAnsiTheme="minorHAnsi" w:cstheme="minorHAnsi"/>
          <w:lang w:val="fr-FR"/>
        </w:rPr>
      </w:pPr>
      <w:r w:rsidRPr="00C73365">
        <w:rPr>
          <w:rFonts w:asciiTheme="minorHAnsi" w:hAnsiTheme="minorHAnsi" w:cstheme="minorHAnsi"/>
          <w:lang w:val="fr-FR"/>
        </w:rPr>
        <w:t>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conjointe </w:t>
      </w:r>
      <w:r w:rsidR="001479F8">
        <w:rPr>
          <w:rFonts w:asciiTheme="minorHAnsi" w:hAnsiTheme="minorHAnsi" w:cstheme="minorHAnsi"/>
          <w:lang w:val="fr-FR"/>
        </w:rPr>
        <w:t>Bpifrance</w:t>
      </w:r>
      <w:r w:rsidRPr="00C73365">
        <w:rPr>
          <w:rFonts w:asciiTheme="minorHAnsi" w:hAnsiTheme="minorHAnsi" w:cstheme="minorHAnsi"/>
          <w:lang w:val="fr-FR"/>
        </w:rPr>
        <w:t xml:space="preserve"> et Région Occitanie</w:t>
      </w:r>
      <w:r w:rsidR="00665210" w:rsidRPr="00C73365">
        <w:rPr>
          <w:rFonts w:asciiTheme="minorHAnsi" w:hAnsiTheme="minorHAnsi" w:cstheme="minorHAnsi"/>
          <w:lang w:val="fr-FR"/>
        </w:rPr>
        <w:t xml:space="preserve"> accordé le 2 juin 2017</w:t>
      </w:r>
      <w:r w:rsidRPr="00C73365">
        <w:rPr>
          <w:rFonts w:asciiTheme="minorHAnsi" w:hAnsiTheme="minorHAnsi" w:cstheme="minorHAnsi"/>
          <w:lang w:val="fr-FR"/>
        </w:rPr>
        <w:t xml:space="preserve"> (respectivement 260 000 € et 130 000 €) est constitué d’avances remboursables (conditionné au succès)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montant global maximum de 390 000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14:paraId="48B6CDC4" w14:textId="77777777" w:rsidR="00D10EEF" w:rsidRPr="00C73365" w:rsidRDefault="00D10EEF" w:rsidP="004572A0">
      <w:pPr>
        <w:pStyle w:val="Retraitcorpset1relig"/>
        <w:rPr>
          <w:rFonts w:asciiTheme="minorHAnsi" w:hAnsiTheme="minorHAnsi" w:cstheme="minorHAnsi"/>
          <w:b/>
          <w:lang w:val="fr-FR"/>
        </w:rPr>
      </w:pPr>
      <w:r w:rsidRPr="00C73365">
        <w:rPr>
          <w:rFonts w:asciiTheme="minorHAnsi" w:hAnsiTheme="minorHAnsi" w:cstheme="minorHAnsi"/>
          <w:b/>
          <w:lang w:val="fr-FR"/>
        </w:rPr>
        <w:t>Echéancier versements maximaux des avances remboursables (en euros) :</w:t>
      </w:r>
    </w:p>
    <w:tbl>
      <w:tblPr>
        <w:tblW w:w="3911" w:type="dxa"/>
        <w:tblInd w:w="2870" w:type="dxa"/>
        <w:tblCellMar>
          <w:left w:w="70" w:type="dxa"/>
          <w:right w:w="70" w:type="dxa"/>
        </w:tblCellMar>
        <w:tblLook w:val="04A0" w:firstRow="1" w:lastRow="0" w:firstColumn="1" w:lastColumn="0" w:noHBand="0" w:noVBand="1"/>
      </w:tblPr>
      <w:tblGrid>
        <w:gridCol w:w="1206"/>
        <w:gridCol w:w="146"/>
        <w:gridCol w:w="1218"/>
        <w:gridCol w:w="146"/>
        <w:gridCol w:w="1049"/>
        <w:gridCol w:w="146"/>
      </w:tblGrid>
      <w:tr w:rsidR="00D10EEF" w:rsidRPr="00C73365" w14:paraId="1EB2A5AC" w14:textId="77777777" w:rsidTr="00EE6208">
        <w:trPr>
          <w:trHeight w:val="944"/>
        </w:trPr>
        <w:tc>
          <w:tcPr>
            <w:tcW w:w="1206" w:type="dxa"/>
            <w:tcBorders>
              <w:top w:val="single" w:sz="12" w:space="0" w:color="7030A0"/>
              <w:left w:val="nil"/>
              <w:bottom w:val="single" w:sz="8" w:space="0" w:color="7030A0"/>
              <w:right w:val="nil"/>
            </w:tcBorders>
            <w:shd w:val="clear" w:color="auto" w:fill="auto"/>
            <w:vAlign w:val="center"/>
            <w:hideMark/>
          </w:tcPr>
          <w:p w14:paraId="2800B710" w14:textId="77777777"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14:paraId="3E7BB901" w14:textId="77777777" w:rsidR="00D10EEF" w:rsidRPr="00C73365" w:rsidRDefault="00D10EEF" w:rsidP="00A96CCA">
            <w:pPr>
              <w:spacing w:after="0"/>
              <w:jc w:val="center"/>
              <w:rPr>
                <w:rFonts w:asciiTheme="minorHAnsi" w:hAnsiTheme="minorHAnsi" w:cstheme="minorHAnsi"/>
                <w:b/>
                <w:bCs/>
                <w:color w:val="000000"/>
                <w:szCs w:val="20"/>
                <w:lang w:val="fr-FR" w:eastAsia="fr-FR"/>
              </w:rPr>
            </w:pPr>
          </w:p>
        </w:tc>
        <w:tc>
          <w:tcPr>
            <w:tcW w:w="1218" w:type="dxa"/>
            <w:tcBorders>
              <w:top w:val="single" w:sz="12" w:space="0" w:color="7030A0"/>
              <w:left w:val="nil"/>
              <w:bottom w:val="single" w:sz="8" w:space="0" w:color="7030A0"/>
              <w:right w:val="nil"/>
            </w:tcBorders>
            <w:shd w:val="clear" w:color="auto" w:fill="auto"/>
            <w:vAlign w:val="center"/>
            <w:hideMark/>
          </w:tcPr>
          <w:p w14:paraId="2B752D30" w14:textId="77777777"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w:t>
            </w:r>
          </w:p>
        </w:tc>
        <w:tc>
          <w:tcPr>
            <w:tcW w:w="146" w:type="dxa"/>
            <w:tcBorders>
              <w:top w:val="nil"/>
              <w:left w:val="nil"/>
              <w:bottom w:val="nil"/>
              <w:right w:val="nil"/>
            </w:tcBorders>
            <w:shd w:val="clear" w:color="auto" w:fill="auto"/>
            <w:noWrap/>
            <w:vAlign w:val="bottom"/>
            <w:hideMark/>
          </w:tcPr>
          <w:p w14:paraId="49534B66" w14:textId="77777777" w:rsidR="00D10EEF" w:rsidRPr="00C73365" w:rsidRDefault="00D10EEF" w:rsidP="00A96CCA">
            <w:pPr>
              <w:spacing w:after="0"/>
              <w:jc w:val="center"/>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14:paraId="1B807467" w14:textId="77777777"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r>
          </w:p>
        </w:tc>
        <w:tc>
          <w:tcPr>
            <w:tcW w:w="146" w:type="dxa"/>
            <w:tcBorders>
              <w:top w:val="nil"/>
              <w:left w:val="nil"/>
              <w:bottom w:val="nil"/>
              <w:right w:val="nil"/>
            </w:tcBorders>
            <w:shd w:val="clear" w:color="auto" w:fill="auto"/>
            <w:noWrap/>
            <w:vAlign w:val="bottom"/>
            <w:hideMark/>
          </w:tcPr>
          <w:p w14:paraId="29FE5FEC" w14:textId="77777777" w:rsidR="00D10EEF" w:rsidRPr="00C73365" w:rsidRDefault="00D10EEF" w:rsidP="00A96CCA">
            <w:pPr>
              <w:spacing w:after="0"/>
              <w:jc w:val="center"/>
              <w:rPr>
                <w:rFonts w:asciiTheme="minorHAnsi" w:hAnsiTheme="minorHAnsi" w:cstheme="minorHAnsi"/>
                <w:b/>
                <w:bCs/>
                <w:color w:val="000000"/>
                <w:szCs w:val="20"/>
                <w:lang w:val="fr-FR" w:eastAsia="fr-FR"/>
              </w:rPr>
            </w:pPr>
          </w:p>
        </w:tc>
      </w:tr>
      <w:tr w:rsidR="00D10EEF" w:rsidRPr="00C73365" w14:paraId="0C9762EC" w14:textId="77777777" w:rsidTr="00EE6208">
        <w:trPr>
          <w:trHeight w:val="251"/>
        </w:trPr>
        <w:tc>
          <w:tcPr>
            <w:tcW w:w="1206" w:type="dxa"/>
            <w:tcBorders>
              <w:top w:val="nil"/>
              <w:left w:val="nil"/>
              <w:bottom w:val="single" w:sz="8" w:space="0" w:color="7030A0"/>
              <w:right w:val="nil"/>
            </w:tcBorders>
            <w:shd w:val="clear" w:color="auto" w:fill="auto"/>
            <w:vAlign w:val="center"/>
            <w:hideMark/>
          </w:tcPr>
          <w:p w14:paraId="468A6F28" w14:textId="77777777" w:rsidR="00D10EEF"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14:paraId="47D729CC" w14:textId="77777777" w:rsidR="00D10EEF" w:rsidRPr="00C73365" w:rsidRDefault="00D10EEF" w:rsidP="00A96CCA">
            <w:pPr>
              <w:spacing w:after="0"/>
              <w:rPr>
                <w:rFonts w:asciiTheme="minorHAnsi" w:hAnsiTheme="minorHAnsi" w:cstheme="minorHAnsi"/>
                <w:color w:val="000000"/>
                <w:szCs w:val="20"/>
                <w:lang w:val="fr-FR" w:eastAsia="fr-FR"/>
              </w:rPr>
            </w:pPr>
          </w:p>
        </w:tc>
        <w:tc>
          <w:tcPr>
            <w:tcW w:w="1218" w:type="dxa"/>
            <w:tcBorders>
              <w:top w:val="nil"/>
              <w:left w:val="nil"/>
              <w:bottom w:val="single" w:sz="8" w:space="0" w:color="7030A0"/>
              <w:right w:val="nil"/>
            </w:tcBorders>
            <w:shd w:val="clear" w:color="auto" w:fill="auto"/>
            <w:vAlign w:val="center"/>
          </w:tcPr>
          <w:p w14:paraId="246B4FE7" w14:textId="77777777" w:rsidR="00D10EEF" w:rsidRPr="00C73365" w:rsidRDefault="00A14C60"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300 000</w:t>
            </w:r>
          </w:p>
        </w:tc>
        <w:tc>
          <w:tcPr>
            <w:tcW w:w="146" w:type="dxa"/>
            <w:tcBorders>
              <w:top w:val="nil"/>
              <w:left w:val="nil"/>
              <w:bottom w:val="nil"/>
              <w:right w:val="nil"/>
            </w:tcBorders>
            <w:shd w:val="clear" w:color="auto" w:fill="auto"/>
            <w:noWrap/>
            <w:vAlign w:val="bottom"/>
            <w:hideMark/>
          </w:tcPr>
          <w:p w14:paraId="43E50DC3" w14:textId="77777777" w:rsidR="00D10EEF" w:rsidRPr="00C73365" w:rsidRDefault="00D10EEF" w:rsidP="00A96CCA">
            <w:pPr>
              <w:spacing w:after="0"/>
              <w:jc w:val="center"/>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14:paraId="454DB833" w14:textId="77777777" w:rsidR="00D10EEF" w:rsidRPr="00C73365" w:rsidRDefault="00D10EE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90 000</w:t>
            </w:r>
          </w:p>
        </w:tc>
        <w:tc>
          <w:tcPr>
            <w:tcW w:w="146" w:type="dxa"/>
            <w:tcBorders>
              <w:top w:val="nil"/>
              <w:left w:val="nil"/>
              <w:bottom w:val="nil"/>
              <w:right w:val="nil"/>
            </w:tcBorders>
            <w:shd w:val="clear" w:color="auto" w:fill="auto"/>
            <w:noWrap/>
            <w:vAlign w:val="bottom"/>
            <w:hideMark/>
          </w:tcPr>
          <w:p w14:paraId="51A04582" w14:textId="77777777" w:rsidR="00D10EEF" w:rsidRPr="00C73365" w:rsidRDefault="00D10EEF" w:rsidP="00A96CCA">
            <w:pPr>
              <w:spacing w:after="0"/>
              <w:jc w:val="center"/>
              <w:rPr>
                <w:rFonts w:asciiTheme="minorHAnsi" w:hAnsiTheme="minorHAnsi" w:cstheme="minorHAnsi"/>
                <w:color w:val="000000"/>
                <w:szCs w:val="20"/>
                <w:lang w:val="fr-FR" w:eastAsia="fr-FR"/>
              </w:rPr>
            </w:pPr>
          </w:p>
        </w:tc>
      </w:tr>
      <w:tr w:rsidR="00D10EEF" w:rsidRPr="00C73365" w14:paraId="0BC86D09" w14:textId="77777777" w:rsidTr="00EE6208">
        <w:trPr>
          <w:trHeight w:val="397"/>
        </w:trPr>
        <w:tc>
          <w:tcPr>
            <w:tcW w:w="1206" w:type="dxa"/>
            <w:tcBorders>
              <w:top w:val="nil"/>
              <w:left w:val="nil"/>
              <w:bottom w:val="single" w:sz="8" w:space="0" w:color="7030A0"/>
              <w:right w:val="nil"/>
            </w:tcBorders>
            <w:shd w:val="clear" w:color="auto" w:fill="auto"/>
            <w:vAlign w:val="center"/>
            <w:hideMark/>
          </w:tcPr>
          <w:p w14:paraId="26BAB148" w14:textId="77777777" w:rsidR="00D10EEF" w:rsidRPr="00C73365" w:rsidRDefault="00D10EEF"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14:paraId="632FDDD0" w14:textId="77777777" w:rsidR="00D10EEF" w:rsidRPr="00C73365" w:rsidRDefault="00D10EEF" w:rsidP="00A96CCA">
            <w:pPr>
              <w:spacing w:after="0"/>
              <w:rPr>
                <w:rFonts w:asciiTheme="minorHAnsi" w:hAnsiTheme="minorHAnsi" w:cstheme="minorHAnsi"/>
                <w:b/>
                <w:bCs/>
                <w:color w:val="7030A0"/>
                <w:szCs w:val="20"/>
                <w:lang w:val="fr-FR" w:eastAsia="fr-FR"/>
              </w:rPr>
            </w:pPr>
          </w:p>
        </w:tc>
        <w:tc>
          <w:tcPr>
            <w:tcW w:w="1218" w:type="dxa"/>
            <w:tcBorders>
              <w:top w:val="nil"/>
              <w:left w:val="nil"/>
              <w:bottom w:val="single" w:sz="8" w:space="0" w:color="7030A0"/>
              <w:right w:val="nil"/>
            </w:tcBorders>
            <w:shd w:val="clear" w:color="auto" w:fill="auto"/>
            <w:vAlign w:val="center"/>
          </w:tcPr>
          <w:p w14:paraId="3E5D596B" w14:textId="77777777" w:rsidR="00D10EEF" w:rsidRPr="00C73365" w:rsidRDefault="00A14C60"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300</w:t>
            </w:r>
            <w:r w:rsidR="00D10EEF" w:rsidRPr="00C73365">
              <w:rPr>
                <w:rFonts w:asciiTheme="minorHAnsi" w:hAnsiTheme="minorHAnsi" w:cstheme="minorHAnsi"/>
                <w:b/>
                <w:bCs/>
                <w:color w:val="7030A0"/>
                <w:szCs w:val="20"/>
                <w:lang w:val="fr-FR" w:eastAsia="fr-FR"/>
              </w:rPr>
              <w:t xml:space="preserve"> 000</w:t>
            </w:r>
          </w:p>
        </w:tc>
        <w:tc>
          <w:tcPr>
            <w:tcW w:w="146" w:type="dxa"/>
            <w:tcBorders>
              <w:top w:val="nil"/>
              <w:left w:val="nil"/>
              <w:bottom w:val="nil"/>
              <w:right w:val="nil"/>
            </w:tcBorders>
            <w:shd w:val="clear" w:color="auto" w:fill="auto"/>
            <w:noWrap/>
            <w:vAlign w:val="bottom"/>
            <w:hideMark/>
          </w:tcPr>
          <w:p w14:paraId="1E3C2415" w14:textId="77777777" w:rsidR="00D10EEF" w:rsidRPr="00C73365" w:rsidRDefault="00D10EEF" w:rsidP="00A96CCA">
            <w:pPr>
              <w:spacing w:after="0"/>
              <w:jc w:val="center"/>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14:paraId="0440F4AD" w14:textId="77777777" w:rsidR="00D10EEF" w:rsidRPr="00C73365" w:rsidRDefault="00D10EEF"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90 000</w:t>
            </w:r>
          </w:p>
        </w:tc>
        <w:tc>
          <w:tcPr>
            <w:tcW w:w="146" w:type="dxa"/>
            <w:tcBorders>
              <w:top w:val="nil"/>
              <w:left w:val="nil"/>
              <w:bottom w:val="nil"/>
              <w:right w:val="nil"/>
            </w:tcBorders>
            <w:shd w:val="clear" w:color="auto" w:fill="auto"/>
            <w:noWrap/>
            <w:vAlign w:val="bottom"/>
            <w:hideMark/>
          </w:tcPr>
          <w:p w14:paraId="4AF7496B" w14:textId="77777777" w:rsidR="00D10EEF" w:rsidRPr="00C73365" w:rsidRDefault="00D10EEF" w:rsidP="00A96CCA">
            <w:pPr>
              <w:spacing w:after="0"/>
              <w:jc w:val="center"/>
              <w:rPr>
                <w:rFonts w:asciiTheme="minorHAnsi" w:hAnsiTheme="minorHAnsi" w:cstheme="minorHAnsi"/>
                <w:b/>
                <w:bCs/>
                <w:color w:val="7030A0"/>
                <w:szCs w:val="20"/>
                <w:lang w:val="fr-FR" w:eastAsia="fr-FR"/>
              </w:rPr>
            </w:pPr>
          </w:p>
        </w:tc>
      </w:tr>
    </w:tbl>
    <w:p w14:paraId="230B999C" w14:textId="77777777"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14:paraId="0F10B703" w14:textId="77777777"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14:paraId="0F49B08E" w14:textId="77777777" w:rsidR="00D10EEF" w:rsidRPr="00C73365" w:rsidRDefault="00D10EEF" w:rsidP="004572A0">
      <w:pPr>
        <w:pStyle w:val="Corpsdetext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L’échéancier forfaitaire de remboursement, lié à la réussite du projet, est le suivant : </w:t>
      </w:r>
    </w:p>
    <w:tbl>
      <w:tblPr>
        <w:tblpPr w:leftFromText="141" w:rightFromText="141" w:vertAnchor="text" w:horzAnchor="margin" w:tblpXSpec="center" w:tblpY="136"/>
        <w:tblW w:w="4238" w:type="dxa"/>
        <w:tblCellMar>
          <w:left w:w="70" w:type="dxa"/>
          <w:right w:w="70" w:type="dxa"/>
        </w:tblCellMar>
        <w:tblLook w:val="04A0" w:firstRow="1" w:lastRow="0" w:firstColumn="1" w:lastColumn="0" w:noHBand="0" w:noVBand="1"/>
      </w:tblPr>
      <w:tblGrid>
        <w:gridCol w:w="2686"/>
        <w:gridCol w:w="156"/>
        <w:gridCol w:w="1396"/>
      </w:tblGrid>
      <w:tr w:rsidR="00D10EEF" w:rsidRPr="00036317" w14:paraId="7BBACEDF" w14:textId="77777777" w:rsidTr="008060C0">
        <w:trPr>
          <w:trHeight w:val="638"/>
        </w:trPr>
        <w:tc>
          <w:tcPr>
            <w:tcW w:w="2686" w:type="dxa"/>
            <w:tcBorders>
              <w:top w:val="single" w:sz="12" w:space="0" w:color="7030A0"/>
              <w:left w:val="nil"/>
              <w:bottom w:val="single" w:sz="8" w:space="0" w:color="7030A0"/>
              <w:right w:val="nil"/>
            </w:tcBorders>
            <w:shd w:val="clear" w:color="auto" w:fill="auto"/>
            <w:vAlign w:val="center"/>
            <w:hideMark/>
          </w:tcPr>
          <w:p w14:paraId="1906EF7C" w14:textId="77777777" w:rsidR="00D10EEF" w:rsidRPr="00C73365" w:rsidRDefault="00D10EEF" w:rsidP="008060C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br w:type="column"/>
            </w: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14:paraId="3A1E2EDB" w14:textId="77777777"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single" w:sz="12" w:space="0" w:color="7030A0"/>
              <w:left w:val="nil"/>
              <w:bottom w:val="single" w:sz="8" w:space="0" w:color="7030A0"/>
              <w:right w:val="nil"/>
            </w:tcBorders>
            <w:shd w:val="clear" w:color="auto" w:fill="auto"/>
            <w:vAlign w:val="center"/>
            <w:hideMark/>
          </w:tcPr>
          <w:p w14:paraId="32F853FD" w14:textId="77777777" w:rsidR="00D10EEF" w:rsidRPr="00C73365" w:rsidRDefault="00D10EEF" w:rsidP="008060C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D10EEF" w:rsidRPr="00C73365" w14:paraId="4B3513F6" w14:textId="77777777"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hideMark/>
          </w:tcPr>
          <w:p w14:paraId="489F4988" w14:textId="77777777"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2019</w:t>
            </w:r>
          </w:p>
        </w:tc>
        <w:tc>
          <w:tcPr>
            <w:tcW w:w="156" w:type="dxa"/>
            <w:tcBorders>
              <w:top w:val="single" w:sz="4" w:space="0" w:color="7030A0"/>
              <w:left w:val="nil"/>
              <w:bottom w:val="single" w:sz="4" w:space="0" w:color="7030A0"/>
              <w:right w:val="nil"/>
            </w:tcBorders>
            <w:shd w:val="clear" w:color="auto" w:fill="auto"/>
            <w:noWrap/>
            <w:vAlign w:val="bottom"/>
            <w:hideMark/>
          </w:tcPr>
          <w:p w14:paraId="21D4BE73" w14:textId="77777777"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hideMark/>
          </w:tcPr>
          <w:p w14:paraId="799B05A9" w14:textId="77777777" w:rsidR="00D10EEF" w:rsidRPr="00C73365" w:rsidRDefault="008060C0"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40 000</w:t>
            </w:r>
            <w:r w:rsidR="00D10EEF" w:rsidRPr="00C73365">
              <w:rPr>
                <w:rFonts w:asciiTheme="minorHAnsi" w:hAnsiTheme="minorHAnsi" w:cstheme="minorHAnsi"/>
                <w:color w:val="000000"/>
                <w:sz w:val="22"/>
                <w:szCs w:val="22"/>
              </w:rPr>
              <w:t xml:space="preserve"> €</w:t>
            </w:r>
          </w:p>
        </w:tc>
      </w:tr>
      <w:tr w:rsidR="00D10EEF" w:rsidRPr="00C73365" w14:paraId="63E24AE4" w14:textId="77777777"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tcPr>
          <w:p w14:paraId="4E4BB00A" w14:textId="77777777"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2020</w:t>
            </w:r>
          </w:p>
        </w:tc>
        <w:tc>
          <w:tcPr>
            <w:tcW w:w="156" w:type="dxa"/>
            <w:tcBorders>
              <w:top w:val="single" w:sz="4" w:space="0" w:color="7030A0"/>
              <w:left w:val="nil"/>
              <w:bottom w:val="single" w:sz="4" w:space="0" w:color="7030A0"/>
              <w:right w:val="nil"/>
            </w:tcBorders>
            <w:shd w:val="clear" w:color="auto" w:fill="auto"/>
            <w:noWrap/>
            <w:vAlign w:val="bottom"/>
          </w:tcPr>
          <w:p w14:paraId="48AD4A25" w14:textId="77777777"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tcPr>
          <w:p w14:paraId="3B025777" w14:textId="77777777" w:rsidR="00D10EEF" w:rsidRPr="00C73365" w:rsidRDefault="00D10EEF"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60 000 €</w:t>
            </w:r>
          </w:p>
        </w:tc>
      </w:tr>
      <w:tr w:rsidR="00D10EEF" w:rsidRPr="00C73365" w14:paraId="7C094673" w14:textId="77777777"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tcPr>
          <w:p w14:paraId="7B6004C9" w14:textId="77777777"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lastRenderedPageBreak/>
              <w:t>Au plus tard le 30 juin 2021</w:t>
            </w:r>
          </w:p>
        </w:tc>
        <w:tc>
          <w:tcPr>
            <w:tcW w:w="156" w:type="dxa"/>
            <w:tcBorders>
              <w:top w:val="single" w:sz="4" w:space="0" w:color="7030A0"/>
              <w:left w:val="nil"/>
              <w:bottom w:val="single" w:sz="4" w:space="0" w:color="7030A0"/>
              <w:right w:val="nil"/>
            </w:tcBorders>
            <w:shd w:val="clear" w:color="auto" w:fill="auto"/>
            <w:noWrap/>
            <w:vAlign w:val="bottom"/>
          </w:tcPr>
          <w:p w14:paraId="2DA48BCE" w14:textId="77777777"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tcPr>
          <w:p w14:paraId="1C94302F" w14:textId="77777777" w:rsidR="00D10EEF" w:rsidRPr="00C73365" w:rsidRDefault="00D10EEF"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80 00</w:t>
            </w:r>
            <w:r w:rsidR="008060C0" w:rsidRPr="00C73365">
              <w:rPr>
                <w:rFonts w:asciiTheme="minorHAnsi" w:hAnsiTheme="minorHAnsi" w:cstheme="minorHAnsi"/>
                <w:color w:val="000000"/>
                <w:sz w:val="22"/>
                <w:szCs w:val="22"/>
              </w:rPr>
              <w:t>0</w:t>
            </w:r>
            <w:r w:rsidRPr="00C73365">
              <w:rPr>
                <w:rFonts w:asciiTheme="minorHAnsi" w:hAnsiTheme="minorHAnsi" w:cstheme="minorHAnsi"/>
                <w:color w:val="000000"/>
                <w:sz w:val="22"/>
                <w:szCs w:val="22"/>
              </w:rPr>
              <w:t xml:space="preserve"> €</w:t>
            </w:r>
          </w:p>
        </w:tc>
      </w:tr>
      <w:tr w:rsidR="00D10EEF" w:rsidRPr="00C73365" w14:paraId="1660D36A" w14:textId="77777777" w:rsidTr="008060C0">
        <w:trPr>
          <w:trHeight w:val="270"/>
        </w:trPr>
        <w:tc>
          <w:tcPr>
            <w:tcW w:w="2686" w:type="dxa"/>
            <w:tcBorders>
              <w:top w:val="nil"/>
              <w:left w:val="nil"/>
              <w:bottom w:val="single" w:sz="4" w:space="0" w:color="7030A0"/>
              <w:right w:val="nil"/>
            </w:tcBorders>
            <w:shd w:val="clear" w:color="auto" w:fill="auto"/>
            <w:noWrap/>
            <w:vAlign w:val="center"/>
          </w:tcPr>
          <w:p w14:paraId="0AE09FA5" w14:textId="77777777"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2022</w:t>
            </w:r>
          </w:p>
        </w:tc>
        <w:tc>
          <w:tcPr>
            <w:tcW w:w="156" w:type="dxa"/>
            <w:tcBorders>
              <w:top w:val="nil"/>
              <w:left w:val="nil"/>
              <w:bottom w:val="single" w:sz="4" w:space="0" w:color="7030A0"/>
              <w:right w:val="nil"/>
            </w:tcBorders>
            <w:shd w:val="clear" w:color="auto" w:fill="auto"/>
            <w:noWrap/>
            <w:vAlign w:val="bottom"/>
          </w:tcPr>
          <w:p w14:paraId="665925C6" w14:textId="77777777"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vAlign w:val="bottom"/>
          </w:tcPr>
          <w:p w14:paraId="050B1CE9" w14:textId="77777777" w:rsidR="00D10EEF" w:rsidRPr="00C73365" w:rsidRDefault="008060C0"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100 000</w:t>
            </w:r>
            <w:r w:rsidR="00D10EEF" w:rsidRPr="00C73365">
              <w:rPr>
                <w:rFonts w:asciiTheme="minorHAnsi" w:hAnsiTheme="minorHAnsi" w:cstheme="minorHAnsi"/>
                <w:color w:val="000000"/>
                <w:sz w:val="22"/>
                <w:szCs w:val="22"/>
              </w:rPr>
              <w:t xml:space="preserve"> €</w:t>
            </w:r>
          </w:p>
        </w:tc>
      </w:tr>
      <w:tr w:rsidR="00D10EEF" w:rsidRPr="00C73365" w14:paraId="47F41CC3" w14:textId="77777777" w:rsidTr="008060C0">
        <w:trPr>
          <w:trHeight w:val="270"/>
        </w:trPr>
        <w:tc>
          <w:tcPr>
            <w:tcW w:w="2686" w:type="dxa"/>
            <w:tcBorders>
              <w:top w:val="nil"/>
              <w:left w:val="nil"/>
              <w:bottom w:val="single" w:sz="4" w:space="0" w:color="7030A0"/>
              <w:right w:val="nil"/>
            </w:tcBorders>
            <w:shd w:val="clear" w:color="auto" w:fill="auto"/>
            <w:noWrap/>
            <w:vAlign w:val="center"/>
          </w:tcPr>
          <w:p w14:paraId="1B9B48E6" w14:textId="77777777" w:rsidR="00D10EEF" w:rsidRPr="00C73365" w:rsidRDefault="00D10EEF" w:rsidP="008060C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2023</w:t>
            </w:r>
          </w:p>
        </w:tc>
        <w:tc>
          <w:tcPr>
            <w:tcW w:w="156" w:type="dxa"/>
            <w:tcBorders>
              <w:top w:val="nil"/>
              <w:left w:val="nil"/>
              <w:bottom w:val="single" w:sz="4" w:space="0" w:color="7030A0"/>
              <w:right w:val="nil"/>
            </w:tcBorders>
            <w:shd w:val="clear" w:color="auto" w:fill="auto"/>
            <w:noWrap/>
            <w:vAlign w:val="bottom"/>
          </w:tcPr>
          <w:p w14:paraId="2F486CA8" w14:textId="77777777"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vAlign w:val="bottom"/>
          </w:tcPr>
          <w:p w14:paraId="087D3F5A" w14:textId="77777777" w:rsidR="00D10EEF" w:rsidRPr="00C73365" w:rsidRDefault="00D10EEF" w:rsidP="008060C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 w:val="22"/>
                <w:szCs w:val="22"/>
              </w:rPr>
              <w:t>110 00</w:t>
            </w:r>
            <w:r w:rsidR="008060C0" w:rsidRPr="00C73365">
              <w:rPr>
                <w:rFonts w:asciiTheme="minorHAnsi" w:hAnsiTheme="minorHAnsi" w:cstheme="minorHAnsi"/>
                <w:color w:val="000000"/>
                <w:sz w:val="22"/>
                <w:szCs w:val="22"/>
              </w:rPr>
              <w:t>0</w:t>
            </w:r>
            <w:r w:rsidRPr="00C73365">
              <w:rPr>
                <w:rFonts w:asciiTheme="minorHAnsi" w:hAnsiTheme="minorHAnsi" w:cstheme="minorHAnsi"/>
                <w:color w:val="000000"/>
                <w:sz w:val="22"/>
                <w:szCs w:val="22"/>
              </w:rPr>
              <w:t xml:space="preserve"> €</w:t>
            </w:r>
          </w:p>
        </w:tc>
      </w:tr>
      <w:tr w:rsidR="00D10EEF" w:rsidRPr="00C73365" w14:paraId="7E3D38B8" w14:textId="77777777" w:rsidTr="008060C0">
        <w:trPr>
          <w:trHeight w:val="426"/>
        </w:trPr>
        <w:tc>
          <w:tcPr>
            <w:tcW w:w="2686" w:type="dxa"/>
            <w:tcBorders>
              <w:top w:val="single" w:sz="4" w:space="0" w:color="7030A0"/>
              <w:left w:val="nil"/>
              <w:bottom w:val="single" w:sz="4" w:space="0" w:color="7030A0"/>
              <w:right w:val="nil"/>
            </w:tcBorders>
            <w:shd w:val="clear" w:color="auto" w:fill="auto"/>
            <w:noWrap/>
            <w:vAlign w:val="center"/>
            <w:hideMark/>
          </w:tcPr>
          <w:p w14:paraId="7B004019" w14:textId="77777777" w:rsidR="00D10EEF" w:rsidRPr="00C73365" w:rsidRDefault="00D10EEF" w:rsidP="008060C0">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single" w:sz="4" w:space="0" w:color="7030A0"/>
              <w:left w:val="nil"/>
              <w:bottom w:val="single" w:sz="4" w:space="0" w:color="7030A0"/>
              <w:right w:val="nil"/>
            </w:tcBorders>
            <w:shd w:val="clear" w:color="auto" w:fill="auto"/>
            <w:vAlign w:val="center"/>
            <w:hideMark/>
          </w:tcPr>
          <w:p w14:paraId="53A8086D" w14:textId="77777777" w:rsidR="00D10EEF" w:rsidRPr="00C73365" w:rsidRDefault="00D10EEF" w:rsidP="008060C0">
            <w:pPr>
              <w:spacing w:after="0"/>
              <w:rPr>
                <w:rFonts w:asciiTheme="minorHAnsi" w:hAnsiTheme="minorHAnsi" w:cstheme="minorHAnsi"/>
                <w:b/>
                <w:color w:val="7030A0"/>
                <w:szCs w:val="20"/>
                <w:lang w:val="fr-FR" w:eastAsia="fr-FR"/>
              </w:rPr>
            </w:pPr>
          </w:p>
        </w:tc>
        <w:tc>
          <w:tcPr>
            <w:tcW w:w="1396" w:type="dxa"/>
            <w:tcBorders>
              <w:top w:val="single" w:sz="4" w:space="0" w:color="7030A0"/>
              <w:left w:val="nil"/>
              <w:bottom w:val="single" w:sz="4" w:space="0" w:color="7030A0"/>
              <w:right w:val="nil"/>
            </w:tcBorders>
            <w:shd w:val="clear" w:color="auto" w:fill="auto"/>
            <w:vAlign w:val="center"/>
            <w:hideMark/>
          </w:tcPr>
          <w:p w14:paraId="7058157C" w14:textId="77777777" w:rsidR="00D10EEF" w:rsidRPr="00C73365" w:rsidRDefault="00D10EEF" w:rsidP="008060C0">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390 000 €</w:t>
            </w:r>
          </w:p>
        </w:tc>
      </w:tr>
    </w:tbl>
    <w:p w14:paraId="0DB5E2A8" w14:textId="77777777" w:rsidR="00D10EEF" w:rsidRPr="00C73365" w:rsidRDefault="00D10EEF" w:rsidP="00A96CCA">
      <w:pPr>
        <w:spacing w:after="0"/>
        <w:rPr>
          <w:rFonts w:asciiTheme="minorHAnsi" w:hAnsiTheme="minorHAnsi" w:cstheme="minorHAnsi"/>
          <w:lang w:val="fr-FR"/>
        </w:rPr>
      </w:pPr>
    </w:p>
    <w:p w14:paraId="15C50B98" w14:textId="77777777" w:rsidR="00332F45" w:rsidRPr="00C73365" w:rsidRDefault="00332F45" w:rsidP="00A96CCA">
      <w:pPr>
        <w:spacing w:after="0"/>
        <w:rPr>
          <w:rFonts w:asciiTheme="minorHAnsi" w:hAnsiTheme="minorHAnsi" w:cstheme="minorHAnsi"/>
          <w:lang w:val="fr-FR"/>
        </w:rPr>
      </w:pPr>
    </w:p>
    <w:p w14:paraId="435A816A" w14:textId="77777777" w:rsidR="00D10EEF" w:rsidRPr="00C73365" w:rsidRDefault="00D10EEF" w:rsidP="00A96CCA">
      <w:pPr>
        <w:spacing w:after="0"/>
        <w:rPr>
          <w:rFonts w:asciiTheme="minorHAnsi" w:hAnsiTheme="minorHAnsi" w:cstheme="minorHAnsi"/>
          <w:lang w:val="fr-FR"/>
        </w:rPr>
      </w:pPr>
    </w:p>
    <w:p w14:paraId="02238605" w14:textId="77777777" w:rsidR="00D10EEF" w:rsidRPr="00C73365" w:rsidRDefault="00D10EEF" w:rsidP="00A96CCA">
      <w:pPr>
        <w:spacing w:after="0"/>
        <w:rPr>
          <w:rFonts w:asciiTheme="minorHAnsi" w:hAnsiTheme="minorHAnsi" w:cstheme="minorHAnsi"/>
          <w:lang w:val="fr-FR"/>
        </w:rPr>
      </w:pPr>
    </w:p>
    <w:p w14:paraId="27D91E5F" w14:textId="77777777" w:rsidR="00D10EEF" w:rsidRPr="00C73365" w:rsidRDefault="00D10EEF" w:rsidP="00A96CCA">
      <w:pPr>
        <w:spacing w:after="0"/>
        <w:rPr>
          <w:rFonts w:asciiTheme="minorHAnsi" w:hAnsiTheme="minorHAnsi" w:cstheme="minorHAnsi"/>
          <w:lang w:val="fr-FR"/>
        </w:rPr>
      </w:pPr>
    </w:p>
    <w:p w14:paraId="4F6EF0F7" w14:textId="77777777" w:rsidR="00D10EEF" w:rsidRPr="00C73365" w:rsidRDefault="00D10EEF" w:rsidP="00A96CCA">
      <w:pPr>
        <w:spacing w:after="0"/>
        <w:rPr>
          <w:rFonts w:asciiTheme="minorHAnsi" w:hAnsiTheme="minorHAnsi" w:cstheme="minorHAnsi"/>
          <w:lang w:val="fr-FR"/>
        </w:rPr>
      </w:pPr>
    </w:p>
    <w:p w14:paraId="6E1F0506" w14:textId="77777777" w:rsidR="00D10EEF" w:rsidRPr="00C73365" w:rsidRDefault="00D10EEF" w:rsidP="00A96CCA">
      <w:pPr>
        <w:spacing w:after="0"/>
        <w:rPr>
          <w:rFonts w:asciiTheme="minorHAnsi" w:hAnsiTheme="minorHAnsi" w:cstheme="minorHAnsi"/>
          <w:lang w:val="fr-FR"/>
        </w:rPr>
      </w:pPr>
    </w:p>
    <w:p w14:paraId="3710BA74" w14:textId="77777777" w:rsidR="00D10EEF" w:rsidRPr="00C73365" w:rsidRDefault="00D10EEF" w:rsidP="00A96CCA">
      <w:pPr>
        <w:spacing w:after="0"/>
        <w:rPr>
          <w:rFonts w:asciiTheme="minorHAnsi" w:hAnsiTheme="minorHAnsi" w:cstheme="minorHAnsi"/>
          <w:lang w:val="fr-FR"/>
        </w:rPr>
      </w:pPr>
    </w:p>
    <w:p w14:paraId="17CDD6F9" w14:textId="77777777" w:rsidR="00D10EEF" w:rsidRPr="00C73365" w:rsidRDefault="00D10EEF" w:rsidP="00A96CCA">
      <w:pPr>
        <w:spacing w:after="0"/>
        <w:rPr>
          <w:rFonts w:asciiTheme="minorHAnsi" w:hAnsiTheme="minorHAnsi" w:cstheme="minorHAnsi"/>
          <w:lang w:val="fr-FR"/>
        </w:rPr>
      </w:pPr>
    </w:p>
    <w:p w14:paraId="4EBCD856" w14:textId="77777777" w:rsidR="00D10EEF" w:rsidRPr="00C73365" w:rsidRDefault="00D10EEF" w:rsidP="00A96CCA">
      <w:pPr>
        <w:spacing w:after="0"/>
        <w:rPr>
          <w:rFonts w:asciiTheme="minorHAnsi" w:hAnsiTheme="minorHAnsi" w:cstheme="minorHAnsi"/>
          <w:lang w:val="fr-FR"/>
        </w:rPr>
      </w:pPr>
    </w:p>
    <w:p w14:paraId="3DC438D4" w14:textId="77777777"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bookmarkStart w:id="1616" w:name="_Toc472948408"/>
      <w:bookmarkStart w:id="1617" w:name="_Toc472948409"/>
      <w:bookmarkStart w:id="1618" w:name="_Toc470783302"/>
      <w:bookmarkStart w:id="1619" w:name="_Toc472948410"/>
      <w:bookmarkStart w:id="1620" w:name="_Toc470783303"/>
      <w:bookmarkStart w:id="1621" w:name="_Toc472948411"/>
      <w:bookmarkStart w:id="1622" w:name="_Toc470783304"/>
      <w:bookmarkStart w:id="1623" w:name="_Toc472948412"/>
      <w:bookmarkStart w:id="1624" w:name="_Toc470783305"/>
      <w:bookmarkStart w:id="1625" w:name="_Toc472948413"/>
      <w:bookmarkStart w:id="1626" w:name="_Toc462673312"/>
      <w:bookmarkEnd w:id="1616"/>
      <w:bookmarkEnd w:id="1617"/>
      <w:bookmarkEnd w:id="1618"/>
      <w:bookmarkEnd w:id="1619"/>
      <w:bookmarkEnd w:id="1620"/>
      <w:bookmarkEnd w:id="1621"/>
      <w:bookmarkEnd w:id="1622"/>
      <w:bookmarkEnd w:id="1623"/>
      <w:bookmarkEnd w:id="1624"/>
      <w:bookmarkEnd w:id="1625"/>
      <w:r w:rsidRPr="00C73365">
        <w:rPr>
          <w:rFonts w:asciiTheme="minorHAnsi" w:hAnsiTheme="minorHAnsi" w:cstheme="minorHAnsi"/>
          <w:b/>
          <w:color w:val="7030A0"/>
          <w:lang w:val="fr-FR"/>
        </w:rPr>
        <w:t>Convention cadre de cession de créances du Crédit d’Impôt Recherche</w:t>
      </w:r>
      <w:bookmarkEnd w:id="1626"/>
    </w:p>
    <w:p w14:paraId="2BC4F1D6" w14:textId="77777777" w:rsidR="00F46C7B" w:rsidRPr="00C73365" w:rsidRDefault="00F46C7B" w:rsidP="004572A0">
      <w:pPr>
        <w:pStyle w:val="Retraitcorpsdetexte"/>
        <w:rPr>
          <w:rFonts w:asciiTheme="minorHAnsi" w:hAnsiTheme="minorHAnsi" w:cstheme="minorHAnsi"/>
          <w:highlight w:val="yellow"/>
          <w:lang w:val="fr-FR"/>
        </w:rPr>
        <w:sectPr w:rsidR="00F46C7B" w:rsidRPr="00C73365" w:rsidSect="007C607C">
          <w:type w:val="continuous"/>
          <w:pgSz w:w="11907" w:h="16840" w:code="9"/>
          <w:pgMar w:top="1134" w:right="1134" w:bottom="1134" w:left="1134" w:header="709" w:footer="709" w:gutter="0"/>
          <w:cols w:space="708"/>
          <w:docGrid w:linePitch="360"/>
        </w:sectPr>
      </w:pPr>
    </w:p>
    <w:p w14:paraId="3D7E69E5" w14:textId="77777777" w:rsidR="00F46C7B" w:rsidRPr="00C73365" w:rsidRDefault="00F46C7B" w:rsidP="004572A0">
      <w:pPr>
        <w:pStyle w:val="Corpsdetexte"/>
        <w:rPr>
          <w:rFonts w:asciiTheme="minorHAnsi" w:hAnsiTheme="minorHAnsi" w:cstheme="minorHAnsi"/>
          <w:lang w:val="fr-FR"/>
        </w:rPr>
      </w:pPr>
      <w:bookmarkStart w:id="1627" w:name="_Hlk509995387"/>
      <w:r w:rsidRPr="00C73365">
        <w:rPr>
          <w:rFonts w:asciiTheme="minorHAnsi" w:hAnsiTheme="minorHAnsi" w:cstheme="minorHAnsi"/>
          <w:lang w:val="fr-FR"/>
        </w:rPr>
        <w:t xml:space="preserve">La Société a conclu en date du 29 avril 2015 une convention cadre de cession de créances portant sur un montant de 1.594.934 euros dans le cadre d’un préfinancement du Crédit d’Impôt Recherche 2014 avec le fonds commun de titrisation Predirec Innovation 2020 représenté par Acofi Gestion. </w:t>
      </w:r>
    </w:p>
    <w:p w14:paraId="35B15726"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L’impact des opérations liées au CIR 2014 sur les comptes </w:t>
      </w:r>
      <w:r w:rsidR="00370CD6" w:rsidRPr="00C73365">
        <w:rPr>
          <w:rFonts w:asciiTheme="minorHAnsi" w:hAnsiTheme="minorHAnsi" w:cstheme="minorHAnsi"/>
          <w:lang w:val="fr-FR"/>
        </w:rPr>
        <w:t xml:space="preserve">annuels </w:t>
      </w:r>
      <w:r w:rsidRPr="00C73365">
        <w:rPr>
          <w:rFonts w:asciiTheme="minorHAnsi" w:hAnsiTheme="minorHAnsi" w:cstheme="minorHAnsi"/>
          <w:lang w:val="fr-FR"/>
        </w:rPr>
        <w:t xml:space="preserve">2016 se limite à la constatation d’un produit financier de 23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aux intérêts moratoires acquis du fait du paiement tardif du CIR par l’administration fiscale</w:t>
      </w:r>
      <w:r w:rsidR="000D28C8" w:rsidRPr="00C73365">
        <w:rPr>
          <w:rFonts w:asciiTheme="minorHAnsi" w:hAnsiTheme="minorHAnsi" w:cstheme="minorHAnsi"/>
          <w:lang w:val="fr-FR"/>
        </w:rPr>
        <w:t xml:space="preserve"> </w:t>
      </w:r>
      <w:r w:rsidR="00370CD6" w:rsidRPr="00C73365">
        <w:rPr>
          <w:rFonts w:asciiTheme="minorHAnsi" w:hAnsiTheme="minorHAnsi" w:cstheme="minorHAnsi"/>
          <w:lang w:val="fr-FR"/>
        </w:rPr>
        <w:t xml:space="preserve">ainsi que le versement de 91 </w:t>
      </w:r>
      <w:r w:rsidR="00EF089C" w:rsidRPr="00C73365">
        <w:rPr>
          <w:rFonts w:asciiTheme="minorHAnsi" w:hAnsiTheme="minorHAnsi" w:cstheme="minorHAnsi"/>
          <w:lang w:val="fr-FR"/>
        </w:rPr>
        <w:t>K€</w:t>
      </w:r>
      <w:r w:rsidR="00370CD6" w:rsidRPr="00C73365">
        <w:rPr>
          <w:rFonts w:asciiTheme="minorHAnsi" w:hAnsiTheme="minorHAnsi" w:cstheme="minorHAnsi"/>
          <w:lang w:val="fr-FR"/>
        </w:rPr>
        <w:t>.</w:t>
      </w:r>
    </w:p>
    <w:p w14:paraId="6F69284A" w14:textId="77777777" w:rsidR="00F46C7B" w:rsidRPr="00C73365" w:rsidRDefault="00F46C7B" w:rsidP="004572A0">
      <w:pPr>
        <w:pStyle w:val="Corpsdetexte"/>
        <w:rPr>
          <w:rFonts w:asciiTheme="minorHAnsi" w:hAnsiTheme="minorHAnsi" w:cstheme="minorHAnsi"/>
          <w:lang w:val="fr-FR"/>
        </w:rPr>
      </w:pPr>
      <w:r w:rsidRPr="00C73365">
        <w:rPr>
          <w:rFonts w:asciiTheme="minorHAnsi" w:hAnsiTheme="minorHAnsi" w:cstheme="minorHAnsi"/>
          <w:lang w:val="fr-FR"/>
        </w:rPr>
        <w:t xml:space="preserve">Du fait des garanties du préfinanceur, il existe encore des montants à recouvrer qui seront restitués si il n’y a pas de contestation pour un montant total de 122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w:t>
      </w:r>
    </w:p>
    <w:p w14:paraId="303B96C5" w14:textId="77777777" w:rsidR="00F46C7B" w:rsidRPr="00C73365" w:rsidRDefault="00F46C7B" w:rsidP="00B740A8">
      <w:pPr>
        <w:pStyle w:val="ConmainL1"/>
        <w:numPr>
          <w:ilvl w:val="0"/>
          <w:numId w:val="9"/>
        </w:numPr>
        <w:rPr>
          <w:rFonts w:asciiTheme="minorHAnsi" w:hAnsiTheme="minorHAnsi" w:cstheme="minorHAnsi"/>
          <w:sz w:val="22"/>
          <w:lang w:val="fr-FR"/>
        </w:rPr>
      </w:pPr>
      <w:bookmarkStart w:id="1628" w:name="_Toc462673313"/>
      <w:bookmarkStart w:id="1629" w:name="_Toc467835662"/>
      <w:bookmarkStart w:id="1630" w:name="_Toc510548493"/>
      <w:bookmarkEnd w:id="1627"/>
      <w:r w:rsidRPr="00C73365">
        <w:rPr>
          <w:rFonts w:asciiTheme="minorHAnsi" w:hAnsiTheme="minorHAnsi" w:cstheme="minorHAnsi"/>
          <w:sz w:val="22"/>
          <w:lang w:val="fr-FR"/>
        </w:rPr>
        <w:lastRenderedPageBreak/>
        <w:t>INFORMATIONS PROVENANT DE TIERS, DECLARATIONS D’EXPERTS ET DECLARATIONS D’INTERETS</w:t>
      </w:r>
      <w:bookmarkEnd w:id="1628"/>
      <w:bookmarkEnd w:id="1629"/>
      <w:bookmarkEnd w:id="1630"/>
    </w:p>
    <w:p w14:paraId="7913CF04" w14:textId="77777777" w:rsidR="00F46C7B" w:rsidRPr="00C73365" w:rsidRDefault="00F46C7B">
      <w:pPr>
        <w:pStyle w:val="Corpsdetexte"/>
        <w:spacing w:after="0"/>
        <w:rPr>
          <w:rFonts w:asciiTheme="minorHAnsi" w:hAnsiTheme="minorHAnsi" w:cstheme="minorHAnsi"/>
          <w:b/>
          <w:lang w:val="fr-FR"/>
        </w:rPr>
      </w:pPr>
    </w:p>
    <w:p w14:paraId="07F9C94A" w14:textId="77777777" w:rsidR="00F46C7B" w:rsidRPr="00C73365" w:rsidRDefault="00F46C7B" w:rsidP="009E5FDD">
      <w:pPr>
        <w:pStyle w:val="ConmainL2"/>
        <w:numPr>
          <w:ilvl w:val="1"/>
          <w:numId w:val="9"/>
        </w:numPr>
        <w:rPr>
          <w:rFonts w:asciiTheme="minorHAnsi" w:hAnsiTheme="minorHAnsi" w:cstheme="minorHAnsi"/>
          <w:sz w:val="22"/>
          <w:lang w:val="fr-FR"/>
        </w:rPr>
      </w:pPr>
      <w:bookmarkStart w:id="1631" w:name="_Toc148342709"/>
      <w:bookmarkStart w:id="1632" w:name="_Toc462673314"/>
      <w:bookmarkStart w:id="1633" w:name="_Toc510548494"/>
      <w:r w:rsidRPr="00C73365">
        <w:rPr>
          <w:rFonts w:asciiTheme="minorHAnsi" w:hAnsiTheme="minorHAnsi" w:cstheme="minorHAnsi"/>
          <w:sz w:val="22"/>
          <w:lang w:val="fr-FR"/>
        </w:rPr>
        <w:t>Désignation des experts</w:t>
      </w:r>
      <w:bookmarkEnd w:id="1631"/>
      <w:bookmarkEnd w:id="1632"/>
      <w:bookmarkEnd w:id="1633"/>
    </w:p>
    <w:p w14:paraId="14ABC0AD" w14:textId="77777777" w:rsidR="00F46C7B" w:rsidRPr="00F573DC" w:rsidRDefault="00F46C7B" w:rsidP="00A96CCA">
      <w:pPr>
        <w:autoSpaceDE w:val="0"/>
        <w:autoSpaceDN w:val="0"/>
        <w:adjustRightInd w:val="0"/>
        <w:spacing w:after="0"/>
        <w:rPr>
          <w:rFonts w:asciiTheme="minorHAnsi" w:hAnsiTheme="minorHAnsi" w:cstheme="minorHAnsi"/>
          <w:iCs/>
          <w:szCs w:val="20"/>
          <w:lang w:val="fr-FR"/>
        </w:rPr>
      </w:pPr>
    </w:p>
    <w:p w14:paraId="1C0B6772" w14:textId="77777777" w:rsidR="00F46C7B" w:rsidRDefault="00F46C7B" w:rsidP="004572A0">
      <w:pPr>
        <w:pStyle w:val="Listecontinue2"/>
        <w:rPr>
          <w:rFonts w:asciiTheme="minorHAnsi" w:hAnsiTheme="minorHAnsi" w:cstheme="minorHAnsi"/>
          <w:lang w:val="fr-FR"/>
        </w:rPr>
      </w:pPr>
      <w:r w:rsidRPr="00F573DC">
        <w:rPr>
          <w:rFonts w:asciiTheme="minorHAnsi" w:hAnsiTheme="minorHAnsi" w:cstheme="minorHAnsi"/>
          <w:lang w:val="fr-FR"/>
        </w:rPr>
        <w:t>Néant.</w:t>
      </w:r>
    </w:p>
    <w:p w14:paraId="0C7A03A9" w14:textId="77777777" w:rsidR="00F573DC" w:rsidRPr="00F573DC" w:rsidRDefault="00F573DC" w:rsidP="004572A0">
      <w:pPr>
        <w:pStyle w:val="Listecontinue2"/>
        <w:rPr>
          <w:rFonts w:asciiTheme="minorHAnsi" w:hAnsiTheme="minorHAnsi" w:cstheme="minorHAnsi"/>
          <w:iCs/>
          <w:lang w:val="fr-FR"/>
        </w:rPr>
      </w:pPr>
    </w:p>
    <w:p w14:paraId="7C8C3589" w14:textId="77777777" w:rsidR="00F46C7B" w:rsidRPr="00C73365" w:rsidRDefault="00F46C7B" w:rsidP="009E5FDD">
      <w:pPr>
        <w:pStyle w:val="ConmainL2"/>
        <w:numPr>
          <w:ilvl w:val="1"/>
          <w:numId w:val="9"/>
        </w:numPr>
        <w:rPr>
          <w:rFonts w:asciiTheme="minorHAnsi" w:hAnsiTheme="minorHAnsi" w:cstheme="minorHAnsi"/>
          <w:sz w:val="22"/>
          <w:lang w:val="fr-FR"/>
        </w:rPr>
      </w:pPr>
      <w:bookmarkStart w:id="1634" w:name="_Toc148342711"/>
      <w:bookmarkStart w:id="1635" w:name="_Toc462673315"/>
      <w:bookmarkStart w:id="1636" w:name="_Toc510548495"/>
      <w:r w:rsidRPr="00C73365">
        <w:rPr>
          <w:rFonts w:asciiTheme="minorHAnsi" w:hAnsiTheme="minorHAnsi" w:cstheme="minorHAnsi"/>
          <w:sz w:val="22"/>
          <w:lang w:val="fr-FR"/>
        </w:rPr>
        <w:t>Désignation des tiers</w:t>
      </w:r>
      <w:bookmarkEnd w:id="1634"/>
      <w:bookmarkEnd w:id="1635"/>
      <w:bookmarkEnd w:id="1636"/>
    </w:p>
    <w:p w14:paraId="29EEC0A8" w14:textId="77777777" w:rsidR="00F46C7B" w:rsidRPr="00F573DC" w:rsidRDefault="00F46C7B" w:rsidP="004572A0">
      <w:pPr>
        <w:pStyle w:val="Listecontinue2"/>
        <w:rPr>
          <w:rFonts w:asciiTheme="minorHAnsi" w:hAnsiTheme="minorHAnsi" w:cstheme="minorHAnsi"/>
          <w:iCs/>
          <w:lang w:val="fr-FR"/>
        </w:rPr>
      </w:pPr>
      <w:r w:rsidRPr="00F573DC">
        <w:rPr>
          <w:rFonts w:asciiTheme="minorHAnsi" w:hAnsiTheme="minorHAnsi" w:cstheme="minorHAnsi"/>
          <w:lang w:val="fr-FR"/>
        </w:rPr>
        <w:t>Néant.</w:t>
      </w:r>
    </w:p>
    <w:p w14:paraId="4761B87C" w14:textId="77777777" w:rsidR="00F46C7B" w:rsidRPr="00C73365" w:rsidRDefault="00F46C7B" w:rsidP="00B740A8">
      <w:pPr>
        <w:pStyle w:val="ConmainL1"/>
        <w:numPr>
          <w:ilvl w:val="0"/>
          <w:numId w:val="9"/>
        </w:numPr>
        <w:rPr>
          <w:rFonts w:asciiTheme="minorHAnsi" w:hAnsiTheme="minorHAnsi" w:cstheme="minorHAnsi"/>
          <w:sz w:val="22"/>
          <w:lang w:val="fr-FR"/>
        </w:rPr>
      </w:pPr>
      <w:bookmarkStart w:id="1637" w:name="_Toc462673316"/>
      <w:bookmarkStart w:id="1638" w:name="_Toc510548496"/>
      <w:r w:rsidRPr="00C73365">
        <w:rPr>
          <w:rFonts w:asciiTheme="minorHAnsi" w:hAnsiTheme="minorHAnsi" w:cstheme="minorHAnsi"/>
          <w:sz w:val="22"/>
          <w:lang w:val="fr-FR"/>
        </w:rPr>
        <w:lastRenderedPageBreak/>
        <w:t>DOCUMENTS ACCESSIBLES AU PUBLIC</w:t>
      </w:r>
      <w:bookmarkEnd w:id="1637"/>
      <w:bookmarkEnd w:id="1638"/>
    </w:p>
    <w:p w14:paraId="0AEF4385" w14:textId="77777777" w:rsidR="00F46C7B" w:rsidRPr="00C73365" w:rsidRDefault="00F46C7B" w:rsidP="00A96CCA">
      <w:pPr>
        <w:pStyle w:val="Corpsdetexte3"/>
        <w:spacing w:after="0"/>
        <w:rPr>
          <w:rFonts w:asciiTheme="minorHAnsi" w:hAnsiTheme="minorHAnsi" w:cstheme="minorHAnsi"/>
          <w:i w:val="0"/>
          <w:lang w:val="fr-FR"/>
        </w:rPr>
        <w:sectPr w:rsidR="00F46C7B" w:rsidRPr="00C73365" w:rsidSect="007C607C">
          <w:type w:val="continuous"/>
          <w:pgSz w:w="11907" w:h="16840" w:code="9"/>
          <w:pgMar w:top="1134" w:right="1134" w:bottom="1134" w:left="1134" w:header="709" w:footer="709" w:gutter="0"/>
          <w:cols w:space="708"/>
          <w:docGrid w:linePitch="360"/>
        </w:sectPr>
      </w:pPr>
    </w:p>
    <w:p w14:paraId="17FDE9F6" w14:textId="77777777" w:rsidR="00F46C7B" w:rsidRPr="00C73365" w:rsidRDefault="00F46C7B" w:rsidP="00A96CCA">
      <w:pPr>
        <w:pStyle w:val="Corpsdetexte3"/>
        <w:spacing w:after="0"/>
        <w:rPr>
          <w:rFonts w:asciiTheme="minorHAnsi" w:hAnsiTheme="minorHAnsi" w:cstheme="minorHAnsi"/>
          <w:lang w:val="fr-FR"/>
        </w:rPr>
      </w:pPr>
      <w:r w:rsidRPr="00C73365">
        <w:rPr>
          <w:rFonts w:asciiTheme="minorHAnsi" w:hAnsiTheme="minorHAnsi" w:cstheme="minorHAnsi"/>
          <w:i w:val="0"/>
          <w:lang w:val="fr-FR"/>
        </w:rPr>
        <w:t>Des exemplaires du présent document de référence sont disponibles sans frais au siège social de la Société, 5, rue de la Baume, 75008 Paris, ainsi qu’en version électronique sur le site Internet de la Société (</w:t>
      </w:r>
      <w:hyperlink r:id="rId92" w:history="1">
        <w:r w:rsidRPr="00C73365">
          <w:rPr>
            <w:rStyle w:val="Lienhypertexte"/>
            <w:rFonts w:asciiTheme="minorHAnsi" w:hAnsiTheme="minorHAnsi" w:cstheme="minorHAnsi"/>
            <w:i w:val="0"/>
            <w:lang w:val="fr-FR"/>
          </w:rPr>
          <w:t>www.</w:t>
        </w:r>
        <w:r w:rsidR="00EF089C" w:rsidRPr="00C73365">
          <w:rPr>
            <w:rStyle w:val="Lienhypertexte"/>
            <w:rFonts w:asciiTheme="minorHAnsi" w:hAnsiTheme="minorHAnsi" w:cstheme="minorHAnsi"/>
            <w:i w:val="0"/>
            <w:lang w:val="fr-FR"/>
          </w:rPr>
          <w:t>ABIVAX</w:t>
        </w:r>
        <w:r w:rsidRPr="00C73365">
          <w:rPr>
            <w:rStyle w:val="Lienhypertexte"/>
            <w:rFonts w:asciiTheme="minorHAnsi" w:hAnsiTheme="minorHAnsi" w:cstheme="minorHAnsi"/>
            <w:i w:val="0"/>
            <w:lang w:val="fr-FR"/>
          </w:rPr>
          <w:t>.com</w:t>
        </w:r>
      </w:hyperlink>
      <w:r w:rsidRPr="00C73365">
        <w:rPr>
          <w:rFonts w:asciiTheme="minorHAnsi" w:hAnsiTheme="minorHAnsi" w:cstheme="minorHAnsi"/>
          <w:i w:val="0"/>
          <w:lang w:val="fr-FR"/>
        </w:rPr>
        <w:t>) et sur le site Internet de l’Autorité des marchés financiers (</w:t>
      </w:r>
      <w:hyperlink r:id="rId93" w:history="1">
        <w:r w:rsidRPr="00C73365">
          <w:rPr>
            <w:rStyle w:val="Lienhypertexte"/>
            <w:rFonts w:asciiTheme="minorHAnsi" w:hAnsiTheme="minorHAnsi" w:cstheme="minorHAnsi"/>
            <w:i w:val="0"/>
            <w:lang w:val="fr-FR"/>
          </w:rPr>
          <w:t>www.amf-france.org</w:t>
        </w:r>
      </w:hyperlink>
      <w:r w:rsidRPr="00C73365">
        <w:rPr>
          <w:rFonts w:asciiTheme="minorHAnsi" w:hAnsiTheme="minorHAnsi" w:cstheme="minorHAnsi"/>
          <w:i w:val="0"/>
          <w:lang w:val="fr-FR"/>
        </w:rPr>
        <w:t>).</w:t>
      </w:r>
      <w:r w:rsidRPr="00C73365">
        <w:rPr>
          <w:rFonts w:asciiTheme="minorHAnsi" w:hAnsiTheme="minorHAnsi" w:cstheme="minorHAnsi"/>
          <w:lang w:val="fr-FR"/>
        </w:rPr>
        <w:t xml:space="preserve"> </w:t>
      </w:r>
    </w:p>
    <w:p w14:paraId="03052F07" w14:textId="67AECB1B" w:rsidR="00F46C7B" w:rsidRPr="00C73365" w:rsidRDefault="00F46C7B" w:rsidP="00A96CCA">
      <w:pPr>
        <w:pStyle w:val="Corpsdetexte3"/>
        <w:spacing w:after="0"/>
        <w:rPr>
          <w:rFonts w:asciiTheme="minorHAnsi" w:hAnsiTheme="minorHAnsi" w:cstheme="minorHAnsi"/>
          <w:i w:val="0"/>
          <w:lang w:val="fr-FR"/>
        </w:rPr>
        <w:sectPr w:rsidR="00F46C7B" w:rsidRPr="00C73365" w:rsidSect="007C607C">
          <w:type w:val="continuous"/>
          <w:pgSz w:w="11907" w:h="16840" w:code="9"/>
          <w:pgMar w:top="1134" w:right="1134" w:bottom="1134" w:left="1134" w:header="709" w:footer="709" w:gutter="0"/>
          <w:cols w:space="567"/>
          <w:docGrid w:linePitch="360"/>
        </w:sectPr>
      </w:pPr>
      <w:r w:rsidRPr="00C73365">
        <w:rPr>
          <w:rFonts w:asciiTheme="minorHAnsi" w:hAnsiTheme="minorHAnsi" w:cstheme="minorHAnsi"/>
          <w:i w:val="0"/>
          <w:lang w:val="fr-FR"/>
        </w:rPr>
        <w:t>Les statuts, procès-verbaux des assemblées générales et autres documents sociaux de la Société, ainsi que les informations financières historiques et toute évaluation ou déclaration établie par un expert à la demande de la Société devant être mis à la disposition des actionnaires conformément à la législation applicable, peuvent être consultés, sans frai</w:t>
      </w:r>
      <w:r w:rsidR="00846FBD">
        <w:rPr>
          <w:rFonts w:asciiTheme="minorHAnsi" w:hAnsiTheme="minorHAnsi" w:cstheme="minorHAnsi"/>
          <w:i w:val="0"/>
          <w:lang w:val="fr-FR"/>
        </w:rPr>
        <w:t>s, au siège social de la Société.</w:t>
      </w:r>
    </w:p>
    <w:p w14:paraId="3ECCA76C" w14:textId="728ED933" w:rsidR="00F46C7B" w:rsidRPr="00C73365" w:rsidRDefault="00F46C7B" w:rsidP="00B740A8">
      <w:pPr>
        <w:pStyle w:val="ConmainL1"/>
        <w:numPr>
          <w:ilvl w:val="0"/>
          <w:numId w:val="9"/>
        </w:numPr>
        <w:rPr>
          <w:rFonts w:asciiTheme="minorHAnsi" w:hAnsiTheme="minorHAnsi" w:cstheme="minorHAnsi"/>
          <w:sz w:val="22"/>
          <w:lang w:val="fr-FR"/>
        </w:rPr>
      </w:pPr>
      <w:bookmarkStart w:id="1639" w:name="_Toc462673317"/>
      <w:bookmarkStart w:id="1640" w:name="_Toc510548497"/>
      <w:r w:rsidRPr="00C73365">
        <w:rPr>
          <w:rFonts w:asciiTheme="minorHAnsi" w:hAnsiTheme="minorHAnsi" w:cstheme="minorHAnsi"/>
          <w:sz w:val="22"/>
          <w:lang w:val="fr-FR"/>
        </w:rPr>
        <w:lastRenderedPageBreak/>
        <w:t>INFORMATIONS SUR LES PARTICIPATIONS</w:t>
      </w:r>
      <w:bookmarkEnd w:id="1639"/>
      <w:bookmarkEnd w:id="1640"/>
    </w:p>
    <w:p w14:paraId="4C3F9D72" w14:textId="77777777" w:rsidR="00F46C7B" w:rsidRPr="00C73365" w:rsidRDefault="00F46C7B" w:rsidP="004572A0">
      <w:pPr>
        <w:pStyle w:val="Listecontinu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r w:rsidRPr="00C73365">
        <w:rPr>
          <w:rFonts w:asciiTheme="minorHAnsi" w:hAnsiTheme="minorHAnsi" w:cstheme="minorHAnsi"/>
          <w:lang w:val="fr-FR"/>
        </w:rPr>
        <w:t>A la date d’enregistrement du présent document de référence, la Société ne détient aucune participation  dans le capital d’aucune autre société.</w:t>
      </w:r>
    </w:p>
    <w:p w14:paraId="3F87F5A2" w14:textId="77777777" w:rsidR="00F46C7B" w:rsidRPr="00C73365" w:rsidRDefault="00B16A51" w:rsidP="00B740A8">
      <w:pPr>
        <w:pStyle w:val="ConmainL1"/>
        <w:numPr>
          <w:ilvl w:val="0"/>
          <w:numId w:val="9"/>
        </w:numPr>
        <w:rPr>
          <w:rFonts w:asciiTheme="minorHAnsi" w:hAnsiTheme="minorHAnsi" w:cstheme="minorHAnsi"/>
          <w:sz w:val="22"/>
          <w:lang w:val="fr-FR"/>
        </w:rPr>
      </w:pPr>
      <w:bookmarkStart w:id="1641" w:name="_Toc510548498"/>
      <w:r w:rsidRPr="00C73365">
        <w:rPr>
          <w:rFonts w:asciiTheme="minorHAnsi" w:hAnsiTheme="minorHAnsi" w:cstheme="minorHAnsi"/>
          <w:sz w:val="22"/>
          <w:lang w:val="fr-FR"/>
        </w:rPr>
        <w:lastRenderedPageBreak/>
        <w:t xml:space="preserve">TABLE DE CONCORDANCE DU RAPPORT </w:t>
      </w:r>
      <w:r w:rsidR="00A611FC" w:rsidRPr="00C73365">
        <w:rPr>
          <w:rFonts w:asciiTheme="minorHAnsi" w:hAnsiTheme="minorHAnsi" w:cstheme="minorHAnsi"/>
          <w:sz w:val="22"/>
          <w:lang w:val="fr-FR"/>
        </w:rPr>
        <w:t>DE GESTION</w:t>
      </w:r>
      <w:bookmarkEnd w:id="1641"/>
    </w:p>
    <w:p w14:paraId="5DE70BCF" w14:textId="23AA065B" w:rsidR="007F1850" w:rsidRPr="00C73365" w:rsidRDefault="007F1850" w:rsidP="009E5FDD">
      <w:pPr>
        <w:pStyle w:val="ConmainL2"/>
        <w:numPr>
          <w:ilvl w:val="1"/>
          <w:numId w:val="9"/>
        </w:numPr>
        <w:rPr>
          <w:rFonts w:asciiTheme="minorHAnsi" w:hAnsiTheme="minorHAnsi" w:cstheme="minorHAnsi"/>
          <w:sz w:val="22"/>
          <w:lang w:val="fr-FR"/>
        </w:rPr>
      </w:pPr>
      <w:bookmarkStart w:id="1642" w:name="_Toc510548499"/>
      <w:r w:rsidRPr="00C73365">
        <w:rPr>
          <w:rFonts w:asciiTheme="minorHAnsi" w:hAnsiTheme="minorHAnsi" w:cstheme="minorHAnsi"/>
          <w:sz w:val="22"/>
          <w:lang w:val="fr-FR"/>
        </w:rPr>
        <w:t>Table de concordance avec le rapport financier annuel</w:t>
      </w:r>
      <w:bookmarkEnd w:id="16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130"/>
        <w:gridCol w:w="3077"/>
      </w:tblGrid>
      <w:tr w:rsidR="007F1850" w:rsidRPr="00C73365" w14:paraId="0BDAB0DA" w14:textId="77777777" w:rsidTr="007F1850">
        <w:trPr>
          <w:trHeight w:val="300"/>
        </w:trPr>
        <w:tc>
          <w:tcPr>
            <w:tcW w:w="3402" w:type="pct"/>
            <w:gridSpan w:val="2"/>
            <w:tcBorders>
              <w:top w:val="single" w:sz="4" w:space="0" w:color="auto"/>
              <w:left w:val="single" w:sz="4" w:space="0" w:color="auto"/>
              <w:bottom w:val="single" w:sz="4" w:space="0" w:color="auto"/>
              <w:right w:val="single" w:sz="4" w:space="0" w:color="auto"/>
            </w:tcBorders>
            <w:noWrap/>
            <w:hideMark/>
          </w:tcPr>
          <w:p w14:paraId="03BCFABD" w14:textId="77777777"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Rapport financier annuel</w:t>
            </w:r>
          </w:p>
        </w:tc>
        <w:tc>
          <w:tcPr>
            <w:tcW w:w="1598" w:type="pct"/>
            <w:tcBorders>
              <w:top w:val="single" w:sz="4" w:space="0" w:color="auto"/>
              <w:left w:val="single" w:sz="4" w:space="0" w:color="auto"/>
              <w:bottom w:val="single" w:sz="4" w:space="0" w:color="auto"/>
              <w:right w:val="single" w:sz="4" w:space="0" w:color="auto"/>
            </w:tcBorders>
            <w:noWrap/>
            <w:hideMark/>
          </w:tcPr>
          <w:p w14:paraId="03EBE5C7" w14:textId="77777777" w:rsidR="007F1850" w:rsidRPr="00C73365" w:rsidRDefault="007F1850" w:rsidP="007F1850">
            <w:pPr>
              <w:jc w:val="cente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14:paraId="74EA5260"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5FBF5F74"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w:t>
            </w:r>
          </w:p>
        </w:tc>
        <w:tc>
          <w:tcPr>
            <w:tcW w:w="3183" w:type="pct"/>
            <w:tcBorders>
              <w:top w:val="single" w:sz="4" w:space="0" w:color="auto"/>
              <w:left w:val="single" w:sz="4" w:space="0" w:color="auto"/>
              <w:bottom w:val="single" w:sz="4" w:space="0" w:color="auto"/>
              <w:right w:val="single" w:sz="4" w:space="0" w:color="auto"/>
            </w:tcBorders>
            <w:noWrap/>
            <w:hideMark/>
          </w:tcPr>
          <w:p w14:paraId="4BBDD130"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Attestation du responsable du rapport financier annuel</w:t>
            </w:r>
          </w:p>
        </w:tc>
        <w:tc>
          <w:tcPr>
            <w:tcW w:w="1598" w:type="pct"/>
            <w:tcBorders>
              <w:top w:val="single" w:sz="4" w:space="0" w:color="auto"/>
              <w:left w:val="single" w:sz="4" w:space="0" w:color="auto"/>
              <w:bottom w:val="single" w:sz="4" w:space="0" w:color="auto"/>
              <w:right w:val="single" w:sz="4" w:space="0" w:color="auto"/>
            </w:tcBorders>
            <w:noWrap/>
            <w:hideMark/>
          </w:tcPr>
          <w:p w14:paraId="4C0EF56E" w14:textId="77777777"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1.2</w:t>
            </w:r>
          </w:p>
        </w:tc>
      </w:tr>
      <w:tr w:rsidR="007F1850" w:rsidRPr="00036317" w14:paraId="3BE66E55"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5C672FC6"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w:t>
            </w:r>
          </w:p>
        </w:tc>
        <w:tc>
          <w:tcPr>
            <w:tcW w:w="3183" w:type="pct"/>
            <w:tcBorders>
              <w:top w:val="single" w:sz="4" w:space="0" w:color="auto"/>
              <w:left w:val="single" w:sz="4" w:space="0" w:color="auto"/>
              <w:bottom w:val="single" w:sz="4" w:space="0" w:color="auto"/>
              <w:right w:val="single" w:sz="4" w:space="0" w:color="auto"/>
            </w:tcBorders>
            <w:noWrap/>
            <w:hideMark/>
          </w:tcPr>
          <w:p w14:paraId="7DA0A55A"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 gestion</w:t>
            </w:r>
          </w:p>
        </w:tc>
        <w:tc>
          <w:tcPr>
            <w:tcW w:w="1598" w:type="pct"/>
            <w:tcBorders>
              <w:top w:val="single" w:sz="4" w:space="0" w:color="auto"/>
              <w:left w:val="single" w:sz="4" w:space="0" w:color="auto"/>
              <w:bottom w:val="single" w:sz="4" w:space="0" w:color="auto"/>
              <w:right w:val="single" w:sz="4" w:space="0" w:color="auto"/>
            </w:tcBorders>
            <w:noWrap/>
            <w:hideMark/>
          </w:tcPr>
          <w:p w14:paraId="16F47984" w14:textId="77777777"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 référer à la table de concordance</w:t>
            </w:r>
          </w:p>
        </w:tc>
      </w:tr>
      <w:tr w:rsidR="007F1850" w:rsidRPr="00036317" w14:paraId="19DACC2C"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12238142"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w:t>
            </w:r>
          </w:p>
        </w:tc>
        <w:tc>
          <w:tcPr>
            <w:tcW w:w="3183" w:type="pct"/>
            <w:tcBorders>
              <w:top w:val="single" w:sz="4" w:space="0" w:color="auto"/>
              <w:left w:val="single" w:sz="4" w:space="0" w:color="auto"/>
              <w:bottom w:val="single" w:sz="4" w:space="0" w:color="auto"/>
              <w:right w:val="single" w:sz="4" w:space="0" w:color="auto"/>
            </w:tcBorders>
            <w:noWrap/>
            <w:hideMark/>
          </w:tcPr>
          <w:p w14:paraId="7722744D"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du conseil d’administration sur le gouvernement d’entreprise</w:t>
            </w:r>
          </w:p>
        </w:tc>
        <w:tc>
          <w:tcPr>
            <w:tcW w:w="1598" w:type="pct"/>
            <w:tcBorders>
              <w:top w:val="single" w:sz="4" w:space="0" w:color="auto"/>
              <w:left w:val="single" w:sz="4" w:space="0" w:color="auto"/>
              <w:bottom w:val="single" w:sz="4" w:space="0" w:color="auto"/>
              <w:right w:val="single" w:sz="4" w:space="0" w:color="auto"/>
            </w:tcBorders>
            <w:noWrap/>
            <w:hideMark/>
          </w:tcPr>
          <w:p w14:paraId="7FD49811" w14:textId="77777777"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 référer à la table de concordance</w:t>
            </w:r>
          </w:p>
        </w:tc>
      </w:tr>
      <w:tr w:rsidR="007F1850" w:rsidRPr="00C73365" w14:paraId="4A3B3735"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79D78188"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4</w:t>
            </w:r>
          </w:p>
        </w:tc>
        <w:tc>
          <w:tcPr>
            <w:tcW w:w="3183" w:type="pct"/>
            <w:tcBorders>
              <w:top w:val="single" w:sz="4" w:space="0" w:color="auto"/>
              <w:left w:val="single" w:sz="4" w:space="0" w:color="auto"/>
              <w:bottom w:val="single" w:sz="4" w:space="0" w:color="auto"/>
              <w:right w:val="single" w:sz="4" w:space="0" w:color="auto"/>
            </w:tcBorders>
            <w:noWrap/>
            <w:hideMark/>
          </w:tcPr>
          <w:p w14:paraId="5B913E88" w14:textId="77777777" w:rsidR="007F1850" w:rsidRPr="00C73365" w:rsidRDefault="007F1850" w:rsidP="007F1850">
            <w:pPr>
              <w:rPr>
                <w:rFonts w:asciiTheme="minorHAnsi" w:hAnsiTheme="minorHAnsi" w:cstheme="minorHAnsi"/>
                <w:szCs w:val="20"/>
                <w:highlight w:val="yellow"/>
                <w:lang w:val="fr-FR"/>
              </w:rPr>
            </w:pPr>
            <w:r w:rsidRPr="00C73365">
              <w:rPr>
                <w:rFonts w:asciiTheme="minorHAnsi" w:hAnsiTheme="minorHAnsi" w:cstheme="minorHAnsi"/>
                <w:szCs w:val="20"/>
                <w:lang w:val="fr-FR"/>
              </w:rPr>
              <w:t>Rapport de responsabilité sociale et environnementale</w:t>
            </w:r>
          </w:p>
        </w:tc>
        <w:tc>
          <w:tcPr>
            <w:tcW w:w="1598" w:type="pct"/>
            <w:tcBorders>
              <w:top w:val="single" w:sz="4" w:space="0" w:color="auto"/>
              <w:left w:val="single" w:sz="4" w:space="0" w:color="auto"/>
              <w:bottom w:val="single" w:sz="4" w:space="0" w:color="auto"/>
              <w:right w:val="single" w:sz="4" w:space="0" w:color="auto"/>
            </w:tcBorders>
            <w:noWrap/>
            <w:hideMark/>
          </w:tcPr>
          <w:p w14:paraId="6E18D89F" w14:textId="446337B5" w:rsidR="007F1850" w:rsidRPr="00C73365" w:rsidRDefault="00F573DC" w:rsidP="007F1850">
            <w:pPr>
              <w:jc w:val="center"/>
              <w:rPr>
                <w:rFonts w:asciiTheme="minorHAnsi" w:hAnsiTheme="minorHAnsi" w:cstheme="minorHAnsi"/>
                <w:i/>
                <w:szCs w:val="20"/>
                <w:highlight w:val="yellow"/>
                <w:lang w:val="fr-FR"/>
              </w:rPr>
            </w:pPr>
            <w:r>
              <w:rPr>
                <w:rFonts w:asciiTheme="minorHAnsi" w:hAnsiTheme="minorHAnsi" w:cstheme="minorHAnsi"/>
                <w:szCs w:val="20"/>
                <w:lang w:val="fr-FR"/>
              </w:rPr>
              <w:t>Paragraphe 6.6.2</w:t>
            </w:r>
          </w:p>
        </w:tc>
      </w:tr>
      <w:tr w:rsidR="007F1850" w:rsidRPr="00C73365" w14:paraId="133D4B8C"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5CC1D860"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5</w:t>
            </w:r>
          </w:p>
        </w:tc>
        <w:tc>
          <w:tcPr>
            <w:tcW w:w="3183" w:type="pct"/>
            <w:tcBorders>
              <w:top w:val="single" w:sz="4" w:space="0" w:color="auto"/>
              <w:left w:val="single" w:sz="4" w:space="0" w:color="auto"/>
              <w:bottom w:val="single" w:sz="4" w:space="0" w:color="auto"/>
              <w:right w:val="single" w:sz="4" w:space="0" w:color="auto"/>
            </w:tcBorders>
            <w:noWrap/>
            <w:hideMark/>
          </w:tcPr>
          <w:p w14:paraId="1396B8D7"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Communiqué relatif aux honoraires des commissaires aux comptes</w:t>
            </w:r>
          </w:p>
        </w:tc>
        <w:tc>
          <w:tcPr>
            <w:tcW w:w="1598" w:type="pct"/>
            <w:tcBorders>
              <w:top w:val="single" w:sz="4" w:space="0" w:color="auto"/>
              <w:left w:val="single" w:sz="4" w:space="0" w:color="auto"/>
              <w:bottom w:val="single" w:sz="4" w:space="0" w:color="auto"/>
              <w:right w:val="single" w:sz="4" w:space="0" w:color="auto"/>
            </w:tcBorders>
            <w:noWrap/>
            <w:hideMark/>
          </w:tcPr>
          <w:p w14:paraId="183DBB0B" w14:textId="77777777" w:rsidR="007F1850" w:rsidRPr="00001964" w:rsidRDefault="00001964" w:rsidP="007F1850">
            <w:pPr>
              <w:jc w:val="center"/>
              <w:rPr>
                <w:rFonts w:asciiTheme="minorHAnsi" w:hAnsiTheme="minorHAnsi" w:cstheme="minorHAnsi"/>
                <w:b/>
                <w:szCs w:val="20"/>
                <w:lang w:val="fr-FR"/>
              </w:rPr>
            </w:pPr>
            <w:r w:rsidRPr="00001964">
              <w:rPr>
                <w:rFonts w:asciiTheme="minorHAnsi" w:hAnsiTheme="minorHAnsi" w:cstheme="minorHAnsi"/>
                <w:szCs w:val="20"/>
                <w:lang w:val="fr-FR"/>
              </w:rPr>
              <w:t>Section 20.1</w:t>
            </w:r>
          </w:p>
        </w:tc>
      </w:tr>
      <w:tr w:rsidR="007F1850" w:rsidRPr="00C73365" w14:paraId="30E7A69D"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3187F654"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6</w:t>
            </w:r>
          </w:p>
        </w:tc>
        <w:tc>
          <w:tcPr>
            <w:tcW w:w="3183" w:type="pct"/>
            <w:tcBorders>
              <w:top w:val="single" w:sz="4" w:space="0" w:color="auto"/>
              <w:left w:val="single" w:sz="4" w:space="0" w:color="auto"/>
              <w:bottom w:val="single" w:sz="4" w:space="0" w:color="auto"/>
              <w:right w:val="single" w:sz="4" w:space="0" w:color="auto"/>
            </w:tcBorders>
            <w:noWrap/>
            <w:hideMark/>
          </w:tcPr>
          <w:p w14:paraId="4801BE65"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Comptes établis en normes IFRS</w:t>
            </w:r>
          </w:p>
        </w:tc>
        <w:tc>
          <w:tcPr>
            <w:tcW w:w="1598" w:type="pct"/>
            <w:tcBorders>
              <w:top w:val="single" w:sz="4" w:space="0" w:color="auto"/>
              <w:left w:val="single" w:sz="4" w:space="0" w:color="auto"/>
              <w:bottom w:val="single" w:sz="4" w:space="0" w:color="auto"/>
              <w:right w:val="single" w:sz="4" w:space="0" w:color="auto"/>
            </w:tcBorders>
            <w:noWrap/>
            <w:hideMark/>
          </w:tcPr>
          <w:p w14:paraId="05F20648" w14:textId="77777777"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20.1.</w:t>
            </w:r>
          </w:p>
        </w:tc>
      </w:tr>
      <w:tr w:rsidR="007F1850" w:rsidRPr="00C73365" w14:paraId="7CAD3E3B"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41EFA030"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7</w:t>
            </w:r>
          </w:p>
        </w:tc>
        <w:tc>
          <w:tcPr>
            <w:tcW w:w="3183" w:type="pct"/>
            <w:tcBorders>
              <w:top w:val="single" w:sz="4" w:space="0" w:color="auto"/>
              <w:left w:val="single" w:sz="4" w:space="0" w:color="auto"/>
              <w:bottom w:val="single" w:sz="4" w:space="0" w:color="auto"/>
              <w:right w:val="single" w:sz="4" w:space="0" w:color="auto"/>
            </w:tcBorders>
            <w:noWrap/>
            <w:hideMark/>
          </w:tcPr>
          <w:p w14:paraId="20E13266"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des commissaires aux comptes sur les comptes consolidés établis en normes IFRS</w:t>
            </w:r>
          </w:p>
        </w:tc>
        <w:tc>
          <w:tcPr>
            <w:tcW w:w="1598" w:type="pct"/>
            <w:tcBorders>
              <w:top w:val="single" w:sz="4" w:space="0" w:color="auto"/>
              <w:left w:val="single" w:sz="4" w:space="0" w:color="auto"/>
              <w:bottom w:val="single" w:sz="4" w:space="0" w:color="auto"/>
              <w:right w:val="single" w:sz="4" w:space="0" w:color="auto"/>
            </w:tcBorders>
            <w:noWrap/>
            <w:hideMark/>
          </w:tcPr>
          <w:p w14:paraId="7A57282D" w14:textId="77777777"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20.2.</w:t>
            </w:r>
          </w:p>
        </w:tc>
      </w:tr>
      <w:tr w:rsidR="007F1850" w:rsidRPr="00C73365" w14:paraId="7FD6AABD"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1D394F41"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8</w:t>
            </w:r>
          </w:p>
        </w:tc>
        <w:tc>
          <w:tcPr>
            <w:tcW w:w="3183" w:type="pct"/>
            <w:tcBorders>
              <w:top w:val="single" w:sz="4" w:space="0" w:color="auto"/>
              <w:left w:val="single" w:sz="4" w:space="0" w:color="auto"/>
              <w:bottom w:val="single" w:sz="4" w:space="0" w:color="auto"/>
              <w:right w:val="single" w:sz="4" w:space="0" w:color="auto"/>
            </w:tcBorders>
            <w:noWrap/>
            <w:hideMark/>
          </w:tcPr>
          <w:p w14:paraId="3AA220CB"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des commissaires aux comptes sur le rapport du conseil d’administration sur le gouvernement d’entreprise</w:t>
            </w:r>
          </w:p>
        </w:tc>
        <w:tc>
          <w:tcPr>
            <w:tcW w:w="1598" w:type="pct"/>
            <w:tcBorders>
              <w:top w:val="single" w:sz="4" w:space="0" w:color="auto"/>
              <w:left w:val="single" w:sz="4" w:space="0" w:color="auto"/>
              <w:bottom w:val="single" w:sz="4" w:space="0" w:color="auto"/>
              <w:right w:val="single" w:sz="4" w:space="0" w:color="auto"/>
            </w:tcBorders>
            <w:noWrap/>
            <w:hideMark/>
          </w:tcPr>
          <w:p w14:paraId="78D0DDB7" w14:textId="77777777"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16.6</w:t>
            </w:r>
          </w:p>
        </w:tc>
      </w:tr>
      <w:tr w:rsidR="007F1850" w:rsidRPr="00C73365" w14:paraId="00EFF1CB"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69611F33"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9</w:t>
            </w:r>
          </w:p>
        </w:tc>
        <w:tc>
          <w:tcPr>
            <w:tcW w:w="3183" w:type="pct"/>
            <w:tcBorders>
              <w:top w:val="single" w:sz="4" w:space="0" w:color="auto"/>
              <w:left w:val="single" w:sz="4" w:space="0" w:color="auto"/>
              <w:bottom w:val="single" w:sz="4" w:space="0" w:color="auto"/>
              <w:right w:val="single" w:sz="4" w:space="0" w:color="auto"/>
            </w:tcBorders>
            <w:noWrap/>
            <w:hideMark/>
          </w:tcPr>
          <w:p w14:paraId="4DF6E22F"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Comptes annuels </w:t>
            </w:r>
          </w:p>
        </w:tc>
        <w:tc>
          <w:tcPr>
            <w:tcW w:w="1598" w:type="pct"/>
            <w:tcBorders>
              <w:top w:val="single" w:sz="4" w:space="0" w:color="auto"/>
              <w:left w:val="single" w:sz="4" w:space="0" w:color="auto"/>
              <w:bottom w:val="single" w:sz="4" w:space="0" w:color="auto"/>
              <w:right w:val="single" w:sz="4" w:space="0" w:color="auto"/>
            </w:tcBorders>
            <w:noWrap/>
            <w:hideMark/>
          </w:tcPr>
          <w:p w14:paraId="13500C2E" w14:textId="77777777"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20.1.</w:t>
            </w:r>
          </w:p>
        </w:tc>
      </w:tr>
      <w:tr w:rsidR="007F1850" w:rsidRPr="00C73365" w14:paraId="3B184A3A"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101BAB40"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83" w:type="pct"/>
            <w:tcBorders>
              <w:top w:val="single" w:sz="4" w:space="0" w:color="auto"/>
              <w:left w:val="single" w:sz="4" w:space="0" w:color="auto"/>
              <w:bottom w:val="single" w:sz="4" w:space="0" w:color="auto"/>
              <w:right w:val="single" w:sz="4" w:space="0" w:color="auto"/>
            </w:tcBorders>
            <w:noWrap/>
            <w:hideMark/>
          </w:tcPr>
          <w:p w14:paraId="10857A11"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Rapport des commissaires aux comptes sur les comptes annuels </w:t>
            </w:r>
          </w:p>
        </w:tc>
        <w:tc>
          <w:tcPr>
            <w:tcW w:w="1598" w:type="pct"/>
            <w:tcBorders>
              <w:top w:val="single" w:sz="4" w:space="0" w:color="auto"/>
              <w:left w:val="single" w:sz="4" w:space="0" w:color="auto"/>
              <w:bottom w:val="single" w:sz="4" w:space="0" w:color="auto"/>
              <w:right w:val="single" w:sz="4" w:space="0" w:color="auto"/>
            </w:tcBorders>
            <w:noWrap/>
            <w:hideMark/>
          </w:tcPr>
          <w:p w14:paraId="6BA8858C" w14:textId="77777777"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20.2</w:t>
            </w:r>
          </w:p>
        </w:tc>
      </w:tr>
      <w:tr w:rsidR="007F1850" w:rsidRPr="00C73365" w14:paraId="5252B386"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2DE466C4"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83" w:type="pct"/>
            <w:tcBorders>
              <w:top w:val="single" w:sz="4" w:space="0" w:color="auto"/>
              <w:left w:val="single" w:sz="4" w:space="0" w:color="auto"/>
              <w:bottom w:val="single" w:sz="4" w:space="0" w:color="auto"/>
              <w:right w:val="single" w:sz="4" w:space="0" w:color="auto"/>
            </w:tcBorders>
            <w:noWrap/>
            <w:hideMark/>
          </w:tcPr>
          <w:p w14:paraId="2E4742EC" w14:textId="77777777" w:rsidR="007F1850" w:rsidRPr="00C73365" w:rsidRDefault="007F1850" w:rsidP="007F1850">
            <w:pPr>
              <w:rPr>
                <w:rFonts w:asciiTheme="minorHAnsi" w:hAnsiTheme="minorHAnsi" w:cstheme="minorHAnsi"/>
                <w:szCs w:val="20"/>
                <w:lang w:val="fr-FR"/>
              </w:rPr>
            </w:pPr>
            <w:bookmarkStart w:id="1643" w:name="RANGE!B15"/>
            <w:r w:rsidRPr="00C73365">
              <w:rPr>
                <w:rFonts w:asciiTheme="minorHAnsi" w:hAnsiTheme="minorHAnsi" w:cstheme="minorHAnsi"/>
                <w:szCs w:val="20"/>
                <w:lang w:val="fr-FR"/>
              </w:rPr>
              <w:t>Rapport de l’organisme tiers indépendant sur les informations sociales, environnementales et sociétales</w:t>
            </w:r>
            <w:bookmarkEnd w:id="1643"/>
          </w:p>
        </w:tc>
        <w:tc>
          <w:tcPr>
            <w:tcW w:w="1598" w:type="pct"/>
            <w:tcBorders>
              <w:top w:val="single" w:sz="4" w:space="0" w:color="auto"/>
              <w:left w:val="single" w:sz="4" w:space="0" w:color="auto"/>
              <w:bottom w:val="single" w:sz="4" w:space="0" w:color="auto"/>
              <w:right w:val="single" w:sz="4" w:space="0" w:color="auto"/>
            </w:tcBorders>
            <w:noWrap/>
            <w:hideMark/>
          </w:tcPr>
          <w:p w14:paraId="7EDF29C7" w14:textId="6C3F3FCA" w:rsidR="007F1850" w:rsidRPr="00F573DC" w:rsidRDefault="00F573DC" w:rsidP="007F1850">
            <w:pPr>
              <w:jc w:val="center"/>
              <w:rPr>
                <w:rFonts w:asciiTheme="minorHAnsi" w:hAnsiTheme="minorHAnsi" w:cstheme="minorHAnsi"/>
                <w:b/>
                <w:szCs w:val="20"/>
                <w:lang w:val="fr-FR"/>
              </w:rPr>
            </w:pPr>
            <w:r>
              <w:rPr>
                <w:rFonts w:asciiTheme="minorHAnsi" w:hAnsiTheme="minorHAnsi" w:cstheme="minorHAnsi"/>
                <w:szCs w:val="20"/>
                <w:lang w:val="fr-FR"/>
              </w:rPr>
              <w:t xml:space="preserve">Paragraphe </w:t>
            </w:r>
            <w:r w:rsidRPr="00F573DC">
              <w:rPr>
                <w:rFonts w:asciiTheme="minorHAnsi" w:hAnsiTheme="minorHAnsi" w:cstheme="minorHAnsi"/>
                <w:szCs w:val="20"/>
                <w:lang w:val="fr-FR"/>
              </w:rPr>
              <w:t>6.6.3</w:t>
            </w:r>
          </w:p>
        </w:tc>
      </w:tr>
    </w:tbl>
    <w:p w14:paraId="49BDFBD0" w14:textId="77777777" w:rsidR="007F1850" w:rsidRPr="00C73365" w:rsidRDefault="007F1850" w:rsidP="007F1850">
      <w:pPr>
        <w:pStyle w:val="Corpsdetexte"/>
        <w:rPr>
          <w:rFonts w:asciiTheme="minorHAnsi" w:hAnsiTheme="minorHAnsi" w:cstheme="minorHAnsi"/>
          <w:lang w:val="fr-FR"/>
        </w:rPr>
      </w:pPr>
    </w:p>
    <w:p w14:paraId="18723621" w14:textId="77777777" w:rsidR="007F1850" w:rsidRPr="00C73365" w:rsidRDefault="007F1850" w:rsidP="009E5FDD">
      <w:pPr>
        <w:pStyle w:val="ConmainL2"/>
        <w:numPr>
          <w:ilvl w:val="1"/>
          <w:numId w:val="9"/>
        </w:numPr>
        <w:rPr>
          <w:rFonts w:asciiTheme="minorHAnsi" w:hAnsiTheme="minorHAnsi" w:cstheme="minorHAnsi"/>
          <w:sz w:val="22"/>
          <w:lang w:val="fr-FR"/>
        </w:rPr>
      </w:pPr>
      <w:bookmarkStart w:id="1644" w:name="_Toc510548500"/>
      <w:r w:rsidRPr="00C73365">
        <w:rPr>
          <w:rFonts w:asciiTheme="minorHAnsi" w:hAnsiTheme="minorHAnsi" w:cstheme="minorHAnsi"/>
          <w:sz w:val="22"/>
          <w:lang w:val="fr-FR"/>
        </w:rPr>
        <w:t>Table de concordance avec le rapport de gestion</w:t>
      </w:r>
      <w:bookmarkEnd w:id="16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095"/>
        <w:gridCol w:w="3112"/>
      </w:tblGrid>
      <w:tr w:rsidR="007F1850" w:rsidRPr="00C73365" w14:paraId="5A18EE46" w14:textId="77777777" w:rsidTr="007F1850">
        <w:trPr>
          <w:trHeight w:val="300"/>
        </w:trPr>
        <w:tc>
          <w:tcPr>
            <w:tcW w:w="3384" w:type="pct"/>
            <w:gridSpan w:val="2"/>
            <w:tcBorders>
              <w:top w:val="single" w:sz="4" w:space="0" w:color="auto"/>
              <w:left w:val="single" w:sz="4" w:space="0" w:color="auto"/>
              <w:bottom w:val="single" w:sz="4" w:space="0" w:color="auto"/>
              <w:right w:val="single" w:sz="4" w:space="0" w:color="auto"/>
            </w:tcBorders>
            <w:noWrap/>
            <w:hideMark/>
          </w:tcPr>
          <w:p w14:paraId="7093421D" w14:textId="77777777" w:rsidR="007F1850" w:rsidRPr="00C73365" w:rsidRDefault="007F1850" w:rsidP="007F1850">
            <w:pPr>
              <w:spacing w:line="256" w:lineRule="auto"/>
              <w:rPr>
                <w:rFonts w:asciiTheme="minorHAnsi" w:hAnsiTheme="minorHAnsi" w:cstheme="minorHAnsi"/>
                <w:b/>
                <w:bCs/>
                <w:szCs w:val="20"/>
                <w:lang w:val="fr-FR"/>
              </w:rPr>
            </w:pPr>
            <w:r w:rsidRPr="00C73365">
              <w:rPr>
                <w:rFonts w:asciiTheme="minorHAnsi" w:hAnsiTheme="minorHAnsi" w:cstheme="minorHAnsi"/>
                <w:b/>
                <w:bCs/>
                <w:szCs w:val="20"/>
                <w:lang w:val="fr-FR"/>
              </w:rPr>
              <w:t>Rapport de gestion annuel</w:t>
            </w:r>
          </w:p>
        </w:tc>
        <w:tc>
          <w:tcPr>
            <w:tcW w:w="1616" w:type="pct"/>
            <w:tcBorders>
              <w:top w:val="single" w:sz="4" w:space="0" w:color="auto"/>
              <w:left w:val="single" w:sz="4" w:space="0" w:color="auto"/>
              <w:bottom w:val="single" w:sz="4" w:space="0" w:color="auto"/>
              <w:right w:val="single" w:sz="4" w:space="0" w:color="auto"/>
            </w:tcBorders>
            <w:noWrap/>
            <w:hideMark/>
          </w:tcPr>
          <w:p w14:paraId="5C5C403B" w14:textId="77777777" w:rsidR="007F1850" w:rsidRPr="00C73365" w:rsidRDefault="007F1850" w:rsidP="007F1850">
            <w:pPr>
              <w:spacing w:line="256" w:lineRule="auto"/>
              <w:jc w:val="cente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14:paraId="0A62CC17"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0979E147"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w:t>
            </w:r>
          </w:p>
        </w:tc>
        <w:tc>
          <w:tcPr>
            <w:tcW w:w="3165" w:type="pct"/>
            <w:tcBorders>
              <w:top w:val="single" w:sz="4" w:space="0" w:color="auto"/>
              <w:left w:val="single" w:sz="4" w:space="0" w:color="auto"/>
              <w:bottom w:val="single" w:sz="4" w:space="0" w:color="auto"/>
              <w:right w:val="single" w:sz="4" w:space="0" w:color="auto"/>
            </w:tcBorders>
            <w:noWrap/>
            <w:hideMark/>
          </w:tcPr>
          <w:p w14:paraId="23C41F36"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Situation de la Société et activité au cours de l’exercice écoulé</w:t>
            </w:r>
          </w:p>
        </w:tc>
        <w:tc>
          <w:tcPr>
            <w:tcW w:w="1616" w:type="pct"/>
            <w:tcBorders>
              <w:top w:val="single" w:sz="4" w:space="0" w:color="auto"/>
              <w:left w:val="single" w:sz="4" w:space="0" w:color="auto"/>
              <w:bottom w:val="single" w:sz="4" w:space="0" w:color="auto"/>
              <w:right w:val="single" w:sz="4" w:space="0" w:color="auto"/>
            </w:tcBorders>
            <w:noWrap/>
            <w:hideMark/>
          </w:tcPr>
          <w:p w14:paraId="35EE19DC"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6 et 20</w:t>
            </w:r>
          </w:p>
        </w:tc>
      </w:tr>
      <w:tr w:rsidR="007F1850" w:rsidRPr="00C73365" w14:paraId="301FA989"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0B3C468E"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w:t>
            </w:r>
          </w:p>
        </w:tc>
        <w:tc>
          <w:tcPr>
            <w:tcW w:w="3165" w:type="pct"/>
            <w:tcBorders>
              <w:top w:val="single" w:sz="4" w:space="0" w:color="auto"/>
              <w:left w:val="single" w:sz="4" w:space="0" w:color="auto"/>
              <w:bottom w:val="single" w:sz="4" w:space="0" w:color="auto"/>
              <w:right w:val="single" w:sz="4" w:space="0" w:color="auto"/>
            </w:tcBorders>
            <w:noWrap/>
            <w:hideMark/>
          </w:tcPr>
          <w:p w14:paraId="226B71E8"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Examen des comptes et résultats</w:t>
            </w:r>
          </w:p>
        </w:tc>
        <w:tc>
          <w:tcPr>
            <w:tcW w:w="1616" w:type="pct"/>
            <w:tcBorders>
              <w:top w:val="single" w:sz="4" w:space="0" w:color="auto"/>
              <w:left w:val="single" w:sz="4" w:space="0" w:color="auto"/>
              <w:bottom w:val="single" w:sz="4" w:space="0" w:color="auto"/>
              <w:right w:val="single" w:sz="4" w:space="0" w:color="auto"/>
            </w:tcBorders>
            <w:noWrap/>
            <w:hideMark/>
          </w:tcPr>
          <w:p w14:paraId="0EFD8D3A"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9 et 20</w:t>
            </w:r>
          </w:p>
        </w:tc>
      </w:tr>
      <w:tr w:rsidR="007F1850" w:rsidRPr="00C73365" w14:paraId="5E8DDD08"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49B7C0D7"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hideMark/>
          </w:tcPr>
          <w:p w14:paraId="296DCA4E"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Affectation des résultats</w:t>
            </w:r>
          </w:p>
        </w:tc>
        <w:tc>
          <w:tcPr>
            <w:tcW w:w="1616" w:type="pct"/>
            <w:tcBorders>
              <w:top w:val="single" w:sz="4" w:space="0" w:color="auto"/>
              <w:left w:val="single" w:sz="4" w:space="0" w:color="auto"/>
              <w:bottom w:val="single" w:sz="4" w:space="0" w:color="auto"/>
              <w:right w:val="single" w:sz="4" w:space="0" w:color="auto"/>
            </w:tcBorders>
            <w:noWrap/>
            <w:hideMark/>
          </w:tcPr>
          <w:p w14:paraId="73F6CFC6" w14:textId="41348874" w:rsidR="007F1850" w:rsidRPr="00FF5A22" w:rsidRDefault="000102EE" w:rsidP="007F1850">
            <w:pPr>
              <w:spacing w:line="256" w:lineRule="auto"/>
              <w:jc w:val="center"/>
              <w:rPr>
                <w:rFonts w:asciiTheme="minorHAnsi" w:hAnsiTheme="minorHAnsi" w:cstheme="minorHAnsi"/>
                <w:szCs w:val="20"/>
                <w:highlight w:val="yellow"/>
                <w:lang w:val="fr-FR"/>
              </w:rPr>
            </w:pPr>
            <w:r w:rsidRPr="00920F3B">
              <w:rPr>
                <w:rFonts w:asciiTheme="minorHAnsi" w:hAnsiTheme="minorHAnsi" w:cstheme="minorHAnsi"/>
                <w:szCs w:val="20"/>
                <w:lang w:val="fr-FR"/>
              </w:rPr>
              <w:t>Paragraphe 20.1.1</w:t>
            </w:r>
          </w:p>
        </w:tc>
      </w:tr>
      <w:tr w:rsidR="007F1850" w:rsidRPr="00C73365" w14:paraId="55E2E953" w14:textId="77777777" w:rsidTr="0019582B">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036570B9"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4</w:t>
            </w:r>
          </w:p>
        </w:tc>
        <w:tc>
          <w:tcPr>
            <w:tcW w:w="3165" w:type="pct"/>
            <w:tcBorders>
              <w:top w:val="single" w:sz="4" w:space="0" w:color="auto"/>
              <w:left w:val="single" w:sz="4" w:space="0" w:color="auto"/>
              <w:bottom w:val="single" w:sz="4" w:space="0" w:color="auto"/>
              <w:right w:val="single" w:sz="4" w:space="0" w:color="auto"/>
            </w:tcBorders>
            <w:noWrap/>
            <w:hideMark/>
          </w:tcPr>
          <w:p w14:paraId="65A22380"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Dépenses non déductibles fiscalement</w:t>
            </w:r>
          </w:p>
        </w:tc>
        <w:tc>
          <w:tcPr>
            <w:tcW w:w="1616" w:type="pct"/>
            <w:tcBorders>
              <w:top w:val="single" w:sz="4" w:space="0" w:color="auto"/>
              <w:left w:val="single" w:sz="4" w:space="0" w:color="auto"/>
              <w:bottom w:val="single" w:sz="4" w:space="0" w:color="auto"/>
              <w:right w:val="single" w:sz="4" w:space="0" w:color="auto"/>
            </w:tcBorders>
            <w:shd w:val="clear" w:color="auto" w:fill="auto"/>
            <w:noWrap/>
            <w:hideMark/>
          </w:tcPr>
          <w:p w14:paraId="1838CB7B" w14:textId="2016BC07" w:rsidR="007F1850" w:rsidRPr="0019582B" w:rsidRDefault="000102EE" w:rsidP="007F1850">
            <w:pPr>
              <w:spacing w:line="256" w:lineRule="auto"/>
              <w:jc w:val="center"/>
              <w:rPr>
                <w:rFonts w:asciiTheme="minorHAnsi" w:hAnsiTheme="minorHAnsi" w:cstheme="minorHAnsi"/>
                <w:szCs w:val="20"/>
                <w:lang w:val="fr-FR"/>
              </w:rPr>
            </w:pPr>
            <w:r w:rsidRPr="0019582B">
              <w:rPr>
                <w:rFonts w:asciiTheme="minorHAnsi" w:hAnsiTheme="minorHAnsi" w:cstheme="minorHAnsi"/>
                <w:szCs w:val="20"/>
                <w:lang w:val="fr-FR"/>
              </w:rPr>
              <w:t>Paragraphe 20.1.1</w:t>
            </w:r>
          </w:p>
        </w:tc>
      </w:tr>
      <w:tr w:rsidR="007F1850" w:rsidRPr="00C73365" w14:paraId="6B471321"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7D1E0577"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5</w:t>
            </w:r>
          </w:p>
        </w:tc>
        <w:tc>
          <w:tcPr>
            <w:tcW w:w="3165" w:type="pct"/>
            <w:tcBorders>
              <w:top w:val="single" w:sz="4" w:space="0" w:color="auto"/>
              <w:left w:val="single" w:sz="4" w:space="0" w:color="auto"/>
              <w:bottom w:val="single" w:sz="4" w:space="0" w:color="auto"/>
              <w:right w:val="single" w:sz="4" w:space="0" w:color="auto"/>
            </w:tcBorders>
            <w:noWrap/>
            <w:hideMark/>
          </w:tcPr>
          <w:p w14:paraId="03C4B127"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Rappel des dividendes distribués</w:t>
            </w:r>
          </w:p>
        </w:tc>
        <w:tc>
          <w:tcPr>
            <w:tcW w:w="1616" w:type="pct"/>
            <w:tcBorders>
              <w:top w:val="single" w:sz="4" w:space="0" w:color="auto"/>
              <w:left w:val="single" w:sz="4" w:space="0" w:color="auto"/>
              <w:bottom w:val="single" w:sz="4" w:space="0" w:color="auto"/>
              <w:right w:val="single" w:sz="4" w:space="0" w:color="auto"/>
            </w:tcBorders>
            <w:noWrap/>
            <w:hideMark/>
          </w:tcPr>
          <w:p w14:paraId="2BCCCFA7"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20.4.1</w:t>
            </w:r>
          </w:p>
        </w:tc>
      </w:tr>
      <w:tr w:rsidR="007F1850" w:rsidRPr="00C73365" w14:paraId="7C96BEDF"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20B5D48C"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6</w:t>
            </w:r>
          </w:p>
        </w:tc>
        <w:tc>
          <w:tcPr>
            <w:tcW w:w="3165" w:type="pct"/>
            <w:tcBorders>
              <w:top w:val="single" w:sz="4" w:space="0" w:color="auto"/>
              <w:left w:val="single" w:sz="4" w:space="0" w:color="auto"/>
              <w:bottom w:val="single" w:sz="4" w:space="0" w:color="auto"/>
              <w:right w:val="single" w:sz="4" w:space="0" w:color="auto"/>
            </w:tcBorders>
            <w:noWrap/>
            <w:hideMark/>
          </w:tcPr>
          <w:p w14:paraId="7AA7C690"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Principaux risques et incertitudes auxquels la Société est confrontée / Utilisation des instruments financiers par la Société</w:t>
            </w:r>
          </w:p>
        </w:tc>
        <w:tc>
          <w:tcPr>
            <w:tcW w:w="1616" w:type="pct"/>
            <w:tcBorders>
              <w:top w:val="single" w:sz="4" w:space="0" w:color="auto"/>
              <w:left w:val="single" w:sz="4" w:space="0" w:color="auto"/>
              <w:bottom w:val="single" w:sz="4" w:space="0" w:color="auto"/>
              <w:right w:val="single" w:sz="4" w:space="0" w:color="auto"/>
            </w:tcBorders>
            <w:noWrap/>
            <w:hideMark/>
          </w:tcPr>
          <w:p w14:paraId="11797C00"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 4</w:t>
            </w:r>
          </w:p>
        </w:tc>
      </w:tr>
      <w:tr w:rsidR="007F1850" w:rsidRPr="00C73365" w14:paraId="4236D021"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3E257E07"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7</w:t>
            </w:r>
          </w:p>
        </w:tc>
        <w:tc>
          <w:tcPr>
            <w:tcW w:w="3165" w:type="pct"/>
            <w:tcBorders>
              <w:top w:val="single" w:sz="4" w:space="0" w:color="auto"/>
              <w:left w:val="single" w:sz="4" w:space="0" w:color="auto"/>
              <w:bottom w:val="single" w:sz="4" w:space="0" w:color="auto"/>
              <w:right w:val="single" w:sz="4" w:space="0" w:color="auto"/>
            </w:tcBorders>
            <w:noWrap/>
            <w:hideMark/>
          </w:tcPr>
          <w:p w14:paraId="3F60A6B0"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Information sur les délais de paiement des fournisseurs</w:t>
            </w:r>
          </w:p>
        </w:tc>
        <w:tc>
          <w:tcPr>
            <w:tcW w:w="1616" w:type="pct"/>
            <w:tcBorders>
              <w:top w:val="single" w:sz="4" w:space="0" w:color="auto"/>
              <w:left w:val="single" w:sz="4" w:space="0" w:color="auto"/>
              <w:bottom w:val="single" w:sz="4" w:space="0" w:color="auto"/>
              <w:right w:val="single" w:sz="4" w:space="0" w:color="auto"/>
            </w:tcBorders>
            <w:noWrap/>
            <w:hideMark/>
          </w:tcPr>
          <w:p w14:paraId="79E78719" w14:textId="77777777" w:rsidR="007F1850" w:rsidRPr="001D79BA" w:rsidRDefault="001D79BA" w:rsidP="007F1850">
            <w:pPr>
              <w:spacing w:line="256" w:lineRule="auto"/>
              <w:jc w:val="center"/>
              <w:rPr>
                <w:rFonts w:asciiTheme="minorHAnsi" w:hAnsiTheme="minorHAnsi" w:cstheme="minorHAnsi"/>
                <w:szCs w:val="20"/>
                <w:highlight w:val="yellow"/>
                <w:lang w:val="fr-FR"/>
              </w:rPr>
            </w:pPr>
            <w:r w:rsidRPr="001D79BA">
              <w:rPr>
                <w:rFonts w:asciiTheme="minorHAnsi" w:hAnsiTheme="minorHAnsi" w:cstheme="minorHAnsi"/>
                <w:szCs w:val="20"/>
                <w:lang w:val="fr-FR"/>
              </w:rPr>
              <w:t>Section 20.5</w:t>
            </w:r>
          </w:p>
        </w:tc>
      </w:tr>
      <w:tr w:rsidR="007F1850" w:rsidRPr="00C73365" w14:paraId="0860C249"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4BDB5A2E"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8</w:t>
            </w:r>
          </w:p>
        </w:tc>
        <w:tc>
          <w:tcPr>
            <w:tcW w:w="3165" w:type="pct"/>
            <w:tcBorders>
              <w:top w:val="single" w:sz="4" w:space="0" w:color="auto"/>
              <w:left w:val="single" w:sz="4" w:space="0" w:color="auto"/>
              <w:bottom w:val="single" w:sz="4" w:space="0" w:color="auto"/>
              <w:right w:val="single" w:sz="4" w:space="0" w:color="auto"/>
            </w:tcBorders>
            <w:noWrap/>
            <w:hideMark/>
          </w:tcPr>
          <w:p w14:paraId="391F6889"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Activité en matière de recherche et développement</w:t>
            </w:r>
          </w:p>
        </w:tc>
        <w:tc>
          <w:tcPr>
            <w:tcW w:w="1616" w:type="pct"/>
            <w:tcBorders>
              <w:top w:val="single" w:sz="4" w:space="0" w:color="auto"/>
              <w:left w:val="single" w:sz="4" w:space="0" w:color="auto"/>
              <w:bottom w:val="single" w:sz="4" w:space="0" w:color="auto"/>
              <w:right w:val="single" w:sz="4" w:space="0" w:color="auto"/>
            </w:tcBorders>
            <w:noWrap/>
            <w:hideMark/>
          </w:tcPr>
          <w:p w14:paraId="04FA10BC"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9.2 et Chapitre 11</w:t>
            </w:r>
          </w:p>
        </w:tc>
      </w:tr>
      <w:tr w:rsidR="007F1850" w:rsidRPr="00C73365" w14:paraId="2EEC5C7E"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030A10A9"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9</w:t>
            </w:r>
          </w:p>
        </w:tc>
        <w:tc>
          <w:tcPr>
            <w:tcW w:w="3165" w:type="pct"/>
            <w:tcBorders>
              <w:top w:val="single" w:sz="4" w:space="0" w:color="auto"/>
              <w:left w:val="single" w:sz="4" w:space="0" w:color="auto"/>
              <w:bottom w:val="single" w:sz="4" w:space="0" w:color="auto"/>
              <w:right w:val="single" w:sz="4" w:space="0" w:color="auto"/>
            </w:tcBorders>
            <w:noWrap/>
            <w:hideMark/>
          </w:tcPr>
          <w:p w14:paraId="342DE854"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Evolution prévisible et perspectives d’avenir</w:t>
            </w:r>
          </w:p>
        </w:tc>
        <w:tc>
          <w:tcPr>
            <w:tcW w:w="1616" w:type="pct"/>
            <w:tcBorders>
              <w:top w:val="single" w:sz="4" w:space="0" w:color="auto"/>
              <w:left w:val="single" w:sz="4" w:space="0" w:color="auto"/>
              <w:bottom w:val="single" w:sz="4" w:space="0" w:color="auto"/>
              <w:right w:val="single" w:sz="4" w:space="0" w:color="auto"/>
            </w:tcBorders>
            <w:noWrap/>
            <w:hideMark/>
          </w:tcPr>
          <w:p w14:paraId="6036BC8D"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6 et 12</w:t>
            </w:r>
          </w:p>
        </w:tc>
      </w:tr>
      <w:tr w:rsidR="007F1850" w:rsidRPr="00C73365" w14:paraId="51825E4B"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3CA51D7F"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65" w:type="pct"/>
            <w:tcBorders>
              <w:top w:val="single" w:sz="4" w:space="0" w:color="auto"/>
              <w:left w:val="single" w:sz="4" w:space="0" w:color="auto"/>
              <w:bottom w:val="single" w:sz="4" w:space="0" w:color="auto"/>
              <w:right w:val="single" w:sz="4" w:space="0" w:color="auto"/>
            </w:tcBorders>
            <w:noWrap/>
            <w:hideMark/>
          </w:tcPr>
          <w:p w14:paraId="2569752B"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Evénements importants survenus depuis la clôture de l’exercice</w:t>
            </w:r>
          </w:p>
        </w:tc>
        <w:tc>
          <w:tcPr>
            <w:tcW w:w="1616" w:type="pct"/>
            <w:tcBorders>
              <w:top w:val="single" w:sz="4" w:space="0" w:color="auto"/>
              <w:left w:val="single" w:sz="4" w:space="0" w:color="auto"/>
              <w:bottom w:val="single" w:sz="4" w:space="0" w:color="auto"/>
              <w:right w:val="single" w:sz="4" w:space="0" w:color="auto"/>
            </w:tcBorders>
            <w:noWrap/>
            <w:hideMark/>
          </w:tcPr>
          <w:p w14:paraId="59C0B8E7"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20.8</w:t>
            </w:r>
          </w:p>
        </w:tc>
      </w:tr>
      <w:tr w:rsidR="007F1850" w:rsidRPr="00C73365" w14:paraId="28F1AFAB"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11683E10"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65" w:type="pct"/>
            <w:tcBorders>
              <w:top w:val="single" w:sz="4" w:space="0" w:color="auto"/>
              <w:left w:val="single" w:sz="4" w:space="0" w:color="auto"/>
              <w:bottom w:val="single" w:sz="4" w:space="0" w:color="auto"/>
              <w:right w:val="single" w:sz="4" w:space="0" w:color="auto"/>
            </w:tcBorders>
            <w:noWrap/>
            <w:hideMark/>
          </w:tcPr>
          <w:p w14:paraId="6721A4FB"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Participation des salariés au capital à la clôture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w:t>
            </w:r>
          </w:p>
        </w:tc>
        <w:tc>
          <w:tcPr>
            <w:tcW w:w="1616" w:type="pct"/>
            <w:tcBorders>
              <w:top w:val="single" w:sz="4" w:space="0" w:color="auto"/>
              <w:left w:val="single" w:sz="4" w:space="0" w:color="auto"/>
              <w:bottom w:val="single" w:sz="4" w:space="0" w:color="auto"/>
              <w:right w:val="single" w:sz="4" w:space="0" w:color="auto"/>
            </w:tcBorders>
            <w:noWrap/>
            <w:hideMark/>
          </w:tcPr>
          <w:p w14:paraId="10C321BB"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17.3</w:t>
            </w:r>
          </w:p>
        </w:tc>
      </w:tr>
      <w:tr w:rsidR="007F1850" w:rsidRPr="00C73365" w14:paraId="5322C236"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5AECF774"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12</w:t>
            </w:r>
          </w:p>
        </w:tc>
        <w:tc>
          <w:tcPr>
            <w:tcW w:w="3165" w:type="pct"/>
            <w:tcBorders>
              <w:top w:val="single" w:sz="4" w:space="0" w:color="auto"/>
              <w:left w:val="single" w:sz="4" w:space="0" w:color="auto"/>
              <w:bottom w:val="single" w:sz="4" w:space="0" w:color="auto"/>
              <w:right w:val="single" w:sz="4" w:space="0" w:color="auto"/>
            </w:tcBorders>
            <w:noWrap/>
            <w:hideMark/>
          </w:tcPr>
          <w:p w14:paraId="4FDE1028"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Gouvernement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entreprise</w:t>
            </w:r>
          </w:p>
        </w:tc>
        <w:tc>
          <w:tcPr>
            <w:tcW w:w="1616" w:type="pct"/>
            <w:tcBorders>
              <w:top w:val="single" w:sz="4" w:space="0" w:color="auto"/>
              <w:left w:val="single" w:sz="4" w:space="0" w:color="auto"/>
              <w:bottom w:val="single" w:sz="4" w:space="0" w:color="auto"/>
              <w:right w:val="single" w:sz="4" w:space="0" w:color="auto"/>
            </w:tcBorders>
            <w:noWrap/>
            <w:hideMark/>
          </w:tcPr>
          <w:p w14:paraId="151EA168" w14:textId="77777777"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Chapitre 16</w:t>
            </w:r>
          </w:p>
        </w:tc>
      </w:tr>
      <w:tr w:rsidR="007F1850" w:rsidRPr="00C73365" w14:paraId="30D22A87"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77816AA1"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13</w:t>
            </w:r>
          </w:p>
        </w:tc>
        <w:tc>
          <w:tcPr>
            <w:tcW w:w="3165" w:type="pct"/>
            <w:tcBorders>
              <w:top w:val="single" w:sz="4" w:space="0" w:color="auto"/>
              <w:left w:val="single" w:sz="4" w:space="0" w:color="auto"/>
              <w:bottom w:val="single" w:sz="4" w:space="0" w:color="auto"/>
              <w:right w:val="single" w:sz="4" w:space="0" w:color="auto"/>
            </w:tcBorders>
            <w:noWrap/>
            <w:hideMark/>
          </w:tcPr>
          <w:p w14:paraId="3AE49A99"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Informations générales concernant les mandataires sociaux </w:t>
            </w:r>
          </w:p>
        </w:tc>
        <w:tc>
          <w:tcPr>
            <w:tcW w:w="1616" w:type="pct"/>
            <w:tcBorders>
              <w:top w:val="single" w:sz="4" w:space="0" w:color="auto"/>
              <w:left w:val="single" w:sz="4" w:space="0" w:color="auto"/>
              <w:bottom w:val="single" w:sz="4" w:space="0" w:color="auto"/>
              <w:right w:val="single" w:sz="4" w:space="0" w:color="auto"/>
            </w:tcBorders>
            <w:noWrap/>
            <w:hideMark/>
          </w:tcPr>
          <w:p w14:paraId="6F0BC003" w14:textId="77777777"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Chapitre 14</w:t>
            </w:r>
          </w:p>
        </w:tc>
      </w:tr>
      <w:tr w:rsidR="007F1850" w:rsidRPr="00C73365" w14:paraId="24898E2A"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09B64534"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14</w:t>
            </w:r>
          </w:p>
        </w:tc>
        <w:tc>
          <w:tcPr>
            <w:tcW w:w="3165" w:type="pct"/>
            <w:tcBorders>
              <w:top w:val="single" w:sz="4" w:space="0" w:color="auto"/>
              <w:left w:val="single" w:sz="4" w:space="0" w:color="auto"/>
              <w:bottom w:val="single" w:sz="4" w:space="0" w:color="auto"/>
              <w:right w:val="single" w:sz="4" w:space="0" w:color="auto"/>
            </w:tcBorders>
            <w:noWrap/>
            <w:hideMark/>
          </w:tcPr>
          <w:p w14:paraId="30898C4C"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Rémunération et engagements de retraite et autres avantages viagers des mandataires sociaux </w:t>
            </w:r>
          </w:p>
        </w:tc>
        <w:tc>
          <w:tcPr>
            <w:tcW w:w="1616" w:type="pct"/>
            <w:tcBorders>
              <w:top w:val="single" w:sz="4" w:space="0" w:color="auto"/>
              <w:left w:val="single" w:sz="4" w:space="0" w:color="auto"/>
              <w:bottom w:val="single" w:sz="4" w:space="0" w:color="auto"/>
              <w:right w:val="single" w:sz="4" w:space="0" w:color="auto"/>
            </w:tcBorders>
            <w:noWrap/>
            <w:hideMark/>
          </w:tcPr>
          <w:p w14:paraId="27D80020" w14:textId="77777777"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Sections 15.1 et 15.2</w:t>
            </w:r>
          </w:p>
        </w:tc>
      </w:tr>
      <w:tr w:rsidR="007F1850" w:rsidRPr="00C73365" w14:paraId="5B41A22B" w14:textId="77777777" w:rsidTr="00A5021C">
        <w:trPr>
          <w:trHeight w:val="510"/>
        </w:trPr>
        <w:tc>
          <w:tcPr>
            <w:tcW w:w="219" w:type="pct"/>
            <w:tcBorders>
              <w:top w:val="single" w:sz="4" w:space="0" w:color="auto"/>
              <w:left w:val="single" w:sz="4" w:space="0" w:color="auto"/>
              <w:bottom w:val="single" w:sz="4" w:space="0" w:color="auto"/>
              <w:right w:val="single" w:sz="4" w:space="0" w:color="auto"/>
            </w:tcBorders>
            <w:noWrap/>
            <w:hideMark/>
          </w:tcPr>
          <w:p w14:paraId="4C1FA01F"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lastRenderedPageBreak/>
              <w:t>15</w:t>
            </w:r>
          </w:p>
        </w:tc>
        <w:tc>
          <w:tcPr>
            <w:tcW w:w="3165" w:type="pct"/>
            <w:tcBorders>
              <w:top w:val="single" w:sz="4" w:space="0" w:color="auto"/>
              <w:left w:val="single" w:sz="4" w:space="0" w:color="auto"/>
              <w:bottom w:val="single" w:sz="4" w:space="0" w:color="auto"/>
              <w:right w:val="single" w:sz="4" w:space="0" w:color="auto"/>
            </w:tcBorders>
            <w:hideMark/>
          </w:tcPr>
          <w:p w14:paraId="744EAE4F" w14:textId="77777777" w:rsidR="007F1850" w:rsidRPr="00C73365" w:rsidRDefault="007F1850" w:rsidP="007F1850">
            <w:pPr>
              <w:spacing w:after="240" w:line="256" w:lineRule="auto"/>
              <w:rPr>
                <w:rFonts w:asciiTheme="minorHAnsi" w:hAnsiTheme="minorHAnsi" w:cstheme="minorHAnsi"/>
                <w:szCs w:val="20"/>
                <w:lang w:val="fr-FR"/>
              </w:rPr>
            </w:pPr>
            <w:r w:rsidRPr="00C73365">
              <w:rPr>
                <w:rFonts w:asciiTheme="minorHAnsi" w:hAnsiTheme="minorHAnsi" w:cstheme="minorHAnsi"/>
                <w:szCs w:val="20"/>
                <w:lang w:val="fr-FR"/>
              </w:rPr>
              <w:t>Informations relatives aux conventions intervenues entre la Société et (i) un dirigeant possédant plus de 10% des droits de vote d’une société ou (ii) ou une société détenant plus de la moitié du capital de la Société</w:t>
            </w:r>
          </w:p>
        </w:tc>
        <w:tc>
          <w:tcPr>
            <w:tcW w:w="1616" w:type="pct"/>
            <w:tcBorders>
              <w:top w:val="single" w:sz="4" w:space="0" w:color="auto"/>
              <w:left w:val="single" w:sz="4" w:space="0" w:color="auto"/>
              <w:bottom w:val="single" w:sz="4" w:space="0" w:color="auto"/>
              <w:right w:val="single" w:sz="4" w:space="0" w:color="auto"/>
            </w:tcBorders>
            <w:noWrap/>
            <w:hideMark/>
          </w:tcPr>
          <w:p w14:paraId="0981FFDE" w14:textId="77777777"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 xml:space="preserve">Section 19.2 </w:t>
            </w:r>
          </w:p>
        </w:tc>
      </w:tr>
      <w:tr w:rsidR="007F1850" w:rsidRPr="00C73365" w14:paraId="695FC860" w14:textId="77777777" w:rsidTr="00A5021C">
        <w:trPr>
          <w:trHeight w:val="510"/>
        </w:trPr>
        <w:tc>
          <w:tcPr>
            <w:tcW w:w="219" w:type="pct"/>
            <w:tcBorders>
              <w:top w:val="single" w:sz="4" w:space="0" w:color="auto"/>
              <w:left w:val="single" w:sz="4" w:space="0" w:color="auto"/>
              <w:bottom w:val="single" w:sz="4" w:space="0" w:color="auto"/>
              <w:right w:val="single" w:sz="4" w:space="0" w:color="auto"/>
            </w:tcBorders>
            <w:noWrap/>
            <w:hideMark/>
          </w:tcPr>
          <w:p w14:paraId="7FF72023"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16</w:t>
            </w:r>
          </w:p>
        </w:tc>
        <w:tc>
          <w:tcPr>
            <w:tcW w:w="3165" w:type="pct"/>
            <w:tcBorders>
              <w:top w:val="single" w:sz="4" w:space="0" w:color="auto"/>
              <w:left w:val="single" w:sz="4" w:space="0" w:color="auto"/>
              <w:bottom w:val="single" w:sz="4" w:space="0" w:color="auto"/>
              <w:right w:val="single" w:sz="4" w:space="0" w:color="auto"/>
            </w:tcBorders>
            <w:hideMark/>
          </w:tcPr>
          <w:p w14:paraId="4698DAB9"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Etat récapitulatif des opérations des dirigeants et des personnes mentionnées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article L. 621-18-2 du code monétaire et financier sur les titres de la Société réalisées au cours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écoulé</w:t>
            </w:r>
          </w:p>
        </w:tc>
        <w:tc>
          <w:tcPr>
            <w:tcW w:w="1616" w:type="pct"/>
            <w:tcBorders>
              <w:top w:val="single" w:sz="4" w:space="0" w:color="auto"/>
              <w:left w:val="single" w:sz="4" w:space="0" w:color="auto"/>
              <w:bottom w:val="single" w:sz="4" w:space="0" w:color="auto"/>
              <w:right w:val="single" w:sz="4" w:space="0" w:color="auto"/>
            </w:tcBorders>
            <w:noWrap/>
            <w:hideMark/>
          </w:tcPr>
          <w:p w14:paraId="710BB65C" w14:textId="77777777"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 18.6</w:t>
            </w:r>
          </w:p>
        </w:tc>
      </w:tr>
      <w:tr w:rsidR="007F1850" w:rsidRPr="00C73365" w14:paraId="3C6B97DC"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1A970CE1"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17</w:t>
            </w:r>
          </w:p>
        </w:tc>
        <w:tc>
          <w:tcPr>
            <w:tcW w:w="3165" w:type="pct"/>
            <w:tcBorders>
              <w:top w:val="single" w:sz="4" w:space="0" w:color="auto"/>
              <w:left w:val="single" w:sz="4" w:space="0" w:color="auto"/>
              <w:bottom w:val="single" w:sz="4" w:space="0" w:color="auto"/>
              <w:right w:val="single" w:sz="4" w:space="0" w:color="auto"/>
            </w:tcBorders>
            <w:noWrap/>
            <w:hideMark/>
          </w:tcPr>
          <w:p w14:paraId="2FD5CCD6"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Activités des filiales et des sociétés contrôlées</w:t>
            </w:r>
          </w:p>
        </w:tc>
        <w:tc>
          <w:tcPr>
            <w:tcW w:w="1616" w:type="pct"/>
            <w:tcBorders>
              <w:top w:val="single" w:sz="4" w:space="0" w:color="auto"/>
              <w:left w:val="single" w:sz="4" w:space="0" w:color="auto"/>
              <w:bottom w:val="single" w:sz="4" w:space="0" w:color="auto"/>
              <w:right w:val="single" w:sz="4" w:space="0" w:color="auto"/>
            </w:tcBorders>
            <w:noWrap/>
            <w:hideMark/>
          </w:tcPr>
          <w:p w14:paraId="381FF0F4"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7 et 25</w:t>
            </w:r>
          </w:p>
        </w:tc>
      </w:tr>
      <w:tr w:rsidR="007F1850" w:rsidRPr="00C73365" w14:paraId="6C377833"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06AD96E3"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18</w:t>
            </w:r>
          </w:p>
        </w:tc>
        <w:tc>
          <w:tcPr>
            <w:tcW w:w="3165" w:type="pct"/>
            <w:tcBorders>
              <w:top w:val="single" w:sz="4" w:space="0" w:color="auto"/>
              <w:left w:val="single" w:sz="4" w:space="0" w:color="auto"/>
              <w:bottom w:val="single" w:sz="4" w:space="0" w:color="auto"/>
              <w:right w:val="single" w:sz="4" w:space="0" w:color="auto"/>
            </w:tcBorders>
            <w:noWrap/>
            <w:hideMark/>
          </w:tcPr>
          <w:p w14:paraId="4C822C46"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Prises de participations significatives dans des sociétés ayant leur siège en France, ou prises de contrôle de telles sociétés ; cessions de telles participations</w:t>
            </w:r>
          </w:p>
        </w:tc>
        <w:tc>
          <w:tcPr>
            <w:tcW w:w="1616" w:type="pct"/>
            <w:tcBorders>
              <w:top w:val="single" w:sz="4" w:space="0" w:color="auto"/>
              <w:left w:val="single" w:sz="4" w:space="0" w:color="auto"/>
              <w:bottom w:val="single" w:sz="4" w:space="0" w:color="auto"/>
              <w:right w:val="single" w:sz="4" w:space="0" w:color="auto"/>
            </w:tcBorders>
            <w:noWrap/>
            <w:hideMark/>
          </w:tcPr>
          <w:p w14:paraId="38E960E8"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7 et 25</w:t>
            </w:r>
          </w:p>
        </w:tc>
      </w:tr>
      <w:tr w:rsidR="007F1850" w:rsidRPr="00C73365" w14:paraId="112FE60B"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270B2727"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19</w:t>
            </w:r>
          </w:p>
        </w:tc>
        <w:tc>
          <w:tcPr>
            <w:tcW w:w="3165" w:type="pct"/>
            <w:tcBorders>
              <w:top w:val="single" w:sz="4" w:space="0" w:color="auto"/>
              <w:left w:val="single" w:sz="4" w:space="0" w:color="auto"/>
              <w:bottom w:val="single" w:sz="4" w:space="0" w:color="auto"/>
              <w:right w:val="single" w:sz="4" w:space="0" w:color="auto"/>
            </w:tcBorders>
            <w:noWrap/>
            <w:hideMark/>
          </w:tcPr>
          <w:p w14:paraId="71E9C8EC"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Renseignements relatifs à la répartition du capital et à l’autocontrôle – Programme de rachat d’actions</w:t>
            </w:r>
          </w:p>
        </w:tc>
        <w:tc>
          <w:tcPr>
            <w:tcW w:w="1616" w:type="pct"/>
            <w:tcBorders>
              <w:top w:val="single" w:sz="4" w:space="0" w:color="auto"/>
              <w:left w:val="single" w:sz="4" w:space="0" w:color="auto"/>
              <w:bottom w:val="single" w:sz="4" w:space="0" w:color="auto"/>
              <w:right w:val="single" w:sz="4" w:space="0" w:color="auto"/>
            </w:tcBorders>
            <w:noWrap/>
            <w:hideMark/>
          </w:tcPr>
          <w:p w14:paraId="30CE0A0F"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Sections 18.1, 18.2 et 21.1</w:t>
            </w:r>
          </w:p>
          <w:p w14:paraId="6B64B2E5"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 </w:t>
            </w:r>
          </w:p>
        </w:tc>
      </w:tr>
      <w:tr w:rsidR="007F1850" w:rsidRPr="00C73365" w14:paraId="3354CB24"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7598E85E"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20</w:t>
            </w:r>
          </w:p>
        </w:tc>
        <w:tc>
          <w:tcPr>
            <w:tcW w:w="3165" w:type="pct"/>
            <w:tcBorders>
              <w:top w:val="single" w:sz="4" w:space="0" w:color="auto"/>
              <w:left w:val="single" w:sz="4" w:space="0" w:color="auto"/>
              <w:bottom w:val="single" w:sz="4" w:space="0" w:color="auto"/>
              <w:right w:val="single" w:sz="4" w:space="0" w:color="auto"/>
            </w:tcBorders>
            <w:noWrap/>
            <w:hideMark/>
          </w:tcPr>
          <w:p w14:paraId="06175D15"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Modifications intervenues au cours de l’exercice dans la composition du capital</w:t>
            </w:r>
          </w:p>
        </w:tc>
        <w:tc>
          <w:tcPr>
            <w:tcW w:w="1616" w:type="pct"/>
            <w:tcBorders>
              <w:top w:val="single" w:sz="4" w:space="0" w:color="auto"/>
              <w:left w:val="single" w:sz="4" w:space="0" w:color="auto"/>
              <w:bottom w:val="single" w:sz="4" w:space="0" w:color="auto"/>
              <w:right w:val="single" w:sz="4" w:space="0" w:color="auto"/>
            </w:tcBorders>
            <w:noWrap/>
            <w:hideMark/>
          </w:tcPr>
          <w:p w14:paraId="495A96B7" w14:textId="77777777"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21.1.7</w:t>
            </w:r>
          </w:p>
        </w:tc>
      </w:tr>
      <w:tr w:rsidR="007F1850" w:rsidRPr="00C73365" w14:paraId="61F2224B"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5701E3B1"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21</w:t>
            </w:r>
          </w:p>
        </w:tc>
        <w:tc>
          <w:tcPr>
            <w:tcW w:w="3165" w:type="pct"/>
            <w:tcBorders>
              <w:top w:val="single" w:sz="4" w:space="0" w:color="auto"/>
              <w:left w:val="single" w:sz="4" w:space="0" w:color="auto"/>
              <w:bottom w:val="single" w:sz="4" w:space="0" w:color="auto"/>
              <w:right w:val="single" w:sz="4" w:space="0" w:color="auto"/>
            </w:tcBorders>
            <w:noWrap/>
            <w:hideMark/>
          </w:tcPr>
          <w:p w14:paraId="7E88DF4E"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Evolution du titre – Risque de variation de cours</w:t>
            </w:r>
          </w:p>
        </w:tc>
        <w:tc>
          <w:tcPr>
            <w:tcW w:w="1616" w:type="pct"/>
            <w:tcBorders>
              <w:top w:val="single" w:sz="4" w:space="0" w:color="auto"/>
              <w:left w:val="single" w:sz="4" w:space="0" w:color="auto"/>
              <w:bottom w:val="single" w:sz="4" w:space="0" w:color="auto"/>
              <w:right w:val="single" w:sz="4" w:space="0" w:color="auto"/>
            </w:tcBorders>
            <w:noWrap/>
            <w:hideMark/>
          </w:tcPr>
          <w:p w14:paraId="63EBA3A7" w14:textId="77777777"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 18.8</w:t>
            </w:r>
          </w:p>
        </w:tc>
      </w:tr>
      <w:tr w:rsidR="007F1850" w:rsidRPr="00C73365" w14:paraId="1A27F2F8"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211A9547"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22</w:t>
            </w:r>
          </w:p>
        </w:tc>
        <w:tc>
          <w:tcPr>
            <w:tcW w:w="3165" w:type="pct"/>
            <w:tcBorders>
              <w:top w:val="single" w:sz="4" w:space="0" w:color="auto"/>
              <w:left w:val="single" w:sz="4" w:space="0" w:color="auto"/>
              <w:bottom w:val="single" w:sz="4" w:space="0" w:color="auto"/>
              <w:right w:val="single" w:sz="4" w:space="0" w:color="auto"/>
            </w:tcBorders>
            <w:noWrap/>
            <w:hideMark/>
          </w:tcPr>
          <w:p w14:paraId="13DD8C34"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Délégations de pouvoirs ou de compétence en matière d’augmentation de capital</w:t>
            </w:r>
          </w:p>
        </w:tc>
        <w:tc>
          <w:tcPr>
            <w:tcW w:w="1616" w:type="pct"/>
            <w:tcBorders>
              <w:top w:val="single" w:sz="4" w:space="0" w:color="auto"/>
              <w:left w:val="single" w:sz="4" w:space="0" w:color="auto"/>
              <w:bottom w:val="single" w:sz="4" w:space="0" w:color="auto"/>
              <w:right w:val="single" w:sz="4" w:space="0" w:color="auto"/>
            </w:tcBorders>
            <w:noWrap/>
            <w:hideMark/>
          </w:tcPr>
          <w:p w14:paraId="35585E57" w14:textId="77777777"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Paragraphe 21.1.5</w:t>
            </w:r>
          </w:p>
        </w:tc>
      </w:tr>
      <w:tr w:rsidR="007F1850" w:rsidRPr="00C73365" w14:paraId="69948011" w14:textId="77777777"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14:paraId="09A0D2E3"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w:t>
            </w:r>
            <w:r w:rsidR="00A5021C"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hideMark/>
          </w:tcPr>
          <w:p w14:paraId="79C70A2E" w14:textId="77777777"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Tableau des résultats des cinq derniers exercices</w:t>
            </w:r>
          </w:p>
        </w:tc>
        <w:tc>
          <w:tcPr>
            <w:tcW w:w="1616" w:type="pct"/>
            <w:tcBorders>
              <w:top w:val="single" w:sz="4" w:space="0" w:color="auto"/>
              <w:left w:val="single" w:sz="4" w:space="0" w:color="auto"/>
              <w:bottom w:val="single" w:sz="4" w:space="0" w:color="auto"/>
              <w:right w:val="single" w:sz="4" w:space="0" w:color="auto"/>
            </w:tcBorders>
            <w:noWrap/>
            <w:hideMark/>
          </w:tcPr>
          <w:p w14:paraId="63DE7DFF" w14:textId="77777777" w:rsidR="007F1850" w:rsidRPr="00C73365" w:rsidRDefault="00820BE1" w:rsidP="007F1850">
            <w:pPr>
              <w:spacing w:line="256" w:lineRule="auto"/>
              <w:jc w:val="center"/>
              <w:rPr>
                <w:rFonts w:asciiTheme="minorHAnsi" w:hAnsiTheme="minorHAnsi" w:cstheme="minorHAnsi"/>
                <w:szCs w:val="20"/>
                <w:lang w:val="fr-FR"/>
              </w:rPr>
            </w:pPr>
            <w:r>
              <w:rPr>
                <w:rFonts w:asciiTheme="minorHAnsi" w:hAnsiTheme="minorHAnsi" w:cstheme="minorHAnsi"/>
                <w:szCs w:val="20"/>
                <w:lang w:val="fr-FR"/>
              </w:rPr>
              <w:t>Section 20.5</w:t>
            </w:r>
          </w:p>
        </w:tc>
      </w:tr>
    </w:tbl>
    <w:p w14:paraId="0102039E" w14:textId="77777777" w:rsidR="007F1850" w:rsidRPr="00C73365" w:rsidRDefault="007F1850" w:rsidP="007F1850">
      <w:pPr>
        <w:pStyle w:val="Corpsdetexte"/>
        <w:rPr>
          <w:rFonts w:asciiTheme="minorHAnsi" w:hAnsiTheme="minorHAnsi" w:cstheme="minorHAnsi"/>
          <w:b/>
          <w:color w:val="7030A0"/>
          <w:lang w:val="fr-FR"/>
        </w:rPr>
      </w:pPr>
    </w:p>
    <w:p w14:paraId="4551660B" w14:textId="77777777" w:rsidR="007F1850" w:rsidRPr="00C73365" w:rsidRDefault="007F1850" w:rsidP="009E5FDD">
      <w:pPr>
        <w:pStyle w:val="ConmainL2"/>
        <w:numPr>
          <w:ilvl w:val="1"/>
          <w:numId w:val="9"/>
        </w:numPr>
        <w:rPr>
          <w:rFonts w:asciiTheme="minorHAnsi" w:hAnsiTheme="minorHAnsi" w:cstheme="minorHAnsi"/>
          <w:sz w:val="22"/>
          <w:lang w:val="fr-FR"/>
        </w:rPr>
      </w:pPr>
      <w:bookmarkStart w:id="1645" w:name="_Toc510548501"/>
      <w:r w:rsidRPr="00C73365">
        <w:rPr>
          <w:rFonts w:asciiTheme="minorHAnsi" w:hAnsiTheme="minorHAnsi" w:cstheme="minorHAnsi"/>
          <w:sz w:val="22"/>
          <w:lang w:val="fr-FR"/>
        </w:rPr>
        <w:t>Table de concordance avec le rapport sur le gouvernement d’entreprise</w:t>
      </w:r>
      <w:bookmarkEnd w:id="16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095"/>
        <w:gridCol w:w="3112"/>
      </w:tblGrid>
      <w:tr w:rsidR="007F1850" w:rsidRPr="00C73365" w14:paraId="14D0CEEF" w14:textId="77777777" w:rsidTr="007F1850">
        <w:trPr>
          <w:trHeight w:val="300"/>
        </w:trPr>
        <w:tc>
          <w:tcPr>
            <w:tcW w:w="3384" w:type="pct"/>
            <w:gridSpan w:val="2"/>
            <w:tcBorders>
              <w:top w:val="single" w:sz="4" w:space="0" w:color="auto"/>
              <w:left w:val="single" w:sz="4" w:space="0" w:color="auto"/>
              <w:bottom w:val="single" w:sz="4" w:space="0" w:color="auto"/>
              <w:right w:val="single" w:sz="4" w:space="0" w:color="auto"/>
            </w:tcBorders>
            <w:noWrap/>
            <w:hideMark/>
          </w:tcPr>
          <w:p w14:paraId="5EC47CD3" w14:textId="77777777"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Rapport sur le gouvernement d’entreprise</w:t>
            </w:r>
          </w:p>
        </w:tc>
        <w:tc>
          <w:tcPr>
            <w:tcW w:w="1616" w:type="pct"/>
            <w:tcBorders>
              <w:top w:val="single" w:sz="4" w:space="0" w:color="auto"/>
              <w:left w:val="single" w:sz="4" w:space="0" w:color="auto"/>
              <w:bottom w:val="single" w:sz="4" w:space="0" w:color="auto"/>
              <w:right w:val="single" w:sz="4" w:space="0" w:color="auto"/>
            </w:tcBorders>
            <w:noWrap/>
            <w:hideMark/>
          </w:tcPr>
          <w:p w14:paraId="32F5A53C" w14:textId="77777777"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14:paraId="7A285BC4"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299F5C06"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619A2AAB"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Composition du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7263CFD0"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Sections 14.1</w:t>
            </w:r>
            <w:r w:rsidRPr="00C73365">
              <w:rPr>
                <w:rFonts w:asciiTheme="minorHAnsi" w:hAnsiTheme="minorHAnsi" w:cstheme="minorHAnsi"/>
                <w:szCs w:val="20"/>
                <w:vertAlign w:val="superscript"/>
                <w:lang w:val="fr-FR"/>
              </w:rPr>
              <w:t xml:space="preserve"> </w:t>
            </w:r>
            <w:r w:rsidRPr="00C73365">
              <w:rPr>
                <w:rFonts w:asciiTheme="minorHAnsi" w:hAnsiTheme="minorHAnsi" w:cstheme="minorHAnsi"/>
                <w:szCs w:val="20"/>
                <w:lang w:val="fr-FR"/>
              </w:rPr>
              <w:t xml:space="preserve">et Paragraphe 16.3.1 </w:t>
            </w:r>
          </w:p>
        </w:tc>
      </w:tr>
      <w:tr w:rsidR="007F1850" w:rsidRPr="00C73365" w14:paraId="1C5E7BEC"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79555C1F"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5ABBFD15"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Missions du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78E8F727"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21.3.2</w:t>
            </w:r>
          </w:p>
        </w:tc>
      </w:tr>
      <w:tr w:rsidR="007F1850" w:rsidRPr="00C73365" w14:paraId="462CE5E8"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6FC4BDCF"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69B2AD6D"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Conditions de préparation et d’organisation des travaux du conseil</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06B418ED"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21.3.2</w:t>
            </w:r>
          </w:p>
        </w:tc>
      </w:tr>
      <w:tr w:rsidR="007F1850" w:rsidRPr="00C73365" w14:paraId="2C3B841C"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437CDCC2"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4</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282DD266"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Compte-rendu de l’activité du conseil au cours de l’exercice 2017</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00ED5752"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16.3.1</w:t>
            </w:r>
          </w:p>
        </w:tc>
      </w:tr>
      <w:tr w:rsidR="007F1850" w:rsidRPr="00C73365" w14:paraId="69F5412C"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0247FD2B"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5</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1EC8152E"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Représentation des femmes et des hommes au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7CE14A88"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14.1.1</w:t>
            </w:r>
          </w:p>
        </w:tc>
      </w:tr>
      <w:tr w:rsidR="007F1850" w:rsidRPr="00C73365" w14:paraId="1ECB715F"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00D21DAA"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6</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17C8ACB8"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Limitations éventuellement apportées par le conseil aux pouvoirs du Directeur Général</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0896DDE6"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Sections 16.2 et 19.2</w:t>
            </w:r>
          </w:p>
        </w:tc>
      </w:tr>
      <w:tr w:rsidR="007F1850" w:rsidRPr="00C73365" w14:paraId="79D0D390"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7DC91D2A"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7</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2770E00A"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Liste des mandats et fonctions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304FA099"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Paragraphes 14.1.1, 14.1.3 et 14.1.4</w:t>
            </w:r>
          </w:p>
        </w:tc>
      </w:tr>
      <w:tr w:rsidR="007F1850" w:rsidRPr="00C73365" w14:paraId="76452AF9"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5B512E2D"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8</w:t>
            </w:r>
          </w:p>
        </w:tc>
        <w:tc>
          <w:tcPr>
            <w:tcW w:w="3165" w:type="pct"/>
            <w:tcBorders>
              <w:top w:val="single" w:sz="4" w:space="0" w:color="auto"/>
              <w:left w:val="nil"/>
              <w:bottom w:val="single" w:sz="4" w:space="0" w:color="auto"/>
              <w:right w:val="single" w:sz="4" w:space="0" w:color="auto"/>
            </w:tcBorders>
            <w:noWrap/>
            <w:vAlign w:val="center"/>
            <w:hideMark/>
          </w:tcPr>
          <w:p w14:paraId="54655FB8"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Comité d’audit</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5015FAD9"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16.3.2</w:t>
            </w:r>
          </w:p>
        </w:tc>
      </w:tr>
      <w:tr w:rsidR="007F1850" w:rsidRPr="00C73365" w14:paraId="75B322DB"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568E91FC"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9</w:t>
            </w:r>
          </w:p>
        </w:tc>
        <w:tc>
          <w:tcPr>
            <w:tcW w:w="3165" w:type="pct"/>
            <w:tcBorders>
              <w:top w:val="single" w:sz="4" w:space="0" w:color="auto"/>
              <w:left w:val="nil"/>
              <w:bottom w:val="single" w:sz="4" w:space="0" w:color="auto"/>
              <w:right w:val="single" w:sz="4" w:space="0" w:color="auto"/>
            </w:tcBorders>
            <w:noWrap/>
            <w:vAlign w:val="center"/>
            <w:hideMark/>
          </w:tcPr>
          <w:p w14:paraId="36835062"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Comité des rémunérations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66AF7F4A"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16.3.2</w:t>
            </w:r>
          </w:p>
        </w:tc>
      </w:tr>
      <w:tr w:rsidR="007F1850" w:rsidRPr="00C73365" w14:paraId="2B03A824"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744D17C1"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65" w:type="pct"/>
            <w:tcBorders>
              <w:top w:val="single" w:sz="4" w:space="0" w:color="auto"/>
              <w:left w:val="nil"/>
              <w:bottom w:val="single" w:sz="4" w:space="0" w:color="auto"/>
              <w:right w:val="single" w:sz="4" w:space="0" w:color="auto"/>
            </w:tcBorders>
            <w:noWrap/>
            <w:vAlign w:val="center"/>
            <w:hideMark/>
          </w:tcPr>
          <w:p w14:paraId="4C952C0B"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Comité scientifique</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11C76F40" w14:textId="77777777" w:rsidR="007F1850" w:rsidRPr="00C73365" w:rsidRDefault="007F1850" w:rsidP="007F1850">
            <w:pPr>
              <w:rPr>
                <w:rFonts w:asciiTheme="minorHAnsi" w:hAnsiTheme="minorHAnsi" w:cstheme="minorHAnsi"/>
                <w:szCs w:val="20"/>
                <w:highlight w:val="yellow"/>
                <w:lang w:val="fr-FR"/>
              </w:rPr>
            </w:pPr>
            <w:r w:rsidRPr="00C73365">
              <w:rPr>
                <w:rFonts w:asciiTheme="minorHAnsi" w:hAnsiTheme="minorHAnsi" w:cstheme="minorHAnsi"/>
                <w:szCs w:val="20"/>
                <w:lang w:val="fr-FR"/>
              </w:rPr>
              <w:t>Paragraphe 16.3.2</w:t>
            </w:r>
          </w:p>
        </w:tc>
      </w:tr>
      <w:tr w:rsidR="007F1850" w:rsidRPr="00C73365" w14:paraId="5052D9EA"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46564844"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65" w:type="pct"/>
            <w:tcBorders>
              <w:top w:val="single" w:sz="4" w:space="0" w:color="auto"/>
              <w:left w:val="nil"/>
              <w:bottom w:val="single" w:sz="4" w:space="0" w:color="auto"/>
              <w:right w:val="single" w:sz="4" w:space="0" w:color="auto"/>
            </w:tcBorders>
            <w:noWrap/>
            <w:vAlign w:val="center"/>
            <w:hideMark/>
          </w:tcPr>
          <w:p w14:paraId="771F34B6"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Code de gouvernement d’entreprise</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03362C6C"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16.4</w:t>
            </w:r>
          </w:p>
        </w:tc>
      </w:tr>
      <w:tr w:rsidR="007F1850" w:rsidRPr="00C73365" w14:paraId="6392801A"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157EC612"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12</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3B8165C6"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Principes et règles qui déterminent la rémunération des mandataires sociaux</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6E2A3079"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15.1</w:t>
            </w:r>
          </w:p>
        </w:tc>
      </w:tr>
      <w:tr w:rsidR="007F1850" w:rsidRPr="00C73365" w14:paraId="5E9A01A6"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06493FE3"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13</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4324A428"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Sommes provisionnées ou constatées par la Société aux fins de versement de pensions, de retraites ou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autres avantages au profit des administrateurs et dirigeants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6FBA7150"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15.2</w:t>
            </w:r>
          </w:p>
        </w:tc>
      </w:tr>
      <w:tr w:rsidR="007F1850" w:rsidRPr="00C73365" w14:paraId="26774CC8"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553E133F"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14</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49753ED7"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Attribution gratuite d’actions, options et bons de souscription d’actions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31F8879C"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15.3 et Paragraphe 21.1.5</w:t>
            </w:r>
          </w:p>
        </w:tc>
      </w:tr>
      <w:tr w:rsidR="007F1850" w:rsidRPr="00C73365" w14:paraId="417D5E71"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49C957B8"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lastRenderedPageBreak/>
              <w:t>15</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4C36F720"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Eléments de rémunérations et avantages dus ou susceptibles d’être dus à raison ou postérieurement à la cessation des fonctions de dirigeants de la Société</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73B352D3"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15.4 et Paragraphe 16.2.1</w:t>
            </w:r>
          </w:p>
        </w:tc>
      </w:tr>
      <w:tr w:rsidR="007F1850" w:rsidRPr="00C73365" w14:paraId="047221D1"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019CDD36"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16</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79DF1105"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Principes généraux en matière de rémunération des dirigeants mandataires sociaux exécutifs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7D9CD3B1"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15.6.1</w:t>
            </w:r>
          </w:p>
        </w:tc>
      </w:tr>
      <w:tr w:rsidR="007F1850" w:rsidRPr="00C73365" w14:paraId="33C36EA8"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298813C9"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17</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646BDD16"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Structure de la rémunération des dirigeants mandataires sociaux exécutifs pour l’année 2018</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190D7162"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15.6.1</w:t>
            </w:r>
          </w:p>
        </w:tc>
      </w:tr>
      <w:tr w:rsidR="007F1850" w:rsidRPr="00C73365" w14:paraId="73909EC1"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14:paraId="6B78E364"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18</w:t>
            </w:r>
          </w:p>
        </w:tc>
        <w:tc>
          <w:tcPr>
            <w:tcW w:w="3165" w:type="pct"/>
            <w:tcBorders>
              <w:top w:val="single" w:sz="4" w:space="0" w:color="auto"/>
              <w:left w:val="single" w:sz="4" w:space="0" w:color="auto"/>
              <w:bottom w:val="single" w:sz="4" w:space="0" w:color="auto"/>
              <w:right w:val="single" w:sz="4" w:space="0" w:color="auto"/>
            </w:tcBorders>
            <w:noWrap/>
            <w:vAlign w:val="center"/>
            <w:hideMark/>
          </w:tcPr>
          <w:p w14:paraId="17B874A8"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Présentation des projets de résolution relatifs aux principes et aux critères de la répartition et de l’attribution des éléments fixes et variables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14:paraId="1A60184A"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Paragraphes 15.6.1 et 15.6.2</w:t>
            </w:r>
          </w:p>
        </w:tc>
      </w:tr>
      <w:tr w:rsidR="007F1850" w:rsidRPr="00C73365" w14:paraId="75A7028B"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0E274415"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19</w:t>
            </w:r>
          </w:p>
        </w:tc>
        <w:tc>
          <w:tcPr>
            <w:tcW w:w="3165" w:type="pct"/>
            <w:tcBorders>
              <w:top w:val="single" w:sz="4" w:space="0" w:color="auto"/>
              <w:left w:val="single" w:sz="4" w:space="0" w:color="auto"/>
              <w:bottom w:val="single" w:sz="4" w:space="0" w:color="auto"/>
              <w:right w:val="single" w:sz="4" w:space="0" w:color="auto"/>
            </w:tcBorders>
            <w:noWrap/>
            <w:vAlign w:val="center"/>
          </w:tcPr>
          <w:p w14:paraId="136B97BF"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Conflits d’intérêts</w:t>
            </w:r>
          </w:p>
        </w:tc>
        <w:tc>
          <w:tcPr>
            <w:tcW w:w="1616" w:type="pct"/>
            <w:tcBorders>
              <w:top w:val="single" w:sz="4" w:space="0" w:color="auto"/>
              <w:left w:val="single" w:sz="4" w:space="0" w:color="auto"/>
              <w:bottom w:val="single" w:sz="4" w:space="0" w:color="auto"/>
              <w:right w:val="single" w:sz="4" w:space="0" w:color="auto"/>
            </w:tcBorders>
            <w:noWrap/>
            <w:vAlign w:val="center"/>
          </w:tcPr>
          <w:p w14:paraId="21A9441E"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14.3</w:t>
            </w:r>
          </w:p>
        </w:tc>
      </w:tr>
      <w:tr w:rsidR="007F1850" w:rsidRPr="00C73365" w14:paraId="69102998"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231991EC"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20</w:t>
            </w:r>
          </w:p>
        </w:tc>
        <w:tc>
          <w:tcPr>
            <w:tcW w:w="3165" w:type="pct"/>
            <w:tcBorders>
              <w:top w:val="single" w:sz="4" w:space="0" w:color="auto"/>
              <w:left w:val="single" w:sz="4" w:space="0" w:color="auto"/>
              <w:bottom w:val="single" w:sz="4" w:space="0" w:color="auto"/>
              <w:right w:val="single" w:sz="4" w:space="0" w:color="auto"/>
            </w:tcBorders>
            <w:noWrap/>
            <w:vAlign w:val="center"/>
          </w:tcPr>
          <w:p w14:paraId="26FFD54A"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Délégations en cours de validité accordées par l’assemblée générale en matière d’augmentation de capital</w:t>
            </w:r>
          </w:p>
        </w:tc>
        <w:tc>
          <w:tcPr>
            <w:tcW w:w="1616" w:type="pct"/>
            <w:tcBorders>
              <w:top w:val="single" w:sz="4" w:space="0" w:color="auto"/>
              <w:left w:val="single" w:sz="4" w:space="0" w:color="auto"/>
              <w:bottom w:val="single" w:sz="4" w:space="0" w:color="auto"/>
              <w:right w:val="single" w:sz="4" w:space="0" w:color="auto"/>
            </w:tcBorders>
            <w:noWrap/>
            <w:vAlign w:val="center"/>
          </w:tcPr>
          <w:p w14:paraId="3FA64775"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21.1.6</w:t>
            </w:r>
          </w:p>
        </w:tc>
      </w:tr>
      <w:tr w:rsidR="007F1850" w:rsidRPr="00C73365" w14:paraId="345DAB18"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2C18A11C"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21</w:t>
            </w:r>
          </w:p>
        </w:tc>
        <w:tc>
          <w:tcPr>
            <w:tcW w:w="3165" w:type="pct"/>
            <w:tcBorders>
              <w:top w:val="single" w:sz="4" w:space="0" w:color="auto"/>
              <w:left w:val="single" w:sz="4" w:space="0" w:color="auto"/>
              <w:bottom w:val="single" w:sz="4" w:space="0" w:color="auto"/>
              <w:right w:val="single" w:sz="4" w:space="0" w:color="auto"/>
            </w:tcBorders>
            <w:noWrap/>
            <w:vAlign w:val="center"/>
          </w:tcPr>
          <w:p w14:paraId="47E9706F"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Participation des actionnaires à l’assemblée générale</w:t>
            </w:r>
          </w:p>
        </w:tc>
        <w:tc>
          <w:tcPr>
            <w:tcW w:w="1616" w:type="pct"/>
            <w:tcBorders>
              <w:top w:val="single" w:sz="4" w:space="0" w:color="auto"/>
              <w:left w:val="single" w:sz="4" w:space="0" w:color="auto"/>
              <w:bottom w:val="single" w:sz="4" w:space="0" w:color="auto"/>
              <w:right w:val="single" w:sz="4" w:space="0" w:color="auto"/>
            </w:tcBorders>
            <w:noWrap/>
            <w:vAlign w:val="center"/>
          </w:tcPr>
          <w:p w14:paraId="618B342E"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21.2.5</w:t>
            </w:r>
          </w:p>
        </w:tc>
      </w:tr>
      <w:tr w:rsidR="007F1850" w:rsidRPr="00C73365" w14:paraId="50ECA6E0"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08797E28"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22</w:t>
            </w:r>
          </w:p>
        </w:tc>
        <w:tc>
          <w:tcPr>
            <w:tcW w:w="3165" w:type="pct"/>
            <w:tcBorders>
              <w:top w:val="single" w:sz="4" w:space="0" w:color="auto"/>
              <w:left w:val="single" w:sz="4" w:space="0" w:color="auto"/>
              <w:bottom w:val="single" w:sz="4" w:space="0" w:color="auto"/>
              <w:right w:val="single" w:sz="4" w:space="0" w:color="auto"/>
            </w:tcBorders>
            <w:noWrap/>
            <w:vAlign w:val="center"/>
          </w:tcPr>
          <w:p w14:paraId="37E96E1E"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Eléments susceptibles d’avoir une incidence en cas d’offre publique</w:t>
            </w:r>
          </w:p>
        </w:tc>
        <w:tc>
          <w:tcPr>
            <w:tcW w:w="1616" w:type="pct"/>
            <w:tcBorders>
              <w:top w:val="single" w:sz="4" w:space="0" w:color="auto"/>
              <w:left w:val="single" w:sz="4" w:space="0" w:color="auto"/>
              <w:bottom w:val="single" w:sz="4" w:space="0" w:color="auto"/>
              <w:right w:val="single" w:sz="4" w:space="0" w:color="auto"/>
            </w:tcBorders>
            <w:noWrap/>
            <w:vAlign w:val="center"/>
          </w:tcPr>
          <w:p w14:paraId="11324779"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21.2</w:t>
            </w:r>
          </w:p>
        </w:tc>
      </w:tr>
      <w:tr w:rsidR="007F1850" w:rsidRPr="00C73365" w14:paraId="4D784C34"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21CAC8E0"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23</w:t>
            </w:r>
          </w:p>
        </w:tc>
        <w:tc>
          <w:tcPr>
            <w:tcW w:w="3165" w:type="pct"/>
            <w:tcBorders>
              <w:top w:val="single" w:sz="4" w:space="0" w:color="auto"/>
              <w:left w:val="single" w:sz="4" w:space="0" w:color="auto"/>
              <w:bottom w:val="single" w:sz="4" w:space="0" w:color="auto"/>
              <w:right w:val="single" w:sz="4" w:space="0" w:color="auto"/>
            </w:tcBorders>
            <w:noWrap/>
            <w:vAlign w:val="center"/>
          </w:tcPr>
          <w:p w14:paraId="7B89099F"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Structure du capital de la société</w:t>
            </w:r>
          </w:p>
        </w:tc>
        <w:tc>
          <w:tcPr>
            <w:tcW w:w="1616" w:type="pct"/>
            <w:tcBorders>
              <w:top w:val="single" w:sz="4" w:space="0" w:color="auto"/>
              <w:left w:val="single" w:sz="4" w:space="0" w:color="auto"/>
              <w:bottom w:val="single" w:sz="4" w:space="0" w:color="auto"/>
              <w:right w:val="single" w:sz="4" w:space="0" w:color="auto"/>
            </w:tcBorders>
            <w:noWrap/>
            <w:vAlign w:val="center"/>
          </w:tcPr>
          <w:p w14:paraId="53430735"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21.2.1</w:t>
            </w:r>
          </w:p>
        </w:tc>
      </w:tr>
      <w:tr w:rsidR="007F1850" w:rsidRPr="00C73365" w14:paraId="6E473395"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1B103977"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24</w:t>
            </w:r>
          </w:p>
        </w:tc>
        <w:tc>
          <w:tcPr>
            <w:tcW w:w="3165" w:type="pct"/>
            <w:tcBorders>
              <w:top w:val="single" w:sz="4" w:space="0" w:color="auto"/>
              <w:left w:val="single" w:sz="4" w:space="0" w:color="auto"/>
              <w:bottom w:val="single" w:sz="4" w:space="0" w:color="auto"/>
              <w:right w:val="single" w:sz="4" w:space="0" w:color="auto"/>
            </w:tcBorders>
            <w:noWrap/>
            <w:vAlign w:val="center"/>
          </w:tcPr>
          <w:p w14:paraId="58794426"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Restrictions statutaires à l’exercice des droits de vote et aux transferts d’actions ou les clauses portées à la connaissance de la société en application de l’article l. 233-11 du code de commerce</w:t>
            </w:r>
          </w:p>
        </w:tc>
        <w:tc>
          <w:tcPr>
            <w:tcW w:w="1616" w:type="pct"/>
            <w:tcBorders>
              <w:top w:val="single" w:sz="4" w:space="0" w:color="auto"/>
              <w:left w:val="single" w:sz="4" w:space="0" w:color="auto"/>
              <w:bottom w:val="single" w:sz="4" w:space="0" w:color="auto"/>
              <w:right w:val="single" w:sz="4" w:space="0" w:color="auto"/>
            </w:tcBorders>
            <w:noWrap/>
            <w:vAlign w:val="center"/>
          </w:tcPr>
          <w:p w14:paraId="3F384F4E"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21.2.2</w:t>
            </w:r>
          </w:p>
        </w:tc>
      </w:tr>
      <w:tr w:rsidR="007F1850" w:rsidRPr="00C73365" w14:paraId="525B7FFC"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3C92C993"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25</w:t>
            </w:r>
          </w:p>
        </w:tc>
        <w:tc>
          <w:tcPr>
            <w:tcW w:w="3165" w:type="pct"/>
            <w:tcBorders>
              <w:top w:val="single" w:sz="4" w:space="0" w:color="auto"/>
              <w:left w:val="single" w:sz="4" w:space="0" w:color="auto"/>
              <w:bottom w:val="single" w:sz="4" w:space="0" w:color="auto"/>
              <w:right w:val="single" w:sz="4" w:space="0" w:color="auto"/>
            </w:tcBorders>
            <w:noWrap/>
            <w:vAlign w:val="center"/>
          </w:tcPr>
          <w:p w14:paraId="664BDC59"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Participations directes ou indirectes dans le capital de la société dont elle a connaissance en vertu des articles l. 233-7 et l. 233-12 du code de commerce</w:t>
            </w:r>
          </w:p>
        </w:tc>
        <w:tc>
          <w:tcPr>
            <w:tcW w:w="1616" w:type="pct"/>
            <w:tcBorders>
              <w:top w:val="single" w:sz="4" w:space="0" w:color="auto"/>
              <w:left w:val="single" w:sz="4" w:space="0" w:color="auto"/>
              <w:bottom w:val="single" w:sz="4" w:space="0" w:color="auto"/>
              <w:right w:val="single" w:sz="4" w:space="0" w:color="auto"/>
            </w:tcBorders>
            <w:noWrap/>
            <w:vAlign w:val="center"/>
          </w:tcPr>
          <w:p w14:paraId="07513B45"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Paragraphe 21.1.3 </w:t>
            </w:r>
          </w:p>
        </w:tc>
      </w:tr>
      <w:tr w:rsidR="007F1850" w:rsidRPr="00C73365" w14:paraId="63D1D00F"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1B49D00C"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26</w:t>
            </w:r>
          </w:p>
        </w:tc>
        <w:tc>
          <w:tcPr>
            <w:tcW w:w="3165" w:type="pct"/>
            <w:tcBorders>
              <w:top w:val="single" w:sz="4" w:space="0" w:color="auto"/>
              <w:left w:val="single" w:sz="4" w:space="0" w:color="auto"/>
              <w:bottom w:val="single" w:sz="4" w:space="0" w:color="auto"/>
              <w:right w:val="single" w:sz="4" w:space="0" w:color="auto"/>
            </w:tcBorders>
            <w:noWrap/>
            <w:vAlign w:val="center"/>
          </w:tcPr>
          <w:p w14:paraId="79BF2C9B"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Liste des détenteurs de tous titres comportant des droits de contrôle spéciaux et description de ceux-ci</w:t>
            </w:r>
          </w:p>
        </w:tc>
        <w:tc>
          <w:tcPr>
            <w:tcW w:w="1616" w:type="pct"/>
            <w:tcBorders>
              <w:top w:val="single" w:sz="4" w:space="0" w:color="auto"/>
              <w:left w:val="single" w:sz="4" w:space="0" w:color="auto"/>
              <w:bottom w:val="single" w:sz="4" w:space="0" w:color="auto"/>
              <w:right w:val="single" w:sz="4" w:space="0" w:color="auto"/>
            </w:tcBorders>
            <w:noWrap/>
            <w:vAlign w:val="center"/>
          </w:tcPr>
          <w:p w14:paraId="361F24C1"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21.2.4</w:t>
            </w:r>
          </w:p>
        </w:tc>
      </w:tr>
      <w:tr w:rsidR="007F1850" w:rsidRPr="00C73365" w14:paraId="3AE97532"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0327C863"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27</w:t>
            </w:r>
          </w:p>
        </w:tc>
        <w:tc>
          <w:tcPr>
            <w:tcW w:w="3165" w:type="pct"/>
            <w:tcBorders>
              <w:top w:val="single" w:sz="4" w:space="0" w:color="auto"/>
              <w:left w:val="single" w:sz="4" w:space="0" w:color="auto"/>
              <w:bottom w:val="single" w:sz="4" w:space="0" w:color="auto"/>
              <w:right w:val="single" w:sz="4" w:space="0" w:color="auto"/>
            </w:tcBorders>
            <w:noWrap/>
            <w:vAlign w:val="center"/>
          </w:tcPr>
          <w:p w14:paraId="283F37E3"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Mécanismes de contrôle prévus dans un éventuel système d’actionnariat du personnel, quand les droits de contrôle ne sont pas exercés par ce dernier</w:t>
            </w:r>
          </w:p>
        </w:tc>
        <w:tc>
          <w:tcPr>
            <w:tcW w:w="1616" w:type="pct"/>
            <w:tcBorders>
              <w:top w:val="single" w:sz="4" w:space="0" w:color="auto"/>
              <w:left w:val="single" w:sz="4" w:space="0" w:color="auto"/>
              <w:bottom w:val="single" w:sz="4" w:space="0" w:color="auto"/>
              <w:right w:val="single" w:sz="4" w:space="0" w:color="auto"/>
            </w:tcBorders>
            <w:noWrap/>
            <w:vAlign w:val="center"/>
          </w:tcPr>
          <w:p w14:paraId="1C4FC29B"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21.2.5</w:t>
            </w:r>
          </w:p>
        </w:tc>
      </w:tr>
      <w:tr w:rsidR="007F1850" w:rsidRPr="00C73365" w14:paraId="79BA7FD8"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2941E48B"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28</w:t>
            </w:r>
          </w:p>
        </w:tc>
        <w:tc>
          <w:tcPr>
            <w:tcW w:w="3165" w:type="pct"/>
            <w:tcBorders>
              <w:top w:val="single" w:sz="4" w:space="0" w:color="auto"/>
              <w:left w:val="single" w:sz="4" w:space="0" w:color="auto"/>
              <w:bottom w:val="single" w:sz="4" w:space="0" w:color="auto"/>
              <w:right w:val="single" w:sz="4" w:space="0" w:color="auto"/>
            </w:tcBorders>
            <w:noWrap/>
            <w:vAlign w:val="center"/>
          </w:tcPr>
          <w:p w14:paraId="5FE9791E"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entre actionnaires dont la société a connaissance qui peuvent entrainer des restrictions au transfert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actions et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des droits de vote</w:t>
            </w:r>
          </w:p>
        </w:tc>
        <w:tc>
          <w:tcPr>
            <w:tcW w:w="1616" w:type="pct"/>
            <w:tcBorders>
              <w:top w:val="single" w:sz="4" w:space="0" w:color="auto"/>
              <w:left w:val="single" w:sz="4" w:space="0" w:color="auto"/>
              <w:bottom w:val="single" w:sz="4" w:space="0" w:color="auto"/>
              <w:right w:val="single" w:sz="4" w:space="0" w:color="auto"/>
            </w:tcBorders>
            <w:noWrap/>
            <w:vAlign w:val="center"/>
          </w:tcPr>
          <w:p w14:paraId="1AD85ED3"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21.2.6</w:t>
            </w:r>
          </w:p>
        </w:tc>
      </w:tr>
      <w:tr w:rsidR="007F1850" w:rsidRPr="00C73365" w14:paraId="4D82D08A"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02C76E58"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29</w:t>
            </w:r>
          </w:p>
        </w:tc>
        <w:tc>
          <w:tcPr>
            <w:tcW w:w="3165" w:type="pct"/>
            <w:tcBorders>
              <w:top w:val="single" w:sz="4" w:space="0" w:color="auto"/>
              <w:left w:val="single" w:sz="4" w:space="0" w:color="auto"/>
              <w:bottom w:val="single" w:sz="4" w:space="0" w:color="auto"/>
              <w:right w:val="single" w:sz="4" w:space="0" w:color="auto"/>
            </w:tcBorders>
            <w:noWrap/>
            <w:vAlign w:val="center"/>
          </w:tcPr>
          <w:p w14:paraId="37E0D699"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Règles applicables à la nomination et au remplacement des membres du conseil d’administration ainsi qu’à la modification des statuts</w:t>
            </w:r>
          </w:p>
        </w:tc>
        <w:tc>
          <w:tcPr>
            <w:tcW w:w="1616" w:type="pct"/>
            <w:tcBorders>
              <w:top w:val="single" w:sz="4" w:space="0" w:color="auto"/>
              <w:left w:val="single" w:sz="4" w:space="0" w:color="auto"/>
              <w:bottom w:val="single" w:sz="4" w:space="0" w:color="auto"/>
              <w:right w:val="single" w:sz="4" w:space="0" w:color="auto"/>
            </w:tcBorders>
            <w:noWrap/>
            <w:vAlign w:val="center"/>
          </w:tcPr>
          <w:p w14:paraId="47958101"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21.2.7</w:t>
            </w:r>
          </w:p>
        </w:tc>
      </w:tr>
      <w:tr w:rsidR="007F1850" w:rsidRPr="00C73365" w14:paraId="4F7CA4CA"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2E871B6C"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30</w:t>
            </w:r>
          </w:p>
        </w:tc>
        <w:tc>
          <w:tcPr>
            <w:tcW w:w="3165" w:type="pct"/>
            <w:tcBorders>
              <w:top w:val="single" w:sz="4" w:space="0" w:color="auto"/>
              <w:left w:val="single" w:sz="4" w:space="0" w:color="auto"/>
              <w:bottom w:val="single" w:sz="4" w:space="0" w:color="auto"/>
              <w:right w:val="single" w:sz="4" w:space="0" w:color="auto"/>
            </w:tcBorders>
            <w:noWrap/>
            <w:vAlign w:val="center"/>
          </w:tcPr>
          <w:p w14:paraId="1033B72F"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Pouvoirs du conseil d’administration, en particulier en ce qui concerne l’émission ou le rachat d’actions</w:t>
            </w:r>
          </w:p>
        </w:tc>
        <w:tc>
          <w:tcPr>
            <w:tcW w:w="1616" w:type="pct"/>
            <w:tcBorders>
              <w:top w:val="single" w:sz="4" w:space="0" w:color="auto"/>
              <w:left w:val="single" w:sz="4" w:space="0" w:color="auto"/>
              <w:bottom w:val="single" w:sz="4" w:space="0" w:color="auto"/>
              <w:right w:val="single" w:sz="4" w:space="0" w:color="auto"/>
            </w:tcBorders>
            <w:noWrap/>
            <w:vAlign w:val="center"/>
          </w:tcPr>
          <w:p w14:paraId="2B073B5A"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21.2.8</w:t>
            </w:r>
          </w:p>
        </w:tc>
      </w:tr>
      <w:tr w:rsidR="007F1850" w:rsidRPr="00C73365" w14:paraId="35BC0E4C"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7BCAC2F4"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31</w:t>
            </w:r>
          </w:p>
        </w:tc>
        <w:tc>
          <w:tcPr>
            <w:tcW w:w="3165" w:type="pct"/>
            <w:tcBorders>
              <w:top w:val="single" w:sz="4" w:space="0" w:color="auto"/>
              <w:left w:val="single" w:sz="4" w:space="0" w:color="auto"/>
              <w:bottom w:val="single" w:sz="4" w:space="0" w:color="auto"/>
              <w:right w:val="single" w:sz="4" w:space="0" w:color="auto"/>
            </w:tcBorders>
            <w:noWrap/>
            <w:vAlign w:val="center"/>
          </w:tcPr>
          <w:p w14:paraId="2CA60839"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conclus par la Société qui sont modifiés ou prennent fin en cas de changement de contrôle de la Société</w:t>
            </w:r>
          </w:p>
        </w:tc>
        <w:tc>
          <w:tcPr>
            <w:tcW w:w="1616" w:type="pct"/>
            <w:tcBorders>
              <w:top w:val="single" w:sz="4" w:space="0" w:color="auto"/>
              <w:left w:val="single" w:sz="4" w:space="0" w:color="auto"/>
              <w:bottom w:val="single" w:sz="4" w:space="0" w:color="auto"/>
              <w:right w:val="single" w:sz="4" w:space="0" w:color="auto"/>
            </w:tcBorders>
            <w:noWrap/>
            <w:vAlign w:val="center"/>
          </w:tcPr>
          <w:p w14:paraId="789636AA"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21.2.9</w:t>
            </w:r>
          </w:p>
        </w:tc>
      </w:tr>
      <w:tr w:rsidR="007F1850" w:rsidRPr="00C73365" w14:paraId="65D3F257" w14:textId="77777777"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14:paraId="0A7D3AE0"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32</w:t>
            </w:r>
          </w:p>
        </w:tc>
        <w:tc>
          <w:tcPr>
            <w:tcW w:w="3165" w:type="pct"/>
            <w:tcBorders>
              <w:top w:val="single" w:sz="4" w:space="0" w:color="auto"/>
              <w:left w:val="single" w:sz="4" w:space="0" w:color="auto"/>
              <w:bottom w:val="single" w:sz="4" w:space="0" w:color="auto"/>
              <w:right w:val="single" w:sz="4" w:space="0" w:color="auto"/>
            </w:tcBorders>
            <w:noWrap/>
            <w:vAlign w:val="center"/>
          </w:tcPr>
          <w:p w14:paraId="01485EDF"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prévoyant des indemnités pour les membres du conseil d’administration ou les salariés, s’ils démissionnent ou sont licenciés sans cause réelle ou sérieuse ou si leur emploi prend fin en raison d’une offre publique</w:t>
            </w:r>
          </w:p>
        </w:tc>
        <w:tc>
          <w:tcPr>
            <w:tcW w:w="1616" w:type="pct"/>
            <w:tcBorders>
              <w:top w:val="single" w:sz="4" w:space="0" w:color="auto"/>
              <w:left w:val="single" w:sz="4" w:space="0" w:color="auto"/>
              <w:bottom w:val="single" w:sz="4" w:space="0" w:color="auto"/>
              <w:right w:val="single" w:sz="4" w:space="0" w:color="auto"/>
            </w:tcBorders>
            <w:noWrap/>
            <w:vAlign w:val="center"/>
          </w:tcPr>
          <w:p w14:paraId="506C4D07" w14:textId="77777777"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16.2 et 19.2</w:t>
            </w:r>
          </w:p>
        </w:tc>
      </w:tr>
    </w:tbl>
    <w:p w14:paraId="0F04CF05" w14:textId="77777777" w:rsidR="007F1850" w:rsidRPr="00C73365" w:rsidRDefault="007F1850" w:rsidP="007F1850">
      <w:pPr>
        <w:pStyle w:val="Corpsdetexte"/>
        <w:rPr>
          <w:rFonts w:asciiTheme="minorHAnsi" w:hAnsiTheme="minorHAnsi" w:cstheme="minorHAnsi"/>
          <w:b/>
          <w:color w:val="7030A0"/>
          <w:lang w:val="fr-FR"/>
        </w:rPr>
      </w:pPr>
    </w:p>
    <w:p w14:paraId="4686BD5F" w14:textId="77777777" w:rsidR="00F46C7B" w:rsidRPr="00C73365" w:rsidRDefault="00F46C7B" w:rsidP="00A96CCA">
      <w:pPr>
        <w:spacing w:after="0"/>
        <w:rPr>
          <w:rFonts w:asciiTheme="minorHAnsi" w:hAnsiTheme="minorHAnsi" w:cstheme="minorHAnsi"/>
          <w:lang w:val="fr-FR"/>
        </w:rPr>
      </w:pPr>
    </w:p>
    <w:p w14:paraId="3A1BB516" w14:textId="77777777" w:rsidR="00F46C7B" w:rsidRPr="00C73365" w:rsidRDefault="00F46C7B" w:rsidP="00A96CCA">
      <w:pPr>
        <w:spacing w:after="0"/>
        <w:rPr>
          <w:rFonts w:asciiTheme="minorHAnsi" w:hAnsiTheme="minorHAnsi" w:cstheme="minorHAnsi"/>
          <w:lang w:val="fr-FR"/>
        </w:rPr>
      </w:pPr>
    </w:p>
    <w:p w14:paraId="53FEE315" w14:textId="77777777" w:rsidR="00F46C7B" w:rsidRPr="00C73365" w:rsidRDefault="00F46C7B" w:rsidP="00A96CCA">
      <w:pPr>
        <w:spacing w:after="0"/>
        <w:rPr>
          <w:rFonts w:asciiTheme="minorHAnsi" w:hAnsiTheme="minorHAnsi" w:cstheme="minorHAnsi"/>
          <w:lang w:val="fr-FR"/>
        </w:rPr>
      </w:pPr>
    </w:p>
    <w:p w14:paraId="745A9184" w14:textId="77777777" w:rsidR="00F46C7B" w:rsidRPr="00C73365" w:rsidRDefault="00F46C7B" w:rsidP="00A96CCA">
      <w:pPr>
        <w:spacing w:after="0"/>
        <w:rPr>
          <w:rFonts w:asciiTheme="minorHAnsi" w:hAnsiTheme="minorHAnsi" w:cstheme="minorHAnsi"/>
          <w:lang w:val="fr-FR"/>
        </w:rPr>
        <w:sectPr w:rsidR="00F46C7B" w:rsidRPr="00C73365" w:rsidSect="007C607C">
          <w:headerReference w:type="even" r:id="rId94"/>
          <w:footerReference w:type="even" r:id="rId95"/>
          <w:footerReference w:type="default" r:id="rId96"/>
          <w:pgSz w:w="11907" w:h="16840" w:code="9"/>
          <w:pgMar w:top="1134" w:right="1134" w:bottom="1134" w:left="1134" w:header="709" w:footer="709" w:gutter="0"/>
          <w:cols w:space="708"/>
          <w:docGrid w:linePitch="360"/>
        </w:sectPr>
      </w:pPr>
      <w:r w:rsidRPr="00C73365">
        <w:rPr>
          <w:rFonts w:asciiTheme="minorHAnsi" w:hAnsiTheme="minorHAnsi" w:cstheme="minorHAnsi"/>
          <w:lang w:val="fr-FR"/>
        </w:rPr>
        <w:br w:type="page"/>
      </w:r>
    </w:p>
    <w:p w14:paraId="518D5C94" w14:textId="77777777" w:rsidR="00F46C7B" w:rsidRPr="00C73365" w:rsidRDefault="00F46C7B" w:rsidP="00A96CCA">
      <w:pPr>
        <w:spacing w:after="0"/>
        <w:rPr>
          <w:rFonts w:asciiTheme="minorHAnsi" w:hAnsiTheme="minorHAnsi" w:cstheme="minorHAnsi"/>
          <w:lang w:val="fr-FR"/>
        </w:rPr>
      </w:pPr>
    </w:p>
    <w:p w14:paraId="37257BB3" w14:textId="77777777" w:rsidR="00F46C7B" w:rsidRPr="00C73365" w:rsidRDefault="00F46C7B" w:rsidP="00A96CCA">
      <w:pPr>
        <w:spacing w:after="0"/>
        <w:rPr>
          <w:rFonts w:asciiTheme="minorHAnsi" w:hAnsiTheme="minorHAnsi" w:cstheme="minorHAnsi"/>
          <w:lang w:val="fr-FR"/>
        </w:rPr>
      </w:pPr>
    </w:p>
    <w:p w14:paraId="34074504" w14:textId="77777777" w:rsidR="00F46C7B" w:rsidRPr="00C73365" w:rsidRDefault="00F46C7B" w:rsidP="00A96CCA">
      <w:pPr>
        <w:spacing w:after="0"/>
        <w:rPr>
          <w:rFonts w:asciiTheme="minorHAnsi" w:hAnsiTheme="minorHAnsi" w:cstheme="minorHAnsi"/>
          <w:lang w:val="fr-FR"/>
        </w:rPr>
      </w:pPr>
      <w:r w:rsidRPr="00C73365">
        <w:rPr>
          <w:rFonts w:asciiTheme="minorHAnsi" w:hAnsiTheme="minorHAnsi" w:cstheme="minorHAnsi"/>
          <w:noProof/>
          <w:lang w:val="fr-FR" w:eastAsia="fr-FR"/>
        </w:rPr>
        <w:t xml:space="preserve"> </w:t>
      </w:r>
    </w:p>
    <w:p w14:paraId="15EF6CC4" w14:textId="77777777" w:rsidR="00F46C7B" w:rsidRPr="00C73365" w:rsidRDefault="00F46C7B" w:rsidP="00A96CCA">
      <w:pPr>
        <w:spacing w:after="0"/>
        <w:rPr>
          <w:rFonts w:asciiTheme="minorHAnsi" w:hAnsiTheme="minorHAnsi" w:cstheme="minorHAnsi"/>
          <w:lang w:val="fr-FR"/>
        </w:rPr>
      </w:pPr>
    </w:p>
    <w:p w14:paraId="1D2C6B87" w14:textId="77777777" w:rsidR="00F46C7B" w:rsidRPr="00C73365" w:rsidRDefault="00F46C7B" w:rsidP="00A96CCA">
      <w:pPr>
        <w:spacing w:after="0"/>
        <w:rPr>
          <w:rFonts w:asciiTheme="minorHAnsi" w:hAnsiTheme="minorHAnsi" w:cstheme="minorHAnsi"/>
          <w:lang w:val="fr-FR"/>
        </w:rPr>
      </w:pPr>
    </w:p>
    <w:p w14:paraId="4C25E918" w14:textId="77777777" w:rsidR="00F46C7B" w:rsidRPr="00C73365" w:rsidRDefault="00F46C7B" w:rsidP="00A96CCA">
      <w:pPr>
        <w:spacing w:after="0"/>
        <w:rPr>
          <w:rFonts w:asciiTheme="minorHAnsi" w:hAnsiTheme="minorHAnsi" w:cstheme="minorHAnsi"/>
          <w:lang w:val="fr-FR"/>
        </w:rPr>
      </w:pPr>
    </w:p>
    <w:p w14:paraId="656C0965" w14:textId="77777777" w:rsidR="00F46C7B" w:rsidRPr="00C73365" w:rsidRDefault="00F46C7B" w:rsidP="00A96CCA">
      <w:pPr>
        <w:spacing w:after="0"/>
        <w:rPr>
          <w:rFonts w:asciiTheme="minorHAnsi" w:hAnsiTheme="minorHAnsi" w:cstheme="minorHAnsi"/>
          <w:lang w:val="fr-FR"/>
        </w:rPr>
      </w:pPr>
    </w:p>
    <w:p w14:paraId="7CB1530F" w14:textId="77777777" w:rsidR="00F46C7B" w:rsidRPr="00C73365" w:rsidRDefault="00F46C7B" w:rsidP="00A96CCA">
      <w:pPr>
        <w:tabs>
          <w:tab w:val="left" w:pos="2326"/>
        </w:tabs>
        <w:spacing w:after="0"/>
        <w:rPr>
          <w:rFonts w:asciiTheme="minorHAnsi" w:hAnsiTheme="minorHAnsi" w:cstheme="minorHAnsi"/>
          <w:lang w:val="fr-FR"/>
        </w:rPr>
      </w:pPr>
      <w:r w:rsidRPr="00C73365">
        <w:rPr>
          <w:rFonts w:asciiTheme="minorHAnsi" w:hAnsiTheme="minorHAnsi" w:cstheme="minorHAnsi"/>
          <w:lang w:val="fr-FR"/>
        </w:rPr>
        <w:tab/>
      </w:r>
    </w:p>
    <w:p w14:paraId="39CC71D1" w14:textId="77777777" w:rsidR="00F46C7B" w:rsidRPr="00C73365" w:rsidRDefault="00F46C7B" w:rsidP="00A96CCA">
      <w:pPr>
        <w:spacing w:after="0"/>
        <w:rPr>
          <w:rFonts w:asciiTheme="minorHAnsi" w:hAnsiTheme="minorHAnsi" w:cstheme="minorHAnsi"/>
          <w:lang w:val="fr-FR"/>
        </w:rPr>
      </w:pPr>
    </w:p>
    <w:p w14:paraId="73373311" w14:textId="77777777" w:rsidR="00F46C7B" w:rsidRPr="00C73365" w:rsidRDefault="00F46C7B" w:rsidP="00A96CCA">
      <w:pPr>
        <w:spacing w:after="0"/>
        <w:jc w:val="center"/>
        <w:rPr>
          <w:rFonts w:asciiTheme="minorHAnsi" w:hAnsiTheme="minorHAnsi" w:cstheme="minorHAnsi"/>
          <w:lang w:val="fr-FR"/>
        </w:rPr>
      </w:pPr>
    </w:p>
    <w:p w14:paraId="27AF12B5" w14:textId="77777777" w:rsidR="00F46C7B" w:rsidRPr="00C73365" w:rsidRDefault="00F46C7B" w:rsidP="00A96CCA">
      <w:pPr>
        <w:spacing w:after="0"/>
        <w:jc w:val="center"/>
        <w:rPr>
          <w:rFonts w:asciiTheme="minorHAnsi" w:hAnsiTheme="minorHAnsi" w:cstheme="minorHAnsi"/>
          <w:lang w:val="fr-FR"/>
        </w:rPr>
      </w:pPr>
    </w:p>
    <w:p w14:paraId="026D633A" w14:textId="77777777" w:rsidR="00F46C7B" w:rsidRPr="00C73365" w:rsidRDefault="00F46C7B" w:rsidP="00A96CCA">
      <w:pPr>
        <w:spacing w:after="0"/>
        <w:jc w:val="center"/>
        <w:rPr>
          <w:rFonts w:asciiTheme="minorHAnsi" w:hAnsiTheme="minorHAnsi" w:cstheme="minorHAnsi"/>
          <w:lang w:val="fr-FR"/>
        </w:rPr>
      </w:pPr>
    </w:p>
    <w:p w14:paraId="398467C3" w14:textId="77777777" w:rsidR="00F46C7B" w:rsidRPr="00C73365" w:rsidRDefault="00F46C7B" w:rsidP="00A96CCA">
      <w:pPr>
        <w:spacing w:after="0"/>
        <w:jc w:val="center"/>
        <w:rPr>
          <w:rFonts w:asciiTheme="minorHAnsi" w:hAnsiTheme="minorHAnsi" w:cstheme="minorHAnsi"/>
          <w:lang w:val="fr-FR"/>
        </w:rPr>
      </w:pPr>
    </w:p>
    <w:p w14:paraId="278D6675" w14:textId="77777777" w:rsidR="00F46C7B" w:rsidRPr="00C73365" w:rsidRDefault="00F46C7B" w:rsidP="00A96CCA">
      <w:pPr>
        <w:spacing w:after="0"/>
        <w:jc w:val="center"/>
        <w:rPr>
          <w:rFonts w:asciiTheme="minorHAnsi" w:hAnsiTheme="minorHAnsi" w:cstheme="minorHAnsi"/>
          <w:lang w:val="fr-FR"/>
        </w:rPr>
      </w:pPr>
    </w:p>
    <w:p w14:paraId="76A04CF9" w14:textId="77777777" w:rsidR="00F46C7B" w:rsidRPr="00C73365" w:rsidRDefault="00F46C7B" w:rsidP="00A96CCA">
      <w:pPr>
        <w:spacing w:after="0"/>
        <w:jc w:val="center"/>
        <w:rPr>
          <w:rFonts w:asciiTheme="minorHAnsi" w:hAnsiTheme="minorHAnsi" w:cstheme="minorHAnsi"/>
          <w:lang w:val="fr-FR"/>
        </w:rPr>
      </w:pPr>
    </w:p>
    <w:p w14:paraId="7EB5EEAE" w14:textId="77777777" w:rsidR="00F46C7B" w:rsidRPr="00C73365" w:rsidRDefault="00F46C7B" w:rsidP="00A96CCA">
      <w:pPr>
        <w:spacing w:after="0"/>
        <w:jc w:val="center"/>
        <w:rPr>
          <w:rFonts w:asciiTheme="minorHAnsi" w:hAnsiTheme="minorHAnsi" w:cstheme="minorHAnsi"/>
          <w:lang w:val="fr-FR"/>
        </w:rPr>
      </w:pPr>
    </w:p>
    <w:p w14:paraId="24927DBA" w14:textId="77777777" w:rsidR="00F46C7B" w:rsidRPr="00C73365" w:rsidRDefault="00F46C7B" w:rsidP="00A96CCA">
      <w:pPr>
        <w:spacing w:after="0"/>
        <w:jc w:val="center"/>
        <w:rPr>
          <w:rFonts w:asciiTheme="minorHAnsi" w:hAnsiTheme="minorHAnsi" w:cstheme="minorHAnsi"/>
          <w:lang w:val="fr-FR"/>
        </w:rPr>
      </w:pPr>
    </w:p>
    <w:p w14:paraId="22EE0D6E" w14:textId="77777777" w:rsidR="00F46C7B" w:rsidRPr="00C73365" w:rsidRDefault="00F46C7B" w:rsidP="00A96CCA">
      <w:pPr>
        <w:spacing w:after="0"/>
        <w:jc w:val="center"/>
        <w:rPr>
          <w:rFonts w:asciiTheme="minorHAnsi" w:hAnsiTheme="minorHAnsi" w:cstheme="minorHAnsi"/>
          <w:lang w:val="fr-FR"/>
        </w:rPr>
      </w:pPr>
    </w:p>
    <w:p w14:paraId="21860C08" w14:textId="77777777" w:rsidR="00F46C7B" w:rsidRPr="00C73365" w:rsidRDefault="00F46C7B" w:rsidP="00A96CCA">
      <w:pPr>
        <w:spacing w:after="0"/>
        <w:jc w:val="center"/>
        <w:rPr>
          <w:rFonts w:asciiTheme="minorHAnsi" w:hAnsiTheme="minorHAnsi" w:cstheme="minorHAnsi"/>
          <w:lang w:val="fr-FR"/>
        </w:rPr>
      </w:pPr>
    </w:p>
    <w:p w14:paraId="2E8844EE" w14:textId="77777777" w:rsidR="00F46C7B" w:rsidRPr="00C73365" w:rsidRDefault="00F46C7B" w:rsidP="00A96CCA">
      <w:pPr>
        <w:spacing w:after="0"/>
        <w:jc w:val="center"/>
        <w:rPr>
          <w:rFonts w:asciiTheme="minorHAnsi" w:hAnsiTheme="minorHAnsi" w:cstheme="minorHAnsi"/>
          <w:lang w:val="fr-FR"/>
        </w:rPr>
      </w:pPr>
    </w:p>
    <w:p w14:paraId="3CC936E0" w14:textId="77777777" w:rsidR="00F46C7B" w:rsidRPr="00C73365" w:rsidRDefault="00F46C7B" w:rsidP="00A96CCA">
      <w:pPr>
        <w:spacing w:after="0"/>
        <w:jc w:val="center"/>
        <w:rPr>
          <w:rFonts w:asciiTheme="minorHAnsi" w:hAnsiTheme="minorHAnsi" w:cstheme="minorHAnsi"/>
          <w:lang w:val="fr-FR"/>
        </w:rPr>
      </w:pPr>
    </w:p>
    <w:p w14:paraId="0E4B161B" w14:textId="77777777" w:rsidR="00F46C7B" w:rsidRPr="00C73365" w:rsidRDefault="00F46C7B" w:rsidP="00A96CCA">
      <w:pPr>
        <w:spacing w:after="0"/>
        <w:jc w:val="center"/>
        <w:rPr>
          <w:rFonts w:asciiTheme="minorHAnsi" w:hAnsiTheme="minorHAnsi" w:cstheme="minorHAnsi"/>
          <w:lang w:val="fr-FR"/>
        </w:rPr>
      </w:pPr>
    </w:p>
    <w:p w14:paraId="719BBE68" w14:textId="77777777" w:rsidR="00F46C7B" w:rsidRPr="00C73365" w:rsidRDefault="00F46C7B" w:rsidP="00A96CCA">
      <w:pPr>
        <w:spacing w:after="0"/>
        <w:jc w:val="center"/>
        <w:rPr>
          <w:rFonts w:asciiTheme="minorHAnsi" w:hAnsiTheme="minorHAnsi" w:cstheme="minorHAnsi"/>
          <w:lang w:val="fr-FR"/>
        </w:rPr>
      </w:pPr>
    </w:p>
    <w:p w14:paraId="7EE4893F" w14:textId="77777777" w:rsidR="00F46C7B" w:rsidRPr="00C73365" w:rsidRDefault="00F46C7B" w:rsidP="00A96CCA">
      <w:pPr>
        <w:spacing w:after="0"/>
        <w:jc w:val="center"/>
        <w:rPr>
          <w:rFonts w:asciiTheme="minorHAnsi" w:hAnsiTheme="minorHAnsi" w:cstheme="minorHAnsi"/>
          <w:lang w:val="fr-FR"/>
        </w:rPr>
      </w:pPr>
    </w:p>
    <w:p w14:paraId="207244A1" w14:textId="77777777" w:rsidR="00F46C7B" w:rsidRPr="00C73365" w:rsidRDefault="00F46C7B" w:rsidP="00A96CCA">
      <w:pPr>
        <w:spacing w:after="0"/>
        <w:jc w:val="center"/>
        <w:rPr>
          <w:rFonts w:asciiTheme="minorHAnsi" w:hAnsiTheme="minorHAnsi" w:cstheme="minorHAnsi"/>
          <w:lang w:val="fr-FR"/>
        </w:rPr>
      </w:pPr>
    </w:p>
    <w:p w14:paraId="5ABF8903" w14:textId="77777777" w:rsidR="00F46C7B" w:rsidRPr="00C73365" w:rsidRDefault="00F46C7B" w:rsidP="00A96CCA">
      <w:pPr>
        <w:spacing w:after="0"/>
        <w:jc w:val="center"/>
        <w:rPr>
          <w:rFonts w:asciiTheme="minorHAnsi" w:hAnsiTheme="minorHAnsi" w:cstheme="minorHAnsi"/>
          <w:lang w:val="fr-FR"/>
        </w:rPr>
      </w:pPr>
    </w:p>
    <w:p w14:paraId="00F81E99" w14:textId="77777777" w:rsidR="00F46C7B" w:rsidRPr="00C73365" w:rsidRDefault="00F46C7B" w:rsidP="00A96CCA">
      <w:pPr>
        <w:spacing w:after="0"/>
        <w:jc w:val="center"/>
        <w:rPr>
          <w:rFonts w:asciiTheme="minorHAnsi" w:hAnsiTheme="minorHAnsi" w:cstheme="minorHAnsi"/>
          <w:lang w:val="fr-FR"/>
        </w:rPr>
      </w:pPr>
    </w:p>
    <w:p w14:paraId="49BA7347" w14:textId="77777777" w:rsidR="00F46C7B" w:rsidRPr="00C73365" w:rsidRDefault="00F46C7B" w:rsidP="00A96CCA">
      <w:pPr>
        <w:spacing w:after="0"/>
        <w:jc w:val="center"/>
        <w:rPr>
          <w:rFonts w:asciiTheme="minorHAnsi" w:hAnsiTheme="minorHAnsi" w:cstheme="minorHAnsi"/>
          <w:lang w:val="fr-FR"/>
        </w:rPr>
      </w:pPr>
    </w:p>
    <w:p w14:paraId="10E53E44" w14:textId="77777777" w:rsidR="00F46C7B" w:rsidRPr="00C73365" w:rsidRDefault="00F46C7B" w:rsidP="00A96CCA">
      <w:pPr>
        <w:spacing w:after="0"/>
        <w:jc w:val="center"/>
        <w:rPr>
          <w:rFonts w:asciiTheme="minorHAnsi" w:hAnsiTheme="minorHAnsi" w:cstheme="minorHAnsi"/>
          <w:lang w:val="fr-FR"/>
        </w:rPr>
      </w:pPr>
    </w:p>
    <w:p w14:paraId="459282FB" w14:textId="77777777" w:rsidR="00F46C7B" w:rsidRPr="00C73365" w:rsidRDefault="00F46C7B" w:rsidP="00A96CCA">
      <w:pPr>
        <w:spacing w:after="0"/>
        <w:jc w:val="center"/>
        <w:rPr>
          <w:rFonts w:asciiTheme="minorHAnsi" w:hAnsiTheme="minorHAnsi" w:cstheme="minorHAnsi"/>
          <w:lang w:val="fr-FR"/>
        </w:rPr>
      </w:pPr>
    </w:p>
    <w:p w14:paraId="20B7AD94" w14:textId="77777777" w:rsidR="00F46C7B" w:rsidRPr="00C73365" w:rsidRDefault="00F46C7B" w:rsidP="00A96CCA">
      <w:pPr>
        <w:spacing w:after="0"/>
        <w:jc w:val="center"/>
        <w:rPr>
          <w:rFonts w:asciiTheme="minorHAnsi" w:hAnsiTheme="minorHAnsi" w:cstheme="minorHAnsi"/>
          <w:lang w:val="fr-FR"/>
        </w:rPr>
      </w:pPr>
    </w:p>
    <w:p w14:paraId="418ACACD" w14:textId="77777777" w:rsidR="00F46C7B" w:rsidRPr="00C73365" w:rsidRDefault="00F46C7B" w:rsidP="00A96CCA">
      <w:pPr>
        <w:spacing w:after="0"/>
        <w:jc w:val="center"/>
        <w:rPr>
          <w:rFonts w:asciiTheme="minorHAnsi" w:hAnsiTheme="minorHAnsi" w:cstheme="minorHAnsi"/>
          <w:lang w:val="fr-FR"/>
        </w:rPr>
      </w:pPr>
    </w:p>
    <w:p w14:paraId="0492F19E" w14:textId="77777777" w:rsidR="00F46C7B" w:rsidRPr="00C73365" w:rsidRDefault="00F46C7B" w:rsidP="00A96CCA">
      <w:pPr>
        <w:spacing w:after="0"/>
        <w:jc w:val="center"/>
        <w:rPr>
          <w:rFonts w:asciiTheme="minorHAnsi" w:hAnsiTheme="minorHAnsi" w:cstheme="minorHAnsi"/>
          <w:lang w:val="fr-FR"/>
        </w:rPr>
      </w:pPr>
    </w:p>
    <w:p w14:paraId="144BF765" w14:textId="77777777" w:rsidR="00F46C7B" w:rsidRPr="00C73365" w:rsidRDefault="00F46C7B" w:rsidP="00A96CCA">
      <w:pPr>
        <w:spacing w:after="0"/>
        <w:jc w:val="center"/>
        <w:rPr>
          <w:rFonts w:asciiTheme="minorHAnsi" w:hAnsiTheme="minorHAnsi" w:cstheme="minorHAnsi"/>
          <w:lang w:val="fr-FR"/>
        </w:rPr>
      </w:pPr>
    </w:p>
    <w:p w14:paraId="415E8B9F" w14:textId="77777777" w:rsidR="00F46C7B" w:rsidRPr="00C73365" w:rsidRDefault="00F46C7B" w:rsidP="00A96CCA">
      <w:pPr>
        <w:spacing w:after="0"/>
        <w:jc w:val="center"/>
        <w:rPr>
          <w:rFonts w:asciiTheme="minorHAnsi" w:hAnsiTheme="minorHAnsi" w:cstheme="minorHAnsi"/>
          <w:lang w:val="fr-FR"/>
        </w:rPr>
      </w:pPr>
    </w:p>
    <w:p w14:paraId="631F39DC" w14:textId="77777777" w:rsidR="00F46C7B" w:rsidRPr="00C73365" w:rsidRDefault="00F46C7B" w:rsidP="00A96CCA">
      <w:pPr>
        <w:spacing w:after="0"/>
        <w:jc w:val="center"/>
        <w:rPr>
          <w:rFonts w:asciiTheme="minorHAnsi" w:hAnsiTheme="minorHAnsi" w:cstheme="minorHAnsi"/>
          <w:lang w:val="fr-FR"/>
        </w:rPr>
      </w:pPr>
    </w:p>
    <w:p w14:paraId="3FFBAABA" w14:textId="77777777" w:rsidR="00F46C7B" w:rsidRPr="00C73365" w:rsidRDefault="00F46C7B" w:rsidP="00A96CCA">
      <w:pPr>
        <w:spacing w:after="0"/>
        <w:jc w:val="center"/>
        <w:rPr>
          <w:rFonts w:asciiTheme="minorHAnsi" w:hAnsiTheme="minorHAnsi" w:cstheme="minorHAnsi"/>
          <w:lang w:val="fr-FR"/>
        </w:rPr>
      </w:pPr>
    </w:p>
    <w:p w14:paraId="34D17A70" w14:textId="77777777" w:rsidR="00F46C7B" w:rsidRPr="00C73365" w:rsidRDefault="00F46C7B" w:rsidP="00A96CCA">
      <w:pPr>
        <w:spacing w:after="0"/>
        <w:jc w:val="center"/>
        <w:rPr>
          <w:rFonts w:asciiTheme="minorHAnsi" w:hAnsiTheme="minorHAnsi" w:cstheme="minorHAnsi"/>
          <w:lang w:val="fr-FR"/>
        </w:rPr>
      </w:pPr>
    </w:p>
    <w:p w14:paraId="6352DE7F" w14:textId="77777777" w:rsidR="00F46C7B" w:rsidRPr="00C73365" w:rsidRDefault="00F46C7B" w:rsidP="00A96CCA">
      <w:pPr>
        <w:spacing w:after="0"/>
        <w:jc w:val="center"/>
        <w:rPr>
          <w:rFonts w:asciiTheme="minorHAnsi" w:hAnsiTheme="minorHAnsi" w:cstheme="minorHAnsi"/>
          <w:lang w:val="fr-FR"/>
        </w:rPr>
      </w:pPr>
    </w:p>
    <w:p w14:paraId="7D2E96BC" w14:textId="77777777" w:rsidR="00F46C7B" w:rsidRPr="00C73365" w:rsidRDefault="00F46C7B" w:rsidP="00A96CCA">
      <w:pPr>
        <w:spacing w:after="0"/>
        <w:jc w:val="center"/>
        <w:rPr>
          <w:rFonts w:asciiTheme="minorHAnsi" w:hAnsiTheme="minorHAnsi" w:cstheme="minorHAnsi"/>
          <w:lang w:val="fr-FR"/>
        </w:rPr>
      </w:pPr>
    </w:p>
    <w:p w14:paraId="7F599A03" w14:textId="77777777" w:rsidR="00F46C7B" w:rsidRPr="00C73365" w:rsidRDefault="00F46C7B" w:rsidP="00A96CCA">
      <w:pPr>
        <w:spacing w:after="0"/>
        <w:jc w:val="center"/>
        <w:rPr>
          <w:rFonts w:asciiTheme="minorHAnsi" w:hAnsiTheme="minorHAnsi" w:cstheme="minorHAnsi"/>
          <w:lang w:val="fr-FR"/>
        </w:rPr>
      </w:pPr>
    </w:p>
    <w:p w14:paraId="2B765EB3" w14:textId="77777777" w:rsidR="00F46C7B" w:rsidRPr="00C73365" w:rsidRDefault="00F46C7B" w:rsidP="00A96CCA">
      <w:pPr>
        <w:spacing w:after="0"/>
        <w:jc w:val="center"/>
        <w:rPr>
          <w:rFonts w:asciiTheme="minorHAnsi" w:hAnsiTheme="minorHAnsi" w:cstheme="minorHAnsi"/>
          <w:lang w:val="fr-FR"/>
        </w:rPr>
      </w:pPr>
    </w:p>
    <w:p w14:paraId="771BCB5F" w14:textId="77777777" w:rsidR="00F46C7B" w:rsidRPr="00C73365" w:rsidRDefault="00F46C7B" w:rsidP="00A96CCA">
      <w:pPr>
        <w:spacing w:after="0"/>
        <w:jc w:val="center"/>
        <w:rPr>
          <w:rFonts w:asciiTheme="minorHAnsi" w:hAnsiTheme="minorHAnsi" w:cstheme="minorHAnsi"/>
          <w:lang w:val="fr-FR"/>
        </w:rPr>
      </w:pPr>
    </w:p>
    <w:p w14:paraId="0055ED42" w14:textId="77777777" w:rsidR="00F46C7B" w:rsidRPr="00C73365" w:rsidRDefault="00F46C7B" w:rsidP="00A96CCA">
      <w:pPr>
        <w:spacing w:after="0"/>
        <w:jc w:val="center"/>
        <w:rPr>
          <w:rFonts w:asciiTheme="minorHAnsi" w:hAnsiTheme="minorHAnsi" w:cstheme="minorHAnsi"/>
          <w:color w:val="7030A0"/>
          <w:sz w:val="28"/>
          <w:lang w:val="fr-FR"/>
        </w:rPr>
      </w:pPr>
      <w:r w:rsidRPr="00C73365">
        <w:rPr>
          <w:rFonts w:asciiTheme="minorHAnsi" w:hAnsiTheme="minorHAnsi" w:cstheme="minorHAnsi"/>
          <w:b/>
          <w:bCs/>
          <w:noProof/>
          <w:sz w:val="56"/>
          <w:szCs w:val="44"/>
          <w:lang w:val="fr-FR" w:eastAsia="fr-FR"/>
        </w:rPr>
        <w:drawing>
          <wp:inline distT="0" distB="0" distL="0" distR="0" wp14:anchorId="04128B4F" wp14:editId="56770AF9">
            <wp:extent cx="2105499" cy="464616"/>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bivax_coul.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16304" cy="467000"/>
                    </a:xfrm>
                    <a:prstGeom prst="rect">
                      <a:avLst/>
                    </a:prstGeom>
                  </pic:spPr>
                </pic:pic>
              </a:graphicData>
            </a:graphic>
          </wp:inline>
        </w:drawing>
      </w:r>
    </w:p>
    <w:p w14:paraId="7B7BA642" w14:textId="77777777" w:rsidR="00F46C7B" w:rsidRPr="00C73365" w:rsidRDefault="00F46C7B" w:rsidP="00A96CCA">
      <w:pPr>
        <w:spacing w:after="0"/>
        <w:jc w:val="center"/>
        <w:rPr>
          <w:rFonts w:asciiTheme="minorHAnsi" w:hAnsiTheme="minorHAnsi" w:cstheme="minorHAnsi"/>
          <w:color w:val="7030A0"/>
          <w:sz w:val="28"/>
          <w:lang w:val="fr-FR"/>
        </w:rPr>
      </w:pPr>
    </w:p>
    <w:p w14:paraId="51A63567" w14:textId="77777777" w:rsidR="00F46C7B" w:rsidRPr="00C73365" w:rsidRDefault="00F46C7B" w:rsidP="00A96CCA">
      <w:pPr>
        <w:spacing w:after="0"/>
        <w:jc w:val="center"/>
        <w:rPr>
          <w:rFonts w:asciiTheme="minorHAnsi" w:hAnsiTheme="minorHAnsi" w:cstheme="minorHAnsi"/>
          <w:color w:val="7030A0"/>
          <w:sz w:val="28"/>
          <w:lang w:val="fr-FR"/>
        </w:rPr>
      </w:pPr>
    </w:p>
    <w:p w14:paraId="705B8935" w14:textId="77777777" w:rsidR="00F46C7B" w:rsidRPr="00C73365" w:rsidRDefault="00F46C7B" w:rsidP="00A96CCA">
      <w:pPr>
        <w:spacing w:after="0"/>
        <w:jc w:val="center"/>
        <w:rPr>
          <w:rFonts w:asciiTheme="minorHAnsi" w:hAnsiTheme="minorHAnsi" w:cstheme="minorHAnsi"/>
          <w:color w:val="7030A0"/>
          <w:sz w:val="28"/>
          <w:lang w:val="fr-FR"/>
        </w:rPr>
      </w:pPr>
      <w:r w:rsidRPr="00C73365">
        <w:rPr>
          <w:rFonts w:asciiTheme="minorHAnsi" w:hAnsiTheme="minorHAnsi" w:cstheme="minorHAnsi"/>
          <w:color w:val="7030A0"/>
          <w:sz w:val="28"/>
          <w:lang w:val="fr-FR"/>
        </w:rPr>
        <w:t>5 rue de la Baume – 75008 Paris</w:t>
      </w:r>
    </w:p>
    <w:p w14:paraId="02AB9977" w14:textId="77777777" w:rsidR="00F46C7B" w:rsidRPr="00C73365" w:rsidRDefault="00F225DC" w:rsidP="00A96CCA">
      <w:pPr>
        <w:spacing w:after="0"/>
        <w:jc w:val="center"/>
        <w:rPr>
          <w:rFonts w:asciiTheme="minorHAnsi" w:hAnsiTheme="minorHAnsi" w:cstheme="minorHAnsi"/>
          <w:color w:val="7030A0"/>
          <w:sz w:val="28"/>
          <w:lang w:val="fr-FR"/>
        </w:rPr>
      </w:pPr>
      <w:hyperlink r:id="rId98" w:history="1">
        <w:r w:rsidR="004572A0" w:rsidRPr="00C73365">
          <w:rPr>
            <w:rStyle w:val="Lienhypertexte"/>
            <w:rFonts w:asciiTheme="minorHAnsi" w:hAnsiTheme="minorHAnsi" w:cstheme="minorHAnsi"/>
            <w:sz w:val="28"/>
            <w:lang w:val="fr-FR"/>
          </w:rPr>
          <w:t>info@ABIVAX.com</w:t>
        </w:r>
      </w:hyperlink>
    </w:p>
    <w:p w14:paraId="0C2B0A3A" w14:textId="77777777" w:rsidR="00F46C7B" w:rsidRPr="00C73365" w:rsidRDefault="00F225DC" w:rsidP="00A96CCA">
      <w:pPr>
        <w:spacing w:after="0"/>
        <w:jc w:val="center"/>
        <w:rPr>
          <w:rFonts w:asciiTheme="minorHAnsi" w:hAnsiTheme="minorHAnsi" w:cstheme="minorHAnsi"/>
          <w:b/>
          <w:color w:val="7030A0"/>
          <w:sz w:val="28"/>
          <w:lang w:val="fr-FR"/>
        </w:rPr>
      </w:pPr>
      <w:hyperlink r:id="rId99" w:history="1">
        <w:r w:rsidR="004572A0" w:rsidRPr="00C73365">
          <w:rPr>
            <w:rStyle w:val="Lienhypertexte"/>
            <w:rFonts w:asciiTheme="minorHAnsi" w:hAnsiTheme="minorHAnsi" w:cstheme="minorHAnsi"/>
            <w:b/>
            <w:sz w:val="28"/>
            <w:lang w:val="fr-FR"/>
          </w:rPr>
          <w:t>www.ABIVAX.com</w:t>
        </w:r>
      </w:hyperlink>
    </w:p>
    <w:p w14:paraId="6A341C0D" w14:textId="77777777" w:rsidR="00F46C7B" w:rsidRPr="00C73365" w:rsidRDefault="00F46C7B" w:rsidP="00A96CCA">
      <w:pPr>
        <w:spacing w:after="0"/>
        <w:jc w:val="center"/>
        <w:rPr>
          <w:rFonts w:asciiTheme="minorHAnsi" w:hAnsiTheme="minorHAnsi" w:cstheme="minorHAnsi"/>
          <w:lang w:val="fr-FR"/>
        </w:rPr>
      </w:pPr>
    </w:p>
    <w:p w14:paraId="6C250C68" w14:textId="77777777" w:rsidR="00F46C7B" w:rsidRPr="00C73365" w:rsidRDefault="00F46C7B" w:rsidP="00A96CCA">
      <w:pPr>
        <w:spacing w:after="0"/>
        <w:rPr>
          <w:rFonts w:asciiTheme="minorHAnsi" w:hAnsiTheme="minorHAnsi" w:cstheme="minorHAnsi"/>
          <w:lang w:val="fr-FR"/>
        </w:rPr>
      </w:pPr>
    </w:p>
    <w:p w14:paraId="6459DFB3" w14:textId="77777777" w:rsidR="00840C7E" w:rsidRPr="00C73365" w:rsidRDefault="00840C7E">
      <w:pPr>
        <w:rPr>
          <w:rFonts w:asciiTheme="minorHAnsi" w:hAnsiTheme="minorHAnsi" w:cstheme="minorHAnsi"/>
        </w:rPr>
      </w:pPr>
    </w:p>
    <w:sectPr w:rsidR="00840C7E" w:rsidRPr="00C73365" w:rsidSect="007C607C">
      <w:footerReference w:type="default" r:id="rId100"/>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19454" w14:textId="77777777" w:rsidR="00F55A34" w:rsidRDefault="00F55A34" w:rsidP="00F46C7B">
      <w:r>
        <w:separator/>
      </w:r>
    </w:p>
    <w:p w14:paraId="7E644728" w14:textId="77777777" w:rsidR="00F55A34" w:rsidRDefault="00F55A34"/>
  </w:endnote>
  <w:endnote w:type="continuationSeparator" w:id="0">
    <w:p w14:paraId="0317A9F5" w14:textId="77777777" w:rsidR="00F55A34" w:rsidRDefault="00F55A34" w:rsidP="00F46C7B">
      <w:r>
        <w:continuationSeparator/>
      </w:r>
    </w:p>
    <w:p w14:paraId="3DDFDC25" w14:textId="77777777" w:rsidR="00F55A34" w:rsidRDefault="00F55A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illeniaUPC">
    <w:altName w:val="Angsana New"/>
    <w:panose1 w:val="02020603050405020304"/>
    <w:charset w:val="00"/>
    <w:family w:val="roman"/>
    <w:pitch w:val="variable"/>
    <w:sig w:usb0="81000027" w:usb1="00000002"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Cambria">
    <w:altName w:val="Palatino Linotype"/>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Compatil Fact LT Com">
    <w:altName w:val="Times New Roman"/>
    <w:panose1 w:val="00000000000000000000"/>
    <w:charset w:val="00"/>
    <w:family w:val="auto"/>
    <w:notTrueType/>
    <w:pitch w:val="variable"/>
    <w:sig w:usb0="00000003" w:usb1="00000000" w:usb2="00000000" w:usb3="00000000" w:csb0="00000001" w:csb1="00000000"/>
  </w:font>
  <w:font w:name="Clarendon Condense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YInterstate Light">
    <w:altName w:val="Times New Roman"/>
    <w:panose1 w:val="00000000000000000000"/>
    <w:charset w:val="00"/>
    <w:family w:val="auto"/>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ngsanaUPC">
    <w:panose1 w:val="02020603050405020304"/>
    <w:charset w:val="00"/>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Frutiger-C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imes New Roman" w:hAnsiTheme="minorHAnsi"/>
        <w:b w:val="0"/>
        <w:spacing w:val="60"/>
        <w:sz w:val="18"/>
        <w:szCs w:val="24"/>
        <w:lang w:val="fr-FR"/>
      </w:rPr>
      <w:id w:val="-811095569"/>
      <w:docPartObj>
        <w:docPartGallery w:val="Page Numbers (Bottom of Page)"/>
        <w:docPartUnique/>
      </w:docPartObj>
    </w:sdtPr>
    <w:sdtEndPr>
      <w:rPr>
        <w:sz w:val="14"/>
      </w:rPr>
    </w:sdtEndPr>
    <w:sdtContent>
      <w:p w14:paraId="12CE4D1B" w14:textId="77777777" w:rsidR="00F55A34" w:rsidRDefault="00F55A34" w:rsidP="007C607C">
        <w:pPr>
          <w:pStyle w:val="Titre3"/>
          <w:rPr>
            <w:rFonts w:asciiTheme="minorHAnsi" w:hAnsiTheme="minorHAnsi"/>
            <w:b w:val="0"/>
            <w:spacing w:val="60"/>
            <w:sz w:val="14"/>
            <w:lang w:val="fr-FR"/>
          </w:rPr>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39</w:t>
        </w:r>
        <w:r w:rsidRPr="00DF10BF">
          <w:rPr>
            <w:rFonts w:asciiTheme="minorHAnsi" w:hAnsiTheme="minorHAnsi"/>
            <w:b w:val="0"/>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p w14:paraId="0F70BC55" w14:textId="77777777" w:rsidR="00F55A34" w:rsidRPr="00BB0796" w:rsidRDefault="00F225DC" w:rsidP="00AE5743">
        <w:pPr>
          <w:rPr>
            <w:lang w:val="fr-FR"/>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5E061" w14:textId="77777777" w:rsidR="00F55A34" w:rsidRDefault="00F55A34">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99</w:t>
    </w:r>
    <w:r>
      <w:rPr>
        <w:rStyle w:val="Numrodepage"/>
      </w:rPr>
      <w:fldChar w:fldCharType="end"/>
    </w:r>
  </w:p>
  <w:p w14:paraId="1F4DC1F5" w14:textId="77777777" w:rsidR="00F55A34" w:rsidRDefault="00F55A34" w:rsidP="00D1541A">
    <w:pPr>
      <w:pStyle w:val="Pieddepage"/>
      <w:spacing w:after="240"/>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652EC" w14:textId="77777777" w:rsidR="00F55A34" w:rsidRDefault="00F55A34">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99</w:t>
    </w:r>
    <w:r>
      <w:rPr>
        <w:rStyle w:val="Numrodepage"/>
      </w:rPr>
      <w:fldChar w:fldCharType="end"/>
    </w:r>
  </w:p>
  <w:p w14:paraId="7C1812E1" w14:textId="77777777" w:rsidR="00F55A34" w:rsidRDefault="00F55A34">
    <w:pPr>
      <w:pStyle w:val="Pieddepage"/>
      <w:spacing w:after="240"/>
      <w:ind w:right="360"/>
    </w:pPr>
  </w:p>
  <w:p w14:paraId="42993833" w14:textId="77777777" w:rsidR="00F55A34" w:rsidRDefault="00F55A3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705906326"/>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684662275"/>
          <w:docPartObj>
            <w:docPartGallery w:val="Page Numbers (Bottom of Page)"/>
            <w:docPartUnique/>
          </w:docPartObj>
        </w:sdtPr>
        <w:sdtEndPr>
          <w:rPr>
            <w:b/>
            <w:sz w:val="14"/>
          </w:rPr>
        </w:sdtEndPr>
        <w:sdtContent>
          <w:p w14:paraId="2DE85A2F" w14:textId="47365C8D" w:rsidR="00F55A34" w:rsidRPr="003969E7" w:rsidRDefault="00F55A34" w:rsidP="007C607C">
            <w:pPr>
              <w:pStyle w:val="Titre3"/>
              <w:rPr>
                <w:rFonts w:asciiTheme="minorHAnsi" w:eastAsia="Times New Roman" w:hAnsiTheme="minorHAnsi"/>
                <w:b w:val="0"/>
                <w:spacing w:val="60"/>
                <w:sz w:val="14"/>
                <w:szCs w:val="24"/>
                <w:lang w:val="fr-FR"/>
              </w:rPr>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189</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296263637"/>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919438245"/>
          <w:docPartObj>
            <w:docPartGallery w:val="Page Numbers (Bottom of Page)"/>
            <w:docPartUnique/>
          </w:docPartObj>
        </w:sdtPr>
        <w:sdtEndPr>
          <w:rPr>
            <w:b/>
            <w:sz w:val="14"/>
          </w:rPr>
        </w:sdtEndPr>
        <w:sdtContent>
          <w:p w14:paraId="1D3A0DB0" w14:textId="1FBD4DAB" w:rsidR="00F55A34" w:rsidRPr="005942AD" w:rsidRDefault="00F55A34" w:rsidP="00D1541A">
            <w:pPr>
              <w:pStyle w:val="Titre3"/>
              <w:rPr>
                <w:rFonts w:asciiTheme="minorHAnsi" w:hAnsiTheme="minorHAnsi"/>
                <w:spacing w:val="60"/>
                <w:sz w:val="14"/>
                <w:lang w:val="fr-FR"/>
              </w:rPr>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201</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C9033" w14:textId="77777777" w:rsidR="00F55A34" w:rsidRDefault="00F55A34">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99</w:t>
    </w:r>
    <w:r>
      <w:rPr>
        <w:rStyle w:val="Numrodepage"/>
      </w:rPr>
      <w:fldChar w:fldCharType="end"/>
    </w:r>
  </w:p>
  <w:p w14:paraId="07F4AF5A" w14:textId="77777777" w:rsidR="00F55A34" w:rsidRDefault="00F55A34">
    <w:pPr>
      <w:pStyle w:val="Pieddepage"/>
      <w:spacing w:after="240"/>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50AD" w14:textId="77777777" w:rsidR="00F55A34" w:rsidRDefault="00F55A34">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99</w:t>
    </w:r>
    <w:r>
      <w:rPr>
        <w:rStyle w:val="Numrodepage"/>
      </w:rPr>
      <w:fldChar w:fldCharType="end"/>
    </w:r>
  </w:p>
  <w:p w14:paraId="0F0FD6C4" w14:textId="77777777" w:rsidR="00F55A34" w:rsidRDefault="00F55A34">
    <w:pPr>
      <w:pStyle w:val="Pieddepage"/>
      <w:spacing w:after="240"/>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9FB80" w14:textId="77777777" w:rsidR="00F55A34" w:rsidRDefault="00F55A34">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99</w:t>
    </w:r>
    <w:r>
      <w:rPr>
        <w:rStyle w:val="Numrodepage"/>
      </w:rPr>
      <w:fldChar w:fldCharType="end"/>
    </w:r>
  </w:p>
  <w:p w14:paraId="31420CA2" w14:textId="77777777" w:rsidR="00F55A34" w:rsidRDefault="00F55A34">
    <w:pPr>
      <w:pStyle w:val="Pieddepage"/>
      <w:spacing w:after="240"/>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518124082"/>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751352173"/>
          <w:docPartObj>
            <w:docPartGallery w:val="Page Numbers (Bottom of Page)"/>
            <w:docPartUnique/>
          </w:docPartObj>
        </w:sdtPr>
        <w:sdtEndPr>
          <w:rPr>
            <w:b/>
            <w:sz w:val="14"/>
          </w:rPr>
        </w:sdtEndPr>
        <w:sdtContent>
          <w:p w14:paraId="59CE83E4" w14:textId="27CE9675" w:rsidR="00F55A34" w:rsidRDefault="00F55A34" w:rsidP="007C607C">
            <w:pPr>
              <w:pStyle w:val="Titre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235</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435355042"/>
      <w:docPartObj>
        <w:docPartGallery w:val="Page Numbers (Bottom of Page)"/>
        <w:docPartUnique/>
      </w:docPartObj>
    </w:sdtPr>
    <w:sdtEndPr>
      <w:rPr>
        <w:sz w:val="14"/>
      </w:rPr>
    </w:sdtEndPr>
    <w:sdtContent>
      <w:p w14:paraId="2CB76068" w14:textId="77777777" w:rsidR="00F55A34" w:rsidRPr="00DF10BF" w:rsidRDefault="00F55A34" w:rsidP="007C607C">
        <w:pPr>
          <w:pStyle w:val="Titre3"/>
          <w:rPr>
            <w:rFonts w:asciiTheme="minorHAnsi" w:hAnsiTheme="minorHAnsi"/>
            <w:b w:val="0"/>
            <w:spacing w:val="60"/>
            <w:sz w:val="14"/>
            <w:lang w:val="fr-FR"/>
          </w:rPr>
        </w:pPr>
      </w:p>
      <w:p w14:paraId="11FA42D0" w14:textId="77777777" w:rsidR="00F55A34" w:rsidRDefault="00F225DC" w:rsidP="007C607C">
        <w:pPr>
          <w:pStyle w:val="Titre3"/>
          <w:ind w:hanging="567"/>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495324472"/>
      <w:docPartObj>
        <w:docPartGallery w:val="Page Numbers (Bottom of Page)"/>
        <w:docPartUnique/>
      </w:docPartObj>
    </w:sdtPr>
    <w:sdtEndPr>
      <w:rPr>
        <w:b w:val="0"/>
        <w:sz w:val="14"/>
      </w:rPr>
    </w:sdtEndPr>
    <w:sdtContent>
      <w:p w14:paraId="5BB47949" w14:textId="2108EDF2" w:rsidR="00F55A34" w:rsidRPr="00F030E8" w:rsidRDefault="00F55A34" w:rsidP="00F030E8">
        <w:pPr>
          <w:pStyle w:val="Titre3"/>
          <w:rPr>
            <w:rFonts w:asciiTheme="minorHAnsi" w:hAnsiTheme="minorHAnsi"/>
            <w:b w:val="0"/>
            <w:spacing w:val="60"/>
            <w:sz w:val="14"/>
            <w:lang w:val="fr-FR"/>
          </w:rPr>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45</w:t>
        </w:r>
        <w:r w:rsidRPr="00DF10BF">
          <w:rPr>
            <w:rFonts w:asciiTheme="minorHAnsi" w:hAnsiTheme="minorHAnsi"/>
            <w:b w:val="0"/>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6AA69" w14:textId="77777777" w:rsidR="00F55A34" w:rsidRDefault="00F55A3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835068956"/>
      <w:docPartObj>
        <w:docPartGallery w:val="Page Numbers (Bottom of Page)"/>
        <w:docPartUnique/>
      </w:docPartObj>
    </w:sdtPr>
    <w:sdtEndPr>
      <w:rPr>
        <w:b w:val="0"/>
        <w:sz w:val="14"/>
      </w:rPr>
    </w:sdtEndPr>
    <w:sdtContent>
      <w:p w14:paraId="56F0DE42" w14:textId="2FE632F5" w:rsidR="00F55A34" w:rsidRDefault="00F55A34" w:rsidP="007C607C">
        <w:pPr>
          <w:pStyle w:val="Titre3"/>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79</w:t>
        </w:r>
        <w:r w:rsidRPr="00DF10BF">
          <w:rPr>
            <w:rFonts w:asciiTheme="minorHAnsi" w:hAnsiTheme="minorHAnsi"/>
            <w:b w:val="0"/>
            <w:spacing w:val="60"/>
            <w:sz w:val="14"/>
            <w:lang w:val="fr-FR"/>
          </w:rPr>
          <w:fldChar w:fldCharType="end"/>
        </w:r>
        <w:r>
          <w:rPr>
            <w:rFonts w:asciiTheme="minorHAnsi" w:hAnsiTheme="minorHAnsi"/>
            <w:b w:val="0"/>
            <w:spacing w:val="60"/>
            <w:sz w:val="14"/>
            <w:lang w:val="fr-FR"/>
          </w:rPr>
          <w:t xml:space="preserve"> | DOCUMENT DE REFERENCE 2018</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16E9D" w14:textId="77777777" w:rsidR="00F55A34" w:rsidRDefault="00F55A3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b w:val="0"/>
        <w:spacing w:val="60"/>
        <w:sz w:val="18"/>
        <w:lang w:val="fr-FR"/>
      </w:rPr>
      <w:id w:val="-379629255"/>
      <w:docPartObj>
        <w:docPartGallery w:val="Page Numbers (Bottom of Page)"/>
        <w:docPartUnique/>
      </w:docPartObj>
    </w:sdtPr>
    <w:sdtEndPr>
      <w:rPr>
        <w:b/>
        <w:sz w:val="14"/>
      </w:rPr>
    </w:sdtEndPr>
    <w:sdtContent>
      <w:p w14:paraId="20E5B075" w14:textId="464B429E" w:rsidR="00F55A34" w:rsidRDefault="00F55A34" w:rsidP="007C607C">
        <w:pPr>
          <w:pStyle w:val="Titre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126</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D69D4" w14:textId="77777777" w:rsidR="00F55A34" w:rsidRDefault="00F55A34">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612774871"/>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921166693"/>
          <w:docPartObj>
            <w:docPartGallery w:val="Page Numbers (Bottom of Page)"/>
            <w:docPartUnique/>
          </w:docPartObj>
        </w:sdtPr>
        <w:sdtEndPr>
          <w:rPr>
            <w:b/>
            <w:sz w:val="14"/>
          </w:rPr>
        </w:sdtEndPr>
        <w:sdtContent>
          <w:p w14:paraId="063EAF00" w14:textId="0E49FE13" w:rsidR="00F55A34" w:rsidRDefault="00F55A34" w:rsidP="007C607C">
            <w:pPr>
              <w:pStyle w:val="Titre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151</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B1953" w14:textId="77777777" w:rsidR="00F55A34" w:rsidRDefault="00F55A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7FD03" w14:textId="77777777" w:rsidR="00F55A34" w:rsidRDefault="00F55A34" w:rsidP="00F46C7B">
      <w:r>
        <w:separator/>
      </w:r>
    </w:p>
    <w:p w14:paraId="35B2145D" w14:textId="77777777" w:rsidR="00F55A34" w:rsidRDefault="00F55A34"/>
  </w:footnote>
  <w:footnote w:type="continuationSeparator" w:id="0">
    <w:p w14:paraId="77EA4BB9" w14:textId="77777777" w:rsidR="00F55A34" w:rsidRDefault="00F55A34" w:rsidP="00F46C7B">
      <w:r>
        <w:continuationSeparator/>
      </w:r>
    </w:p>
    <w:p w14:paraId="7267DE68" w14:textId="77777777" w:rsidR="00F55A34" w:rsidRDefault="00F55A34"/>
  </w:footnote>
  <w:footnote w:id="1">
    <w:p w14:paraId="1E586F09" w14:textId="77777777" w:rsidR="00F55A34" w:rsidRPr="00AE4368" w:rsidRDefault="00F55A34" w:rsidP="00F46C7B">
      <w:pPr>
        <w:pStyle w:val="Notedebasdepage"/>
        <w:rPr>
          <w:rFonts w:asciiTheme="minorHAnsi" w:hAnsiTheme="minorHAnsi"/>
          <w:sz w:val="18"/>
          <w:szCs w:val="18"/>
          <w:lang w:val="fr-FR"/>
        </w:rPr>
      </w:pPr>
      <w:r w:rsidRPr="00AE4368">
        <w:rPr>
          <w:rStyle w:val="Appelnotedebasdep"/>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2">
    <w:p w14:paraId="41A86C69" w14:textId="77777777" w:rsidR="00F55A34" w:rsidRPr="00AE4368" w:rsidRDefault="00F55A34" w:rsidP="00F46C7B">
      <w:pPr>
        <w:pStyle w:val="Notedebasdepage"/>
        <w:rPr>
          <w:rFonts w:asciiTheme="minorHAnsi" w:hAnsiTheme="minorHAnsi"/>
          <w:sz w:val="18"/>
          <w:szCs w:val="18"/>
          <w:lang w:val="fr-FR"/>
        </w:rPr>
      </w:pPr>
      <w:r w:rsidRPr="00AE4368">
        <w:rPr>
          <w:rStyle w:val="Appelnotedebasdep"/>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3">
    <w:p w14:paraId="7553BE33" w14:textId="77777777" w:rsidR="00F55A34" w:rsidRPr="00033D1F" w:rsidRDefault="00F55A34" w:rsidP="00F46C7B">
      <w:pPr>
        <w:pStyle w:val="Notedebasdepage"/>
        <w:rPr>
          <w:sz w:val="16"/>
          <w:szCs w:val="16"/>
          <w:lang w:val="fr-FR"/>
        </w:rPr>
      </w:pPr>
      <w:r w:rsidRPr="00AE4368">
        <w:rPr>
          <w:rStyle w:val="Appelnotedebasdep"/>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4">
    <w:p w14:paraId="28B4A45D" w14:textId="77777777" w:rsidR="00F55A34" w:rsidRPr="00382114" w:rsidRDefault="00F55A34" w:rsidP="00943434">
      <w:pPr>
        <w:pStyle w:val="Notedebasdepage"/>
        <w:rPr>
          <w:rFonts w:asciiTheme="minorHAnsi" w:hAnsiTheme="minorHAnsi"/>
        </w:rPr>
      </w:pPr>
      <w:r w:rsidRPr="00701CDA">
        <w:rPr>
          <w:rStyle w:val="Appelnotedebasdep"/>
          <w:rFonts w:asciiTheme="minorHAnsi" w:eastAsia="SimSun" w:hAnsiTheme="minorHAnsi"/>
        </w:rPr>
        <w:footnoteRef/>
      </w:r>
      <w:r w:rsidRPr="00701CDA">
        <w:rPr>
          <w:rFonts w:asciiTheme="minorHAnsi" w:hAnsiTheme="minorHAnsi"/>
        </w:rPr>
        <w:t xml:space="preserve"> </w:t>
      </w:r>
      <w:r w:rsidRPr="00701CDA">
        <w:rPr>
          <w:rStyle w:val="reference-text"/>
          <w:rFonts w:asciiTheme="minorHAnsi" w:hAnsiTheme="minorHAnsi"/>
          <w:sz w:val="18"/>
        </w:rPr>
        <w:t>Mandell, Bennett, and Dolan (2010). Chapter 118. (cited in http://en.wikipedia.org/wiki/HIV/AIDS)</w:t>
      </w:r>
    </w:p>
  </w:footnote>
  <w:footnote w:id="5">
    <w:p w14:paraId="351244C0" w14:textId="3CE1A344" w:rsidR="00F55A34" w:rsidRPr="004C730F" w:rsidRDefault="00F55A34" w:rsidP="00943434">
      <w:pPr>
        <w:pStyle w:val="Notedebasdepage"/>
      </w:pPr>
      <w:r>
        <w:rPr>
          <w:rStyle w:val="Appelnotedebasdep"/>
          <w:rFonts w:eastAsia="SimSun"/>
        </w:rPr>
        <w:footnoteRef/>
      </w:r>
      <w:r>
        <w:t xml:space="preserve"> </w:t>
      </w:r>
      <w:r>
        <w:rPr>
          <w:rStyle w:val="reference-text"/>
          <w:rFonts w:asciiTheme="minorHAnsi" w:hAnsiTheme="minorHAnsi"/>
          <w:sz w:val="18"/>
        </w:rPr>
        <w:t>UNAIDS 2017</w:t>
      </w:r>
    </w:p>
  </w:footnote>
  <w:footnote w:id="6">
    <w:p w14:paraId="5D962201" w14:textId="07EB16E9" w:rsidR="00F55A34" w:rsidRPr="00860311" w:rsidRDefault="00F55A34">
      <w:pPr>
        <w:pStyle w:val="Notedebasdepage"/>
      </w:pPr>
      <w:r>
        <w:rPr>
          <w:rStyle w:val="Appelnotedebasdep"/>
        </w:rPr>
        <w:footnoteRef/>
      </w:r>
      <w:r>
        <w:t xml:space="preserve">  Global Data</w:t>
      </w:r>
    </w:p>
  </w:footnote>
  <w:footnote w:id="7">
    <w:p w14:paraId="18E43FBC" w14:textId="77777777" w:rsidR="00F55A34" w:rsidRPr="0026396C" w:rsidRDefault="00F55A34" w:rsidP="00943434">
      <w:pPr>
        <w:pStyle w:val="Titre4"/>
        <w:shd w:val="clear" w:color="auto" w:fill="FFFFFF"/>
        <w:spacing w:before="0" w:after="0"/>
        <w:rPr>
          <w:rFonts w:asciiTheme="minorHAnsi" w:hAnsiTheme="minorHAnsi" w:cs="Arial"/>
          <w:b w:val="0"/>
          <w:sz w:val="18"/>
          <w:szCs w:val="18"/>
        </w:rPr>
      </w:pPr>
      <w:r w:rsidRPr="0026396C">
        <w:rPr>
          <w:rStyle w:val="Appelnotedebasdep"/>
          <w:rFonts w:asciiTheme="minorHAnsi" w:hAnsiTheme="minorHAnsi"/>
          <w:sz w:val="18"/>
          <w:szCs w:val="18"/>
        </w:rPr>
        <w:footnoteRef/>
      </w:r>
      <w:r w:rsidRPr="0026396C">
        <w:rPr>
          <w:rFonts w:asciiTheme="minorHAnsi" w:hAnsiTheme="minorHAnsi"/>
          <w:sz w:val="18"/>
          <w:szCs w:val="18"/>
        </w:rPr>
        <w:t xml:space="preserve"> </w:t>
      </w:r>
      <w:hyperlink r:id="rId1" w:tooltip="Antiviral therapy." w:history="1">
        <w:r w:rsidRPr="0026396C">
          <w:rPr>
            <w:rFonts w:asciiTheme="minorHAnsi" w:hAnsiTheme="minorHAnsi" w:cs="Arial"/>
            <w:b w:val="0"/>
            <w:sz w:val="18"/>
            <w:szCs w:val="18"/>
            <w:u w:val="single"/>
          </w:rPr>
          <w:t>Antivir Ther.</w:t>
        </w:r>
      </w:hyperlink>
      <w:r w:rsidRPr="0026396C">
        <w:rPr>
          <w:rFonts w:asciiTheme="minorHAnsi" w:hAnsiTheme="minorHAnsi" w:cs="Arial"/>
          <w:b w:val="0"/>
          <w:sz w:val="18"/>
          <w:szCs w:val="18"/>
        </w:rPr>
        <w:t xml:space="preserve"> 2013;18(6):831-6. doi: 10.3851/IMP2650. Epub 2013 Jun 5. - Implications of </w:t>
      </w:r>
      <w:r w:rsidRPr="0026396C">
        <w:rPr>
          <w:rStyle w:val="highlight2"/>
          <w:rFonts w:asciiTheme="minorHAnsi" w:hAnsiTheme="minorHAnsi" w:cs="Arial"/>
          <w:b w:val="0"/>
          <w:sz w:val="18"/>
          <w:szCs w:val="18"/>
        </w:rPr>
        <w:t>HIV</w:t>
      </w:r>
      <w:r w:rsidRPr="0026396C">
        <w:rPr>
          <w:rFonts w:asciiTheme="minorHAnsi" w:hAnsiTheme="minorHAnsi" w:cs="Arial"/>
          <w:b w:val="0"/>
          <w:sz w:val="18"/>
          <w:szCs w:val="18"/>
        </w:rPr>
        <w:t xml:space="preserve"> </w:t>
      </w:r>
      <w:r w:rsidRPr="0026396C">
        <w:rPr>
          <w:rStyle w:val="highlight2"/>
          <w:rFonts w:asciiTheme="minorHAnsi" w:hAnsiTheme="minorHAnsi" w:cs="Arial"/>
          <w:b w:val="0"/>
          <w:sz w:val="18"/>
          <w:szCs w:val="18"/>
        </w:rPr>
        <w:t>drug</w:t>
      </w:r>
      <w:r w:rsidRPr="0026396C">
        <w:rPr>
          <w:rFonts w:asciiTheme="minorHAnsi" w:hAnsiTheme="minorHAnsi" w:cs="Arial"/>
          <w:b w:val="0"/>
          <w:sz w:val="18"/>
          <w:szCs w:val="18"/>
        </w:rPr>
        <w:t xml:space="preserve"> </w:t>
      </w:r>
      <w:r w:rsidRPr="0026396C">
        <w:rPr>
          <w:rStyle w:val="highlight2"/>
          <w:rFonts w:asciiTheme="minorHAnsi" w:hAnsiTheme="minorHAnsi" w:cs="Arial"/>
          <w:b w:val="0"/>
          <w:sz w:val="18"/>
          <w:szCs w:val="18"/>
        </w:rPr>
        <w:t>resistance</w:t>
      </w:r>
      <w:r w:rsidRPr="0026396C">
        <w:rPr>
          <w:rFonts w:asciiTheme="minorHAnsi" w:hAnsiTheme="minorHAnsi" w:cs="Arial"/>
          <w:b w:val="0"/>
          <w:sz w:val="18"/>
          <w:szCs w:val="18"/>
        </w:rPr>
        <w:t xml:space="preserve"> on first- and second-line therapies in resource-limited settings</w:t>
      </w:r>
    </w:p>
    <w:p w14:paraId="076DDBCD" w14:textId="77777777" w:rsidR="00F55A34" w:rsidRPr="004366F1" w:rsidRDefault="00F225DC" w:rsidP="00943434">
      <w:pPr>
        <w:shd w:val="clear" w:color="auto" w:fill="FFFFFF"/>
        <w:rPr>
          <w:rFonts w:asciiTheme="minorHAnsi" w:hAnsiTheme="minorHAnsi"/>
          <w:sz w:val="18"/>
          <w:szCs w:val="18"/>
        </w:rPr>
      </w:pPr>
      <w:hyperlink r:id="rId2" w:history="1">
        <w:r w:rsidR="00F55A34" w:rsidRPr="0026396C">
          <w:rPr>
            <w:rFonts w:asciiTheme="minorHAnsi" w:hAnsiTheme="minorHAnsi" w:cs="Arial"/>
            <w:sz w:val="18"/>
            <w:szCs w:val="18"/>
            <w:u w:val="single"/>
          </w:rPr>
          <w:t>Pillay D</w:t>
        </w:r>
      </w:hyperlink>
      <w:r w:rsidR="00F55A34" w:rsidRPr="0026396C">
        <w:rPr>
          <w:rFonts w:asciiTheme="minorHAnsi" w:hAnsiTheme="minorHAnsi" w:cs="Arial"/>
          <w:sz w:val="18"/>
          <w:szCs w:val="18"/>
          <w:vertAlign w:val="superscript"/>
        </w:rPr>
        <w:t>1</w:t>
      </w:r>
      <w:r w:rsidR="00F55A34" w:rsidRPr="0026396C">
        <w:rPr>
          <w:rFonts w:asciiTheme="minorHAnsi" w:hAnsiTheme="minorHAnsi" w:cs="Arial"/>
          <w:sz w:val="18"/>
          <w:szCs w:val="18"/>
        </w:rPr>
        <w:t xml:space="preserve">, </w:t>
      </w:r>
      <w:hyperlink r:id="rId3" w:history="1">
        <w:r w:rsidR="00F55A34" w:rsidRPr="0026396C">
          <w:rPr>
            <w:rFonts w:asciiTheme="minorHAnsi" w:hAnsiTheme="minorHAnsi" w:cs="Arial"/>
            <w:sz w:val="18"/>
            <w:szCs w:val="18"/>
            <w:u w:val="single"/>
          </w:rPr>
          <w:t>Albert J</w:t>
        </w:r>
      </w:hyperlink>
      <w:r w:rsidR="00F55A34" w:rsidRPr="0026396C">
        <w:rPr>
          <w:rFonts w:asciiTheme="minorHAnsi" w:hAnsiTheme="minorHAnsi" w:cs="Arial"/>
          <w:sz w:val="18"/>
          <w:szCs w:val="18"/>
        </w:rPr>
        <w:t xml:space="preserve">, </w:t>
      </w:r>
      <w:hyperlink r:id="rId4" w:history="1">
        <w:r w:rsidR="00F55A34" w:rsidRPr="0026396C">
          <w:rPr>
            <w:rFonts w:asciiTheme="minorHAnsi" w:hAnsiTheme="minorHAnsi" w:cs="Arial"/>
            <w:sz w:val="18"/>
            <w:szCs w:val="18"/>
            <w:u w:val="single"/>
          </w:rPr>
          <w:t>Bertagnolio S</w:t>
        </w:r>
      </w:hyperlink>
      <w:r w:rsidR="00F55A34" w:rsidRPr="0026396C">
        <w:rPr>
          <w:rFonts w:asciiTheme="minorHAnsi" w:hAnsiTheme="minorHAnsi" w:cs="Arial"/>
          <w:sz w:val="18"/>
          <w:szCs w:val="18"/>
        </w:rPr>
        <w:t xml:space="preserve">, </w:t>
      </w:r>
      <w:hyperlink r:id="rId5" w:history="1">
        <w:r w:rsidR="00F55A34" w:rsidRPr="0026396C">
          <w:rPr>
            <w:rFonts w:asciiTheme="minorHAnsi" w:hAnsiTheme="minorHAnsi" w:cs="Arial"/>
            <w:sz w:val="18"/>
            <w:szCs w:val="18"/>
            <w:u w:val="single"/>
          </w:rPr>
          <w:t>Boucher C</w:t>
        </w:r>
      </w:hyperlink>
      <w:r w:rsidR="00F55A34" w:rsidRPr="0026396C">
        <w:rPr>
          <w:rFonts w:asciiTheme="minorHAnsi" w:hAnsiTheme="minorHAnsi" w:cs="Arial"/>
          <w:sz w:val="18"/>
          <w:szCs w:val="18"/>
        </w:rPr>
        <w:t xml:space="preserve">, </w:t>
      </w:r>
      <w:hyperlink r:id="rId6" w:history="1">
        <w:r w:rsidR="00F55A34" w:rsidRPr="004366F1">
          <w:rPr>
            <w:rFonts w:asciiTheme="minorHAnsi" w:hAnsiTheme="minorHAnsi" w:cs="Arial"/>
            <w:sz w:val="18"/>
            <w:szCs w:val="18"/>
            <w:u w:val="single"/>
          </w:rPr>
          <w:t>Brun-Vezinet F</w:t>
        </w:r>
      </w:hyperlink>
      <w:r w:rsidR="00F55A34" w:rsidRPr="0026396C">
        <w:rPr>
          <w:rFonts w:asciiTheme="minorHAnsi" w:hAnsiTheme="minorHAnsi" w:cs="Arial"/>
          <w:sz w:val="18"/>
          <w:szCs w:val="18"/>
        </w:rPr>
        <w:t xml:space="preserve">, </w:t>
      </w:r>
      <w:hyperlink r:id="rId7" w:history="1">
        <w:r w:rsidR="00F55A34" w:rsidRPr="0026396C">
          <w:rPr>
            <w:rFonts w:asciiTheme="minorHAnsi" w:hAnsiTheme="minorHAnsi" w:cs="Arial"/>
            <w:sz w:val="18"/>
            <w:szCs w:val="18"/>
            <w:u w:val="single"/>
          </w:rPr>
          <w:t>Clotet B</w:t>
        </w:r>
      </w:hyperlink>
      <w:r w:rsidR="00F55A34" w:rsidRPr="0026396C">
        <w:rPr>
          <w:rFonts w:asciiTheme="minorHAnsi" w:hAnsiTheme="minorHAnsi" w:cs="Arial"/>
          <w:sz w:val="18"/>
          <w:szCs w:val="18"/>
        </w:rPr>
        <w:t xml:space="preserve">, </w:t>
      </w:r>
      <w:hyperlink r:id="rId8" w:history="1">
        <w:r w:rsidR="00F55A34" w:rsidRPr="004366F1">
          <w:rPr>
            <w:rFonts w:asciiTheme="minorHAnsi" w:hAnsiTheme="minorHAnsi" w:cs="Arial"/>
            <w:sz w:val="18"/>
            <w:szCs w:val="18"/>
            <w:u w:val="single"/>
          </w:rPr>
          <w:t>Giaquinto C</w:t>
        </w:r>
      </w:hyperlink>
      <w:r w:rsidR="00F55A34" w:rsidRPr="004366F1">
        <w:rPr>
          <w:rFonts w:asciiTheme="minorHAnsi" w:hAnsiTheme="minorHAnsi" w:cs="Arial"/>
          <w:sz w:val="18"/>
          <w:szCs w:val="18"/>
        </w:rPr>
        <w:t xml:space="preserve">, </w:t>
      </w:r>
      <w:hyperlink r:id="rId9" w:history="1">
        <w:r w:rsidR="00F55A34" w:rsidRPr="004366F1">
          <w:rPr>
            <w:rFonts w:asciiTheme="minorHAnsi" w:hAnsiTheme="minorHAnsi" w:cs="Arial"/>
            <w:sz w:val="18"/>
            <w:szCs w:val="18"/>
            <w:u w:val="single"/>
          </w:rPr>
          <w:t>Perno CF</w:t>
        </w:r>
      </w:hyperlink>
      <w:r w:rsidR="00F55A34" w:rsidRPr="004366F1">
        <w:rPr>
          <w:rFonts w:asciiTheme="minorHAnsi" w:hAnsiTheme="minorHAnsi" w:cs="Arial"/>
          <w:sz w:val="18"/>
          <w:szCs w:val="18"/>
        </w:rPr>
        <w:t>.</w:t>
      </w:r>
    </w:p>
  </w:footnote>
  <w:footnote w:id="8">
    <w:p w14:paraId="1C960C69" w14:textId="4BB8D4D0" w:rsidR="00F55A34" w:rsidRPr="00382114" w:rsidRDefault="00F55A34" w:rsidP="00943434">
      <w:pPr>
        <w:pStyle w:val="Notedebasdepage"/>
        <w:rPr>
          <w:rFonts w:asciiTheme="minorHAnsi" w:hAnsiTheme="minorHAnsi"/>
        </w:rPr>
      </w:pPr>
      <w:r w:rsidRPr="004366F1">
        <w:rPr>
          <w:rStyle w:val="Appelnotedebasdep"/>
          <w:rFonts w:asciiTheme="minorHAnsi" w:eastAsia="SimSun" w:hAnsiTheme="minorHAnsi"/>
          <w:sz w:val="18"/>
          <w:szCs w:val="18"/>
        </w:rPr>
        <w:footnoteRef/>
      </w:r>
      <w:r w:rsidRPr="004366F1">
        <w:rPr>
          <w:rFonts w:asciiTheme="minorHAnsi" w:hAnsiTheme="minorHAnsi"/>
          <w:sz w:val="18"/>
          <w:szCs w:val="18"/>
        </w:rPr>
        <w:t xml:space="preserve"> UNAIDS, Decision Resources, </w:t>
      </w:r>
      <w:r>
        <w:rPr>
          <w:rFonts w:asciiTheme="minorHAnsi" w:hAnsiTheme="minorHAnsi"/>
          <w:sz w:val="18"/>
          <w:szCs w:val="18"/>
        </w:rPr>
        <w:t>ABIVAX</w:t>
      </w:r>
    </w:p>
  </w:footnote>
  <w:footnote w:id="9">
    <w:p w14:paraId="4366CFD1" w14:textId="77777777" w:rsidR="00F55A34" w:rsidRPr="000B0F94" w:rsidRDefault="00F55A34" w:rsidP="000B0F94">
      <w:pPr>
        <w:rPr>
          <w:rFonts w:asciiTheme="minorHAnsi" w:hAnsiTheme="minorHAnsi"/>
          <w:sz w:val="16"/>
          <w:szCs w:val="16"/>
        </w:rPr>
      </w:pPr>
      <w:r w:rsidRPr="000B0F94">
        <w:rPr>
          <w:rStyle w:val="Appelnotedebasdep"/>
          <w:sz w:val="16"/>
          <w:szCs w:val="16"/>
        </w:rPr>
        <w:footnoteRef/>
      </w:r>
      <w:r w:rsidRPr="000B0F94">
        <w:rPr>
          <w:sz w:val="16"/>
          <w:szCs w:val="16"/>
        </w:rPr>
        <w:t xml:space="preserve"> </w:t>
      </w:r>
      <w:r w:rsidRPr="000B0F94">
        <w:rPr>
          <w:rFonts w:asciiTheme="minorHAnsi" w:hAnsiTheme="minorHAnsi"/>
          <w:sz w:val="16"/>
          <w:szCs w:val="16"/>
        </w:rPr>
        <w:t>Decision Resources – HIV 2015 –  All right reserved</w:t>
      </w:r>
    </w:p>
    <w:p w14:paraId="5A3F5D31" w14:textId="77777777" w:rsidR="00F55A34" w:rsidRPr="000B0F94" w:rsidRDefault="00F55A34">
      <w:pPr>
        <w:pStyle w:val="Notedebasdepage"/>
      </w:pPr>
    </w:p>
  </w:footnote>
  <w:footnote w:id="10">
    <w:p w14:paraId="7701F90F" w14:textId="77777777" w:rsidR="00F55A34" w:rsidRPr="00A64BA1" w:rsidRDefault="00F55A34">
      <w:pPr>
        <w:pStyle w:val="Notedebasdepage"/>
      </w:pPr>
      <w:r>
        <w:rPr>
          <w:rStyle w:val="Appelnotedebasdep"/>
        </w:rPr>
        <w:footnoteRef/>
      </w:r>
      <w:r>
        <w:t xml:space="preserve"> </w:t>
      </w:r>
      <w:r w:rsidRPr="006200D4">
        <w:rPr>
          <w:rStyle w:val="reference-text"/>
          <w:rFonts w:asciiTheme="minorHAnsi" w:hAnsiTheme="minorHAnsi"/>
          <w:sz w:val="18"/>
          <w:szCs w:val="18"/>
        </w:rPr>
        <w:t>Global Aids 201</w:t>
      </w:r>
      <w:r>
        <w:rPr>
          <w:rStyle w:val="reference-text"/>
          <w:rFonts w:asciiTheme="minorHAnsi" w:hAnsiTheme="minorHAnsi"/>
          <w:sz w:val="18"/>
          <w:szCs w:val="18"/>
        </w:rPr>
        <w:t>7</w:t>
      </w:r>
      <w:r w:rsidRPr="006200D4">
        <w:rPr>
          <w:rStyle w:val="reference-text"/>
          <w:rFonts w:asciiTheme="minorHAnsi" w:hAnsiTheme="minorHAnsi"/>
          <w:sz w:val="18"/>
          <w:szCs w:val="18"/>
        </w:rPr>
        <w:t xml:space="preserve"> UNAIDS</w:t>
      </w:r>
    </w:p>
  </w:footnote>
  <w:footnote w:id="11">
    <w:p w14:paraId="21BCA12C" w14:textId="77777777" w:rsidR="00F55A34" w:rsidRPr="006200D4" w:rsidRDefault="00F55A34" w:rsidP="00943434">
      <w:pPr>
        <w:pStyle w:val="Notedebasdepage"/>
        <w:rPr>
          <w:rFonts w:asciiTheme="minorHAnsi" w:hAnsiTheme="minorHAnsi"/>
          <w:sz w:val="18"/>
        </w:rPr>
      </w:pPr>
      <w:r w:rsidRPr="006200D4">
        <w:rPr>
          <w:rStyle w:val="Appelnotedebasdep"/>
          <w:rFonts w:asciiTheme="minorHAnsi" w:eastAsia="SimSun" w:hAnsiTheme="minorHAnsi"/>
          <w:sz w:val="18"/>
        </w:rPr>
        <w:footnoteRef/>
      </w:r>
      <w:r w:rsidRPr="006200D4">
        <w:rPr>
          <w:rFonts w:asciiTheme="minorHAnsi" w:hAnsiTheme="minorHAnsi"/>
          <w:sz w:val="18"/>
        </w:rPr>
        <w:t xml:space="preserve"> The Economist – 2</w:t>
      </w:r>
      <w:r w:rsidRPr="006200D4">
        <w:rPr>
          <w:rFonts w:asciiTheme="minorHAnsi" w:hAnsiTheme="minorHAnsi"/>
          <w:sz w:val="18"/>
          <w:vertAlign w:val="superscript"/>
        </w:rPr>
        <w:t>nd</w:t>
      </w:r>
      <w:r w:rsidRPr="006200D4">
        <w:rPr>
          <w:rFonts w:asciiTheme="minorHAnsi" w:hAnsiTheme="minorHAnsi"/>
          <w:sz w:val="18"/>
        </w:rPr>
        <w:t xml:space="preserve"> June 2012- The business of HIV: Battling the virus</w:t>
      </w:r>
    </w:p>
  </w:footnote>
  <w:footnote w:id="12">
    <w:p w14:paraId="5C7FDE0A" w14:textId="77777777" w:rsidR="00F55A34" w:rsidRPr="006200D4" w:rsidRDefault="00F55A34" w:rsidP="00943434">
      <w:pPr>
        <w:pStyle w:val="Notedebasdepage"/>
        <w:spacing w:line="216" w:lineRule="auto"/>
        <w:rPr>
          <w:rFonts w:asciiTheme="minorHAnsi" w:hAnsiTheme="minorHAnsi"/>
          <w:lang w:val="fr-FR"/>
        </w:rPr>
      </w:pPr>
      <w:r w:rsidRPr="006200D4">
        <w:rPr>
          <w:rStyle w:val="Appelnotedebasdep"/>
          <w:rFonts w:asciiTheme="minorHAnsi" w:eastAsia="SimSun" w:hAnsiTheme="minorHAnsi"/>
          <w:sz w:val="18"/>
        </w:rPr>
        <w:footnoteRef/>
      </w:r>
      <w:r w:rsidRPr="006200D4">
        <w:rPr>
          <w:rFonts w:asciiTheme="minorHAnsi" w:hAnsiTheme="minorHAnsi"/>
          <w:sz w:val="18"/>
          <w:lang w:val="fr-FR"/>
        </w:rPr>
        <w:t xml:space="preserve"> http://www.clintonhealthaccess.org/</w:t>
      </w:r>
    </w:p>
  </w:footnote>
  <w:footnote w:id="13">
    <w:p w14:paraId="3076034B" w14:textId="77777777" w:rsidR="00F55A34" w:rsidRPr="006200D4" w:rsidRDefault="00F55A34" w:rsidP="00B67A56">
      <w:pPr>
        <w:pStyle w:val="NormalWeb"/>
        <w:spacing w:before="0" w:beforeAutospacing="0" w:after="0" w:afterAutospacing="0" w:line="216" w:lineRule="auto"/>
        <w:rPr>
          <w:rFonts w:asciiTheme="minorHAnsi" w:hAnsiTheme="minorHAnsi"/>
          <w:sz w:val="18"/>
          <w:szCs w:val="18"/>
          <w:lang w:val="fr-FR"/>
        </w:rPr>
      </w:pPr>
      <w:r w:rsidRPr="006200D4">
        <w:rPr>
          <w:rStyle w:val="Appelnotedebasdep"/>
          <w:rFonts w:asciiTheme="minorHAnsi" w:eastAsia="SimSun" w:hAnsiTheme="minorHAnsi"/>
          <w:sz w:val="18"/>
          <w:szCs w:val="18"/>
        </w:rPr>
        <w:footnoteRef/>
      </w:r>
      <w:r w:rsidRPr="006200D4">
        <w:rPr>
          <w:rFonts w:asciiTheme="minorHAnsi" w:hAnsiTheme="minorHAnsi"/>
          <w:sz w:val="18"/>
          <w:szCs w:val="18"/>
          <w:lang w:val="fr-FR"/>
        </w:rPr>
        <w:t xml:space="preserve"> La </w:t>
      </w:r>
      <w:r w:rsidRPr="006200D4">
        <w:rPr>
          <w:rFonts w:asciiTheme="minorHAnsi" w:hAnsiTheme="minorHAnsi"/>
          <w:b/>
          <w:bCs/>
          <w:sz w:val="18"/>
          <w:szCs w:val="18"/>
          <w:lang w:val="fr-FR"/>
        </w:rPr>
        <w:t>protéomique</w:t>
      </w:r>
      <w:r w:rsidRPr="006200D4">
        <w:rPr>
          <w:rFonts w:asciiTheme="minorHAnsi" w:hAnsiTheme="minorHAnsi"/>
          <w:sz w:val="18"/>
          <w:szCs w:val="18"/>
          <w:lang w:val="fr-FR"/>
        </w:rPr>
        <w:t xml:space="preserve"> est l’étude les protéomes, c'est-à-dire l'ensemble des protéines d'une cellule, d'un tissu, d'un organe ou d'un organisme à un moment donné et sous des conditions données. Dans la pratique, la protéomique s'attache à identifier les protéines extraites d'une culture cellulaire, d'un tissu ou d'un fluide biologique, leur localisation dans les compartiments cellulaires, leurs éventuelles modifications post-traductionnelles ainsi que leur quantité. Elle permet de quantifier les variations de leur taux d'expression en fonction du temps, de leur environnement, de leur état de développement, de leur état physiologique et pathologique, de l'espèce d'origine. Elle étudie aussi les interactions que les protéines ont avec d'autres protéines, avec l'ADN ou l'ARN, ou d'autres substances.</w:t>
      </w:r>
    </w:p>
  </w:footnote>
  <w:footnote w:id="14">
    <w:p w14:paraId="3A693009" w14:textId="77777777" w:rsidR="00F55A34" w:rsidRPr="00DB76EC" w:rsidRDefault="00F55A34" w:rsidP="00B67A56">
      <w:pPr>
        <w:pStyle w:val="Notedebasdepage"/>
        <w:spacing w:line="216" w:lineRule="auto"/>
        <w:rPr>
          <w:rFonts w:asciiTheme="minorHAnsi" w:hAnsiTheme="minorHAnsi"/>
          <w:lang w:val="fr-FR"/>
        </w:rPr>
      </w:pPr>
      <w:r w:rsidRPr="006200D4">
        <w:rPr>
          <w:rStyle w:val="Appelnotedebasdep"/>
          <w:rFonts w:asciiTheme="minorHAnsi" w:eastAsia="SimSun" w:hAnsiTheme="minorHAnsi"/>
          <w:sz w:val="18"/>
          <w:szCs w:val="18"/>
        </w:rPr>
        <w:footnoteRef/>
      </w:r>
      <w:r w:rsidRPr="006200D4">
        <w:rPr>
          <w:rFonts w:asciiTheme="minorHAnsi" w:hAnsiTheme="minorHAnsi"/>
          <w:sz w:val="18"/>
          <w:szCs w:val="18"/>
          <w:lang w:val="fr-FR"/>
        </w:rPr>
        <w:t xml:space="preserve"> La bioinformatique est constituée par l'ensemble des concepts et des techniques nécessaires à l'interprétation informatique de l'information biologique</w:t>
      </w:r>
    </w:p>
  </w:footnote>
  <w:footnote w:id="15">
    <w:p w14:paraId="7064904D" w14:textId="77777777" w:rsidR="00F55A34" w:rsidRPr="00AE4368" w:rsidRDefault="00F55A34" w:rsidP="00F77970">
      <w:pPr>
        <w:pStyle w:val="Notedebasdepage"/>
        <w:rPr>
          <w:rFonts w:asciiTheme="minorHAnsi" w:hAnsiTheme="minorHAnsi"/>
          <w:sz w:val="18"/>
          <w:szCs w:val="18"/>
          <w:lang w:val="fr-FR"/>
        </w:rPr>
      </w:pPr>
      <w:r w:rsidRPr="00AE4368">
        <w:rPr>
          <w:rStyle w:val="Appelnotedebasdep"/>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16">
    <w:p w14:paraId="5D00BB4E" w14:textId="77777777" w:rsidR="00F55A34" w:rsidRPr="00AE4368" w:rsidRDefault="00F55A34" w:rsidP="00F77970">
      <w:pPr>
        <w:pStyle w:val="Notedebasdepage"/>
        <w:rPr>
          <w:rFonts w:asciiTheme="minorHAnsi" w:hAnsiTheme="minorHAnsi"/>
          <w:sz w:val="18"/>
          <w:szCs w:val="18"/>
          <w:lang w:val="fr-FR"/>
        </w:rPr>
      </w:pPr>
      <w:r w:rsidRPr="00AE4368">
        <w:rPr>
          <w:rStyle w:val="Appelnotedebasdep"/>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17">
    <w:p w14:paraId="001E7762" w14:textId="77777777" w:rsidR="00F55A34" w:rsidRPr="00033D1F" w:rsidRDefault="00F55A34" w:rsidP="00F77970">
      <w:pPr>
        <w:pStyle w:val="Notedebasdepage"/>
        <w:rPr>
          <w:sz w:val="16"/>
          <w:szCs w:val="16"/>
          <w:lang w:val="fr-FR"/>
        </w:rPr>
      </w:pPr>
      <w:r w:rsidRPr="00AE4368">
        <w:rPr>
          <w:rStyle w:val="Appelnotedebasdep"/>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18">
    <w:p w14:paraId="6030FCD4" w14:textId="77777777" w:rsidR="00F55A34" w:rsidRPr="002B1746" w:rsidRDefault="00F55A34" w:rsidP="00B740A8">
      <w:pPr>
        <w:rPr>
          <w:lang w:val="fr-FR"/>
        </w:rPr>
      </w:pPr>
    </w:p>
  </w:footnote>
  <w:footnote w:id="19">
    <w:p w14:paraId="52604B00" w14:textId="77777777" w:rsidR="00F55A34" w:rsidRPr="002B1746" w:rsidRDefault="00F55A34" w:rsidP="00B740A8">
      <w:pPr>
        <w:rPr>
          <w:lang w:val="fr-FR"/>
        </w:rPr>
      </w:pPr>
    </w:p>
    <w:p w14:paraId="532A0DC0" w14:textId="77777777" w:rsidR="00F55A34" w:rsidRPr="002B1746" w:rsidRDefault="00F55A34" w:rsidP="00B740A8">
      <w:pPr>
        <w:rPr>
          <w:lang w:val="fr-FR"/>
        </w:rPr>
      </w:pPr>
    </w:p>
  </w:footnote>
  <w:footnote w:id="20">
    <w:p w14:paraId="0F5E54EC" w14:textId="77777777" w:rsidR="00F55A34" w:rsidRPr="00AE4368" w:rsidRDefault="00F55A34" w:rsidP="00C73365">
      <w:pPr>
        <w:pStyle w:val="Notedebasdepage"/>
        <w:rPr>
          <w:rFonts w:asciiTheme="minorHAnsi" w:hAnsiTheme="minorHAnsi"/>
          <w:sz w:val="18"/>
          <w:szCs w:val="18"/>
          <w:lang w:val="fr-FR"/>
        </w:rPr>
      </w:pPr>
      <w:r w:rsidRPr="00AE4368">
        <w:rPr>
          <w:rStyle w:val="Appelnotedebasdep"/>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21">
    <w:p w14:paraId="30EC90DE" w14:textId="77777777" w:rsidR="00F55A34" w:rsidRPr="00AE4368" w:rsidRDefault="00F55A34" w:rsidP="00C73365">
      <w:pPr>
        <w:pStyle w:val="Notedebasdepage"/>
        <w:rPr>
          <w:rFonts w:asciiTheme="minorHAnsi" w:hAnsiTheme="minorHAnsi"/>
          <w:sz w:val="18"/>
          <w:szCs w:val="18"/>
          <w:lang w:val="fr-FR"/>
        </w:rPr>
      </w:pPr>
      <w:r w:rsidRPr="00AE4368">
        <w:rPr>
          <w:rStyle w:val="Appelnotedebasdep"/>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22">
    <w:p w14:paraId="7E7E51C9" w14:textId="77777777" w:rsidR="00F55A34" w:rsidRPr="00033D1F" w:rsidRDefault="00F55A34" w:rsidP="00C73365">
      <w:pPr>
        <w:pStyle w:val="Notedebasdepage"/>
        <w:rPr>
          <w:sz w:val="16"/>
          <w:szCs w:val="16"/>
          <w:lang w:val="fr-FR"/>
        </w:rPr>
      </w:pPr>
      <w:r w:rsidRPr="00AE4368">
        <w:rPr>
          <w:rStyle w:val="Appelnotedebasdep"/>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23">
    <w:p w14:paraId="4F14949D" w14:textId="77777777" w:rsidR="00F55A34" w:rsidRPr="00570C92" w:rsidRDefault="00F55A34" w:rsidP="00B740A8">
      <w:pPr>
        <w:rPr>
          <w:rFonts w:asciiTheme="minorHAnsi" w:hAnsiTheme="minorHAnsi"/>
          <w:sz w:val="18"/>
          <w:szCs w:val="18"/>
          <w:lang w:val="fr-FR"/>
        </w:rPr>
      </w:pPr>
    </w:p>
  </w:footnote>
  <w:footnote w:id="24">
    <w:p w14:paraId="639629F8" w14:textId="6EC9EA70" w:rsidR="00F55A34" w:rsidRPr="001157A8" w:rsidRDefault="00F55A34" w:rsidP="00B740A8">
      <w:pPr>
        <w:rPr>
          <w:rFonts w:asciiTheme="minorHAnsi" w:hAnsiTheme="minorHAnsi"/>
          <w:color w:val="FFFFFF" w:themeColor="background1"/>
          <w:sz w:val="18"/>
          <w:szCs w:val="18"/>
          <w:lang w:val="fr-FR"/>
        </w:rPr>
      </w:pPr>
      <w:r w:rsidRPr="006200D4">
        <w:rPr>
          <w:rStyle w:val="Appelnotedebasdep"/>
          <w:rFonts w:asciiTheme="minorHAnsi" w:hAnsiTheme="minorHAnsi"/>
          <w:color w:val="FFFFFF" w:themeColor="background1"/>
          <w:sz w:val="18"/>
          <w:szCs w:val="18"/>
          <w:lang w:val="fr-FR"/>
        </w:rPr>
        <w:t>36</w:t>
      </w:r>
      <w:r w:rsidRPr="006200D4">
        <w:rPr>
          <w:rFonts w:asciiTheme="minorHAnsi" w:hAnsiTheme="minorHAnsi"/>
          <w:color w:val="FFFFFF" w:themeColor="background1"/>
          <w:sz w:val="18"/>
          <w:szCs w:val="18"/>
          <w:lang w:val="fr-FR"/>
        </w:rPr>
        <w:t xml:space="preserve"> Monsieur Pau a exercé le 52 BSA 2014-6 lui donnant droit à 5.200 actions de la Société.</w:t>
      </w:r>
    </w:p>
  </w:footnote>
  <w:footnote w:id="25">
    <w:p w14:paraId="12D4EE41" w14:textId="77777777" w:rsidR="00F55A34" w:rsidRPr="006200D4" w:rsidRDefault="00F55A34" w:rsidP="00F46C7B">
      <w:pPr>
        <w:pStyle w:val="Notedebasdepage"/>
        <w:rPr>
          <w:rFonts w:asciiTheme="minorHAnsi" w:hAnsiTheme="minorHAnsi"/>
          <w:sz w:val="18"/>
          <w:szCs w:val="18"/>
          <w:lang w:val="fr-FR"/>
        </w:rPr>
      </w:pPr>
      <w:r w:rsidRPr="006200D4">
        <w:rPr>
          <w:rStyle w:val="Appelnotedebasdep"/>
          <w:rFonts w:asciiTheme="minorHAnsi" w:hAnsiTheme="minorHAnsi"/>
          <w:sz w:val="18"/>
          <w:szCs w:val="18"/>
          <w:lang w:val="fr-FR"/>
        </w:rPr>
        <w:t>34</w:t>
      </w:r>
      <w:r w:rsidRPr="006200D4">
        <w:rPr>
          <w:rFonts w:asciiTheme="minorHAnsi" w:hAnsiTheme="minorHAnsi"/>
          <w:sz w:val="18"/>
          <w:szCs w:val="18"/>
          <w:lang w:val="fr-FR"/>
        </w:rPr>
        <w:t xml:space="preserve"> Etant précisé que le montant de subventions perçu en EC1 a été de 410.139 euros contre un montant maximum initialement prévu de 428 000 euros en raison de dépenses réalisées inférieures au budget initial prévu pour la réalisation de cette étape-clé. La différence a été reportée sur EC2 dans le cadre du réaménagement du projet accepté par </w:t>
      </w:r>
      <w:r>
        <w:rPr>
          <w:rFonts w:asciiTheme="minorHAnsi" w:hAnsiTheme="minorHAnsi"/>
          <w:sz w:val="18"/>
          <w:szCs w:val="18"/>
          <w:lang w:val="fr-FR"/>
        </w:rPr>
        <w:t>Bpifrance</w:t>
      </w:r>
      <w:r w:rsidRPr="006200D4">
        <w:rPr>
          <w:rFonts w:asciiTheme="minorHAnsi" w:hAnsiTheme="minorHAnsi"/>
          <w:sz w:val="18"/>
          <w:szCs w:val="18"/>
          <w:lang w:val="fr-FR"/>
        </w:rPr>
        <w:t xml:space="preserve"> le 18 février 2015.</w:t>
      </w:r>
    </w:p>
  </w:footnote>
  <w:footnote w:id="26">
    <w:p w14:paraId="0DC50151" w14:textId="77777777" w:rsidR="00F55A34" w:rsidRPr="001157A8" w:rsidRDefault="00F55A34" w:rsidP="00F46C7B">
      <w:pPr>
        <w:pStyle w:val="Notedebasdepage"/>
        <w:rPr>
          <w:rFonts w:asciiTheme="minorHAnsi" w:hAnsiTheme="minorHAnsi"/>
          <w:sz w:val="18"/>
          <w:szCs w:val="18"/>
          <w:lang w:val="fr-FR"/>
        </w:rPr>
      </w:pPr>
      <w:r w:rsidRPr="006200D4">
        <w:rPr>
          <w:rStyle w:val="Appelnotedebasdep"/>
          <w:rFonts w:asciiTheme="minorHAnsi" w:hAnsiTheme="minorHAnsi"/>
          <w:sz w:val="18"/>
          <w:szCs w:val="18"/>
          <w:lang w:val="fr-FR"/>
        </w:rPr>
        <w:t>35</w:t>
      </w:r>
      <w:r w:rsidRPr="006200D4">
        <w:rPr>
          <w:rFonts w:asciiTheme="minorHAnsi" w:hAnsiTheme="minorHAnsi"/>
          <w:sz w:val="18"/>
          <w:szCs w:val="18"/>
          <w:lang w:val="fr-FR"/>
        </w:rPr>
        <w:t xml:space="preserve"> Etant précisé que le montant d’avances remboursables perçu en EC1 a été de 1.008.340 euros contre un montant maximum initialement prévu de 1 364 000 euros en raison de dépenses réalisées inférieures au budget initial prévu pour la réalisation de cette étape-clé. La différence a été reportée sur EC2 dans le cadre du réaménagement du projet accepté par </w:t>
      </w:r>
      <w:r>
        <w:rPr>
          <w:rFonts w:asciiTheme="minorHAnsi" w:hAnsiTheme="minorHAnsi"/>
          <w:sz w:val="18"/>
          <w:szCs w:val="18"/>
          <w:lang w:val="fr-FR"/>
        </w:rPr>
        <w:t>Bpifrance</w:t>
      </w:r>
      <w:r w:rsidRPr="006200D4">
        <w:rPr>
          <w:rFonts w:asciiTheme="minorHAnsi" w:hAnsiTheme="minorHAnsi"/>
          <w:sz w:val="18"/>
          <w:szCs w:val="18"/>
          <w:lang w:val="fr-FR"/>
        </w:rPr>
        <w:t xml:space="preserve"> le 18 février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06F19" w14:textId="77777777" w:rsidR="00F55A34" w:rsidRDefault="00F55A3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A76F3" w14:textId="77777777" w:rsidR="00F55A34" w:rsidRDefault="00F55A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2FEC" w14:textId="77777777" w:rsidR="00F55A34" w:rsidRDefault="00F55A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44B57" w14:textId="77777777" w:rsidR="00F55A34" w:rsidRDefault="00F55A3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6917A" w14:textId="77777777" w:rsidR="00F55A34" w:rsidRDefault="00F55A3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013E5" w14:textId="77777777" w:rsidR="00F55A34" w:rsidRDefault="00F55A3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6C0A2" w14:textId="77777777" w:rsidR="00F55A34" w:rsidRDefault="00F55A34" w:rsidP="00D1541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44737" w14:textId="77777777" w:rsidR="00F55A34" w:rsidRDefault="00F55A34"/>
  <w:p w14:paraId="3B1CF7F3" w14:textId="77777777" w:rsidR="00F55A34" w:rsidRDefault="00F55A3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FF79C" w14:textId="77777777" w:rsidR="00F55A34" w:rsidRDefault="00F55A3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8BBF2" w14:textId="77777777" w:rsidR="00F55A34" w:rsidRDefault="00F55A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E6A60D4"/>
    <w:lvl w:ilvl="0">
      <w:start w:val="1"/>
      <w:numFmt w:val="bullet"/>
      <w:pStyle w:val="ConmainL9"/>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55C80A0"/>
    <w:lvl w:ilvl="0">
      <w:start w:val="1"/>
      <w:numFmt w:val="bullet"/>
      <w:pStyle w:val="ConmainL8"/>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FCDCB2"/>
    <w:lvl w:ilvl="0">
      <w:start w:val="1"/>
      <w:numFmt w:val="bullet"/>
      <w:pStyle w:val="ConmainL2"/>
      <w:lvlText w:val=""/>
      <w:lvlJc w:val="left"/>
      <w:pPr>
        <w:tabs>
          <w:tab w:val="num" w:pos="360"/>
        </w:tabs>
        <w:ind w:left="360" w:hanging="360"/>
      </w:pPr>
      <w:rPr>
        <w:rFonts w:ascii="Symbol" w:hAnsi="Symbol" w:hint="default"/>
      </w:rPr>
    </w:lvl>
  </w:abstractNum>
  <w:abstractNum w:abstractNumId="3" w15:restartNumberingAfterBreak="0">
    <w:nsid w:val="013A2D5A"/>
    <w:multiLevelType w:val="hybridMultilevel"/>
    <w:tmpl w:val="31B69A2C"/>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4" w15:restartNumberingAfterBreak="0">
    <w:nsid w:val="0216274D"/>
    <w:multiLevelType w:val="multilevel"/>
    <w:tmpl w:val="C6BA72C4"/>
    <w:lvl w:ilvl="0">
      <w:start w:val="1"/>
      <w:numFmt w:val="decimal"/>
      <w:pStyle w:val="BulletedLis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02176D90"/>
    <w:multiLevelType w:val="hybridMultilevel"/>
    <w:tmpl w:val="63760C76"/>
    <w:lvl w:ilvl="0" w:tplc="BEDCAA8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A3837"/>
    <w:multiLevelType w:val="hybridMultilevel"/>
    <w:tmpl w:val="A7169822"/>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843880"/>
    <w:multiLevelType w:val="hybridMultilevel"/>
    <w:tmpl w:val="83D64D52"/>
    <w:lvl w:ilvl="0" w:tplc="4B7C42D0">
      <w:start w:val="16"/>
      <w:numFmt w:val="bullet"/>
      <w:lvlText w:val="-"/>
      <w:lvlJc w:val="left"/>
      <w:pPr>
        <w:ind w:left="720" w:hanging="360"/>
      </w:pPr>
      <w:rPr>
        <w:rFonts w:ascii="Georgia" w:eastAsia="Times New Roman" w:hAnsi="Georgi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2AA54B8"/>
    <w:multiLevelType w:val="hybridMultilevel"/>
    <w:tmpl w:val="CFA8D68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3CA0E1E"/>
    <w:multiLevelType w:val="multilevel"/>
    <w:tmpl w:val="4990A0AE"/>
    <w:name w:val="zzmpLONNotes||LON Notes|3|5|1|1|2|32||1|2|32||1|2|32||1|2|32||1|2|32||1|2|32||mpNA||mpNA||mpNA||"/>
    <w:lvl w:ilvl="0">
      <w:numFmt w:val="bullet"/>
      <w:pStyle w:val="LONNotesL1"/>
      <w:lvlText w:val="-"/>
      <w:lvlJc w:val="left"/>
      <w:pPr>
        <w:tabs>
          <w:tab w:val="num" w:pos="992"/>
        </w:tabs>
        <w:ind w:left="992" w:hanging="992"/>
      </w:pPr>
      <w:rPr>
        <w:rFonts w:hint="default"/>
        <w:sz w:val="22"/>
        <w:u w:val="none"/>
      </w:rPr>
    </w:lvl>
    <w:lvl w:ilvl="1">
      <w:start w:val="1"/>
      <w:numFmt w:val="lowerLetter"/>
      <w:pStyle w:val="LONNotesL2"/>
      <w:lvlText w:val="(%2)"/>
      <w:lvlJc w:val="left"/>
      <w:pPr>
        <w:tabs>
          <w:tab w:val="num" w:pos="1984"/>
        </w:tabs>
        <w:ind w:left="1984" w:hanging="992"/>
      </w:pPr>
      <w:rPr>
        <w:rFonts w:ascii="Times New Roman" w:hAnsi="Times New Roman" w:cs="Times New Roman"/>
        <w:sz w:val="22"/>
        <w:u w:val="none"/>
      </w:rPr>
    </w:lvl>
    <w:lvl w:ilvl="2">
      <w:start w:val="1"/>
      <w:numFmt w:val="lowerRoman"/>
      <w:pStyle w:val="LONNotesL3"/>
      <w:lvlText w:val="(%3)"/>
      <w:lvlJc w:val="left"/>
      <w:pPr>
        <w:tabs>
          <w:tab w:val="num" w:pos="2976"/>
        </w:tabs>
        <w:ind w:left="2976" w:hanging="992"/>
      </w:pPr>
      <w:rPr>
        <w:rFonts w:ascii="Times New Roman" w:hAnsi="Times New Roman" w:cs="Times New Roman"/>
        <w:sz w:val="22"/>
        <w:u w:val="none"/>
      </w:rPr>
    </w:lvl>
    <w:lvl w:ilvl="3">
      <w:start w:val="1"/>
      <w:numFmt w:val="decimal"/>
      <w:pStyle w:val="LONNotesL4"/>
      <w:lvlText w:val="(%4)"/>
      <w:lvlJc w:val="left"/>
      <w:pPr>
        <w:tabs>
          <w:tab w:val="num" w:pos="3968"/>
        </w:tabs>
        <w:ind w:left="3969" w:hanging="993"/>
      </w:pPr>
      <w:rPr>
        <w:rFonts w:ascii="Times New Roman" w:hAnsi="Times New Roman" w:cs="Times New Roman"/>
        <w:sz w:val="22"/>
        <w:u w:val="none"/>
      </w:rPr>
    </w:lvl>
    <w:lvl w:ilvl="4">
      <w:start w:val="1"/>
      <w:numFmt w:val="bullet"/>
      <w:lvlRestart w:val="0"/>
      <w:pStyle w:val="LONNotesL5"/>
      <w:lvlText w:val="·"/>
      <w:lvlJc w:val="left"/>
      <w:pPr>
        <w:tabs>
          <w:tab w:val="num" w:pos="1984"/>
        </w:tabs>
        <w:ind w:left="1984" w:hanging="992"/>
      </w:pPr>
      <w:rPr>
        <w:rFonts w:ascii="Symbol" w:hAnsi="Symbol" w:hint="default"/>
        <w:b w:val="0"/>
        <w:i w:val="0"/>
        <w:caps w:val="0"/>
        <w:color w:val="auto"/>
        <w:sz w:val="22"/>
        <w:u w:val="none"/>
      </w:rPr>
    </w:lvl>
    <w:lvl w:ilvl="5">
      <w:start w:val="1"/>
      <w:numFmt w:val="bullet"/>
      <w:lvlRestart w:val="0"/>
      <w:pStyle w:val="LONNotesL6"/>
      <w:lvlText w:val="·"/>
      <w:lvlJc w:val="left"/>
      <w:pPr>
        <w:tabs>
          <w:tab w:val="num" w:pos="2976"/>
        </w:tabs>
        <w:ind w:left="2976" w:hanging="992"/>
      </w:pPr>
      <w:rPr>
        <w:rFonts w:ascii="Symbol" w:hAnsi="Symbol" w:hint="default"/>
        <w:b w:val="0"/>
        <w:i w:val="0"/>
        <w:caps w:val="0"/>
        <w:color w:val="auto"/>
        <w:sz w:val="22"/>
        <w:u w:val="none"/>
      </w:r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0" w15:restartNumberingAfterBreak="0">
    <w:nsid w:val="053D1B73"/>
    <w:multiLevelType w:val="hybridMultilevel"/>
    <w:tmpl w:val="857C7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9B3735"/>
    <w:multiLevelType w:val="hybridMultilevel"/>
    <w:tmpl w:val="686A36E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05B23692"/>
    <w:multiLevelType w:val="hybridMultilevel"/>
    <w:tmpl w:val="8B3E4C1E"/>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13" w15:restartNumberingAfterBreak="0">
    <w:nsid w:val="065C2926"/>
    <w:multiLevelType w:val="hybridMultilevel"/>
    <w:tmpl w:val="AF48071A"/>
    <w:lvl w:ilvl="0" w:tplc="040C0001">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981A9F"/>
    <w:multiLevelType w:val="hybridMultilevel"/>
    <w:tmpl w:val="FD6237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6B62854"/>
    <w:multiLevelType w:val="hybridMultilevel"/>
    <w:tmpl w:val="CC52E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097D2A"/>
    <w:multiLevelType w:val="hybridMultilevel"/>
    <w:tmpl w:val="0BB69A7C"/>
    <w:lvl w:ilvl="0" w:tplc="EBC6AD12">
      <w:start w:val="1"/>
      <w:numFmt w:val="lowerRoman"/>
      <w:lvlText w:val="(%1)"/>
      <w:lvlJc w:val="left"/>
      <w:pPr>
        <w:ind w:left="1080" w:hanging="72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15:restartNumberingAfterBreak="0">
    <w:nsid w:val="09581BA6"/>
    <w:multiLevelType w:val="hybridMultilevel"/>
    <w:tmpl w:val="B3C4190E"/>
    <w:lvl w:ilvl="0" w:tplc="31F4C65A">
      <w:start w:val="1"/>
      <w:numFmt w:val="bullet"/>
      <w:pStyle w:val="Listepuces2"/>
      <w:lvlText w:val="o"/>
      <w:lvlJc w:val="left"/>
      <w:pPr>
        <w:ind w:left="1316" w:hanging="360"/>
      </w:pPr>
      <w:rPr>
        <w:rFonts w:ascii="Courier New" w:hAnsi="Courier New" w:hint="default"/>
        <w:sz w:val="20"/>
      </w:rPr>
    </w:lvl>
    <w:lvl w:ilvl="1" w:tplc="04090003" w:tentative="1">
      <w:start w:val="1"/>
      <w:numFmt w:val="bullet"/>
      <w:lvlText w:val="o"/>
      <w:lvlJc w:val="left"/>
      <w:pPr>
        <w:ind w:left="2036" w:hanging="360"/>
      </w:pPr>
      <w:rPr>
        <w:rFonts w:ascii="Courier New" w:hAnsi="Courier New" w:hint="default"/>
      </w:rPr>
    </w:lvl>
    <w:lvl w:ilvl="2" w:tplc="04090005" w:tentative="1">
      <w:start w:val="1"/>
      <w:numFmt w:val="bullet"/>
      <w:lvlText w:val=""/>
      <w:lvlJc w:val="left"/>
      <w:pPr>
        <w:ind w:left="2756" w:hanging="360"/>
      </w:pPr>
      <w:rPr>
        <w:rFonts w:ascii="Wingdings" w:hAnsi="Wingdings" w:hint="default"/>
      </w:rPr>
    </w:lvl>
    <w:lvl w:ilvl="3" w:tplc="04090001" w:tentative="1">
      <w:start w:val="1"/>
      <w:numFmt w:val="bullet"/>
      <w:lvlText w:val=""/>
      <w:lvlJc w:val="left"/>
      <w:pPr>
        <w:ind w:left="3476" w:hanging="360"/>
      </w:pPr>
      <w:rPr>
        <w:rFonts w:ascii="Symbol" w:hAnsi="Symbol" w:hint="default"/>
      </w:rPr>
    </w:lvl>
    <w:lvl w:ilvl="4" w:tplc="04090003" w:tentative="1">
      <w:start w:val="1"/>
      <w:numFmt w:val="bullet"/>
      <w:lvlText w:val="o"/>
      <w:lvlJc w:val="left"/>
      <w:pPr>
        <w:ind w:left="4196" w:hanging="360"/>
      </w:pPr>
      <w:rPr>
        <w:rFonts w:ascii="Courier New" w:hAnsi="Courier New" w:hint="default"/>
      </w:rPr>
    </w:lvl>
    <w:lvl w:ilvl="5" w:tplc="04090005" w:tentative="1">
      <w:start w:val="1"/>
      <w:numFmt w:val="bullet"/>
      <w:lvlText w:val=""/>
      <w:lvlJc w:val="left"/>
      <w:pPr>
        <w:ind w:left="4916" w:hanging="360"/>
      </w:pPr>
      <w:rPr>
        <w:rFonts w:ascii="Wingdings" w:hAnsi="Wingdings" w:hint="default"/>
      </w:rPr>
    </w:lvl>
    <w:lvl w:ilvl="6" w:tplc="04090001" w:tentative="1">
      <w:start w:val="1"/>
      <w:numFmt w:val="bullet"/>
      <w:lvlText w:val=""/>
      <w:lvlJc w:val="left"/>
      <w:pPr>
        <w:ind w:left="5636" w:hanging="360"/>
      </w:pPr>
      <w:rPr>
        <w:rFonts w:ascii="Symbol" w:hAnsi="Symbol" w:hint="default"/>
      </w:rPr>
    </w:lvl>
    <w:lvl w:ilvl="7" w:tplc="04090003" w:tentative="1">
      <w:start w:val="1"/>
      <w:numFmt w:val="bullet"/>
      <w:lvlText w:val="o"/>
      <w:lvlJc w:val="left"/>
      <w:pPr>
        <w:ind w:left="6356" w:hanging="360"/>
      </w:pPr>
      <w:rPr>
        <w:rFonts w:ascii="Courier New" w:hAnsi="Courier New" w:hint="default"/>
      </w:rPr>
    </w:lvl>
    <w:lvl w:ilvl="8" w:tplc="04090005" w:tentative="1">
      <w:start w:val="1"/>
      <w:numFmt w:val="bullet"/>
      <w:lvlText w:val=""/>
      <w:lvlJc w:val="left"/>
      <w:pPr>
        <w:ind w:left="7076" w:hanging="360"/>
      </w:pPr>
      <w:rPr>
        <w:rFonts w:ascii="Wingdings" w:hAnsi="Wingdings" w:hint="default"/>
      </w:rPr>
    </w:lvl>
  </w:abstractNum>
  <w:abstractNum w:abstractNumId="18" w15:restartNumberingAfterBreak="0">
    <w:nsid w:val="09BA5844"/>
    <w:multiLevelType w:val="hybridMultilevel"/>
    <w:tmpl w:val="BCD00C5A"/>
    <w:lvl w:ilvl="0" w:tplc="343EA4A8">
      <w:start w:val="2007"/>
      <w:numFmt w:val="bullet"/>
      <w:lvlText w:val="-"/>
      <w:lvlJc w:val="left"/>
      <w:pPr>
        <w:ind w:left="720" w:hanging="360"/>
      </w:pPr>
      <w:rPr>
        <w:rFonts w:ascii="Garamond" w:hAnsi="Garamond" w:cs="Times New Roman"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DC6AC5"/>
    <w:multiLevelType w:val="multilevel"/>
    <w:tmpl w:val="AA9EEC5C"/>
    <w:lvl w:ilvl="0">
      <w:start w:val="1"/>
      <w:numFmt w:val="decimal"/>
      <w:isLgl/>
      <w:lvlText w:val="%1."/>
      <w:lvlJc w:val="left"/>
      <w:pPr>
        <w:tabs>
          <w:tab w:val="num" w:pos="720"/>
        </w:tabs>
        <w:ind w:left="720" w:hanging="720"/>
      </w:pPr>
      <w:rPr>
        <w:rFonts w:asciiTheme="minorHAnsi" w:hAnsiTheme="minorHAnsi" w:cs="Times New Roman" w:hint="default"/>
        <w:b/>
        <w:i w:val="0"/>
        <w:caps w:val="0"/>
        <w:sz w:val="22"/>
        <w:szCs w:val="22"/>
        <w:u w:val="none"/>
      </w:rPr>
    </w:lvl>
    <w:lvl w:ilvl="1">
      <w:start w:val="1"/>
      <w:numFmt w:val="decimal"/>
      <w:isLgl/>
      <w:lvlText w:val="%1.%2"/>
      <w:lvlJc w:val="left"/>
      <w:pPr>
        <w:tabs>
          <w:tab w:val="num" w:pos="720"/>
        </w:tabs>
        <w:ind w:left="720" w:hanging="720"/>
      </w:pPr>
      <w:rPr>
        <w:rFonts w:cs="Times New Roman"/>
        <w:b/>
        <w:bCs w:val="0"/>
        <w:i w:val="0"/>
        <w:iCs w:val="0"/>
        <w:caps w:val="0"/>
        <w:smallCaps w:val="0"/>
        <w:strike w:val="0"/>
        <w:dstrike w:val="0"/>
        <w:vanish w:val="0"/>
        <w:color w:val="7030A0"/>
        <w:spacing w:val="0"/>
        <w:kern w:val="0"/>
        <w:position w:val="0"/>
        <w:sz w:val="22"/>
        <w:szCs w:val="22"/>
        <w:u w:val="none"/>
        <w:effect w:val="none"/>
        <w:vertAlign w:val="baseline"/>
      </w:rPr>
    </w:lvl>
    <w:lvl w:ilvl="2">
      <w:start w:val="1"/>
      <w:numFmt w:val="decimal"/>
      <w:lvlText w:val="%1.%2.%3"/>
      <w:lvlJc w:val="left"/>
      <w:pPr>
        <w:tabs>
          <w:tab w:val="num" w:pos="1260"/>
        </w:tabs>
        <w:ind w:left="1980" w:hanging="720"/>
      </w:pPr>
      <w:rPr>
        <w:rFonts w:cs="Times New Roman"/>
        <w:b/>
        <w:bCs w:val="0"/>
        <w:i w:val="0"/>
        <w:iCs w:val="0"/>
        <w:caps w:val="0"/>
        <w:smallCaps w:val="0"/>
        <w:strike w:val="0"/>
        <w:dstrike w:val="0"/>
        <w:vanish w:val="0"/>
        <w:color w:val="7030A0"/>
        <w:spacing w:val="0"/>
        <w:kern w:val="0"/>
        <w:position w:val="0"/>
        <w:sz w:val="22"/>
        <w:szCs w:val="22"/>
        <w:u w:val="none"/>
        <w:effect w:val="none"/>
        <w:vertAlign w:val="baseline"/>
      </w:rPr>
    </w:lvl>
    <w:lvl w:ilvl="3">
      <w:start w:val="1"/>
      <w:numFmt w:val="decimal"/>
      <w:lvlText w:val="%1.%2.%3.%4"/>
      <w:lvlJc w:val="left"/>
      <w:pPr>
        <w:tabs>
          <w:tab w:val="num" w:pos="2520"/>
        </w:tabs>
        <w:ind w:left="2520" w:hanging="1080"/>
      </w:pPr>
      <w:rPr>
        <w:rFonts w:asciiTheme="minorHAnsi" w:hAnsiTheme="minorHAnsi" w:cs="Times New Roman" w:hint="default"/>
        <w:b w:val="0"/>
        <w:i w:val="0"/>
        <w:caps w:val="0"/>
        <w:color w:val="000000" w:themeColor="text1"/>
        <w:sz w:val="22"/>
        <w:szCs w:val="22"/>
        <w:u w:val="none"/>
      </w:rPr>
    </w:lvl>
    <w:lvl w:ilvl="4">
      <w:start w:val="1"/>
      <w:numFmt w:val="decimal"/>
      <w:lvlText w:val="%1.%2.%3.%4.%5"/>
      <w:lvlJc w:val="left"/>
      <w:pPr>
        <w:tabs>
          <w:tab w:val="num" w:pos="3600"/>
        </w:tabs>
        <w:ind w:left="3600" w:hanging="1080"/>
      </w:pPr>
      <w:rPr>
        <w:rFonts w:asciiTheme="minorHAnsi" w:hAnsiTheme="minorHAnsi" w:cs="Times New Roman" w:hint="default"/>
        <w:b w:val="0"/>
        <w:i w:val="0"/>
        <w:caps w:val="0"/>
        <w:sz w:val="22"/>
        <w:szCs w:val="22"/>
        <w:u w:val="none"/>
      </w:rPr>
    </w:lvl>
    <w:lvl w:ilvl="5">
      <w:start w:val="1"/>
      <w:numFmt w:val="lowerLetter"/>
      <w:lvlText w:val="(%6)"/>
      <w:lvlJc w:val="left"/>
      <w:pPr>
        <w:tabs>
          <w:tab w:val="num" w:pos="3600"/>
        </w:tabs>
        <w:ind w:left="3600" w:hanging="720"/>
      </w:pPr>
      <w:rPr>
        <w:rFonts w:ascii="Times New Roman" w:hAnsi="Times New Roman" w:cs="Times New Roman" w:hint="default"/>
        <w:b w:val="0"/>
        <w:i w:val="0"/>
        <w:caps w:val="0"/>
        <w:sz w:val="24"/>
        <w:u w:val="none"/>
      </w:rPr>
    </w:lvl>
    <w:lvl w:ilvl="6">
      <w:start w:val="1"/>
      <w:numFmt w:val="lowerRoman"/>
      <w:lvlText w:val="(%7)"/>
      <w:lvlJc w:val="left"/>
      <w:pPr>
        <w:tabs>
          <w:tab w:val="num" w:pos="1440"/>
        </w:tabs>
        <w:ind w:left="1440" w:hanging="720"/>
      </w:pPr>
      <w:rPr>
        <w:rFonts w:ascii="Times New Roman" w:hAnsi="Times New Roman" w:cs="Times New Roman" w:hint="default"/>
        <w:b w:val="0"/>
        <w:i w:val="0"/>
        <w:caps w:val="0"/>
        <w:sz w:val="24"/>
        <w:u w:val="none"/>
      </w:rPr>
    </w:lvl>
    <w:lvl w:ilvl="7">
      <w:start w:val="1"/>
      <w:numFmt w:val="upperLetter"/>
      <w:lvlText w:val="(%8)"/>
      <w:lvlJc w:val="left"/>
      <w:pPr>
        <w:tabs>
          <w:tab w:val="num" w:pos="2880"/>
        </w:tabs>
        <w:ind w:left="2880" w:hanging="720"/>
      </w:pPr>
      <w:rPr>
        <w:rFonts w:ascii="Times New Roman" w:hAnsi="Times New Roman" w:cs="Times New Roman" w:hint="default"/>
        <w:b w:val="0"/>
        <w:i w:val="0"/>
        <w:caps w:val="0"/>
        <w:sz w:val="24"/>
        <w:u w:val="none"/>
      </w:rPr>
    </w:lvl>
    <w:lvl w:ilvl="8">
      <w:start w:val="1"/>
      <w:numFmt w:val="none"/>
      <w:lvlRestart w:val="0"/>
      <w:suff w:val="nothing"/>
      <w:lvlText w:val=""/>
      <w:lvlJc w:val="left"/>
      <w:rPr>
        <w:rFonts w:ascii="Times New Roman" w:hAnsi="Times New Roman" w:cs="Times New Roman" w:hint="default"/>
        <w:b w:val="0"/>
        <w:i w:val="0"/>
        <w:caps w:val="0"/>
        <w:sz w:val="24"/>
        <w:u w:val="none"/>
      </w:rPr>
    </w:lvl>
  </w:abstractNum>
  <w:abstractNum w:abstractNumId="20" w15:restartNumberingAfterBreak="0">
    <w:nsid w:val="0B346A00"/>
    <w:multiLevelType w:val="hybridMultilevel"/>
    <w:tmpl w:val="1B482146"/>
    <w:lvl w:ilvl="0" w:tplc="00F4EE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B491970"/>
    <w:multiLevelType w:val="multilevel"/>
    <w:tmpl w:val="89667812"/>
    <w:styleLink w:val="ArticleSection1"/>
    <w:lvl w:ilvl="0">
      <w:start w:val="1"/>
      <w:numFmt w:val="decimal"/>
      <w:lvlText w:val="%1."/>
      <w:lvlJc w:val="left"/>
      <w:pPr>
        <w:tabs>
          <w:tab w:val="num" w:pos="360"/>
        </w:tabs>
        <w:ind w:left="936" w:hanging="936"/>
      </w:pPr>
      <w:rPr>
        <w:rFonts w:ascii="(normal text)" w:hAnsi="(normal text)"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1">
      <w:start w:val="1"/>
      <w:numFmt w:val="decimal"/>
      <w:isLgl/>
      <w:lvlText w:val="%1.%2."/>
      <w:lvlJc w:val="left"/>
      <w:pPr>
        <w:ind w:left="936" w:hanging="936"/>
      </w:pPr>
      <w:rPr>
        <w:rFonts w:ascii="(normal text)" w:hAnsi="(normal text)"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2">
      <w:start w:val="1"/>
      <w:numFmt w:val="decimal"/>
      <w:isLgl/>
      <w:lvlText w:val="%1.%2.%3."/>
      <w:lvlJc w:val="left"/>
      <w:pPr>
        <w:ind w:left="964" w:hanging="964"/>
      </w:pPr>
      <w:rPr>
        <w:rFonts w:ascii="(normal text)" w:hAnsi="(normal text)" w:cs="Times New Roman" w:hint="default"/>
        <w:b/>
        <w:i w:val="0"/>
        <w:caps w:val="0"/>
        <w:smallCaps w:val="0"/>
        <w:strike w:val="0"/>
        <w:dstrike w:val="0"/>
        <w:vanish w:val="0"/>
        <w:color w:val="auto"/>
        <w:spacing w:val="0"/>
        <w:w w:val="100"/>
        <w:kern w:val="0"/>
        <w:position w:val="0"/>
        <w:sz w:val="22"/>
        <w:szCs w:val="22"/>
        <w:u w:val="none"/>
        <w:effect w:val="none"/>
        <w:vertAlign w:val="baseline"/>
      </w:rPr>
    </w:lvl>
    <w:lvl w:ilvl="3">
      <w:start w:val="1"/>
      <w:numFmt w:val="decimal"/>
      <w:isLgl/>
      <w:lvlText w:val="%1.%2.%3.%4."/>
      <w:lvlJc w:val="left"/>
      <w:pPr>
        <w:ind w:left="936" w:hanging="964"/>
      </w:pPr>
      <w:rPr>
        <w:rFonts w:ascii="(normal text)" w:hAnsi="(normal text)" w:cs="Times New Roman" w:hint="default"/>
        <w:b w:val="0"/>
        <w:i/>
        <w:caps w:val="0"/>
        <w:smallCaps w:val="0"/>
        <w:strike w:val="0"/>
        <w:dstrike w:val="0"/>
        <w:vanish w:val="0"/>
        <w:color w:val="auto"/>
        <w:spacing w:val="0"/>
        <w:w w:val="100"/>
        <w:kern w:val="0"/>
        <w:position w:val="0"/>
        <w:sz w:val="24"/>
        <w:szCs w:val="24"/>
        <w:u w:val="none"/>
        <w:effect w:val="none"/>
        <w:vertAlign w:val="baseline"/>
      </w:rPr>
    </w:lvl>
    <w:lvl w:ilvl="4">
      <w:start w:val="1"/>
      <w:numFmt w:val="decimal"/>
      <w:isLgl/>
      <w:lvlText w:val="%1.%2.%3.%4.%5."/>
      <w:lvlJc w:val="left"/>
      <w:pPr>
        <w:ind w:left="964" w:hanging="964"/>
      </w:pPr>
      <w:rPr>
        <w:rFonts w:ascii="(normal text)" w:hAnsi="(normal text)" w:cs="Times New Roman" w:hint="default"/>
        <w:b w:val="0"/>
        <w:i/>
        <w:caps w:val="0"/>
        <w:smallCaps w:val="0"/>
        <w:strike w:val="0"/>
        <w:dstrike w:val="0"/>
        <w:vanish w:val="0"/>
        <w:color w:val="auto"/>
        <w:spacing w:val="0"/>
        <w:w w:val="100"/>
        <w:kern w:val="0"/>
        <w:position w:val="0"/>
        <w:sz w:val="22"/>
        <w:u w:val="none"/>
        <w:effect w:val="none"/>
        <w:vertAlign w:val="baseline"/>
      </w:rPr>
    </w:lvl>
    <w:lvl w:ilvl="5">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22" w15:restartNumberingAfterBreak="0">
    <w:nsid w:val="0BCE20DB"/>
    <w:multiLevelType w:val="multilevel"/>
    <w:tmpl w:val="B95EBC64"/>
    <w:lvl w:ilvl="0">
      <w:start w:val="1"/>
      <w:numFmt w:val="upperRoman"/>
      <w:pStyle w:val="ListeIGras"/>
      <w:lvlText w:val="(%1)"/>
      <w:lvlJc w:val="left"/>
      <w:pPr>
        <w:tabs>
          <w:tab w:val="num" w:pos="851"/>
        </w:tabs>
        <w:ind w:left="851" w:hanging="851"/>
      </w:pPr>
      <w:rPr>
        <w:rFonts w:cs="Times New Roman" w:hint="default"/>
        <w:b/>
        <w:i w:val="0"/>
      </w:rPr>
    </w:lvl>
    <w:lvl w:ilvl="1">
      <w:start w:val="1"/>
      <w:numFmt w:val="lowerLetter"/>
      <w:lvlText w:val="%2."/>
      <w:lvlJc w:val="left"/>
      <w:pPr>
        <w:ind w:left="2148" w:hanging="360"/>
      </w:pPr>
      <w:rPr>
        <w:rFonts w:cs="Times New Roman" w:hint="default"/>
      </w:rPr>
    </w:lvl>
    <w:lvl w:ilvl="2">
      <w:start w:val="1"/>
      <w:numFmt w:val="lowerRoman"/>
      <w:lvlText w:val="%3."/>
      <w:lvlJc w:val="right"/>
      <w:pPr>
        <w:ind w:left="2868" w:hanging="180"/>
      </w:pPr>
      <w:rPr>
        <w:rFonts w:cs="Times New Roman" w:hint="default"/>
      </w:rPr>
    </w:lvl>
    <w:lvl w:ilvl="3">
      <w:start w:val="1"/>
      <w:numFmt w:val="decimal"/>
      <w:lvlText w:val="%4."/>
      <w:lvlJc w:val="left"/>
      <w:pPr>
        <w:ind w:left="3588" w:hanging="360"/>
      </w:pPr>
      <w:rPr>
        <w:rFonts w:cs="Times New Roman" w:hint="default"/>
      </w:rPr>
    </w:lvl>
    <w:lvl w:ilvl="4">
      <w:start w:val="1"/>
      <w:numFmt w:val="lowerLetter"/>
      <w:lvlText w:val="%5."/>
      <w:lvlJc w:val="left"/>
      <w:pPr>
        <w:ind w:left="4308" w:hanging="360"/>
      </w:pPr>
      <w:rPr>
        <w:rFonts w:cs="Times New Roman" w:hint="default"/>
      </w:rPr>
    </w:lvl>
    <w:lvl w:ilvl="5">
      <w:start w:val="1"/>
      <w:numFmt w:val="lowerRoman"/>
      <w:lvlText w:val="%6."/>
      <w:lvlJc w:val="right"/>
      <w:pPr>
        <w:ind w:left="5028" w:hanging="180"/>
      </w:pPr>
      <w:rPr>
        <w:rFonts w:cs="Times New Roman" w:hint="default"/>
      </w:rPr>
    </w:lvl>
    <w:lvl w:ilvl="6">
      <w:start w:val="1"/>
      <w:numFmt w:val="decimal"/>
      <w:lvlText w:val="%7."/>
      <w:lvlJc w:val="left"/>
      <w:pPr>
        <w:ind w:left="5748" w:hanging="360"/>
      </w:pPr>
      <w:rPr>
        <w:rFonts w:cs="Times New Roman" w:hint="default"/>
      </w:rPr>
    </w:lvl>
    <w:lvl w:ilvl="7">
      <w:start w:val="1"/>
      <w:numFmt w:val="lowerLetter"/>
      <w:lvlText w:val="%8."/>
      <w:lvlJc w:val="left"/>
      <w:pPr>
        <w:ind w:left="6468" w:hanging="360"/>
      </w:pPr>
      <w:rPr>
        <w:rFonts w:cs="Times New Roman" w:hint="default"/>
      </w:rPr>
    </w:lvl>
    <w:lvl w:ilvl="8">
      <w:start w:val="1"/>
      <w:numFmt w:val="lowerRoman"/>
      <w:lvlText w:val="%9."/>
      <w:lvlJc w:val="right"/>
      <w:pPr>
        <w:ind w:left="7188" w:hanging="180"/>
      </w:pPr>
      <w:rPr>
        <w:rFonts w:cs="Times New Roman" w:hint="default"/>
      </w:rPr>
    </w:lvl>
  </w:abstractNum>
  <w:abstractNum w:abstractNumId="23" w15:restartNumberingAfterBreak="0">
    <w:nsid w:val="0C4A1442"/>
    <w:multiLevelType w:val="hybridMultilevel"/>
    <w:tmpl w:val="DA687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DA00C0"/>
    <w:multiLevelType w:val="hybridMultilevel"/>
    <w:tmpl w:val="CA00F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F9295A"/>
    <w:multiLevelType w:val="multilevel"/>
    <w:tmpl w:val="E50EE838"/>
    <w:styleLink w:val="StyleAvecpuces11pt"/>
    <w:lvl w:ilvl="0">
      <w:start w:val="1"/>
      <w:numFmt w:val="bullet"/>
      <w:lvlText w:val=""/>
      <w:lvlJc w:val="left"/>
      <w:pPr>
        <w:tabs>
          <w:tab w:val="num" w:pos="1080"/>
        </w:tabs>
        <w:ind w:left="1080" w:hanging="360"/>
      </w:pPr>
      <w:rPr>
        <w:rFonts w:ascii="Calibri" w:hAnsi="Calibri"/>
        <w:sz w:val="22"/>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0F002908"/>
    <w:multiLevelType w:val="hybridMultilevel"/>
    <w:tmpl w:val="45BA4BE6"/>
    <w:lvl w:ilvl="0" w:tplc="40D8F91A">
      <w:start w:val="1"/>
      <w:numFmt w:val="bullet"/>
      <w:lvlText w:val=""/>
      <w:lvlJc w:val="left"/>
      <w:pPr>
        <w:ind w:left="1428" w:hanging="360"/>
      </w:pPr>
      <w:rPr>
        <w:rFonts w:ascii="Symbol" w:hAnsi="Symbol" w:hint="default"/>
        <w:color w:val="auto"/>
        <w:sz w:val="20"/>
      </w:rPr>
    </w:lvl>
    <w:lvl w:ilvl="1" w:tplc="040C0003" w:tentative="1">
      <w:start w:val="1"/>
      <w:numFmt w:val="bullet"/>
      <w:lvlText w:val="o"/>
      <w:lvlJc w:val="left"/>
      <w:pPr>
        <w:ind w:left="2148" w:hanging="360"/>
      </w:pPr>
      <w:rPr>
        <w:rFonts w:ascii="Courier New" w:hAnsi="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101773FA"/>
    <w:multiLevelType w:val="hybridMultilevel"/>
    <w:tmpl w:val="268E802A"/>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3153061"/>
    <w:multiLevelType w:val="hybridMultilevel"/>
    <w:tmpl w:val="6886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8631EA"/>
    <w:multiLevelType w:val="multilevel"/>
    <w:tmpl w:val="6966EA60"/>
    <w:lvl w:ilvl="0">
      <w:start w:val="1"/>
      <w:numFmt w:val="decimal"/>
      <w:pStyle w:val="TITREA193"/>
      <w:lvlText w:val="%1"/>
      <w:lvlJc w:val="left"/>
      <w:pPr>
        <w:tabs>
          <w:tab w:val="num" w:pos="2268"/>
        </w:tabs>
        <w:ind w:left="2268" w:hanging="510"/>
      </w:pPr>
      <w:rPr>
        <w:rFonts w:ascii="Arial" w:hAnsi="Arial" w:cs="Times New Roman" w:hint="default"/>
        <w:b w:val="0"/>
        <w:i/>
        <w:sz w:val="24"/>
      </w:rPr>
    </w:lvl>
    <w:lvl w:ilvl="1">
      <w:start w:val="1"/>
      <w:numFmt w:val="decimal"/>
      <w:lvlText w:val="%1.%2"/>
      <w:lvlJc w:val="left"/>
      <w:pPr>
        <w:tabs>
          <w:tab w:val="num" w:pos="1980"/>
        </w:tabs>
        <w:ind w:left="1980" w:hanging="705"/>
      </w:pPr>
      <w:rPr>
        <w:rFonts w:cs="Times New Roman" w:hint="default"/>
        <w:b w:val="0"/>
        <w:i w:val="0"/>
      </w:rPr>
    </w:lvl>
    <w:lvl w:ilvl="2">
      <w:start w:val="1"/>
      <w:numFmt w:val="decimal"/>
      <w:lvlText w:val="%1.%2.%3"/>
      <w:lvlJc w:val="left"/>
      <w:pPr>
        <w:tabs>
          <w:tab w:val="num" w:pos="2478"/>
        </w:tabs>
        <w:ind w:left="2268" w:hanging="510"/>
      </w:pPr>
      <w:rPr>
        <w:rFonts w:cs="Times New Roman" w:hint="default"/>
      </w:rPr>
    </w:lvl>
    <w:lvl w:ilvl="3">
      <w:start w:val="1"/>
      <w:numFmt w:val="decimal"/>
      <w:lvlText w:val="%1.%2.%3.%4"/>
      <w:lvlJc w:val="left"/>
      <w:pPr>
        <w:tabs>
          <w:tab w:val="num" w:pos="3411"/>
        </w:tabs>
        <w:ind w:left="3411" w:hanging="720"/>
      </w:pPr>
      <w:rPr>
        <w:rFonts w:cs="Times New Roman" w:hint="default"/>
      </w:rPr>
    </w:lvl>
    <w:lvl w:ilvl="4">
      <w:start w:val="1"/>
      <w:numFmt w:val="decimal"/>
      <w:lvlText w:val="%1.%2.%3.%4.%5"/>
      <w:lvlJc w:val="left"/>
      <w:pPr>
        <w:tabs>
          <w:tab w:val="num" w:pos="4479"/>
        </w:tabs>
        <w:ind w:left="4479" w:hanging="1080"/>
      </w:pPr>
      <w:rPr>
        <w:rFonts w:cs="Times New Roman" w:hint="default"/>
      </w:rPr>
    </w:lvl>
    <w:lvl w:ilvl="5">
      <w:start w:val="1"/>
      <w:numFmt w:val="decimal"/>
      <w:lvlText w:val="%1.%2.%3.%4.%5.%6"/>
      <w:lvlJc w:val="left"/>
      <w:pPr>
        <w:tabs>
          <w:tab w:val="num" w:pos="5187"/>
        </w:tabs>
        <w:ind w:left="5187" w:hanging="1080"/>
      </w:pPr>
      <w:rPr>
        <w:rFonts w:cs="Times New Roman" w:hint="default"/>
      </w:rPr>
    </w:lvl>
    <w:lvl w:ilvl="6">
      <w:start w:val="1"/>
      <w:numFmt w:val="decimal"/>
      <w:lvlText w:val="%1.%2.%3.%4.%5.%6.%7"/>
      <w:lvlJc w:val="left"/>
      <w:pPr>
        <w:tabs>
          <w:tab w:val="num" w:pos="6255"/>
        </w:tabs>
        <w:ind w:left="6255" w:hanging="1440"/>
      </w:pPr>
      <w:rPr>
        <w:rFonts w:cs="Times New Roman" w:hint="default"/>
      </w:rPr>
    </w:lvl>
    <w:lvl w:ilvl="7">
      <w:start w:val="1"/>
      <w:numFmt w:val="decimal"/>
      <w:lvlText w:val="%1.%2.%3.%4.%5.%6.%7.%8"/>
      <w:lvlJc w:val="left"/>
      <w:pPr>
        <w:tabs>
          <w:tab w:val="num" w:pos="6963"/>
        </w:tabs>
        <w:ind w:left="6963" w:hanging="1440"/>
      </w:pPr>
      <w:rPr>
        <w:rFonts w:cs="Times New Roman" w:hint="default"/>
      </w:rPr>
    </w:lvl>
    <w:lvl w:ilvl="8">
      <w:start w:val="1"/>
      <w:numFmt w:val="decimal"/>
      <w:lvlText w:val="%1.%2.%3.%4.%5.%6.%7.%8.%9"/>
      <w:lvlJc w:val="left"/>
      <w:pPr>
        <w:tabs>
          <w:tab w:val="num" w:pos="8031"/>
        </w:tabs>
        <w:ind w:left="8031" w:hanging="1800"/>
      </w:pPr>
      <w:rPr>
        <w:rFonts w:cs="Times New Roman" w:hint="default"/>
      </w:rPr>
    </w:lvl>
  </w:abstractNum>
  <w:abstractNum w:abstractNumId="30" w15:restartNumberingAfterBreak="0">
    <w:nsid w:val="149830AD"/>
    <w:multiLevelType w:val="multilevel"/>
    <w:tmpl w:val="D8F0268A"/>
    <w:lvl w:ilvl="0">
      <w:start w:val="1"/>
      <w:numFmt w:val="decimal"/>
      <w:lvlText w:val="%1."/>
      <w:lvlJc w:val="left"/>
      <w:pPr>
        <w:tabs>
          <w:tab w:val="num" w:pos="567"/>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pStyle w:val="PRt4"/>
      <w:lvlText w:val="%1.%2.%3.%4."/>
      <w:lvlJc w:val="left"/>
      <w:pPr>
        <w:tabs>
          <w:tab w:val="num" w:pos="2160"/>
        </w:tabs>
        <w:ind w:left="1728" w:hanging="648"/>
      </w:pPr>
      <w:rPr>
        <w:rFonts w:cs="Times New Roman" w:hint="default"/>
        <w:sz w:val="22"/>
        <w:szCs w:val="22"/>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1" w15:restartNumberingAfterBreak="0">
    <w:nsid w:val="14D31AE0"/>
    <w:multiLevelType w:val="hybridMultilevel"/>
    <w:tmpl w:val="6136B5D2"/>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32" w15:restartNumberingAfterBreak="0">
    <w:nsid w:val="185A62A9"/>
    <w:multiLevelType w:val="hybridMultilevel"/>
    <w:tmpl w:val="6C86DF8C"/>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8620A88"/>
    <w:multiLevelType w:val="hybridMultilevel"/>
    <w:tmpl w:val="8D86BAC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15:restartNumberingAfterBreak="0">
    <w:nsid w:val="1A560989"/>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D1A24B6"/>
    <w:multiLevelType w:val="multilevel"/>
    <w:tmpl w:val="47B699E8"/>
    <w:lvl w:ilvl="0">
      <w:start w:val="1"/>
      <w:numFmt w:val="decimal"/>
      <w:lvlText w:val="%1."/>
      <w:lvlJc w:val="left"/>
      <w:pPr>
        <w:ind w:left="720" w:hanging="360"/>
      </w:pPr>
    </w:lvl>
    <w:lvl w:ilvl="1">
      <w:start w:val="1"/>
      <w:numFmt w:val="decimal"/>
      <w:pStyle w:val="Style2"/>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D2E36A8"/>
    <w:multiLevelType w:val="hybridMultilevel"/>
    <w:tmpl w:val="8AC2C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D406530"/>
    <w:multiLevelType w:val="hybridMultilevel"/>
    <w:tmpl w:val="661EF166"/>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8" w15:restartNumberingAfterBreak="0">
    <w:nsid w:val="1E223C42"/>
    <w:multiLevelType w:val="hybridMultilevel"/>
    <w:tmpl w:val="E356F57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533E4C"/>
    <w:multiLevelType w:val="multilevel"/>
    <w:tmpl w:val="040C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0" w15:restartNumberingAfterBreak="0">
    <w:nsid w:val="21EE4FD5"/>
    <w:multiLevelType w:val="hybridMultilevel"/>
    <w:tmpl w:val="C19E5FC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DE5CC3"/>
    <w:multiLevelType w:val="hybridMultilevel"/>
    <w:tmpl w:val="C832A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2F95A8C"/>
    <w:multiLevelType w:val="hybridMultilevel"/>
    <w:tmpl w:val="3056B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3B3476"/>
    <w:multiLevelType w:val="hybridMultilevel"/>
    <w:tmpl w:val="A80EB4AE"/>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D70E22"/>
    <w:multiLevelType w:val="multilevel"/>
    <w:tmpl w:val="9C1EDA64"/>
    <w:lvl w:ilvl="0">
      <w:start w:val="11"/>
      <w:numFmt w:val="decimal"/>
      <w:lvlText w:val="%1"/>
      <w:lvlJc w:val="left"/>
      <w:pPr>
        <w:ind w:left="384" w:hanging="384"/>
      </w:pPr>
      <w:rPr>
        <w:rFonts w:hint="default"/>
      </w:rPr>
    </w:lvl>
    <w:lvl w:ilvl="1">
      <w:start w:val="1"/>
      <w:numFmt w:val="decimal"/>
      <w:lvlText w:val="%1.%2"/>
      <w:lvlJc w:val="left"/>
      <w:pPr>
        <w:ind w:left="1574" w:hanging="384"/>
      </w:pPr>
      <w:rPr>
        <w:rFonts w:hint="default"/>
      </w:rPr>
    </w:lvl>
    <w:lvl w:ilvl="2">
      <w:start w:val="1"/>
      <w:numFmt w:val="decimal"/>
      <w:lvlText w:val="%1.%2.%3"/>
      <w:lvlJc w:val="left"/>
      <w:pPr>
        <w:ind w:left="3100" w:hanging="720"/>
      </w:pPr>
      <w:rPr>
        <w:rFonts w:hint="default"/>
      </w:rPr>
    </w:lvl>
    <w:lvl w:ilvl="3">
      <w:start w:val="1"/>
      <w:numFmt w:val="decimal"/>
      <w:lvlText w:val="%1.%2.%3.%4"/>
      <w:lvlJc w:val="left"/>
      <w:pPr>
        <w:ind w:left="4290" w:hanging="720"/>
      </w:pPr>
      <w:rPr>
        <w:rFonts w:hint="default"/>
      </w:rPr>
    </w:lvl>
    <w:lvl w:ilvl="4">
      <w:start w:val="1"/>
      <w:numFmt w:val="decimal"/>
      <w:lvlText w:val="%1.%2.%3.%4.%5"/>
      <w:lvlJc w:val="left"/>
      <w:pPr>
        <w:ind w:left="5840" w:hanging="1080"/>
      </w:pPr>
      <w:rPr>
        <w:rFonts w:hint="default"/>
      </w:rPr>
    </w:lvl>
    <w:lvl w:ilvl="5">
      <w:start w:val="1"/>
      <w:numFmt w:val="decimal"/>
      <w:lvlText w:val="%1.%2.%3.%4.%5.%6"/>
      <w:lvlJc w:val="left"/>
      <w:pPr>
        <w:ind w:left="7030" w:hanging="1080"/>
      </w:pPr>
      <w:rPr>
        <w:rFonts w:hint="default"/>
      </w:rPr>
    </w:lvl>
    <w:lvl w:ilvl="6">
      <w:start w:val="1"/>
      <w:numFmt w:val="decimal"/>
      <w:lvlText w:val="%1.%2.%3.%4.%5.%6.%7"/>
      <w:lvlJc w:val="left"/>
      <w:pPr>
        <w:ind w:left="8580" w:hanging="1440"/>
      </w:pPr>
      <w:rPr>
        <w:rFonts w:hint="default"/>
      </w:rPr>
    </w:lvl>
    <w:lvl w:ilvl="7">
      <w:start w:val="1"/>
      <w:numFmt w:val="decimal"/>
      <w:lvlText w:val="%1.%2.%3.%4.%5.%6.%7.%8"/>
      <w:lvlJc w:val="left"/>
      <w:pPr>
        <w:ind w:left="9770" w:hanging="1440"/>
      </w:pPr>
      <w:rPr>
        <w:rFonts w:hint="default"/>
      </w:rPr>
    </w:lvl>
    <w:lvl w:ilvl="8">
      <w:start w:val="1"/>
      <w:numFmt w:val="decimal"/>
      <w:lvlText w:val="%1.%2.%3.%4.%5.%6.%7.%8.%9"/>
      <w:lvlJc w:val="left"/>
      <w:pPr>
        <w:ind w:left="11320" w:hanging="1800"/>
      </w:pPr>
      <w:rPr>
        <w:rFonts w:hint="default"/>
      </w:rPr>
    </w:lvl>
  </w:abstractNum>
  <w:abstractNum w:abstractNumId="45" w15:restartNumberingAfterBreak="0">
    <w:nsid w:val="2C3A6162"/>
    <w:multiLevelType w:val="hybridMultilevel"/>
    <w:tmpl w:val="578AE5EE"/>
    <w:lvl w:ilvl="0" w:tplc="1696B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DB66137"/>
    <w:multiLevelType w:val="hybridMultilevel"/>
    <w:tmpl w:val="A41AF1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E900415"/>
    <w:multiLevelType w:val="multilevel"/>
    <w:tmpl w:val="C5B694EE"/>
    <w:name w:val="zzmpBullets||Bullets|2|1|1|1|0|32||1|4|32||1|4|32||1|4|32||1|4|32||1|4|32||1|4|32||1|4|32||1|4|32||"/>
    <w:lvl w:ilvl="0">
      <w:start w:val="1"/>
      <w:numFmt w:val="bullet"/>
      <w:pStyle w:val="BulletsL1"/>
      <w:lvlText w:val=""/>
      <w:lvlJc w:val="left"/>
      <w:pPr>
        <w:tabs>
          <w:tab w:val="num" w:pos="992"/>
        </w:tabs>
        <w:ind w:left="992" w:hanging="992"/>
      </w:pPr>
      <w:rPr>
        <w:rFonts w:ascii="Wingdings" w:hAnsi="Wingdings" w:hint="default"/>
        <w:b w:val="0"/>
        <w:i w:val="0"/>
        <w:caps/>
        <w:smallCaps w:val="0"/>
        <w:u w:val="none"/>
      </w:rPr>
    </w:lvl>
    <w:lvl w:ilvl="1">
      <w:start w:val="1"/>
      <w:numFmt w:val="bullet"/>
      <w:pStyle w:val="BulletsL2"/>
      <w:lvlText w:val=""/>
      <w:lvlJc w:val="left"/>
      <w:pPr>
        <w:tabs>
          <w:tab w:val="num" w:pos="1985"/>
        </w:tabs>
        <w:ind w:left="1985" w:hanging="993"/>
      </w:pPr>
      <w:rPr>
        <w:rFonts w:ascii="Wingdings" w:hAnsi="Wingdings" w:hint="default"/>
        <w:b w:val="0"/>
        <w:i w:val="0"/>
        <w:caps w:val="0"/>
        <w:u w:val="none"/>
      </w:rPr>
    </w:lvl>
    <w:lvl w:ilvl="2">
      <w:start w:val="1"/>
      <w:numFmt w:val="bullet"/>
      <w:lvlRestart w:val="0"/>
      <w:pStyle w:val="BulletsL3"/>
      <w:lvlText w:val="·"/>
      <w:lvlJc w:val="left"/>
      <w:pPr>
        <w:tabs>
          <w:tab w:val="num" w:pos="2977"/>
        </w:tabs>
        <w:ind w:left="2977" w:hanging="992"/>
      </w:pPr>
      <w:rPr>
        <w:rFonts w:ascii="Symbol" w:hAnsi="Symbol" w:hint="default"/>
        <w:b w:val="0"/>
        <w:i w:val="0"/>
        <w:caps w:val="0"/>
        <w:u w:val="none"/>
      </w:rPr>
    </w:lvl>
    <w:lvl w:ilvl="3">
      <w:start w:val="1"/>
      <w:numFmt w:val="bullet"/>
      <w:lvlRestart w:val="0"/>
      <w:pStyle w:val="BulletsL4"/>
      <w:lvlText w:val="·"/>
      <w:lvlJc w:val="left"/>
      <w:pPr>
        <w:tabs>
          <w:tab w:val="num" w:pos="3969"/>
        </w:tabs>
        <w:ind w:left="3969" w:hanging="992"/>
      </w:pPr>
      <w:rPr>
        <w:rFonts w:ascii="Symbol" w:hAnsi="Symbol" w:hint="default"/>
        <w:b w:val="0"/>
        <w:i w:val="0"/>
        <w:caps w:val="0"/>
        <w:u w:val="none"/>
      </w:rPr>
    </w:lvl>
    <w:lvl w:ilvl="4">
      <w:start w:val="1"/>
      <w:numFmt w:val="bullet"/>
      <w:lvlRestart w:val="0"/>
      <w:pStyle w:val="BulletsL5"/>
      <w:lvlText w:val="·"/>
      <w:lvlJc w:val="left"/>
      <w:pPr>
        <w:tabs>
          <w:tab w:val="num" w:pos="4961"/>
        </w:tabs>
        <w:ind w:left="4961" w:hanging="992"/>
      </w:pPr>
      <w:rPr>
        <w:rFonts w:ascii="Symbol" w:hAnsi="Symbol" w:hint="default"/>
        <w:b w:val="0"/>
        <w:i w:val="0"/>
        <w:caps w:val="0"/>
        <w:u w:val="none"/>
      </w:rPr>
    </w:lvl>
    <w:lvl w:ilvl="5">
      <w:start w:val="1"/>
      <w:numFmt w:val="bullet"/>
      <w:lvlRestart w:val="0"/>
      <w:pStyle w:val="BulletsL6"/>
      <w:lvlText w:val="·"/>
      <w:lvlJc w:val="left"/>
      <w:pPr>
        <w:tabs>
          <w:tab w:val="num" w:pos="5954"/>
        </w:tabs>
        <w:ind w:left="5954" w:hanging="993"/>
      </w:pPr>
      <w:rPr>
        <w:rFonts w:ascii="Symbol" w:hAnsi="Symbol" w:hint="default"/>
        <w:b w:val="0"/>
        <w:i w:val="0"/>
        <w:caps w:val="0"/>
        <w:u w:val="none"/>
      </w:rPr>
    </w:lvl>
    <w:lvl w:ilvl="6">
      <w:start w:val="1"/>
      <w:numFmt w:val="bullet"/>
      <w:lvlRestart w:val="0"/>
      <w:pStyle w:val="BulletsL7"/>
      <w:lvlText w:val="–"/>
      <w:lvlJc w:val="left"/>
      <w:pPr>
        <w:tabs>
          <w:tab w:val="num" w:pos="992"/>
        </w:tabs>
        <w:ind w:left="992" w:hanging="992"/>
      </w:pPr>
      <w:rPr>
        <w:rFonts w:ascii="Calibri" w:hAnsi="Calibri" w:hint="default"/>
        <w:b w:val="0"/>
        <w:i w:val="0"/>
        <w:caps w:val="0"/>
        <w:u w:val="none"/>
      </w:rPr>
    </w:lvl>
    <w:lvl w:ilvl="7">
      <w:start w:val="1"/>
      <w:numFmt w:val="bullet"/>
      <w:lvlRestart w:val="0"/>
      <w:pStyle w:val="BulletsL8"/>
      <w:lvlText w:val="–"/>
      <w:lvlJc w:val="left"/>
      <w:pPr>
        <w:tabs>
          <w:tab w:val="num" w:pos="1985"/>
        </w:tabs>
        <w:ind w:left="1985" w:hanging="993"/>
      </w:pPr>
      <w:rPr>
        <w:rFonts w:ascii="Calibri" w:hAnsi="Calibri" w:hint="default"/>
        <w:b w:val="0"/>
        <w:i w:val="0"/>
        <w:caps w:val="0"/>
        <w:u w:val="none"/>
      </w:rPr>
    </w:lvl>
    <w:lvl w:ilvl="8">
      <w:start w:val="1"/>
      <w:numFmt w:val="bullet"/>
      <w:lvlRestart w:val="0"/>
      <w:pStyle w:val="BulletsL9"/>
      <w:lvlText w:val="–"/>
      <w:lvlJc w:val="left"/>
      <w:pPr>
        <w:tabs>
          <w:tab w:val="num" w:pos="2977"/>
        </w:tabs>
        <w:ind w:left="2977" w:hanging="992"/>
      </w:pPr>
      <w:rPr>
        <w:rFonts w:ascii="Calibri" w:hAnsi="Calibri" w:hint="default"/>
        <w:b w:val="0"/>
        <w:i w:val="0"/>
        <w:caps w:val="0"/>
        <w:u w:val="none"/>
      </w:rPr>
    </w:lvl>
  </w:abstractNum>
  <w:abstractNum w:abstractNumId="48" w15:restartNumberingAfterBreak="0">
    <w:nsid w:val="2F5043D2"/>
    <w:multiLevelType w:val="hybridMultilevel"/>
    <w:tmpl w:val="49EEB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F964734"/>
    <w:multiLevelType w:val="hybridMultilevel"/>
    <w:tmpl w:val="9334AE4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A761FE"/>
    <w:multiLevelType w:val="multilevel"/>
    <w:tmpl w:val="E466AE46"/>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3"/>
        </w:tabs>
        <w:ind w:left="1413" w:hanging="705"/>
      </w:pPr>
      <w:rPr>
        <w:rFonts w:cs="Times New Roman" w:hint="default"/>
        <w:b w:val="0"/>
        <w:i w:val="0"/>
      </w:rPr>
    </w:lvl>
    <w:lvl w:ilvl="2">
      <w:start w:val="1"/>
      <w:numFmt w:val="decimal"/>
      <w:lvlText w:val="%1.%2.%3"/>
      <w:lvlJc w:val="left"/>
      <w:pPr>
        <w:tabs>
          <w:tab w:val="num" w:pos="2136"/>
        </w:tabs>
        <w:ind w:left="2136" w:hanging="720"/>
      </w:pPr>
      <w:rPr>
        <w:rFonts w:cs="Times New Roman" w:hint="default"/>
      </w:rPr>
    </w:lvl>
    <w:lvl w:ilvl="3">
      <w:start w:val="1"/>
      <w:numFmt w:val="decimal"/>
      <w:pStyle w:val="font5"/>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51" w15:restartNumberingAfterBreak="0">
    <w:nsid w:val="319C6513"/>
    <w:multiLevelType w:val="hybridMultilevel"/>
    <w:tmpl w:val="922C2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2023BE9"/>
    <w:multiLevelType w:val="hybridMultilevel"/>
    <w:tmpl w:val="14902148"/>
    <w:lvl w:ilvl="0" w:tplc="D270BAA4">
      <w:start w:val="1"/>
      <w:numFmt w:val="bullet"/>
      <w:lvlText w:val="►"/>
      <w:lvlJc w:val="left"/>
      <w:pPr>
        <w:ind w:left="360" w:hanging="360"/>
      </w:pPr>
      <w:rPr>
        <w:rFonts w:ascii="Arial Narrow" w:hAnsi="Arial Narrow" w:hint="default"/>
        <w:color w:val="4F81BD"/>
      </w:rPr>
    </w:lvl>
    <w:lvl w:ilvl="1" w:tplc="040C0003">
      <w:start w:val="1"/>
      <w:numFmt w:val="bullet"/>
      <w:pStyle w:val="DDBBullet2"/>
      <w:lvlText w:val="–"/>
      <w:lvlJc w:val="left"/>
      <w:pPr>
        <w:ind w:left="1080" w:hanging="360"/>
      </w:pPr>
      <w:rPr>
        <w:rFonts w:ascii="Arial" w:hAnsi="Arial" w:hint="default"/>
        <w:color w:val="0070C0"/>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32FC25D3"/>
    <w:multiLevelType w:val="hybridMultilevel"/>
    <w:tmpl w:val="94343C26"/>
    <w:lvl w:ilvl="0" w:tplc="3A7636EA">
      <w:start w:val="1"/>
      <w:numFmt w:val="bullet"/>
      <w:pStyle w:val="COVER-Bullet1"/>
      <w:lvlText w:val="►"/>
      <w:lvlJc w:val="left"/>
      <w:pPr>
        <w:ind w:left="720" w:hanging="360"/>
      </w:pPr>
      <w:rPr>
        <w:rFonts w:ascii="Arial Narrow" w:hAnsi="Arial Narrow" w:hint="default"/>
        <w:color w:val="4F81BD"/>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7950F23"/>
    <w:multiLevelType w:val="hybridMultilevel"/>
    <w:tmpl w:val="BC9E8A2A"/>
    <w:lvl w:ilvl="0" w:tplc="403A60C2">
      <w:start w:val="1"/>
      <w:numFmt w:val="bullet"/>
      <w:pStyle w:val="Listepuces3"/>
      <w:lvlText w:val=""/>
      <w:lvlJc w:val="left"/>
      <w:pPr>
        <w:ind w:left="1911" w:hanging="360"/>
      </w:pPr>
      <w:rPr>
        <w:rFonts w:ascii="Wingdings" w:hAnsi="Wingdings" w:hint="default"/>
        <w:color w:val="000080"/>
      </w:rPr>
    </w:lvl>
    <w:lvl w:ilvl="1" w:tplc="04090003" w:tentative="1">
      <w:start w:val="1"/>
      <w:numFmt w:val="bullet"/>
      <w:lvlText w:val="o"/>
      <w:lvlJc w:val="left"/>
      <w:pPr>
        <w:ind w:left="2631" w:hanging="360"/>
      </w:pPr>
      <w:rPr>
        <w:rFonts w:ascii="Courier New" w:hAnsi="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55" w15:restartNumberingAfterBreak="0">
    <w:nsid w:val="394F4982"/>
    <w:multiLevelType w:val="hybridMultilevel"/>
    <w:tmpl w:val="9DEA808A"/>
    <w:lvl w:ilvl="0" w:tplc="75EEB83A">
      <w:start w:val="799"/>
      <w:numFmt w:val="bullet"/>
      <w:lvlText w:val="-"/>
      <w:lvlJc w:val="left"/>
      <w:pPr>
        <w:ind w:left="720" w:hanging="360"/>
      </w:pPr>
      <w:rPr>
        <w:rFonts w:ascii="DilleniaUPC" w:eastAsia="Times New Roman" w:hAnsi="DilleniaUP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C573F2"/>
    <w:multiLevelType w:val="hybridMultilevel"/>
    <w:tmpl w:val="BB903DAA"/>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AAA5813"/>
    <w:multiLevelType w:val="hybridMultilevel"/>
    <w:tmpl w:val="E428800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B863A26"/>
    <w:multiLevelType w:val="hybridMultilevel"/>
    <w:tmpl w:val="F7F8A49A"/>
    <w:lvl w:ilvl="0" w:tplc="4CFE0D2A">
      <w:numFmt w:val="bullet"/>
      <w:lvlText w:val="-"/>
      <w:lvlJc w:val="left"/>
      <w:pPr>
        <w:ind w:left="720" w:hanging="360"/>
      </w:pPr>
      <w:rPr>
        <w:rFonts w:ascii="Times New Roman" w:hAnsi="Times New Roman"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DF636A4"/>
    <w:multiLevelType w:val="hybridMultilevel"/>
    <w:tmpl w:val="C824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1568D5"/>
    <w:multiLevelType w:val="hybridMultilevel"/>
    <w:tmpl w:val="ED045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E8F26C2"/>
    <w:multiLevelType w:val="hybridMultilevel"/>
    <w:tmpl w:val="29228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EAC03EF"/>
    <w:multiLevelType w:val="hybridMultilevel"/>
    <w:tmpl w:val="14C645C8"/>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63" w15:restartNumberingAfterBreak="0">
    <w:nsid w:val="40745AEE"/>
    <w:multiLevelType w:val="hybridMultilevel"/>
    <w:tmpl w:val="2A94E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1A87DB0"/>
    <w:multiLevelType w:val="hybridMultilevel"/>
    <w:tmpl w:val="49CC7EEA"/>
    <w:lvl w:ilvl="0" w:tplc="040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B911CF"/>
    <w:multiLevelType w:val="hybridMultilevel"/>
    <w:tmpl w:val="A802F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5546CA6"/>
    <w:multiLevelType w:val="hybridMultilevel"/>
    <w:tmpl w:val="1102D944"/>
    <w:lvl w:ilvl="0" w:tplc="B7689B08">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7420547"/>
    <w:multiLevelType w:val="hybridMultilevel"/>
    <w:tmpl w:val="4B9AA420"/>
    <w:lvl w:ilvl="0" w:tplc="040C0001">
      <w:start w:val="1"/>
      <w:numFmt w:val="bullet"/>
      <w:lvlText w:val=""/>
      <w:lvlJc w:val="left"/>
      <w:pPr>
        <w:ind w:left="706" w:hanging="360"/>
      </w:pPr>
      <w:rPr>
        <w:rFonts w:ascii="Symbol" w:hAnsi="Symbol" w:hint="default"/>
      </w:rPr>
    </w:lvl>
    <w:lvl w:ilvl="1" w:tplc="040C0003">
      <w:start w:val="1"/>
      <w:numFmt w:val="bullet"/>
      <w:lvlText w:val="o"/>
      <w:lvlJc w:val="left"/>
      <w:pPr>
        <w:ind w:left="1426" w:hanging="360"/>
      </w:pPr>
      <w:rPr>
        <w:rFonts w:ascii="Courier New" w:hAnsi="Courier New" w:hint="default"/>
      </w:rPr>
    </w:lvl>
    <w:lvl w:ilvl="2" w:tplc="040C0005">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68" w15:restartNumberingAfterBreak="0">
    <w:nsid w:val="47722FC1"/>
    <w:multiLevelType w:val="hybridMultilevel"/>
    <w:tmpl w:val="6E0070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78E5C97"/>
    <w:multiLevelType w:val="multilevel"/>
    <w:tmpl w:val="3FEE1BB4"/>
    <w:lvl w:ilvl="0">
      <w:start w:val="1"/>
      <w:numFmt w:val="decimal"/>
      <w:pStyle w:val="MMTopic1"/>
      <w:suff w:val="space"/>
      <w:lvlText w:val="%1"/>
      <w:lvlJc w:val="left"/>
      <w:rPr>
        <w:rFonts w:cs="Times New Roman"/>
      </w:rPr>
    </w:lvl>
    <w:lvl w:ilvl="1">
      <w:start w:val="1"/>
      <w:numFmt w:val="decimal"/>
      <w:pStyle w:val="MMTopic2"/>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decimal"/>
      <w:pStyle w:val="MMTopic5"/>
      <w:suff w:val="space"/>
      <w:lvlText w:val="%1.%2.%3.%4.%5"/>
      <w:lvlJc w:val="left"/>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0" w15:restartNumberingAfterBreak="0">
    <w:nsid w:val="4A684665"/>
    <w:multiLevelType w:val="hybridMultilevel"/>
    <w:tmpl w:val="9250A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A992447"/>
    <w:multiLevelType w:val="hybridMultilevel"/>
    <w:tmpl w:val="EFDC6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090666"/>
    <w:multiLevelType w:val="hybridMultilevel"/>
    <w:tmpl w:val="909EA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D1439EE"/>
    <w:multiLevelType w:val="multilevel"/>
    <w:tmpl w:val="28465462"/>
    <w:lvl w:ilvl="0">
      <w:start w:val="1"/>
      <w:numFmt w:val="decimal"/>
      <w:pStyle w:val="TITREA192"/>
      <w:lvlText w:val="%1"/>
      <w:lvlJc w:val="left"/>
      <w:pPr>
        <w:tabs>
          <w:tab w:val="num" w:pos="1272"/>
        </w:tabs>
        <w:ind w:left="1272" w:hanging="705"/>
      </w:pPr>
      <w:rPr>
        <w:rFonts w:cs="Times New Roman" w:hint="default"/>
      </w:rPr>
    </w:lvl>
    <w:lvl w:ilvl="1">
      <w:start w:val="1"/>
      <w:numFmt w:val="decimal"/>
      <w:lvlText w:val="%1.%2"/>
      <w:lvlJc w:val="left"/>
      <w:pPr>
        <w:tabs>
          <w:tab w:val="num" w:pos="1980"/>
        </w:tabs>
        <w:ind w:left="1980" w:hanging="705"/>
      </w:pPr>
      <w:rPr>
        <w:rFonts w:cs="Times New Roman" w:hint="default"/>
        <w:b w:val="0"/>
        <w:i w:val="0"/>
      </w:rPr>
    </w:lvl>
    <w:lvl w:ilvl="2">
      <w:start w:val="1"/>
      <w:numFmt w:val="decimal"/>
      <w:lvlText w:val="%1.%2.%3"/>
      <w:lvlJc w:val="left"/>
      <w:pPr>
        <w:tabs>
          <w:tab w:val="num" w:pos="2703"/>
        </w:tabs>
        <w:ind w:left="2703" w:hanging="720"/>
      </w:pPr>
      <w:rPr>
        <w:rFonts w:cs="Times New Roman" w:hint="default"/>
      </w:rPr>
    </w:lvl>
    <w:lvl w:ilvl="3">
      <w:start w:val="1"/>
      <w:numFmt w:val="decimal"/>
      <w:lvlText w:val="%1.%2.%3.%4"/>
      <w:lvlJc w:val="left"/>
      <w:pPr>
        <w:tabs>
          <w:tab w:val="num" w:pos="3411"/>
        </w:tabs>
        <w:ind w:left="3411" w:hanging="720"/>
      </w:pPr>
      <w:rPr>
        <w:rFonts w:cs="Times New Roman" w:hint="default"/>
      </w:rPr>
    </w:lvl>
    <w:lvl w:ilvl="4">
      <w:start w:val="1"/>
      <w:numFmt w:val="decimal"/>
      <w:lvlText w:val="%1.%2.%3.%4.%5"/>
      <w:lvlJc w:val="left"/>
      <w:pPr>
        <w:tabs>
          <w:tab w:val="num" w:pos="4479"/>
        </w:tabs>
        <w:ind w:left="4479" w:hanging="1080"/>
      </w:pPr>
      <w:rPr>
        <w:rFonts w:cs="Times New Roman" w:hint="default"/>
      </w:rPr>
    </w:lvl>
    <w:lvl w:ilvl="5">
      <w:start w:val="1"/>
      <w:numFmt w:val="decimal"/>
      <w:lvlText w:val="%1.%2.%3.%4.%5.%6"/>
      <w:lvlJc w:val="left"/>
      <w:pPr>
        <w:tabs>
          <w:tab w:val="num" w:pos="5187"/>
        </w:tabs>
        <w:ind w:left="5187" w:hanging="1080"/>
      </w:pPr>
      <w:rPr>
        <w:rFonts w:cs="Times New Roman" w:hint="default"/>
      </w:rPr>
    </w:lvl>
    <w:lvl w:ilvl="6">
      <w:start w:val="1"/>
      <w:numFmt w:val="decimal"/>
      <w:lvlText w:val="%1.%2.%3.%4.%5.%6.%7"/>
      <w:lvlJc w:val="left"/>
      <w:pPr>
        <w:tabs>
          <w:tab w:val="num" w:pos="6255"/>
        </w:tabs>
        <w:ind w:left="6255" w:hanging="1440"/>
      </w:pPr>
      <w:rPr>
        <w:rFonts w:cs="Times New Roman" w:hint="default"/>
      </w:rPr>
    </w:lvl>
    <w:lvl w:ilvl="7">
      <w:start w:val="1"/>
      <w:numFmt w:val="decimal"/>
      <w:lvlText w:val="%1.%2.%3.%4.%5.%6.%7.%8"/>
      <w:lvlJc w:val="left"/>
      <w:pPr>
        <w:tabs>
          <w:tab w:val="num" w:pos="6963"/>
        </w:tabs>
        <w:ind w:left="6963" w:hanging="1440"/>
      </w:pPr>
      <w:rPr>
        <w:rFonts w:cs="Times New Roman" w:hint="default"/>
      </w:rPr>
    </w:lvl>
    <w:lvl w:ilvl="8">
      <w:start w:val="1"/>
      <w:numFmt w:val="decimal"/>
      <w:lvlText w:val="%1.%2.%3.%4.%5.%6.%7.%8.%9"/>
      <w:lvlJc w:val="left"/>
      <w:pPr>
        <w:tabs>
          <w:tab w:val="num" w:pos="8031"/>
        </w:tabs>
        <w:ind w:left="8031" w:hanging="1800"/>
      </w:pPr>
      <w:rPr>
        <w:rFonts w:cs="Times New Roman" w:hint="default"/>
      </w:rPr>
    </w:lvl>
  </w:abstractNum>
  <w:abstractNum w:abstractNumId="74" w15:restartNumberingAfterBreak="0">
    <w:nsid w:val="507279FE"/>
    <w:multiLevelType w:val="multilevel"/>
    <w:tmpl w:val="422CE14A"/>
    <w:styleLink w:val="StyleAvecpuces3"/>
    <w:lvl w:ilvl="0">
      <w:start w:val="18"/>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1381AAD"/>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2041B82"/>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15:restartNumberingAfterBreak="0">
    <w:nsid w:val="537F65CA"/>
    <w:multiLevelType w:val="hybridMultilevel"/>
    <w:tmpl w:val="78D066B6"/>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55C6779"/>
    <w:multiLevelType w:val="hybridMultilevel"/>
    <w:tmpl w:val="B5B8DFEA"/>
    <w:lvl w:ilvl="0" w:tplc="F604B560">
      <w:start w:val="1"/>
      <w:numFmt w:val="decimal"/>
      <w:lvlText w:val="(%1)"/>
      <w:lvlJc w:val="left"/>
      <w:pPr>
        <w:ind w:left="720" w:hanging="360"/>
      </w:pPr>
      <w:rPr>
        <w:rFonts w:hint="default"/>
        <w:i/>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0B7B4A"/>
    <w:multiLevelType w:val="hybridMultilevel"/>
    <w:tmpl w:val="14FA292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9170AA9"/>
    <w:multiLevelType w:val="hybridMultilevel"/>
    <w:tmpl w:val="2E840492"/>
    <w:lvl w:ilvl="0" w:tplc="040C0001">
      <w:start w:val="1"/>
      <w:numFmt w:val="bullet"/>
      <w:lvlText w:val=""/>
      <w:lvlJc w:val="left"/>
      <w:pPr>
        <w:tabs>
          <w:tab w:val="num" w:pos="706"/>
        </w:tabs>
        <w:ind w:left="706" w:hanging="360"/>
      </w:pPr>
      <w:rPr>
        <w:rFonts w:ascii="Symbol" w:hAnsi="Symbol" w:hint="default"/>
      </w:rPr>
    </w:lvl>
    <w:lvl w:ilvl="1" w:tplc="040C0003">
      <w:start w:val="1"/>
      <w:numFmt w:val="bullet"/>
      <w:lvlText w:val="o"/>
      <w:lvlJc w:val="left"/>
      <w:pPr>
        <w:ind w:left="1426" w:hanging="360"/>
      </w:pPr>
      <w:rPr>
        <w:rFonts w:ascii="Courier New" w:hAnsi="Courier New" w:hint="default"/>
      </w:rPr>
    </w:lvl>
    <w:lvl w:ilvl="2" w:tplc="040C0005">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81" w15:restartNumberingAfterBreak="0">
    <w:nsid w:val="5A9844A1"/>
    <w:multiLevelType w:val="hybridMultilevel"/>
    <w:tmpl w:val="B614C5E8"/>
    <w:lvl w:ilvl="0" w:tplc="DF1244DA">
      <w:start w:val="1"/>
      <w:numFmt w:val="bullet"/>
      <w:pStyle w:val="Hyphen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1207F4"/>
    <w:multiLevelType w:val="hybridMultilevel"/>
    <w:tmpl w:val="7988C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BEF1B97"/>
    <w:multiLevelType w:val="hybridMultilevel"/>
    <w:tmpl w:val="6FC40EEE"/>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84" w15:restartNumberingAfterBreak="0">
    <w:nsid w:val="5CB13EDB"/>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EF93CCD"/>
    <w:multiLevelType w:val="hybridMultilevel"/>
    <w:tmpl w:val="D3AC0230"/>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6" w15:restartNumberingAfterBreak="0">
    <w:nsid w:val="5F80029D"/>
    <w:multiLevelType w:val="hybridMultilevel"/>
    <w:tmpl w:val="0F4AE5E4"/>
    <w:lvl w:ilvl="0" w:tplc="FC0CEA3C">
      <w:start w:val="1"/>
      <w:numFmt w:val="bullet"/>
      <w:lvlText w:val=""/>
      <w:lvlJc w:val="left"/>
      <w:pPr>
        <w:ind w:left="1211" w:hanging="360"/>
      </w:pPr>
      <w:rPr>
        <w:rFonts w:ascii="Symbol" w:hAnsi="Symbol" w:hint="default"/>
        <w:sz w:val="20"/>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87" w15:restartNumberingAfterBreak="0">
    <w:nsid w:val="60375B82"/>
    <w:multiLevelType w:val="hybridMultilevel"/>
    <w:tmpl w:val="95F45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36F6129"/>
    <w:multiLevelType w:val="hybridMultilevel"/>
    <w:tmpl w:val="3600EFDC"/>
    <w:lvl w:ilvl="0" w:tplc="816806B4">
      <w:start w:val="1"/>
      <w:numFmt w:val="bullet"/>
      <w:pStyle w:val="ListParagraph1"/>
      <w:lvlText w:val=""/>
      <w:lvlJc w:val="left"/>
      <w:pPr>
        <w:tabs>
          <w:tab w:val="num" w:pos="720"/>
        </w:tabs>
        <w:ind w:left="720" w:hanging="72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3C4348F"/>
    <w:multiLevelType w:val="hybridMultilevel"/>
    <w:tmpl w:val="FC74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3C7FB9"/>
    <w:multiLevelType w:val="hybridMultilevel"/>
    <w:tmpl w:val="5B8EB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98C6E45"/>
    <w:multiLevelType w:val="hybridMultilevel"/>
    <w:tmpl w:val="5232A8AC"/>
    <w:lvl w:ilvl="0" w:tplc="040C0001">
      <w:start w:val="1"/>
      <w:numFmt w:val="bullet"/>
      <w:lvlText w:val=""/>
      <w:lvlJc w:val="left"/>
      <w:pPr>
        <w:ind w:left="720" w:hanging="360"/>
      </w:pPr>
      <w:rPr>
        <w:rFonts w:ascii="Symbol" w:hAnsi="Symbol" w:hint="default"/>
        <w:color w:val="auto"/>
      </w:rPr>
    </w:lvl>
    <w:lvl w:ilvl="1" w:tplc="3B4AFB60">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A5510F9"/>
    <w:multiLevelType w:val="multilevel"/>
    <w:tmpl w:val="50A68586"/>
    <w:styleLink w:val="StyleAvecpuces"/>
    <w:lvl w:ilvl="0">
      <w:numFmt w:val="bullet"/>
      <w:lvlText w:val="-"/>
      <w:lvlJc w:val="left"/>
      <w:pPr>
        <w:tabs>
          <w:tab w:val="num" w:pos="720"/>
        </w:tabs>
        <w:ind w:left="720" w:hanging="360"/>
      </w:pPr>
      <w:rPr>
        <w:rFonts w:ascii="Calibri" w:hAnsi="Calibri"/>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C41510D"/>
    <w:multiLevelType w:val="hybridMultilevel"/>
    <w:tmpl w:val="31D64C20"/>
    <w:lvl w:ilvl="0" w:tplc="0774342A">
      <w:numFmt w:val="bullet"/>
      <w:lvlText w:val="-"/>
      <w:lvlJc w:val="left"/>
      <w:pPr>
        <w:ind w:left="1428" w:hanging="360"/>
      </w:pPr>
      <w:rPr>
        <w:rFonts w:ascii="Times New Roman" w:hAnsi="Times New Roman" w:hint="default"/>
        <w: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4" w15:restartNumberingAfterBreak="0">
    <w:nsid w:val="6C582928"/>
    <w:multiLevelType w:val="hybridMultilevel"/>
    <w:tmpl w:val="46B03C8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C5E196B"/>
    <w:multiLevelType w:val="hybridMultilevel"/>
    <w:tmpl w:val="B6B4B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C7056BD"/>
    <w:multiLevelType w:val="hybridMultilevel"/>
    <w:tmpl w:val="9EC6BAA2"/>
    <w:lvl w:ilvl="0" w:tplc="841A521A">
      <w:start w:val="1"/>
      <w:numFmt w:val="bullet"/>
      <w:lvlText w:val="-"/>
      <w:lvlJc w:val="left"/>
      <w:pPr>
        <w:ind w:left="720" w:hanging="360"/>
      </w:pPr>
      <w:rPr>
        <w:rFonts w:ascii="Calibri" w:eastAsia="Times New Roman" w:hAnsi="Calibri" w:cs="Calibri" w:hint="default"/>
        <w:color w:val="auto"/>
      </w:rPr>
    </w:lvl>
    <w:lvl w:ilvl="1" w:tplc="3B4AFB60">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D925A01"/>
    <w:multiLevelType w:val="hybridMultilevel"/>
    <w:tmpl w:val="636EE71C"/>
    <w:lvl w:ilvl="0" w:tplc="B01827AC">
      <w:start w:val="1"/>
      <w:numFmt w:val="lowerLetter"/>
      <w:pStyle w:val="soustitrea"/>
      <w:lvlText w:val="%1)"/>
      <w:lvlJc w:val="left"/>
      <w:pPr>
        <w:tabs>
          <w:tab w:val="num" w:pos="1304"/>
        </w:tabs>
        <w:ind w:left="1304" w:hanging="453"/>
      </w:pPr>
      <w:rPr>
        <w:rFonts w:ascii="Tahoma" w:hAnsi="Tahoma" w:cs="Times New Roman" w:hint="default"/>
        <w:b/>
        <w:i w:val="0"/>
        <w:sz w:val="20"/>
      </w:rPr>
    </w:lvl>
    <w:lvl w:ilvl="1" w:tplc="677A3D3A" w:tentative="1">
      <w:start w:val="1"/>
      <w:numFmt w:val="lowerLetter"/>
      <w:lvlText w:val="%2."/>
      <w:lvlJc w:val="left"/>
      <w:pPr>
        <w:tabs>
          <w:tab w:val="num" w:pos="1043"/>
        </w:tabs>
        <w:ind w:left="1043" w:hanging="360"/>
      </w:pPr>
      <w:rPr>
        <w:rFonts w:cs="Times New Roman"/>
      </w:rPr>
    </w:lvl>
    <w:lvl w:ilvl="2" w:tplc="4306BD78" w:tentative="1">
      <w:start w:val="1"/>
      <w:numFmt w:val="lowerRoman"/>
      <w:lvlText w:val="%3."/>
      <w:lvlJc w:val="right"/>
      <w:pPr>
        <w:tabs>
          <w:tab w:val="num" w:pos="1763"/>
        </w:tabs>
        <w:ind w:left="1763" w:hanging="180"/>
      </w:pPr>
      <w:rPr>
        <w:rFonts w:cs="Times New Roman"/>
      </w:rPr>
    </w:lvl>
    <w:lvl w:ilvl="3" w:tplc="3F9C901C" w:tentative="1">
      <w:start w:val="1"/>
      <w:numFmt w:val="decimal"/>
      <w:lvlText w:val="%4."/>
      <w:lvlJc w:val="left"/>
      <w:pPr>
        <w:tabs>
          <w:tab w:val="num" w:pos="2483"/>
        </w:tabs>
        <w:ind w:left="2483" w:hanging="360"/>
      </w:pPr>
      <w:rPr>
        <w:rFonts w:cs="Times New Roman"/>
      </w:rPr>
    </w:lvl>
    <w:lvl w:ilvl="4" w:tplc="091E40DA" w:tentative="1">
      <w:start w:val="1"/>
      <w:numFmt w:val="lowerLetter"/>
      <w:lvlText w:val="%5."/>
      <w:lvlJc w:val="left"/>
      <w:pPr>
        <w:tabs>
          <w:tab w:val="num" w:pos="3203"/>
        </w:tabs>
        <w:ind w:left="3203" w:hanging="360"/>
      </w:pPr>
      <w:rPr>
        <w:rFonts w:cs="Times New Roman"/>
      </w:rPr>
    </w:lvl>
    <w:lvl w:ilvl="5" w:tplc="5E3EDB94" w:tentative="1">
      <w:start w:val="1"/>
      <w:numFmt w:val="lowerRoman"/>
      <w:lvlText w:val="%6."/>
      <w:lvlJc w:val="right"/>
      <w:pPr>
        <w:tabs>
          <w:tab w:val="num" w:pos="3923"/>
        </w:tabs>
        <w:ind w:left="3923" w:hanging="180"/>
      </w:pPr>
      <w:rPr>
        <w:rFonts w:cs="Times New Roman"/>
      </w:rPr>
    </w:lvl>
    <w:lvl w:ilvl="6" w:tplc="43F6C9C4" w:tentative="1">
      <w:start w:val="1"/>
      <w:numFmt w:val="decimal"/>
      <w:lvlText w:val="%7."/>
      <w:lvlJc w:val="left"/>
      <w:pPr>
        <w:tabs>
          <w:tab w:val="num" w:pos="4643"/>
        </w:tabs>
        <w:ind w:left="4643" w:hanging="360"/>
      </w:pPr>
      <w:rPr>
        <w:rFonts w:cs="Times New Roman"/>
      </w:rPr>
    </w:lvl>
    <w:lvl w:ilvl="7" w:tplc="0E5AE0AE" w:tentative="1">
      <w:start w:val="1"/>
      <w:numFmt w:val="lowerLetter"/>
      <w:lvlText w:val="%8."/>
      <w:lvlJc w:val="left"/>
      <w:pPr>
        <w:tabs>
          <w:tab w:val="num" w:pos="5363"/>
        </w:tabs>
        <w:ind w:left="5363" w:hanging="360"/>
      </w:pPr>
      <w:rPr>
        <w:rFonts w:cs="Times New Roman"/>
      </w:rPr>
    </w:lvl>
    <w:lvl w:ilvl="8" w:tplc="30CC80E2" w:tentative="1">
      <w:start w:val="1"/>
      <w:numFmt w:val="lowerRoman"/>
      <w:lvlText w:val="%9."/>
      <w:lvlJc w:val="right"/>
      <w:pPr>
        <w:tabs>
          <w:tab w:val="num" w:pos="6083"/>
        </w:tabs>
        <w:ind w:left="6083" w:hanging="180"/>
      </w:pPr>
      <w:rPr>
        <w:rFonts w:cs="Times New Roman"/>
      </w:rPr>
    </w:lvl>
  </w:abstractNum>
  <w:abstractNum w:abstractNumId="98" w15:restartNumberingAfterBreak="0">
    <w:nsid w:val="6DFF2CAC"/>
    <w:multiLevelType w:val="hybridMultilevel"/>
    <w:tmpl w:val="055E47C4"/>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E4D5707"/>
    <w:multiLevelType w:val="hybridMultilevel"/>
    <w:tmpl w:val="9FEE1196"/>
    <w:lvl w:ilvl="0" w:tplc="FF38D04C">
      <w:start w:val="1"/>
      <w:numFmt w:val="bullet"/>
      <w:pStyle w:val="A-Puces"/>
      <w:lvlText w:val="-"/>
      <w:lvlJc w:val="left"/>
      <w:pPr>
        <w:tabs>
          <w:tab w:val="num" w:pos="714"/>
        </w:tabs>
        <w:ind w:left="714"/>
      </w:pPr>
      <w:rPr>
        <w:rFonts w:ascii="Times New Roman" w:eastAsia="Times New Roman" w:hAnsi="Times New Roman"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0" w15:restartNumberingAfterBreak="0">
    <w:nsid w:val="6F5E36C4"/>
    <w:multiLevelType w:val="hybridMultilevel"/>
    <w:tmpl w:val="8AC2BCE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1" w15:restartNumberingAfterBreak="0">
    <w:nsid w:val="729E5E04"/>
    <w:multiLevelType w:val="hybridMultilevel"/>
    <w:tmpl w:val="0D921A8A"/>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2B96B23"/>
    <w:multiLevelType w:val="multilevel"/>
    <w:tmpl w:val="660AF3B6"/>
    <w:lvl w:ilvl="0">
      <w:start w:val="1"/>
      <w:numFmt w:val="none"/>
      <w:pStyle w:val="CarCarCar"/>
      <w:lvlText w:val="CHAPITRE 1"/>
      <w:lvlJc w:val="left"/>
      <w:pPr>
        <w:tabs>
          <w:tab w:val="num" w:pos="709"/>
        </w:tabs>
        <w:ind w:left="709" w:hanging="709"/>
      </w:pPr>
      <w:rPr>
        <w:rFonts w:ascii="Arial Gras" w:hAnsi="Arial Gras" w:cs="Arial Gras" w:hint="default"/>
        <w:b/>
        <w:bCs/>
        <w:i w:val="0"/>
        <w:iCs w:val="0"/>
        <w:caps w:val="0"/>
        <w:strike w:val="0"/>
        <w:dstrike w:val="0"/>
        <w:vanish w:val="0"/>
        <w:color w:val="auto"/>
        <w:spacing w:val="0"/>
        <w:w w:val="100"/>
        <w:kern w:val="0"/>
        <w:position w:val="0"/>
        <w:sz w:val="20"/>
        <w:szCs w:val="20"/>
        <w:u w:val="none"/>
        <w:effect w:val="none"/>
        <w:vertAlign w:val="baseline"/>
      </w:rPr>
    </w:lvl>
    <w:lvl w:ilvl="1">
      <w:start w:val="1"/>
      <w:numFmt w:val="decimal"/>
      <w:lvlText w:val="%2.1"/>
      <w:lvlJc w:val="left"/>
      <w:pPr>
        <w:tabs>
          <w:tab w:val="num" w:pos="709"/>
        </w:tabs>
        <w:ind w:left="709" w:hanging="709"/>
      </w:pPr>
      <w:rPr>
        <w:rFonts w:ascii="Arial Gras" w:hAnsi="Arial Gras" w:cs="Arial Gras" w:hint="default"/>
        <w:b/>
        <w:bCs/>
        <w:i w:val="0"/>
        <w:iCs w:val="0"/>
        <w:caps w:val="0"/>
        <w:strike w:val="0"/>
        <w:dstrike w:val="0"/>
        <w:vanish w:val="0"/>
        <w:color w:val="000000"/>
        <w:sz w:val="20"/>
        <w:szCs w:val="20"/>
        <w:vertAlign w:val="baseline"/>
      </w:rPr>
    </w:lvl>
    <w:lvl w:ilvl="2">
      <w:start w:val="1"/>
      <w:numFmt w:val="decimal"/>
      <w:isLgl/>
      <w:lvlText w:val="%2.%3.1"/>
      <w:lvlJc w:val="left"/>
      <w:pPr>
        <w:tabs>
          <w:tab w:val="num" w:pos="1418"/>
        </w:tabs>
        <w:ind w:left="1418" w:hanging="1418"/>
      </w:pPr>
      <w:rPr>
        <w:rFonts w:ascii="Arial" w:hAnsi="Arial" w:cs="Arial" w:hint="default"/>
        <w:b/>
        <w:bCs/>
        <w:i w:val="0"/>
        <w:iCs w:val="0"/>
        <w:smallCaps w:val="0"/>
        <w:strike w:val="0"/>
        <w:dstrike w:val="0"/>
        <w:vanish w:val="0"/>
        <w:color w:val="000000"/>
        <w:spacing w:val="0"/>
        <w:kern w:val="0"/>
        <w:position w:val="0"/>
        <w:sz w:val="20"/>
        <w:szCs w:val="20"/>
        <w:u w:val="none"/>
        <w:effect w:val="none"/>
        <w:vertAlign w:val="baseline"/>
      </w:rPr>
    </w:lvl>
    <w:lvl w:ilvl="3">
      <w:start w:val="1"/>
      <w:numFmt w:val="decimal"/>
      <w:isLgl/>
      <w:lvlText w:val="%3.%4.1.1"/>
      <w:lvlJc w:val="left"/>
      <w:pPr>
        <w:tabs>
          <w:tab w:val="num" w:pos="1418"/>
        </w:tabs>
        <w:ind w:left="1418" w:hanging="1418"/>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4">
      <w:start w:val="1"/>
      <w:numFmt w:val="lowerLetter"/>
      <w:lvlText w:val="(%5)"/>
      <w:lvlJc w:val="left"/>
      <w:pPr>
        <w:tabs>
          <w:tab w:val="num" w:pos="-960"/>
        </w:tabs>
        <w:ind w:left="-960" w:firstLine="720"/>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5">
      <w:start w:val="1"/>
      <w:numFmt w:val="lowerRoman"/>
      <w:lvlText w:val="(%6)"/>
      <w:lvlJc w:val="left"/>
      <w:pPr>
        <w:tabs>
          <w:tab w:val="num" w:pos="-4560"/>
        </w:tabs>
        <w:ind w:left="-960"/>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6">
      <w:start w:val="1"/>
      <w:numFmt w:val="none"/>
      <w:suff w:val="nothing"/>
      <w:lvlText w:val=""/>
      <w:lvlJc w:val="left"/>
      <w:pPr>
        <w:ind w:left="3360"/>
      </w:pPr>
      <w:rPr>
        <w:rFonts w:cs="Times New Roman" w:hint="default"/>
      </w:rPr>
    </w:lvl>
    <w:lvl w:ilvl="7">
      <w:start w:val="1"/>
      <w:numFmt w:val="none"/>
      <w:suff w:val="nothing"/>
      <w:lvlText w:val=""/>
      <w:lvlJc w:val="left"/>
      <w:pPr>
        <w:ind w:left="4080"/>
      </w:pPr>
      <w:rPr>
        <w:rFonts w:cs="Times New Roman" w:hint="default"/>
      </w:rPr>
    </w:lvl>
    <w:lvl w:ilvl="8">
      <w:start w:val="1"/>
      <w:numFmt w:val="none"/>
      <w:suff w:val="nothing"/>
      <w:lvlText w:val=""/>
      <w:lvlJc w:val="left"/>
      <w:pPr>
        <w:ind w:left="4800"/>
      </w:pPr>
      <w:rPr>
        <w:rFonts w:cs="Times New Roman" w:hint="default"/>
      </w:rPr>
    </w:lvl>
  </w:abstractNum>
  <w:abstractNum w:abstractNumId="103" w15:restartNumberingAfterBreak="0">
    <w:nsid w:val="72DB1D21"/>
    <w:multiLevelType w:val="multilevel"/>
    <w:tmpl w:val="EF32D19C"/>
    <w:lvl w:ilvl="0">
      <w:start w:val="21"/>
      <w:numFmt w:val="decimal"/>
      <w:isLgl/>
      <w:lvlText w:val="%1."/>
      <w:lvlJc w:val="left"/>
      <w:pPr>
        <w:tabs>
          <w:tab w:val="num" w:pos="720"/>
        </w:tabs>
        <w:ind w:left="720" w:hanging="720"/>
      </w:pPr>
      <w:rPr>
        <w:rFonts w:asciiTheme="minorHAnsi" w:hAnsiTheme="minorHAnsi" w:cs="Times New Roman" w:hint="default"/>
        <w:b/>
        <w:i w:val="0"/>
        <w:caps w:val="0"/>
        <w:sz w:val="22"/>
        <w:szCs w:val="22"/>
        <w:u w:val="none"/>
      </w:rPr>
    </w:lvl>
    <w:lvl w:ilvl="1">
      <w:start w:val="1"/>
      <w:numFmt w:val="decimal"/>
      <w:isLgl/>
      <w:lvlText w:val="%1.%2"/>
      <w:lvlJc w:val="left"/>
      <w:pPr>
        <w:tabs>
          <w:tab w:val="num" w:pos="720"/>
        </w:tabs>
        <w:ind w:left="720" w:hanging="720"/>
      </w:pPr>
      <w:rPr>
        <w:rFonts w:cs="Times New Roman" w:hint="default"/>
        <w:b/>
        <w:bCs w:val="0"/>
        <w:i w:val="0"/>
        <w:iCs w:val="0"/>
        <w:caps w:val="0"/>
        <w:smallCaps w:val="0"/>
        <w:strike w:val="0"/>
        <w:dstrike w:val="0"/>
        <w:vanish w:val="0"/>
        <w:color w:val="7030A0"/>
        <w:spacing w:val="0"/>
        <w:kern w:val="0"/>
        <w:position w:val="0"/>
        <w:sz w:val="22"/>
        <w:szCs w:val="22"/>
        <w:u w:val="none"/>
        <w:effect w:val="none"/>
        <w:vertAlign w:val="baseline"/>
      </w:rPr>
    </w:lvl>
    <w:lvl w:ilvl="2">
      <w:start w:val="1"/>
      <w:numFmt w:val="decimal"/>
      <w:lvlText w:val="%1.%2.%3"/>
      <w:lvlJc w:val="left"/>
      <w:pPr>
        <w:tabs>
          <w:tab w:val="num" w:pos="1260"/>
        </w:tabs>
        <w:ind w:left="1980" w:hanging="720"/>
      </w:pPr>
      <w:rPr>
        <w:rFonts w:cs="Times New Roman" w:hint="default"/>
        <w:b/>
        <w:bCs w:val="0"/>
        <w:i w:val="0"/>
        <w:iCs w:val="0"/>
        <w:caps w:val="0"/>
        <w:smallCaps w:val="0"/>
        <w:strike w:val="0"/>
        <w:dstrike w:val="0"/>
        <w:vanish w:val="0"/>
        <w:color w:val="7030A0"/>
        <w:spacing w:val="0"/>
        <w:kern w:val="0"/>
        <w:position w:val="0"/>
        <w:sz w:val="22"/>
        <w:szCs w:val="22"/>
        <w:u w:val="none"/>
        <w:effect w:val="none"/>
        <w:vertAlign w:val="baseline"/>
      </w:rPr>
    </w:lvl>
    <w:lvl w:ilvl="3">
      <w:start w:val="1"/>
      <w:numFmt w:val="decimal"/>
      <w:lvlText w:val="%1.%2.%3.%4"/>
      <w:lvlJc w:val="left"/>
      <w:pPr>
        <w:tabs>
          <w:tab w:val="num" w:pos="2520"/>
        </w:tabs>
        <w:ind w:left="2520" w:hanging="1080"/>
      </w:pPr>
      <w:rPr>
        <w:rFonts w:asciiTheme="minorHAnsi" w:hAnsiTheme="minorHAnsi" w:cs="Times New Roman" w:hint="default"/>
        <w:b w:val="0"/>
        <w:i w:val="0"/>
        <w:caps w:val="0"/>
        <w:color w:val="000000" w:themeColor="text1"/>
        <w:sz w:val="22"/>
        <w:szCs w:val="22"/>
        <w:u w:val="none"/>
      </w:rPr>
    </w:lvl>
    <w:lvl w:ilvl="4">
      <w:start w:val="1"/>
      <w:numFmt w:val="decimal"/>
      <w:lvlText w:val="%1.%2.%3.%4.%5"/>
      <w:lvlJc w:val="left"/>
      <w:pPr>
        <w:tabs>
          <w:tab w:val="num" w:pos="3600"/>
        </w:tabs>
        <w:ind w:left="3600" w:hanging="1080"/>
      </w:pPr>
      <w:rPr>
        <w:rFonts w:asciiTheme="minorHAnsi" w:hAnsiTheme="minorHAnsi" w:cs="Times New Roman" w:hint="default"/>
        <w:b w:val="0"/>
        <w:i w:val="0"/>
        <w:caps w:val="0"/>
        <w:sz w:val="22"/>
        <w:szCs w:val="22"/>
        <w:u w:val="none"/>
      </w:rPr>
    </w:lvl>
    <w:lvl w:ilvl="5">
      <w:start w:val="1"/>
      <w:numFmt w:val="lowerLetter"/>
      <w:lvlText w:val="(%6)"/>
      <w:lvlJc w:val="left"/>
      <w:pPr>
        <w:tabs>
          <w:tab w:val="num" w:pos="3600"/>
        </w:tabs>
        <w:ind w:left="3600" w:hanging="720"/>
      </w:pPr>
      <w:rPr>
        <w:rFonts w:ascii="Times New Roman" w:hAnsi="Times New Roman" w:cs="Times New Roman" w:hint="default"/>
        <w:b w:val="0"/>
        <w:i w:val="0"/>
        <w:caps w:val="0"/>
        <w:sz w:val="24"/>
        <w:u w:val="none"/>
      </w:rPr>
    </w:lvl>
    <w:lvl w:ilvl="6">
      <w:start w:val="1"/>
      <w:numFmt w:val="lowerRoman"/>
      <w:lvlText w:val="(%7)"/>
      <w:lvlJc w:val="left"/>
      <w:pPr>
        <w:tabs>
          <w:tab w:val="num" w:pos="1440"/>
        </w:tabs>
        <w:ind w:left="1440" w:hanging="720"/>
      </w:pPr>
      <w:rPr>
        <w:rFonts w:ascii="Times New Roman" w:hAnsi="Times New Roman" w:cs="Times New Roman" w:hint="default"/>
        <w:b w:val="0"/>
        <w:i w:val="0"/>
        <w:caps w:val="0"/>
        <w:sz w:val="24"/>
        <w:u w:val="none"/>
      </w:rPr>
    </w:lvl>
    <w:lvl w:ilvl="7">
      <w:start w:val="1"/>
      <w:numFmt w:val="upperLetter"/>
      <w:lvlText w:val="(%8)"/>
      <w:lvlJc w:val="left"/>
      <w:pPr>
        <w:tabs>
          <w:tab w:val="num" w:pos="2880"/>
        </w:tabs>
        <w:ind w:left="2880" w:hanging="720"/>
      </w:pPr>
      <w:rPr>
        <w:rFonts w:ascii="Times New Roman" w:hAnsi="Times New Roman" w:cs="Times New Roman" w:hint="default"/>
        <w:b w:val="0"/>
        <w:i w:val="0"/>
        <w:caps w:val="0"/>
        <w:sz w:val="24"/>
        <w:u w:val="none"/>
      </w:rPr>
    </w:lvl>
    <w:lvl w:ilvl="8">
      <w:start w:val="1"/>
      <w:numFmt w:val="none"/>
      <w:lvlRestart w:val="0"/>
      <w:suff w:val="nothing"/>
      <w:lvlText w:val=""/>
      <w:lvlJc w:val="left"/>
      <w:pPr>
        <w:ind w:left="0" w:firstLine="0"/>
      </w:pPr>
      <w:rPr>
        <w:rFonts w:ascii="Times New Roman" w:hAnsi="Times New Roman" w:cs="Times New Roman" w:hint="default"/>
        <w:b w:val="0"/>
        <w:i w:val="0"/>
        <w:caps w:val="0"/>
        <w:sz w:val="24"/>
        <w:u w:val="none"/>
      </w:rPr>
    </w:lvl>
  </w:abstractNum>
  <w:abstractNum w:abstractNumId="104" w15:restartNumberingAfterBreak="0">
    <w:nsid w:val="75EF2E80"/>
    <w:multiLevelType w:val="multilevel"/>
    <w:tmpl w:val="57E8E468"/>
    <w:styleLink w:val="StyleAvecpuces4"/>
    <w:lvl w:ilvl="0">
      <w:start w:val="1"/>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F45C70"/>
    <w:multiLevelType w:val="hybridMultilevel"/>
    <w:tmpl w:val="E3248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6C833F3"/>
    <w:multiLevelType w:val="hybridMultilevel"/>
    <w:tmpl w:val="7E946D3C"/>
    <w:lvl w:ilvl="0" w:tplc="06F645A0">
      <w:start w:val="56"/>
      <w:numFmt w:val="bullet"/>
      <w:lvlText w:val="-"/>
      <w:lvlJc w:val="left"/>
      <w:pPr>
        <w:ind w:left="720" w:hanging="360"/>
      </w:pPr>
      <w:rPr>
        <w:rFonts w:ascii="Calibri" w:eastAsia="Arial Narrow"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6D17265"/>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ED1C9B"/>
    <w:multiLevelType w:val="multilevel"/>
    <w:tmpl w:val="DD2674F6"/>
    <w:lvl w:ilvl="0">
      <w:start w:val="1"/>
      <w:numFmt w:val="bullet"/>
      <w:pStyle w:val="Listepuces"/>
      <w:lvlText w:val="-"/>
      <w:lvlJc w:val="left"/>
      <w:pPr>
        <w:ind w:left="360" w:hanging="360"/>
      </w:pPr>
      <w:rPr>
        <w:rFonts w:ascii="Times New Roman" w:hAnsi="Times New Roman" w:hint="default"/>
        <w:sz w:val="22"/>
      </w:rPr>
    </w:lvl>
    <w:lvl w:ilvl="1">
      <w:start w:val="1"/>
      <w:numFmt w:val="bullet"/>
      <w:pStyle w:val="Titre2"/>
      <w:lvlText w:val="§"/>
      <w:lvlJc w:val="left"/>
      <w:pPr>
        <w:tabs>
          <w:tab w:val="num" w:pos="1191"/>
        </w:tabs>
        <w:ind w:left="1191" w:hanging="595"/>
      </w:pPr>
      <w:rPr>
        <w:rFonts w:ascii="Wingdings" w:hAnsi="Wingdings"/>
        <w:sz w:val="18"/>
      </w:rPr>
    </w:lvl>
    <w:lvl w:ilvl="2">
      <w:start w:val="1"/>
      <w:numFmt w:val="bullet"/>
      <w:lvlText w:val="§"/>
      <w:lvlJc w:val="left"/>
      <w:pPr>
        <w:tabs>
          <w:tab w:val="num" w:pos="1786"/>
        </w:tabs>
        <w:ind w:left="1786" w:hanging="595"/>
      </w:pPr>
      <w:rPr>
        <w:rFonts w:ascii="Wingdings" w:hAnsi="Wingdings"/>
        <w:sz w:val="18"/>
      </w:rPr>
    </w:lvl>
    <w:lvl w:ilvl="3">
      <w:start w:val="1"/>
      <w:numFmt w:val="bullet"/>
      <w:pStyle w:val="Listepuces4"/>
      <w:lvlText w:val="§"/>
      <w:lvlJc w:val="left"/>
      <w:pPr>
        <w:tabs>
          <w:tab w:val="num" w:pos="2381"/>
        </w:tabs>
        <w:ind w:left="2381" w:hanging="595"/>
      </w:pPr>
      <w:rPr>
        <w:rFonts w:ascii="Wingdings" w:hAnsi="Wingdings"/>
        <w:sz w:val="18"/>
      </w:rPr>
    </w:lvl>
    <w:lvl w:ilvl="4">
      <w:start w:val="1"/>
      <w:numFmt w:val="bullet"/>
      <w:pStyle w:val="Listepuces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109" w15:restartNumberingAfterBreak="0">
    <w:nsid w:val="799F25A8"/>
    <w:multiLevelType w:val="hybridMultilevel"/>
    <w:tmpl w:val="8ABA9C12"/>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F5DA2CD2">
      <w:numFmt w:val="bullet"/>
      <w:lvlText w:val="−"/>
      <w:lvlJc w:val="left"/>
      <w:pPr>
        <w:ind w:left="2160" w:hanging="360"/>
      </w:pPr>
      <w:rPr>
        <w:rFonts w:ascii="Times New Roman" w:eastAsia="Times New Roman" w:hAnsi="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B6F2AFF"/>
    <w:multiLevelType w:val="hybridMultilevel"/>
    <w:tmpl w:val="C762A154"/>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D2429C8"/>
    <w:multiLevelType w:val="hybridMultilevel"/>
    <w:tmpl w:val="2B56CA78"/>
    <w:lvl w:ilvl="0" w:tplc="343EA4A8">
      <w:start w:val="2007"/>
      <w:numFmt w:val="bullet"/>
      <w:lvlText w:val="-"/>
      <w:lvlJc w:val="left"/>
      <w:pPr>
        <w:ind w:left="720" w:hanging="360"/>
      </w:pPr>
      <w:rPr>
        <w:rFonts w:ascii="Garamond" w:hAnsi="Garamond" w:cs="Times New Roman" w:hint="default"/>
        <w:color w:val="auto"/>
      </w:rPr>
    </w:lvl>
    <w:lvl w:ilvl="1" w:tplc="4CFE0D2A">
      <w:numFmt w:val="bullet"/>
      <w:lvlText w:val="-"/>
      <w:lvlJc w:val="left"/>
      <w:pPr>
        <w:ind w:left="1440" w:hanging="360"/>
      </w:pPr>
      <w:rPr>
        <w:rFonts w:ascii="Times New Roman" w:hAnsi="Times New Roman" w:hint="default"/>
        <w:b/>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EFE1D49"/>
    <w:multiLevelType w:val="hybridMultilevel"/>
    <w:tmpl w:val="E3466ED8"/>
    <w:lvl w:ilvl="0" w:tplc="D1B478AA">
      <w:start w:val="1"/>
      <w:numFmt w:val="bullet"/>
      <w:pStyle w:val="DDBBullet1"/>
      <w:lvlText w:val="►"/>
      <w:lvlJc w:val="left"/>
      <w:pPr>
        <w:ind w:left="360" w:hanging="360"/>
      </w:pPr>
      <w:rPr>
        <w:rFonts w:ascii="Arial Narrow" w:hAnsi="Arial Narrow" w:hint="default"/>
        <w:color w:val="4F81BD"/>
      </w:rPr>
    </w:lvl>
    <w:lvl w:ilvl="1" w:tplc="91B0759C">
      <w:start w:val="1"/>
      <w:numFmt w:val="bullet"/>
      <w:lvlText w:val="o"/>
      <w:lvlJc w:val="left"/>
      <w:pPr>
        <w:ind w:left="1080" w:hanging="360"/>
      </w:pPr>
      <w:rPr>
        <w:rFonts w:ascii="Courier New" w:hAnsi="Courier New" w:hint="default"/>
      </w:rPr>
    </w:lvl>
    <w:lvl w:ilvl="2" w:tplc="86948522">
      <w:start w:val="1"/>
      <w:numFmt w:val="bullet"/>
      <w:lvlText w:val=""/>
      <w:lvlJc w:val="left"/>
      <w:pPr>
        <w:ind w:left="1800" w:hanging="360"/>
      </w:pPr>
      <w:rPr>
        <w:rFonts w:ascii="Wingdings" w:hAnsi="Wingdings" w:hint="default"/>
      </w:rPr>
    </w:lvl>
    <w:lvl w:ilvl="3" w:tplc="CDBA13EC" w:tentative="1">
      <w:start w:val="1"/>
      <w:numFmt w:val="bullet"/>
      <w:lvlText w:val=""/>
      <w:lvlJc w:val="left"/>
      <w:pPr>
        <w:ind w:left="2520" w:hanging="360"/>
      </w:pPr>
      <w:rPr>
        <w:rFonts w:ascii="Symbol" w:hAnsi="Symbol" w:hint="default"/>
      </w:rPr>
    </w:lvl>
    <w:lvl w:ilvl="4" w:tplc="AE3CC09E" w:tentative="1">
      <w:start w:val="1"/>
      <w:numFmt w:val="bullet"/>
      <w:lvlText w:val="o"/>
      <w:lvlJc w:val="left"/>
      <w:pPr>
        <w:ind w:left="3240" w:hanging="360"/>
      </w:pPr>
      <w:rPr>
        <w:rFonts w:ascii="Courier New" w:hAnsi="Courier New" w:hint="default"/>
      </w:rPr>
    </w:lvl>
    <w:lvl w:ilvl="5" w:tplc="009E2DEC" w:tentative="1">
      <w:start w:val="1"/>
      <w:numFmt w:val="bullet"/>
      <w:lvlText w:val=""/>
      <w:lvlJc w:val="left"/>
      <w:pPr>
        <w:ind w:left="3960" w:hanging="360"/>
      </w:pPr>
      <w:rPr>
        <w:rFonts w:ascii="Wingdings" w:hAnsi="Wingdings" w:hint="default"/>
      </w:rPr>
    </w:lvl>
    <w:lvl w:ilvl="6" w:tplc="0D7A7494" w:tentative="1">
      <w:start w:val="1"/>
      <w:numFmt w:val="bullet"/>
      <w:lvlText w:val=""/>
      <w:lvlJc w:val="left"/>
      <w:pPr>
        <w:ind w:left="4680" w:hanging="360"/>
      </w:pPr>
      <w:rPr>
        <w:rFonts w:ascii="Symbol" w:hAnsi="Symbol" w:hint="default"/>
      </w:rPr>
    </w:lvl>
    <w:lvl w:ilvl="7" w:tplc="AB22E13E" w:tentative="1">
      <w:start w:val="1"/>
      <w:numFmt w:val="bullet"/>
      <w:lvlText w:val="o"/>
      <w:lvlJc w:val="left"/>
      <w:pPr>
        <w:ind w:left="5400" w:hanging="360"/>
      </w:pPr>
      <w:rPr>
        <w:rFonts w:ascii="Courier New" w:hAnsi="Courier New" w:hint="default"/>
      </w:rPr>
    </w:lvl>
    <w:lvl w:ilvl="8" w:tplc="9594DDAC" w:tentative="1">
      <w:start w:val="1"/>
      <w:numFmt w:val="bullet"/>
      <w:lvlText w:val=""/>
      <w:lvlJc w:val="left"/>
      <w:pPr>
        <w:ind w:left="6120" w:hanging="360"/>
      </w:pPr>
      <w:rPr>
        <w:rFonts w:ascii="Wingdings" w:hAnsi="Wingdings" w:hint="default"/>
      </w:rPr>
    </w:lvl>
  </w:abstractNum>
  <w:abstractNum w:abstractNumId="113" w15:restartNumberingAfterBreak="0">
    <w:nsid w:val="7FA232BE"/>
    <w:multiLevelType w:val="hybridMultilevel"/>
    <w:tmpl w:val="C1CA0AE6"/>
    <w:lvl w:ilvl="0" w:tplc="040C0001">
      <w:start w:val="1"/>
      <w:numFmt w:val="bullet"/>
      <w:lvlText w:val=""/>
      <w:lvlJc w:val="left"/>
      <w:pPr>
        <w:ind w:left="1069" w:hanging="360"/>
      </w:pPr>
      <w:rPr>
        <w:rFonts w:ascii="Symbol" w:hAnsi="Symbol" w:hint="default"/>
        <w:color w:val="auto"/>
      </w:rPr>
    </w:lvl>
    <w:lvl w:ilvl="1" w:tplc="3B4AFB60">
      <w:numFmt w:val="bullet"/>
      <w:lvlText w:val="-"/>
      <w:lvlJc w:val="left"/>
      <w:pPr>
        <w:ind w:left="1789" w:hanging="360"/>
      </w:pPr>
      <w:rPr>
        <w:rFonts w:ascii="Times New Roman" w:eastAsia="Times New Roman" w:hAnsi="Times New Roman"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2"/>
  </w:num>
  <w:num w:numId="2">
    <w:abstractNumId w:val="1"/>
  </w:num>
  <w:num w:numId="3">
    <w:abstractNumId w:val="0"/>
  </w:num>
  <w:num w:numId="4">
    <w:abstractNumId w:val="108"/>
  </w:num>
  <w:num w:numId="5">
    <w:abstractNumId w:val="99"/>
  </w:num>
  <w:num w:numId="6">
    <w:abstractNumId w:val="81"/>
  </w:num>
  <w:num w:numId="7">
    <w:abstractNumId w:val="17"/>
  </w:num>
  <w:num w:numId="8">
    <w:abstractNumId w:val="54"/>
  </w:num>
  <w:num w:numId="9">
    <w:abstractNumId w:val="19"/>
  </w:num>
  <w:num w:numId="10">
    <w:abstractNumId w:val="39"/>
  </w:num>
  <w:num w:numId="11">
    <w:abstractNumId w:val="2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num>
  <w:num w:numId="14">
    <w:abstractNumId w:val="97"/>
  </w:num>
  <w:num w:numId="15">
    <w:abstractNumId w:val="50"/>
  </w:num>
  <w:num w:numId="16">
    <w:abstractNumId w:val="92"/>
  </w:num>
  <w:num w:numId="17">
    <w:abstractNumId w:val="25"/>
  </w:num>
  <w:num w:numId="18">
    <w:abstractNumId w:val="112"/>
  </w:num>
  <w:num w:numId="19">
    <w:abstractNumId w:val="52"/>
  </w:num>
  <w:num w:numId="20">
    <w:abstractNumId w:val="22"/>
  </w:num>
  <w:num w:numId="21">
    <w:abstractNumId w:val="104"/>
  </w:num>
  <w:num w:numId="22">
    <w:abstractNumId w:val="73"/>
  </w:num>
  <w:num w:numId="23">
    <w:abstractNumId w:val="29"/>
  </w:num>
  <w:num w:numId="24">
    <w:abstractNumId w:val="47"/>
  </w:num>
  <w:num w:numId="25">
    <w:abstractNumId w:val="30"/>
  </w:num>
  <w:num w:numId="26">
    <w:abstractNumId w:val="102"/>
  </w:num>
  <w:num w:numId="27">
    <w:abstractNumId w:val="74"/>
  </w:num>
  <w:num w:numId="28">
    <w:abstractNumId w:val="53"/>
  </w:num>
  <w:num w:numId="29">
    <w:abstractNumId w:val="69"/>
  </w:num>
  <w:num w:numId="30">
    <w:abstractNumId w:val="88"/>
  </w:num>
  <w:num w:numId="31">
    <w:abstractNumId w:val="42"/>
  </w:num>
  <w:num w:numId="32">
    <w:abstractNumId w:val="67"/>
  </w:num>
  <w:num w:numId="33">
    <w:abstractNumId w:val="61"/>
  </w:num>
  <w:num w:numId="34">
    <w:abstractNumId w:val="46"/>
  </w:num>
  <w:num w:numId="35">
    <w:abstractNumId w:val="55"/>
  </w:num>
  <w:num w:numId="36">
    <w:abstractNumId w:val="18"/>
  </w:num>
  <w:num w:numId="37">
    <w:abstractNumId w:val="36"/>
  </w:num>
  <w:num w:numId="38">
    <w:abstractNumId w:val="109"/>
  </w:num>
  <w:num w:numId="39">
    <w:abstractNumId w:val="111"/>
  </w:num>
  <w:num w:numId="40">
    <w:abstractNumId w:val="10"/>
  </w:num>
  <w:num w:numId="41">
    <w:abstractNumId w:val="20"/>
  </w:num>
  <w:num w:numId="42">
    <w:abstractNumId w:val="87"/>
  </w:num>
  <w:num w:numId="43">
    <w:abstractNumId w:val="80"/>
  </w:num>
  <w:num w:numId="44">
    <w:abstractNumId w:val="12"/>
  </w:num>
  <w:num w:numId="45">
    <w:abstractNumId w:val="62"/>
  </w:num>
  <w:num w:numId="46">
    <w:abstractNumId w:val="31"/>
  </w:num>
  <w:num w:numId="47">
    <w:abstractNumId w:val="91"/>
  </w:num>
  <w:num w:numId="48">
    <w:abstractNumId w:val="3"/>
  </w:num>
  <w:num w:numId="49">
    <w:abstractNumId w:val="51"/>
  </w:num>
  <w:num w:numId="50">
    <w:abstractNumId w:val="64"/>
  </w:num>
  <w:num w:numId="51">
    <w:abstractNumId w:val="105"/>
  </w:num>
  <w:num w:numId="52">
    <w:abstractNumId w:val="70"/>
  </w:num>
  <w:num w:numId="53">
    <w:abstractNumId w:val="110"/>
  </w:num>
  <w:num w:numId="54">
    <w:abstractNumId w:val="94"/>
  </w:num>
  <w:num w:numId="55">
    <w:abstractNumId w:val="66"/>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3"/>
  </w:num>
  <w:num w:numId="58">
    <w:abstractNumId w:val="68"/>
  </w:num>
  <w:num w:numId="59">
    <w:abstractNumId w:val="95"/>
  </w:num>
  <w:num w:numId="60">
    <w:abstractNumId w:val="23"/>
  </w:num>
  <w:num w:numId="61">
    <w:abstractNumId w:val="24"/>
  </w:num>
  <w:num w:numId="62">
    <w:abstractNumId w:val="15"/>
  </w:num>
  <w:num w:numId="63">
    <w:abstractNumId w:val="71"/>
  </w:num>
  <w:num w:numId="64">
    <w:abstractNumId w:val="98"/>
  </w:num>
  <w:num w:numId="65">
    <w:abstractNumId w:val="101"/>
  </w:num>
  <w:num w:numId="66">
    <w:abstractNumId w:val="49"/>
  </w:num>
  <w:num w:numId="67">
    <w:abstractNumId w:val="79"/>
  </w:num>
  <w:num w:numId="68">
    <w:abstractNumId w:val="84"/>
  </w:num>
  <w:num w:numId="69">
    <w:abstractNumId w:val="40"/>
  </w:num>
  <w:num w:numId="70">
    <w:abstractNumId w:val="82"/>
  </w:num>
  <w:num w:numId="71">
    <w:abstractNumId w:val="43"/>
  </w:num>
  <w:num w:numId="72">
    <w:abstractNumId w:val="13"/>
  </w:num>
  <w:num w:numId="73">
    <w:abstractNumId w:val="86"/>
  </w:num>
  <w:num w:numId="74">
    <w:abstractNumId w:val="26"/>
  </w:num>
  <w:num w:numId="75">
    <w:abstractNumId w:val="58"/>
  </w:num>
  <w:num w:numId="76">
    <w:abstractNumId w:val="57"/>
  </w:num>
  <w:num w:numId="77">
    <w:abstractNumId w:val="8"/>
  </w:num>
  <w:num w:numId="78">
    <w:abstractNumId w:val="14"/>
  </w:num>
  <w:num w:numId="79">
    <w:abstractNumId w:val="85"/>
  </w:num>
  <w:num w:numId="80">
    <w:abstractNumId w:val="83"/>
  </w:num>
  <w:num w:numId="81">
    <w:abstractNumId w:val="33"/>
  </w:num>
  <w:num w:numId="82">
    <w:abstractNumId w:val="11"/>
  </w:num>
  <w:num w:numId="83">
    <w:abstractNumId w:val="48"/>
  </w:num>
  <w:num w:numId="84">
    <w:abstractNumId w:val="7"/>
  </w:num>
  <w:num w:numId="85">
    <w:abstractNumId w:val="100"/>
  </w:num>
  <w:num w:numId="86">
    <w:abstractNumId w:val="106"/>
  </w:num>
  <w:num w:numId="87">
    <w:abstractNumId w:val="41"/>
  </w:num>
  <w:num w:numId="88">
    <w:abstractNumId w:val="35"/>
  </w:num>
  <w:num w:numId="89">
    <w:abstractNumId w:val="93"/>
  </w:num>
  <w:num w:numId="90">
    <w:abstractNumId w:val="77"/>
  </w:num>
  <w:num w:numId="91">
    <w:abstractNumId w:val="27"/>
  </w:num>
  <w:num w:numId="92">
    <w:abstractNumId w:val="32"/>
  </w:num>
  <w:num w:numId="93">
    <w:abstractNumId w:val="56"/>
  </w:num>
  <w:num w:numId="94">
    <w:abstractNumId w:val="6"/>
  </w:num>
  <w:num w:numId="95">
    <w:abstractNumId w:val="63"/>
  </w:num>
  <w:num w:numId="96">
    <w:abstractNumId w:val="44"/>
  </w:num>
  <w:num w:numId="97">
    <w:abstractNumId w:val="60"/>
  </w:num>
  <w:num w:numId="98">
    <w:abstractNumId w:val="107"/>
  </w:num>
  <w:num w:numId="99">
    <w:abstractNumId w:val="90"/>
  </w:num>
  <w:num w:numId="100">
    <w:abstractNumId w:val="38"/>
  </w:num>
  <w:num w:numId="101">
    <w:abstractNumId w:val="9"/>
  </w:num>
  <w:num w:numId="102">
    <w:abstractNumId w:val="103"/>
  </w:num>
  <w:num w:numId="103">
    <w:abstractNumId w:val="37"/>
  </w:num>
  <w:num w:numId="104">
    <w:abstractNumId w:val="96"/>
  </w:num>
  <w:num w:numId="105">
    <w:abstractNumId w:val="75"/>
  </w:num>
  <w:num w:numId="106">
    <w:abstractNumId w:val="34"/>
  </w:num>
  <w:num w:numId="107">
    <w:abstractNumId w:val="72"/>
  </w:num>
  <w:num w:numId="108">
    <w:abstractNumId w:val="65"/>
  </w:num>
  <w:num w:numId="109">
    <w:abstractNumId w:val="28"/>
  </w:num>
  <w:num w:numId="110">
    <w:abstractNumId w:val="89"/>
  </w:num>
  <w:num w:numId="111">
    <w:abstractNumId w:val="59"/>
  </w:num>
  <w:num w:numId="112">
    <w:abstractNumId w:val="45"/>
  </w:num>
  <w:num w:numId="113">
    <w:abstractNumId w:val="5"/>
  </w:num>
  <w:num w:numId="114">
    <w:abstractNumId w:val="7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85TrailerAlignment" w:val="~}œÍb"/>
    <w:docVar w:name="85TrailerDate" w:val="~}¢Í\"/>
    <w:docVar w:name="85TrailerDateField" w:val="~}—Íh"/>
    <w:docVar w:name="85TrailerDraft" w:val="~}›Íc"/>
    <w:docVar w:name="85TrailerLeading" w:val="~}•Í"/>
    <w:docVar w:name="85TrailerLibrary" w:val="~}¢Í]"/>
    <w:docVar w:name="85TrailerTime" w:val="~}•Íi"/>
    <w:docVar w:name="85TrailerTrailing" w:val="~}¢Í"/>
    <w:docVar w:name="85TrailerType" w:val="~}šÍeeh"/>
    <w:docVar w:name="85TrailerVerNum" w:val="~}›Íd"/>
    <w:docVar w:name="MPDocID" w:val="~}—Íilonlkhqhhe}x{"/>
    <w:docVar w:name="MPDocIDTemplate" w:val="~}šÍY£²eXª±d\"/>
    <w:docVar w:name="MPDocIDTemplateDefault" w:val="~}žÍU"/>
    <w:docVar w:name="NewDocStampType" w:val="~}›Íj"/>
  </w:docVars>
  <w:rsids>
    <w:rsidRoot w:val="00F46C7B"/>
    <w:rsid w:val="0000035C"/>
    <w:rsid w:val="00000E5E"/>
    <w:rsid w:val="000013E4"/>
    <w:rsid w:val="000014D5"/>
    <w:rsid w:val="00001964"/>
    <w:rsid w:val="00001C11"/>
    <w:rsid w:val="00003314"/>
    <w:rsid w:val="000045CC"/>
    <w:rsid w:val="00004BCC"/>
    <w:rsid w:val="00005401"/>
    <w:rsid w:val="000059C4"/>
    <w:rsid w:val="00005EAE"/>
    <w:rsid w:val="000065FC"/>
    <w:rsid w:val="000068A0"/>
    <w:rsid w:val="00006C72"/>
    <w:rsid w:val="00006CB1"/>
    <w:rsid w:val="00006DF0"/>
    <w:rsid w:val="0000738A"/>
    <w:rsid w:val="000074C0"/>
    <w:rsid w:val="00007EC8"/>
    <w:rsid w:val="000102EE"/>
    <w:rsid w:val="00010742"/>
    <w:rsid w:val="00011209"/>
    <w:rsid w:val="00011332"/>
    <w:rsid w:val="000119DE"/>
    <w:rsid w:val="00011D71"/>
    <w:rsid w:val="00012E2F"/>
    <w:rsid w:val="00013732"/>
    <w:rsid w:val="00013CFF"/>
    <w:rsid w:val="00013E0C"/>
    <w:rsid w:val="00014788"/>
    <w:rsid w:val="000149A5"/>
    <w:rsid w:val="00015560"/>
    <w:rsid w:val="00015611"/>
    <w:rsid w:val="000160F2"/>
    <w:rsid w:val="000161A1"/>
    <w:rsid w:val="0001654D"/>
    <w:rsid w:val="000166A5"/>
    <w:rsid w:val="00016A96"/>
    <w:rsid w:val="00017CD2"/>
    <w:rsid w:val="000207F3"/>
    <w:rsid w:val="00023BAF"/>
    <w:rsid w:val="00024BFE"/>
    <w:rsid w:val="00025A2F"/>
    <w:rsid w:val="00025EEE"/>
    <w:rsid w:val="00025FBB"/>
    <w:rsid w:val="000263C2"/>
    <w:rsid w:val="0002641E"/>
    <w:rsid w:val="00026599"/>
    <w:rsid w:val="00026D86"/>
    <w:rsid w:val="00027104"/>
    <w:rsid w:val="00027339"/>
    <w:rsid w:val="00027608"/>
    <w:rsid w:val="00027F81"/>
    <w:rsid w:val="00027FDA"/>
    <w:rsid w:val="00030A1D"/>
    <w:rsid w:val="00031329"/>
    <w:rsid w:val="00031332"/>
    <w:rsid w:val="00031CE6"/>
    <w:rsid w:val="000322A9"/>
    <w:rsid w:val="0003274D"/>
    <w:rsid w:val="0003276D"/>
    <w:rsid w:val="00032D66"/>
    <w:rsid w:val="00033597"/>
    <w:rsid w:val="00033D1F"/>
    <w:rsid w:val="00033DD7"/>
    <w:rsid w:val="00034370"/>
    <w:rsid w:val="000345FA"/>
    <w:rsid w:val="00034B5D"/>
    <w:rsid w:val="00034D30"/>
    <w:rsid w:val="00034E3E"/>
    <w:rsid w:val="00035570"/>
    <w:rsid w:val="00036268"/>
    <w:rsid w:val="00036317"/>
    <w:rsid w:val="00036A5E"/>
    <w:rsid w:val="00036EBF"/>
    <w:rsid w:val="00037FA5"/>
    <w:rsid w:val="000400F1"/>
    <w:rsid w:val="00040C69"/>
    <w:rsid w:val="00040D1A"/>
    <w:rsid w:val="00040F6E"/>
    <w:rsid w:val="0004141D"/>
    <w:rsid w:val="00041C85"/>
    <w:rsid w:val="000422F4"/>
    <w:rsid w:val="00042DC7"/>
    <w:rsid w:val="000439B2"/>
    <w:rsid w:val="00043BA4"/>
    <w:rsid w:val="0004494D"/>
    <w:rsid w:val="00045411"/>
    <w:rsid w:val="000463C1"/>
    <w:rsid w:val="0005008D"/>
    <w:rsid w:val="0005011A"/>
    <w:rsid w:val="00051B64"/>
    <w:rsid w:val="00052549"/>
    <w:rsid w:val="00052709"/>
    <w:rsid w:val="00052CE9"/>
    <w:rsid w:val="00052FC4"/>
    <w:rsid w:val="000537FD"/>
    <w:rsid w:val="00053E6C"/>
    <w:rsid w:val="000540EB"/>
    <w:rsid w:val="000547BF"/>
    <w:rsid w:val="00054BBE"/>
    <w:rsid w:val="00054F85"/>
    <w:rsid w:val="00055798"/>
    <w:rsid w:val="00055A47"/>
    <w:rsid w:val="00055A9D"/>
    <w:rsid w:val="00055C3D"/>
    <w:rsid w:val="00055E2B"/>
    <w:rsid w:val="00056331"/>
    <w:rsid w:val="00056562"/>
    <w:rsid w:val="00056EF5"/>
    <w:rsid w:val="0005703A"/>
    <w:rsid w:val="000577E5"/>
    <w:rsid w:val="00057974"/>
    <w:rsid w:val="00060E35"/>
    <w:rsid w:val="000624A4"/>
    <w:rsid w:val="0006307C"/>
    <w:rsid w:val="0006368F"/>
    <w:rsid w:val="00063A2D"/>
    <w:rsid w:val="000641B4"/>
    <w:rsid w:val="000643F7"/>
    <w:rsid w:val="00064481"/>
    <w:rsid w:val="00064C5D"/>
    <w:rsid w:val="0006571F"/>
    <w:rsid w:val="00065E2D"/>
    <w:rsid w:val="00065EEC"/>
    <w:rsid w:val="00066EA8"/>
    <w:rsid w:val="00067001"/>
    <w:rsid w:val="0006760E"/>
    <w:rsid w:val="00067BF4"/>
    <w:rsid w:val="00067F19"/>
    <w:rsid w:val="0007168B"/>
    <w:rsid w:val="00071A0C"/>
    <w:rsid w:val="00071CDC"/>
    <w:rsid w:val="000725DE"/>
    <w:rsid w:val="0007277F"/>
    <w:rsid w:val="00072C6F"/>
    <w:rsid w:val="0007358C"/>
    <w:rsid w:val="00073904"/>
    <w:rsid w:val="00073987"/>
    <w:rsid w:val="00074149"/>
    <w:rsid w:val="000743C0"/>
    <w:rsid w:val="00074431"/>
    <w:rsid w:val="00075424"/>
    <w:rsid w:val="00075FE4"/>
    <w:rsid w:val="000760BF"/>
    <w:rsid w:val="00076869"/>
    <w:rsid w:val="00077163"/>
    <w:rsid w:val="00077BCF"/>
    <w:rsid w:val="00077C5A"/>
    <w:rsid w:val="00077FB2"/>
    <w:rsid w:val="000800BE"/>
    <w:rsid w:val="000801AD"/>
    <w:rsid w:val="0008035A"/>
    <w:rsid w:val="0008068D"/>
    <w:rsid w:val="000806B3"/>
    <w:rsid w:val="000809EC"/>
    <w:rsid w:val="00080D8B"/>
    <w:rsid w:val="000828F2"/>
    <w:rsid w:val="000835A3"/>
    <w:rsid w:val="00084365"/>
    <w:rsid w:val="00084A4B"/>
    <w:rsid w:val="00084A7A"/>
    <w:rsid w:val="00085D26"/>
    <w:rsid w:val="00086355"/>
    <w:rsid w:val="0008672F"/>
    <w:rsid w:val="0008693F"/>
    <w:rsid w:val="00087191"/>
    <w:rsid w:val="00087D20"/>
    <w:rsid w:val="0009055B"/>
    <w:rsid w:val="00090D7A"/>
    <w:rsid w:val="00090FBC"/>
    <w:rsid w:val="0009101D"/>
    <w:rsid w:val="000918A3"/>
    <w:rsid w:val="000926F2"/>
    <w:rsid w:val="00093575"/>
    <w:rsid w:val="000935F2"/>
    <w:rsid w:val="00093CB6"/>
    <w:rsid w:val="00094A5D"/>
    <w:rsid w:val="00095792"/>
    <w:rsid w:val="00096254"/>
    <w:rsid w:val="000974C8"/>
    <w:rsid w:val="000974DB"/>
    <w:rsid w:val="0009788E"/>
    <w:rsid w:val="000A07EE"/>
    <w:rsid w:val="000A091F"/>
    <w:rsid w:val="000A0A01"/>
    <w:rsid w:val="000A1E01"/>
    <w:rsid w:val="000A20D1"/>
    <w:rsid w:val="000A2610"/>
    <w:rsid w:val="000A4255"/>
    <w:rsid w:val="000A4258"/>
    <w:rsid w:val="000A4880"/>
    <w:rsid w:val="000A54AC"/>
    <w:rsid w:val="000A5D1C"/>
    <w:rsid w:val="000B0F94"/>
    <w:rsid w:val="000B15D6"/>
    <w:rsid w:val="000B1747"/>
    <w:rsid w:val="000B1949"/>
    <w:rsid w:val="000B2DA9"/>
    <w:rsid w:val="000B36AC"/>
    <w:rsid w:val="000B4603"/>
    <w:rsid w:val="000B4763"/>
    <w:rsid w:val="000B52EA"/>
    <w:rsid w:val="000B54F7"/>
    <w:rsid w:val="000B5740"/>
    <w:rsid w:val="000B5B41"/>
    <w:rsid w:val="000B61ED"/>
    <w:rsid w:val="000B645B"/>
    <w:rsid w:val="000B6B7A"/>
    <w:rsid w:val="000C131F"/>
    <w:rsid w:val="000C13CD"/>
    <w:rsid w:val="000C15E2"/>
    <w:rsid w:val="000C2456"/>
    <w:rsid w:val="000C259A"/>
    <w:rsid w:val="000C3550"/>
    <w:rsid w:val="000C3706"/>
    <w:rsid w:val="000C392F"/>
    <w:rsid w:val="000C41DA"/>
    <w:rsid w:val="000C4737"/>
    <w:rsid w:val="000C5015"/>
    <w:rsid w:val="000C5E80"/>
    <w:rsid w:val="000C5F72"/>
    <w:rsid w:val="000C61AC"/>
    <w:rsid w:val="000C66E7"/>
    <w:rsid w:val="000C7C69"/>
    <w:rsid w:val="000D0D15"/>
    <w:rsid w:val="000D1CA0"/>
    <w:rsid w:val="000D28C8"/>
    <w:rsid w:val="000D2CC0"/>
    <w:rsid w:val="000D4CB4"/>
    <w:rsid w:val="000D54D9"/>
    <w:rsid w:val="000D59DF"/>
    <w:rsid w:val="000D67D8"/>
    <w:rsid w:val="000D6EC6"/>
    <w:rsid w:val="000D74F7"/>
    <w:rsid w:val="000E1807"/>
    <w:rsid w:val="000E1ED1"/>
    <w:rsid w:val="000E20F8"/>
    <w:rsid w:val="000E3027"/>
    <w:rsid w:val="000E311C"/>
    <w:rsid w:val="000E3566"/>
    <w:rsid w:val="000E3733"/>
    <w:rsid w:val="000E39E0"/>
    <w:rsid w:val="000E3F43"/>
    <w:rsid w:val="000E5435"/>
    <w:rsid w:val="000E5470"/>
    <w:rsid w:val="000E5B4C"/>
    <w:rsid w:val="000E6B15"/>
    <w:rsid w:val="000E74F0"/>
    <w:rsid w:val="000E7665"/>
    <w:rsid w:val="000E7856"/>
    <w:rsid w:val="000E78ED"/>
    <w:rsid w:val="000F0870"/>
    <w:rsid w:val="000F0A03"/>
    <w:rsid w:val="000F0ACC"/>
    <w:rsid w:val="000F0D73"/>
    <w:rsid w:val="000F132B"/>
    <w:rsid w:val="000F1A28"/>
    <w:rsid w:val="000F1ED8"/>
    <w:rsid w:val="000F23FF"/>
    <w:rsid w:val="000F3CD5"/>
    <w:rsid w:val="000F6990"/>
    <w:rsid w:val="000F6A9E"/>
    <w:rsid w:val="000F718E"/>
    <w:rsid w:val="001007DC"/>
    <w:rsid w:val="00100B0B"/>
    <w:rsid w:val="001012C4"/>
    <w:rsid w:val="00101DE0"/>
    <w:rsid w:val="0010206E"/>
    <w:rsid w:val="00102917"/>
    <w:rsid w:val="0010324C"/>
    <w:rsid w:val="001037D4"/>
    <w:rsid w:val="00103C8D"/>
    <w:rsid w:val="00103D8C"/>
    <w:rsid w:val="001049AD"/>
    <w:rsid w:val="00104DAD"/>
    <w:rsid w:val="0010531E"/>
    <w:rsid w:val="0010612E"/>
    <w:rsid w:val="001061C2"/>
    <w:rsid w:val="00106CA2"/>
    <w:rsid w:val="00107326"/>
    <w:rsid w:val="00111358"/>
    <w:rsid w:val="00111950"/>
    <w:rsid w:val="00112DA7"/>
    <w:rsid w:val="00112F5C"/>
    <w:rsid w:val="0011376E"/>
    <w:rsid w:val="001141E5"/>
    <w:rsid w:val="001148AB"/>
    <w:rsid w:val="00114C75"/>
    <w:rsid w:val="00115271"/>
    <w:rsid w:val="00115327"/>
    <w:rsid w:val="001154E8"/>
    <w:rsid w:val="0011565B"/>
    <w:rsid w:val="001157A8"/>
    <w:rsid w:val="0011589B"/>
    <w:rsid w:val="0011595F"/>
    <w:rsid w:val="00115CFA"/>
    <w:rsid w:val="00116C8B"/>
    <w:rsid w:val="00116EAF"/>
    <w:rsid w:val="001170F7"/>
    <w:rsid w:val="0011727E"/>
    <w:rsid w:val="001176BB"/>
    <w:rsid w:val="00117763"/>
    <w:rsid w:val="0011788E"/>
    <w:rsid w:val="00117DBE"/>
    <w:rsid w:val="00117EB8"/>
    <w:rsid w:val="00120246"/>
    <w:rsid w:val="00121607"/>
    <w:rsid w:val="00121755"/>
    <w:rsid w:val="001219E1"/>
    <w:rsid w:val="00121A6E"/>
    <w:rsid w:val="00121AD5"/>
    <w:rsid w:val="00121CE3"/>
    <w:rsid w:val="001220E8"/>
    <w:rsid w:val="0012223A"/>
    <w:rsid w:val="00123243"/>
    <w:rsid w:val="00123919"/>
    <w:rsid w:val="001248BC"/>
    <w:rsid w:val="00124A19"/>
    <w:rsid w:val="00124A92"/>
    <w:rsid w:val="00124A99"/>
    <w:rsid w:val="001255EB"/>
    <w:rsid w:val="00125F07"/>
    <w:rsid w:val="00125F85"/>
    <w:rsid w:val="0012613C"/>
    <w:rsid w:val="00126308"/>
    <w:rsid w:val="00126F4F"/>
    <w:rsid w:val="001274D2"/>
    <w:rsid w:val="0012778F"/>
    <w:rsid w:val="00127A3F"/>
    <w:rsid w:val="00130022"/>
    <w:rsid w:val="00130569"/>
    <w:rsid w:val="001306B6"/>
    <w:rsid w:val="001308C9"/>
    <w:rsid w:val="00130B3E"/>
    <w:rsid w:val="00130C23"/>
    <w:rsid w:val="00130D58"/>
    <w:rsid w:val="001314A7"/>
    <w:rsid w:val="00131ABA"/>
    <w:rsid w:val="00131ABF"/>
    <w:rsid w:val="00132022"/>
    <w:rsid w:val="001321E1"/>
    <w:rsid w:val="001323AD"/>
    <w:rsid w:val="001323B8"/>
    <w:rsid w:val="00132A70"/>
    <w:rsid w:val="00133102"/>
    <w:rsid w:val="0013394C"/>
    <w:rsid w:val="00134CD3"/>
    <w:rsid w:val="00135E36"/>
    <w:rsid w:val="00136669"/>
    <w:rsid w:val="001366A8"/>
    <w:rsid w:val="00136A81"/>
    <w:rsid w:val="00137FAF"/>
    <w:rsid w:val="00140958"/>
    <w:rsid w:val="00140C88"/>
    <w:rsid w:val="00140F46"/>
    <w:rsid w:val="001410F8"/>
    <w:rsid w:val="00141791"/>
    <w:rsid w:val="00141AE9"/>
    <w:rsid w:val="00142358"/>
    <w:rsid w:val="00142944"/>
    <w:rsid w:val="00143592"/>
    <w:rsid w:val="00143CA8"/>
    <w:rsid w:val="00144591"/>
    <w:rsid w:val="00144A49"/>
    <w:rsid w:val="001452FC"/>
    <w:rsid w:val="00145BD6"/>
    <w:rsid w:val="00146012"/>
    <w:rsid w:val="0014659C"/>
    <w:rsid w:val="00146E6D"/>
    <w:rsid w:val="001479F8"/>
    <w:rsid w:val="0015052C"/>
    <w:rsid w:val="0015069A"/>
    <w:rsid w:val="0015121B"/>
    <w:rsid w:val="0015266B"/>
    <w:rsid w:val="00152EF0"/>
    <w:rsid w:val="00153241"/>
    <w:rsid w:val="00153764"/>
    <w:rsid w:val="00153D42"/>
    <w:rsid w:val="00154004"/>
    <w:rsid w:val="00154386"/>
    <w:rsid w:val="00155ED2"/>
    <w:rsid w:val="001574DC"/>
    <w:rsid w:val="0015765E"/>
    <w:rsid w:val="001577DF"/>
    <w:rsid w:val="00157F2D"/>
    <w:rsid w:val="00161528"/>
    <w:rsid w:val="00162325"/>
    <w:rsid w:val="001623F3"/>
    <w:rsid w:val="00163444"/>
    <w:rsid w:val="00163FCE"/>
    <w:rsid w:val="00164922"/>
    <w:rsid w:val="0016557F"/>
    <w:rsid w:val="001655D7"/>
    <w:rsid w:val="00165679"/>
    <w:rsid w:val="00165996"/>
    <w:rsid w:val="00165A8B"/>
    <w:rsid w:val="00165B3F"/>
    <w:rsid w:val="00166633"/>
    <w:rsid w:val="001677F7"/>
    <w:rsid w:val="00167946"/>
    <w:rsid w:val="00170267"/>
    <w:rsid w:val="00170E39"/>
    <w:rsid w:val="001719D3"/>
    <w:rsid w:val="00172502"/>
    <w:rsid w:val="001735EB"/>
    <w:rsid w:val="0017401B"/>
    <w:rsid w:val="00174033"/>
    <w:rsid w:val="001749EB"/>
    <w:rsid w:val="001755AB"/>
    <w:rsid w:val="00175808"/>
    <w:rsid w:val="001767EC"/>
    <w:rsid w:val="0017682C"/>
    <w:rsid w:val="0017787F"/>
    <w:rsid w:val="00180DF3"/>
    <w:rsid w:val="00180E4F"/>
    <w:rsid w:val="00181AB5"/>
    <w:rsid w:val="00182BA9"/>
    <w:rsid w:val="00183320"/>
    <w:rsid w:val="00183925"/>
    <w:rsid w:val="00183AF3"/>
    <w:rsid w:val="00184858"/>
    <w:rsid w:val="00185594"/>
    <w:rsid w:val="00186542"/>
    <w:rsid w:val="0018729C"/>
    <w:rsid w:val="001903BD"/>
    <w:rsid w:val="00190E10"/>
    <w:rsid w:val="0019101C"/>
    <w:rsid w:val="0019135E"/>
    <w:rsid w:val="00191EA9"/>
    <w:rsid w:val="00192510"/>
    <w:rsid w:val="0019273B"/>
    <w:rsid w:val="00192919"/>
    <w:rsid w:val="00192E06"/>
    <w:rsid w:val="00192E4E"/>
    <w:rsid w:val="0019582B"/>
    <w:rsid w:val="00195C72"/>
    <w:rsid w:val="0019680F"/>
    <w:rsid w:val="001970ED"/>
    <w:rsid w:val="001972DF"/>
    <w:rsid w:val="001973AD"/>
    <w:rsid w:val="001A103F"/>
    <w:rsid w:val="001A1204"/>
    <w:rsid w:val="001A1286"/>
    <w:rsid w:val="001A1816"/>
    <w:rsid w:val="001A2235"/>
    <w:rsid w:val="001A22C8"/>
    <w:rsid w:val="001A30DA"/>
    <w:rsid w:val="001A3553"/>
    <w:rsid w:val="001A35A1"/>
    <w:rsid w:val="001A392F"/>
    <w:rsid w:val="001A4924"/>
    <w:rsid w:val="001A5AF3"/>
    <w:rsid w:val="001A5B68"/>
    <w:rsid w:val="001A6708"/>
    <w:rsid w:val="001A6EFF"/>
    <w:rsid w:val="001A707E"/>
    <w:rsid w:val="001A782E"/>
    <w:rsid w:val="001B0002"/>
    <w:rsid w:val="001B0EE5"/>
    <w:rsid w:val="001B227D"/>
    <w:rsid w:val="001B2A74"/>
    <w:rsid w:val="001B2F22"/>
    <w:rsid w:val="001B31CE"/>
    <w:rsid w:val="001B34DD"/>
    <w:rsid w:val="001B37CE"/>
    <w:rsid w:val="001B39EC"/>
    <w:rsid w:val="001B4D7F"/>
    <w:rsid w:val="001B5AD2"/>
    <w:rsid w:val="001B5BB2"/>
    <w:rsid w:val="001B6B5E"/>
    <w:rsid w:val="001B7590"/>
    <w:rsid w:val="001B7A7D"/>
    <w:rsid w:val="001C0206"/>
    <w:rsid w:val="001C14F5"/>
    <w:rsid w:val="001C15CC"/>
    <w:rsid w:val="001C19FC"/>
    <w:rsid w:val="001C278B"/>
    <w:rsid w:val="001C2C2A"/>
    <w:rsid w:val="001C2EE6"/>
    <w:rsid w:val="001C374B"/>
    <w:rsid w:val="001C3785"/>
    <w:rsid w:val="001C44DD"/>
    <w:rsid w:val="001C4897"/>
    <w:rsid w:val="001C49D4"/>
    <w:rsid w:val="001C4A4C"/>
    <w:rsid w:val="001C4B64"/>
    <w:rsid w:val="001C5445"/>
    <w:rsid w:val="001C56D7"/>
    <w:rsid w:val="001C5F8D"/>
    <w:rsid w:val="001C638E"/>
    <w:rsid w:val="001C648B"/>
    <w:rsid w:val="001C6FDA"/>
    <w:rsid w:val="001C77D5"/>
    <w:rsid w:val="001C7FB1"/>
    <w:rsid w:val="001D01FA"/>
    <w:rsid w:val="001D064B"/>
    <w:rsid w:val="001D07E9"/>
    <w:rsid w:val="001D0E5D"/>
    <w:rsid w:val="001D0E67"/>
    <w:rsid w:val="001D1213"/>
    <w:rsid w:val="001D15EF"/>
    <w:rsid w:val="001D20E5"/>
    <w:rsid w:val="001D22BF"/>
    <w:rsid w:val="001D24B4"/>
    <w:rsid w:val="001D2520"/>
    <w:rsid w:val="001D27AA"/>
    <w:rsid w:val="001D2A09"/>
    <w:rsid w:val="001D2E80"/>
    <w:rsid w:val="001D3178"/>
    <w:rsid w:val="001D53B3"/>
    <w:rsid w:val="001D5C93"/>
    <w:rsid w:val="001D630B"/>
    <w:rsid w:val="001D7217"/>
    <w:rsid w:val="001D78E9"/>
    <w:rsid w:val="001D79BA"/>
    <w:rsid w:val="001E0868"/>
    <w:rsid w:val="001E0BFC"/>
    <w:rsid w:val="001E1103"/>
    <w:rsid w:val="001E1568"/>
    <w:rsid w:val="001E270C"/>
    <w:rsid w:val="001E2BDC"/>
    <w:rsid w:val="001E32C2"/>
    <w:rsid w:val="001E34CB"/>
    <w:rsid w:val="001E3C15"/>
    <w:rsid w:val="001E4164"/>
    <w:rsid w:val="001E57A6"/>
    <w:rsid w:val="001E5E6A"/>
    <w:rsid w:val="001E5FAB"/>
    <w:rsid w:val="001E64CC"/>
    <w:rsid w:val="001E6905"/>
    <w:rsid w:val="001E6F35"/>
    <w:rsid w:val="001E738B"/>
    <w:rsid w:val="001E7694"/>
    <w:rsid w:val="001E7C13"/>
    <w:rsid w:val="001F07CB"/>
    <w:rsid w:val="001F0DDC"/>
    <w:rsid w:val="001F18A7"/>
    <w:rsid w:val="001F23EF"/>
    <w:rsid w:val="001F273E"/>
    <w:rsid w:val="001F2A46"/>
    <w:rsid w:val="001F2BB7"/>
    <w:rsid w:val="001F300F"/>
    <w:rsid w:val="001F3496"/>
    <w:rsid w:val="001F3D15"/>
    <w:rsid w:val="001F4242"/>
    <w:rsid w:val="001F4396"/>
    <w:rsid w:val="001F443B"/>
    <w:rsid w:val="001F5078"/>
    <w:rsid w:val="001F64B5"/>
    <w:rsid w:val="001F70FD"/>
    <w:rsid w:val="001F738A"/>
    <w:rsid w:val="001F73EF"/>
    <w:rsid w:val="0020017F"/>
    <w:rsid w:val="00201592"/>
    <w:rsid w:val="00201A82"/>
    <w:rsid w:val="00202E8A"/>
    <w:rsid w:val="00203AC1"/>
    <w:rsid w:val="002040A2"/>
    <w:rsid w:val="002052C2"/>
    <w:rsid w:val="0020543B"/>
    <w:rsid w:val="00205DA0"/>
    <w:rsid w:val="00205F9F"/>
    <w:rsid w:val="002069B9"/>
    <w:rsid w:val="0020718A"/>
    <w:rsid w:val="00210000"/>
    <w:rsid w:val="00210CC8"/>
    <w:rsid w:val="00211326"/>
    <w:rsid w:val="00211E27"/>
    <w:rsid w:val="00213DD8"/>
    <w:rsid w:val="00214402"/>
    <w:rsid w:val="00214528"/>
    <w:rsid w:val="002155F1"/>
    <w:rsid w:val="00215BC8"/>
    <w:rsid w:val="00215CB9"/>
    <w:rsid w:val="00215D2F"/>
    <w:rsid w:val="00215E82"/>
    <w:rsid w:val="00216796"/>
    <w:rsid w:val="00217B70"/>
    <w:rsid w:val="0022021F"/>
    <w:rsid w:val="00220456"/>
    <w:rsid w:val="00220E64"/>
    <w:rsid w:val="002213A1"/>
    <w:rsid w:val="00221997"/>
    <w:rsid w:val="00222FFD"/>
    <w:rsid w:val="0022304A"/>
    <w:rsid w:val="0022326E"/>
    <w:rsid w:val="00223CAC"/>
    <w:rsid w:val="0022501D"/>
    <w:rsid w:val="0022606B"/>
    <w:rsid w:val="00226DD9"/>
    <w:rsid w:val="00226FAD"/>
    <w:rsid w:val="00230349"/>
    <w:rsid w:val="002307AF"/>
    <w:rsid w:val="00231085"/>
    <w:rsid w:val="00231275"/>
    <w:rsid w:val="00231356"/>
    <w:rsid w:val="00231E02"/>
    <w:rsid w:val="00232066"/>
    <w:rsid w:val="002323F7"/>
    <w:rsid w:val="00232548"/>
    <w:rsid w:val="002330B2"/>
    <w:rsid w:val="002338C4"/>
    <w:rsid w:val="002342AD"/>
    <w:rsid w:val="002344BE"/>
    <w:rsid w:val="00234CD1"/>
    <w:rsid w:val="0023508E"/>
    <w:rsid w:val="00235276"/>
    <w:rsid w:val="00235621"/>
    <w:rsid w:val="002369DD"/>
    <w:rsid w:val="002369F8"/>
    <w:rsid w:val="00236B0D"/>
    <w:rsid w:val="00236FFB"/>
    <w:rsid w:val="00237921"/>
    <w:rsid w:val="00237A8F"/>
    <w:rsid w:val="00237B94"/>
    <w:rsid w:val="002407C2"/>
    <w:rsid w:val="00240A30"/>
    <w:rsid w:val="00240DDE"/>
    <w:rsid w:val="00241623"/>
    <w:rsid w:val="00242402"/>
    <w:rsid w:val="00242E3B"/>
    <w:rsid w:val="0024313A"/>
    <w:rsid w:val="00243878"/>
    <w:rsid w:val="00243947"/>
    <w:rsid w:val="00243A0B"/>
    <w:rsid w:val="00244459"/>
    <w:rsid w:val="002449B7"/>
    <w:rsid w:val="002457ED"/>
    <w:rsid w:val="00246D6C"/>
    <w:rsid w:val="0024720A"/>
    <w:rsid w:val="002473E0"/>
    <w:rsid w:val="002478DE"/>
    <w:rsid w:val="00250272"/>
    <w:rsid w:val="0025034C"/>
    <w:rsid w:val="002503BE"/>
    <w:rsid w:val="00251CC0"/>
    <w:rsid w:val="002524B0"/>
    <w:rsid w:val="00252595"/>
    <w:rsid w:val="00252AAD"/>
    <w:rsid w:val="00252C87"/>
    <w:rsid w:val="002537AD"/>
    <w:rsid w:val="0025393E"/>
    <w:rsid w:val="002539BC"/>
    <w:rsid w:val="00253A11"/>
    <w:rsid w:val="00253AF2"/>
    <w:rsid w:val="00254CD9"/>
    <w:rsid w:val="0025541B"/>
    <w:rsid w:val="00256182"/>
    <w:rsid w:val="0025635F"/>
    <w:rsid w:val="00256BF2"/>
    <w:rsid w:val="00257489"/>
    <w:rsid w:val="00257BE7"/>
    <w:rsid w:val="002601AA"/>
    <w:rsid w:val="002602B7"/>
    <w:rsid w:val="00260438"/>
    <w:rsid w:val="00260BFE"/>
    <w:rsid w:val="00260EDE"/>
    <w:rsid w:val="00260FD9"/>
    <w:rsid w:val="00261600"/>
    <w:rsid w:val="002616CA"/>
    <w:rsid w:val="00261953"/>
    <w:rsid w:val="00261D32"/>
    <w:rsid w:val="00262655"/>
    <w:rsid w:val="00262A97"/>
    <w:rsid w:val="00262B39"/>
    <w:rsid w:val="0026356A"/>
    <w:rsid w:val="002638A5"/>
    <w:rsid w:val="00263911"/>
    <w:rsid w:val="0026396C"/>
    <w:rsid w:val="002653CF"/>
    <w:rsid w:val="00265DDA"/>
    <w:rsid w:val="00266A89"/>
    <w:rsid w:val="002677F5"/>
    <w:rsid w:val="00267F93"/>
    <w:rsid w:val="0027014D"/>
    <w:rsid w:val="002707F4"/>
    <w:rsid w:val="00270D4B"/>
    <w:rsid w:val="002712DD"/>
    <w:rsid w:val="00271680"/>
    <w:rsid w:val="002722FB"/>
    <w:rsid w:val="00273025"/>
    <w:rsid w:val="00273D04"/>
    <w:rsid w:val="00275AD1"/>
    <w:rsid w:val="00275BD8"/>
    <w:rsid w:val="002760F4"/>
    <w:rsid w:val="0027622A"/>
    <w:rsid w:val="002768EC"/>
    <w:rsid w:val="00276CC4"/>
    <w:rsid w:val="00276F42"/>
    <w:rsid w:val="00277235"/>
    <w:rsid w:val="00277D09"/>
    <w:rsid w:val="00277D7C"/>
    <w:rsid w:val="00280009"/>
    <w:rsid w:val="00280840"/>
    <w:rsid w:val="002814D9"/>
    <w:rsid w:val="0028217E"/>
    <w:rsid w:val="002835FB"/>
    <w:rsid w:val="0028380B"/>
    <w:rsid w:val="00284719"/>
    <w:rsid w:val="002847D8"/>
    <w:rsid w:val="00284844"/>
    <w:rsid w:val="00285179"/>
    <w:rsid w:val="0028536B"/>
    <w:rsid w:val="00285E2C"/>
    <w:rsid w:val="002868BA"/>
    <w:rsid w:val="002869F0"/>
    <w:rsid w:val="0028717E"/>
    <w:rsid w:val="00287377"/>
    <w:rsid w:val="0028789A"/>
    <w:rsid w:val="002878BD"/>
    <w:rsid w:val="00287925"/>
    <w:rsid w:val="00287A80"/>
    <w:rsid w:val="00291077"/>
    <w:rsid w:val="002918EB"/>
    <w:rsid w:val="00291E72"/>
    <w:rsid w:val="00291EF4"/>
    <w:rsid w:val="00292434"/>
    <w:rsid w:val="00292C15"/>
    <w:rsid w:val="00293007"/>
    <w:rsid w:val="002946FD"/>
    <w:rsid w:val="00294ACE"/>
    <w:rsid w:val="00294F19"/>
    <w:rsid w:val="00295BC6"/>
    <w:rsid w:val="002960DA"/>
    <w:rsid w:val="00296374"/>
    <w:rsid w:val="002963F2"/>
    <w:rsid w:val="00296DB1"/>
    <w:rsid w:val="00296DFC"/>
    <w:rsid w:val="0029712A"/>
    <w:rsid w:val="00297B75"/>
    <w:rsid w:val="002A0E51"/>
    <w:rsid w:val="002A1CBC"/>
    <w:rsid w:val="002A24D7"/>
    <w:rsid w:val="002A2B50"/>
    <w:rsid w:val="002A30AE"/>
    <w:rsid w:val="002A4439"/>
    <w:rsid w:val="002A4709"/>
    <w:rsid w:val="002A58E5"/>
    <w:rsid w:val="002A5FF3"/>
    <w:rsid w:val="002A6648"/>
    <w:rsid w:val="002A6DFB"/>
    <w:rsid w:val="002A6E06"/>
    <w:rsid w:val="002A7440"/>
    <w:rsid w:val="002A79F2"/>
    <w:rsid w:val="002B0246"/>
    <w:rsid w:val="002B0D0F"/>
    <w:rsid w:val="002B0D2B"/>
    <w:rsid w:val="002B162F"/>
    <w:rsid w:val="002B1746"/>
    <w:rsid w:val="002B1B2F"/>
    <w:rsid w:val="002B1C7C"/>
    <w:rsid w:val="002B262E"/>
    <w:rsid w:val="002B2633"/>
    <w:rsid w:val="002B2A04"/>
    <w:rsid w:val="002B2B3D"/>
    <w:rsid w:val="002B2F03"/>
    <w:rsid w:val="002B395C"/>
    <w:rsid w:val="002B39C9"/>
    <w:rsid w:val="002B4245"/>
    <w:rsid w:val="002B42C5"/>
    <w:rsid w:val="002B434C"/>
    <w:rsid w:val="002B4513"/>
    <w:rsid w:val="002B45BC"/>
    <w:rsid w:val="002B4DC2"/>
    <w:rsid w:val="002B5438"/>
    <w:rsid w:val="002B57E4"/>
    <w:rsid w:val="002B6BD3"/>
    <w:rsid w:val="002B7608"/>
    <w:rsid w:val="002C0520"/>
    <w:rsid w:val="002C0590"/>
    <w:rsid w:val="002C0858"/>
    <w:rsid w:val="002C1577"/>
    <w:rsid w:val="002C2155"/>
    <w:rsid w:val="002C25F0"/>
    <w:rsid w:val="002C2A0D"/>
    <w:rsid w:val="002C2CCD"/>
    <w:rsid w:val="002C30D7"/>
    <w:rsid w:val="002C3697"/>
    <w:rsid w:val="002C38C1"/>
    <w:rsid w:val="002C3A12"/>
    <w:rsid w:val="002C3E5A"/>
    <w:rsid w:val="002C40DA"/>
    <w:rsid w:val="002C4CD0"/>
    <w:rsid w:val="002C5729"/>
    <w:rsid w:val="002C5B2A"/>
    <w:rsid w:val="002C5B6E"/>
    <w:rsid w:val="002C616B"/>
    <w:rsid w:val="002C67C0"/>
    <w:rsid w:val="002C6886"/>
    <w:rsid w:val="002C68F9"/>
    <w:rsid w:val="002C6D4C"/>
    <w:rsid w:val="002C6E99"/>
    <w:rsid w:val="002C7289"/>
    <w:rsid w:val="002C72BF"/>
    <w:rsid w:val="002C77A7"/>
    <w:rsid w:val="002C79EF"/>
    <w:rsid w:val="002C7BE9"/>
    <w:rsid w:val="002D04D3"/>
    <w:rsid w:val="002D08E2"/>
    <w:rsid w:val="002D2312"/>
    <w:rsid w:val="002D249A"/>
    <w:rsid w:val="002D2809"/>
    <w:rsid w:val="002D2EF8"/>
    <w:rsid w:val="002D312D"/>
    <w:rsid w:val="002D3F54"/>
    <w:rsid w:val="002D3FD1"/>
    <w:rsid w:val="002D4426"/>
    <w:rsid w:val="002D4AF3"/>
    <w:rsid w:val="002D50CE"/>
    <w:rsid w:val="002D520E"/>
    <w:rsid w:val="002D590C"/>
    <w:rsid w:val="002D6182"/>
    <w:rsid w:val="002D62D5"/>
    <w:rsid w:val="002D66C7"/>
    <w:rsid w:val="002D6EEB"/>
    <w:rsid w:val="002D7B9F"/>
    <w:rsid w:val="002D7FA3"/>
    <w:rsid w:val="002D7FBE"/>
    <w:rsid w:val="002E11F5"/>
    <w:rsid w:val="002E196B"/>
    <w:rsid w:val="002E1A90"/>
    <w:rsid w:val="002E2207"/>
    <w:rsid w:val="002E239F"/>
    <w:rsid w:val="002E2566"/>
    <w:rsid w:val="002E3231"/>
    <w:rsid w:val="002E3380"/>
    <w:rsid w:val="002E3F59"/>
    <w:rsid w:val="002E476B"/>
    <w:rsid w:val="002E4E92"/>
    <w:rsid w:val="002E54C0"/>
    <w:rsid w:val="002E5B49"/>
    <w:rsid w:val="002E7858"/>
    <w:rsid w:val="002E7997"/>
    <w:rsid w:val="002F0C95"/>
    <w:rsid w:val="002F1227"/>
    <w:rsid w:val="002F1302"/>
    <w:rsid w:val="002F13E8"/>
    <w:rsid w:val="002F2C7D"/>
    <w:rsid w:val="002F3A76"/>
    <w:rsid w:val="002F3ADB"/>
    <w:rsid w:val="002F3D65"/>
    <w:rsid w:val="002F538C"/>
    <w:rsid w:val="002F5594"/>
    <w:rsid w:val="002F58AE"/>
    <w:rsid w:val="002F5A56"/>
    <w:rsid w:val="002F6239"/>
    <w:rsid w:val="002F629B"/>
    <w:rsid w:val="002F6C65"/>
    <w:rsid w:val="002F6CE4"/>
    <w:rsid w:val="002F7301"/>
    <w:rsid w:val="002F75EB"/>
    <w:rsid w:val="002F7F07"/>
    <w:rsid w:val="003002F9"/>
    <w:rsid w:val="00300496"/>
    <w:rsid w:val="003004AD"/>
    <w:rsid w:val="0030056F"/>
    <w:rsid w:val="0030078A"/>
    <w:rsid w:val="003009B2"/>
    <w:rsid w:val="00300B86"/>
    <w:rsid w:val="00300BB0"/>
    <w:rsid w:val="00300C0C"/>
    <w:rsid w:val="00300DE8"/>
    <w:rsid w:val="00300FAA"/>
    <w:rsid w:val="003014A4"/>
    <w:rsid w:val="00301A5D"/>
    <w:rsid w:val="00302372"/>
    <w:rsid w:val="003028D6"/>
    <w:rsid w:val="00302B98"/>
    <w:rsid w:val="00303E40"/>
    <w:rsid w:val="00304907"/>
    <w:rsid w:val="00304CB9"/>
    <w:rsid w:val="00305112"/>
    <w:rsid w:val="00305B05"/>
    <w:rsid w:val="003067B1"/>
    <w:rsid w:val="00306C33"/>
    <w:rsid w:val="00310235"/>
    <w:rsid w:val="0031048A"/>
    <w:rsid w:val="00310938"/>
    <w:rsid w:val="00311213"/>
    <w:rsid w:val="003131FB"/>
    <w:rsid w:val="003138EC"/>
    <w:rsid w:val="00313DA3"/>
    <w:rsid w:val="00314248"/>
    <w:rsid w:val="00314636"/>
    <w:rsid w:val="00314927"/>
    <w:rsid w:val="00315036"/>
    <w:rsid w:val="003152A7"/>
    <w:rsid w:val="003155DE"/>
    <w:rsid w:val="00315CA5"/>
    <w:rsid w:val="0031745A"/>
    <w:rsid w:val="00317657"/>
    <w:rsid w:val="00321284"/>
    <w:rsid w:val="00321562"/>
    <w:rsid w:val="00321ED7"/>
    <w:rsid w:val="0032217E"/>
    <w:rsid w:val="003227F0"/>
    <w:rsid w:val="00323E4F"/>
    <w:rsid w:val="003242E5"/>
    <w:rsid w:val="003253ED"/>
    <w:rsid w:val="0032557C"/>
    <w:rsid w:val="00325F56"/>
    <w:rsid w:val="00326515"/>
    <w:rsid w:val="003268BE"/>
    <w:rsid w:val="00326B02"/>
    <w:rsid w:val="00327812"/>
    <w:rsid w:val="00327D05"/>
    <w:rsid w:val="00327FC0"/>
    <w:rsid w:val="003302FB"/>
    <w:rsid w:val="00330ED9"/>
    <w:rsid w:val="00330F43"/>
    <w:rsid w:val="003318A6"/>
    <w:rsid w:val="00331DA8"/>
    <w:rsid w:val="0033205C"/>
    <w:rsid w:val="00332373"/>
    <w:rsid w:val="003326CD"/>
    <w:rsid w:val="003328D7"/>
    <w:rsid w:val="00332A0E"/>
    <w:rsid w:val="00332B4D"/>
    <w:rsid w:val="00332F45"/>
    <w:rsid w:val="00333B95"/>
    <w:rsid w:val="003349D8"/>
    <w:rsid w:val="00335626"/>
    <w:rsid w:val="00335B6B"/>
    <w:rsid w:val="00336EC5"/>
    <w:rsid w:val="00336F82"/>
    <w:rsid w:val="003370A6"/>
    <w:rsid w:val="00337CDD"/>
    <w:rsid w:val="003401CA"/>
    <w:rsid w:val="00340542"/>
    <w:rsid w:val="00340A71"/>
    <w:rsid w:val="00340BB4"/>
    <w:rsid w:val="00340D69"/>
    <w:rsid w:val="00341663"/>
    <w:rsid w:val="00341C05"/>
    <w:rsid w:val="003428ED"/>
    <w:rsid w:val="00342FB5"/>
    <w:rsid w:val="003433A7"/>
    <w:rsid w:val="003445C1"/>
    <w:rsid w:val="00344939"/>
    <w:rsid w:val="0034504C"/>
    <w:rsid w:val="0034564D"/>
    <w:rsid w:val="003464B9"/>
    <w:rsid w:val="00347304"/>
    <w:rsid w:val="0034751F"/>
    <w:rsid w:val="003477CF"/>
    <w:rsid w:val="00347AF7"/>
    <w:rsid w:val="0035021E"/>
    <w:rsid w:val="00350589"/>
    <w:rsid w:val="003505F2"/>
    <w:rsid w:val="0035085D"/>
    <w:rsid w:val="003509B2"/>
    <w:rsid w:val="00350D9A"/>
    <w:rsid w:val="00352278"/>
    <w:rsid w:val="003524A6"/>
    <w:rsid w:val="00352720"/>
    <w:rsid w:val="003529DF"/>
    <w:rsid w:val="00353827"/>
    <w:rsid w:val="00354796"/>
    <w:rsid w:val="00354917"/>
    <w:rsid w:val="00354B11"/>
    <w:rsid w:val="00355ADA"/>
    <w:rsid w:val="00356155"/>
    <w:rsid w:val="00356356"/>
    <w:rsid w:val="00356DD7"/>
    <w:rsid w:val="003574F9"/>
    <w:rsid w:val="00357A37"/>
    <w:rsid w:val="00360CE6"/>
    <w:rsid w:val="00360FA8"/>
    <w:rsid w:val="003630CC"/>
    <w:rsid w:val="00363A5F"/>
    <w:rsid w:val="003644F9"/>
    <w:rsid w:val="00364A2E"/>
    <w:rsid w:val="0036635F"/>
    <w:rsid w:val="003663AA"/>
    <w:rsid w:val="0036660A"/>
    <w:rsid w:val="00366DD5"/>
    <w:rsid w:val="003704A6"/>
    <w:rsid w:val="00370A76"/>
    <w:rsid w:val="00370CD6"/>
    <w:rsid w:val="00370D90"/>
    <w:rsid w:val="003710C9"/>
    <w:rsid w:val="00371220"/>
    <w:rsid w:val="0037155E"/>
    <w:rsid w:val="003721E6"/>
    <w:rsid w:val="003729AC"/>
    <w:rsid w:val="00372D7B"/>
    <w:rsid w:val="00373469"/>
    <w:rsid w:val="003743D2"/>
    <w:rsid w:val="003754DD"/>
    <w:rsid w:val="003768FD"/>
    <w:rsid w:val="00376988"/>
    <w:rsid w:val="003771EA"/>
    <w:rsid w:val="0037791C"/>
    <w:rsid w:val="003800DA"/>
    <w:rsid w:val="00380775"/>
    <w:rsid w:val="00381C9E"/>
    <w:rsid w:val="00381EB5"/>
    <w:rsid w:val="00382114"/>
    <w:rsid w:val="003823E0"/>
    <w:rsid w:val="0038275D"/>
    <w:rsid w:val="00383252"/>
    <w:rsid w:val="00383940"/>
    <w:rsid w:val="00383E7F"/>
    <w:rsid w:val="00383E96"/>
    <w:rsid w:val="00383F1B"/>
    <w:rsid w:val="0038401A"/>
    <w:rsid w:val="00384418"/>
    <w:rsid w:val="003845EF"/>
    <w:rsid w:val="0038489A"/>
    <w:rsid w:val="00384ECE"/>
    <w:rsid w:val="00384F07"/>
    <w:rsid w:val="0038563E"/>
    <w:rsid w:val="00385B88"/>
    <w:rsid w:val="00385ECD"/>
    <w:rsid w:val="003866D5"/>
    <w:rsid w:val="003871A5"/>
    <w:rsid w:val="00387CD4"/>
    <w:rsid w:val="0039081D"/>
    <w:rsid w:val="00390CE7"/>
    <w:rsid w:val="00391F44"/>
    <w:rsid w:val="00392AB8"/>
    <w:rsid w:val="00393929"/>
    <w:rsid w:val="003939CC"/>
    <w:rsid w:val="00393A30"/>
    <w:rsid w:val="00393EFB"/>
    <w:rsid w:val="00394F39"/>
    <w:rsid w:val="00394F64"/>
    <w:rsid w:val="00395300"/>
    <w:rsid w:val="003959C9"/>
    <w:rsid w:val="003969C3"/>
    <w:rsid w:val="003969E7"/>
    <w:rsid w:val="00396BA9"/>
    <w:rsid w:val="003971ED"/>
    <w:rsid w:val="0039758F"/>
    <w:rsid w:val="003976C6"/>
    <w:rsid w:val="003A061E"/>
    <w:rsid w:val="003A1661"/>
    <w:rsid w:val="003A2080"/>
    <w:rsid w:val="003A21BF"/>
    <w:rsid w:val="003A3AD1"/>
    <w:rsid w:val="003A3DE0"/>
    <w:rsid w:val="003A42BB"/>
    <w:rsid w:val="003A4325"/>
    <w:rsid w:val="003A5983"/>
    <w:rsid w:val="003A5E10"/>
    <w:rsid w:val="003A5EBE"/>
    <w:rsid w:val="003A63F4"/>
    <w:rsid w:val="003A681E"/>
    <w:rsid w:val="003A6910"/>
    <w:rsid w:val="003A6D9D"/>
    <w:rsid w:val="003B0F95"/>
    <w:rsid w:val="003B1E1D"/>
    <w:rsid w:val="003B2C4D"/>
    <w:rsid w:val="003B2E4D"/>
    <w:rsid w:val="003B37ED"/>
    <w:rsid w:val="003B3C7C"/>
    <w:rsid w:val="003B4345"/>
    <w:rsid w:val="003B43EB"/>
    <w:rsid w:val="003B4DF5"/>
    <w:rsid w:val="003B4FC3"/>
    <w:rsid w:val="003B546D"/>
    <w:rsid w:val="003B5C5D"/>
    <w:rsid w:val="003B67E7"/>
    <w:rsid w:val="003B6E94"/>
    <w:rsid w:val="003B71B8"/>
    <w:rsid w:val="003B7EC8"/>
    <w:rsid w:val="003C0159"/>
    <w:rsid w:val="003C0551"/>
    <w:rsid w:val="003C055C"/>
    <w:rsid w:val="003C093D"/>
    <w:rsid w:val="003C09A5"/>
    <w:rsid w:val="003C16D4"/>
    <w:rsid w:val="003C24C5"/>
    <w:rsid w:val="003C24DF"/>
    <w:rsid w:val="003C24EC"/>
    <w:rsid w:val="003C28F6"/>
    <w:rsid w:val="003C29E7"/>
    <w:rsid w:val="003C31A4"/>
    <w:rsid w:val="003C3652"/>
    <w:rsid w:val="003C5173"/>
    <w:rsid w:val="003C530E"/>
    <w:rsid w:val="003C5657"/>
    <w:rsid w:val="003C57EA"/>
    <w:rsid w:val="003C5F3B"/>
    <w:rsid w:val="003C6769"/>
    <w:rsid w:val="003C6D10"/>
    <w:rsid w:val="003C6EAC"/>
    <w:rsid w:val="003C701F"/>
    <w:rsid w:val="003C733B"/>
    <w:rsid w:val="003C787D"/>
    <w:rsid w:val="003C798E"/>
    <w:rsid w:val="003C7FEA"/>
    <w:rsid w:val="003D0A79"/>
    <w:rsid w:val="003D169E"/>
    <w:rsid w:val="003D1784"/>
    <w:rsid w:val="003D1992"/>
    <w:rsid w:val="003D19BE"/>
    <w:rsid w:val="003D1C94"/>
    <w:rsid w:val="003D20F8"/>
    <w:rsid w:val="003D260F"/>
    <w:rsid w:val="003D3178"/>
    <w:rsid w:val="003D35E2"/>
    <w:rsid w:val="003D37FA"/>
    <w:rsid w:val="003D4024"/>
    <w:rsid w:val="003D4503"/>
    <w:rsid w:val="003D46DA"/>
    <w:rsid w:val="003D48D3"/>
    <w:rsid w:val="003D4F94"/>
    <w:rsid w:val="003E0190"/>
    <w:rsid w:val="003E03E5"/>
    <w:rsid w:val="003E099D"/>
    <w:rsid w:val="003E1606"/>
    <w:rsid w:val="003E2C35"/>
    <w:rsid w:val="003E2E91"/>
    <w:rsid w:val="003E3446"/>
    <w:rsid w:val="003E3514"/>
    <w:rsid w:val="003E35B6"/>
    <w:rsid w:val="003E38D3"/>
    <w:rsid w:val="003E4575"/>
    <w:rsid w:val="003E4C4D"/>
    <w:rsid w:val="003E56B2"/>
    <w:rsid w:val="003E5A8A"/>
    <w:rsid w:val="003E66B6"/>
    <w:rsid w:val="003E6AE5"/>
    <w:rsid w:val="003E6DB5"/>
    <w:rsid w:val="003F0197"/>
    <w:rsid w:val="003F08EC"/>
    <w:rsid w:val="003F09F3"/>
    <w:rsid w:val="003F0B9E"/>
    <w:rsid w:val="003F0C4D"/>
    <w:rsid w:val="003F0F0A"/>
    <w:rsid w:val="003F10C3"/>
    <w:rsid w:val="003F1907"/>
    <w:rsid w:val="003F1C6B"/>
    <w:rsid w:val="003F1DDA"/>
    <w:rsid w:val="003F2FD5"/>
    <w:rsid w:val="003F30A5"/>
    <w:rsid w:val="003F33C7"/>
    <w:rsid w:val="003F3572"/>
    <w:rsid w:val="003F3CA7"/>
    <w:rsid w:val="003F41BF"/>
    <w:rsid w:val="003F475F"/>
    <w:rsid w:val="003F5249"/>
    <w:rsid w:val="003F547A"/>
    <w:rsid w:val="003F62CB"/>
    <w:rsid w:val="003F6405"/>
    <w:rsid w:val="003F725E"/>
    <w:rsid w:val="003F7E65"/>
    <w:rsid w:val="003F7EFF"/>
    <w:rsid w:val="004000B5"/>
    <w:rsid w:val="00400423"/>
    <w:rsid w:val="00400B24"/>
    <w:rsid w:val="004011CD"/>
    <w:rsid w:val="00401A81"/>
    <w:rsid w:val="004029D6"/>
    <w:rsid w:val="00402C53"/>
    <w:rsid w:val="00402C7C"/>
    <w:rsid w:val="0040340E"/>
    <w:rsid w:val="0040342A"/>
    <w:rsid w:val="0040454E"/>
    <w:rsid w:val="00404D02"/>
    <w:rsid w:val="00404D08"/>
    <w:rsid w:val="00404D9B"/>
    <w:rsid w:val="004054D5"/>
    <w:rsid w:val="00405665"/>
    <w:rsid w:val="004057A6"/>
    <w:rsid w:val="00406487"/>
    <w:rsid w:val="00406591"/>
    <w:rsid w:val="00410413"/>
    <w:rsid w:val="00411065"/>
    <w:rsid w:val="004110C5"/>
    <w:rsid w:val="0041133A"/>
    <w:rsid w:val="00411C79"/>
    <w:rsid w:val="0041293B"/>
    <w:rsid w:val="004129D1"/>
    <w:rsid w:val="00412C9F"/>
    <w:rsid w:val="0041326F"/>
    <w:rsid w:val="004136F1"/>
    <w:rsid w:val="00413F7A"/>
    <w:rsid w:val="00415144"/>
    <w:rsid w:val="0041524A"/>
    <w:rsid w:val="0041540F"/>
    <w:rsid w:val="00415C93"/>
    <w:rsid w:val="00415E34"/>
    <w:rsid w:val="004161E6"/>
    <w:rsid w:val="004170D5"/>
    <w:rsid w:val="004176C9"/>
    <w:rsid w:val="004200D1"/>
    <w:rsid w:val="00421158"/>
    <w:rsid w:val="00421216"/>
    <w:rsid w:val="00421CB7"/>
    <w:rsid w:val="00423185"/>
    <w:rsid w:val="0042375C"/>
    <w:rsid w:val="00423E12"/>
    <w:rsid w:val="00424B4D"/>
    <w:rsid w:val="00424C2A"/>
    <w:rsid w:val="00424DEB"/>
    <w:rsid w:val="00424F23"/>
    <w:rsid w:val="00425344"/>
    <w:rsid w:val="004255DF"/>
    <w:rsid w:val="00425686"/>
    <w:rsid w:val="00425A5A"/>
    <w:rsid w:val="00425FFA"/>
    <w:rsid w:val="00426302"/>
    <w:rsid w:val="004269B3"/>
    <w:rsid w:val="00426D89"/>
    <w:rsid w:val="00427AAE"/>
    <w:rsid w:val="00427DCF"/>
    <w:rsid w:val="00427E4F"/>
    <w:rsid w:val="00430588"/>
    <w:rsid w:val="004306DA"/>
    <w:rsid w:val="00431004"/>
    <w:rsid w:val="00431F57"/>
    <w:rsid w:val="00432373"/>
    <w:rsid w:val="00432828"/>
    <w:rsid w:val="00432FBC"/>
    <w:rsid w:val="00433656"/>
    <w:rsid w:val="00433890"/>
    <w:rsid w:val="00434C49"/>
    <w:rsid w:val="004350D5"/>
    <w:rsid w:val="00435D8C"/>
    <w:rsid w:val="00435F66"/>
    <w:rsid w:val="0043631D"/>
    <w:rsid w:val="004366F1"/>
    <w:rsid w:val="00436965"/>
    <w:rsid w:val="00437669"/>
    <w:rsid w:val="00437E1E"/>
    <w:rsid w:val="004402A9"/>
    <w:rsid w:val="00440308"/>
    <w:rsid w:val="00440652"/>
    <w:rsid w:val="004406DA"/>
    <w:rsid w:val="00441629"/>
    <w:rsid w:val="004416CE"/>
    <w:rsid w:val="00442D3B"/>
    <w:rsid w:val="00442DCB"/>
    <w:rsid w:val="00443798"/>
    <w:rsid w:val="00443A40"/>
    <w:rsid w:val="004444B9"/>
    <w:rsid w:val="0044451E"/>
    <w:rsid w:val="00444607"/>
    <w:rsid w:val="00444631"/>
    <w:rsid w:val="00444AA5"/>
    <w:rsid w:val="0044570A"/>
    <w:rsid w:val="00445D7B"/>
    <w:rsid w:val="004470B0"/>
    <w:rsid w:val="0044724E"/>
    <w:rsid w:val="0044733B"/>
    <w:rsid w:val="00450FB1"/>
    <w:rsid w:val="00451067"/>
    <w:rsid w:val="0045128A"/>
    <w:rsid w:val="00451C2F"/>
    <w:rsid w:val="00451F56"/>
    <w:rsid w:val="0045240E"/>
    <w:rsid w:val="00452503"/>
    <w:rsid w:val="00452920"/>
    <w:rsid w:val="00452CEC"/>
    <w:rsid w:val="00453256"/>
    <w:rsid w:val="004532AE"/>
    <w:rsid w:val="00453AF3"/>
    <w:rsid w:val="00453B57"/>
    <w:rsid w:val="00453B90"/>
    <w:rsid w:val="00454248"/>
    <w:rsid w:val="00454447"/>
    <w:rsid w:val="0045488E"/>
    <w:rsid w:val="00454F4E"/>
    <w:rsid w:val="00455498"/>
    <w:rsid w:val="004554C2"/>
    <w:rsid w:val="004556A9"/>
    <w:rsid w:val="0045640B"/>
    <w:rsid w:val="004572A0"/>
    <w:rsid w:val="0045783D"/>
    <w:rsid w:val="0046098D"/>
    <w:rsid w:val="00460ACF"/>
    <w:rsid w:val="004611F1"/>
    <w:rsid w:val="00461322"/>
    <w:rsid w:val="0046185D"/>
    <w:rsid w:val="004619FC"/>
    <w:rsid w:val="00462015"/>
    <w:rsid w:val="004623C4"/>
    <w:rsid w:val="004628DB"/>
    <w:rsid w:val="004630A0"/>
    <w:rsid w:val="00463B44"/>
    <w:rsid w:val="00463C5B"/>
    <w:rsid w:val="00463F98"/>
    <w:rsid w:val="00464BF8"/>
    <w:rsid w:val="00464CB0"/>
    <w:rsid w:val="004661C4"/>
    <w:rsid w:val="0046621A"/>
    <w:rsid w:val="0046657A"/>
    <w:rsid w:val="004669D5"/>
    <w:rsid w:val="00466E90"/>
    <w:rsid w:val="004678A2"/>
    <w:rsid w:val="00470453"/>
    <w:rsid w:val="00470BB2"/>
    <w:rsid w:val="004713C4"/>
    <w:rsid w:val="004718F3"/>
    <w:rsid w:val="00472F59"/>
    <w:rsid w:val="00472FD6"/>
    <w:rsid w:val="00472FE3"/>
    <w:rsid w:val="00473331"/>
    <w:rsid w:val="0047350D"/>
    <w:rsid w:val="00473EC7"/>
    <w:rsid w:val="00474312"/>
    <w:rsid w:val="00474575"/>
    <w:rsid w:val="00474AE7"/>
    <w:rsid w:val="0047551C"/>
    <w:rsid w:val="00475696"/>
    <w:rsid w:val="00476C27"/>
    <w:rsid w:val="0047760B"/>
    <w:rsid w:val="004801C8"/>
    <w:rsid w:val="00480CE7"/>
    <w:rsid w:val="004812FC"/>
    <w:rsid w:val="004821B5"/>
    <w:rsid w:val="004826E1"/>
    <w:rsid w:val="00482721"/>
    <w:rsid w:val="00482C1A"/>
    <w:rsid w:val="00482C36"/>
    <w:rsid w:val="00482D16"/>
    <w:rsid w:val="00482DDA"/>
    <w:rsid w:val="004834A9"/>
    <w:rsid w:val="00484456"/>
    <w:rsid w:val="00484647"/>
    <w:rsid w:val="0048487E"/>
    <w:rsid w:val="004849E1"/>
    <w:rsid w:val="00484C23"/>
    <w:rsid w:val="004852F6"/>
    <w:rsid w:val="00485463"/>
    <w:rsid w:val="00486235"/>
    <w:rsid w:val="004866E2"/>
    <w:rsid w:val="0048734F"/>
    <w:rsid w:val="00487532"/>
    <w:rsid w:val="00487DEB"/>
    <w:rsid w:val="0049025E"/>
    <w:rsid w:val="004924A7"/>
    <w:rsid w:val="004926C3"/>
    <w:rsid w:val="004934B3"/>
    <w:rsid w:val="00494305"/>
    <w:rsid w:val="00494F6C"/>
    <w:rsid w:val="0049650C"/>
    <w:rsid w:val="004974BF"/>
    <w:rsid w:val="00497B6F"/>
    <w:rsid w:val="00497FE0"/>
    <w:rsid w:val="004A06BF"/>
    <w:rsid w:val="004A3427"/>
    <w:rsid w:val="004A48A5"/>
    <w:rsid w:val="004A5190"/>
    <w:rsid w:val="004A54FF"/>
    <w:rsid w:val="004A5AAA"/>
    <w:rsid w:val="004A63E5"/>
    <w:rsid w:val="004A65C6"/>
    <w:rsid w:val="004A687E"/>
    <w:rsid w:val="004A6940"/>
    <w:rsid w:val="004A729A"/>
    <w:rsid w:val="004A7447"/>
    <w:rsid w:val="004B0347"/>
    <w:rsid w:val="004B07F6"/>
    <w:rsid w:val="004B0B5C"/>
    <w:rsid w:val="004B1210"/>
    <w:rsid w:val="004B17B9"/>
    <w:rsid w:val="004B18CA"/>
    <w:rsid w:val="004B1EA0"/>
    <w:rsid w:val="004B2188"/>
    <w:rsid w:val="004B22EE"/>
    <w:rsid w:val="004B2544"/>
    <w:rsid w:val="004B2DBE"/>
    <w:rsid w:val="004B35D2"/>
    <w:rsid w:val="004B3F82"/>
    <w:rsid w:val="004B41E8"/>
    <w:rsid w:val="004B4948"/>
    <w:rsid w:val="004B4968"/>
    <w:rsid w:val="004B56FA"/>
    <w:rsid w:val="004B6A68"/>
    <w:rsid w:val="004B6D14"/>
    <w:rsid w:val="004B6DFC"/>
    <w:rsid w:val="004B7037"/>
    <w:rsid w:val="004B7127"/>
    <w:rsid w:val="004B7880"/>
    <w:rsid w:val="004B7D4C"/>
    <w:rsid w:val="004C0E8E"/>
    <w:rsid w:val="004C1C16"/>
    <w:rsid w:val="004C244A"/>
    <w:rsid w:val="004C26B7"/>
    <w:rsid w:val="004C2CFC"/>
    <w:rsid w:val="004C310C"/>
    <w:rsid w:val="004C382A"/>
    <w:rsid w:val="004C387D"/>
    <w:rsid w:val="004C3AEF"/>
    <w:rsid w:val="004C4463"/>
    <w:rsid w:val="004C459C"/>
    <w:rsid w:val="004C4603"/>
    <w:rsid w:val="004C4CB8"/>
    <w:rsid w:val="004C4E3A"/>
    <w:rsid w:val="004C4FD4"/>
    <w:rsid w:val="004C53D2"/>
    <w:rsid w:val="004C6567"/>
    <w:rsid w:val="004C69C6"/>
    <w:rsid w:val="004C78B8"/>
    <w:rsid w:val="004C78CE"/>
    <w:rsid w:val="004D0021"/>
    <w:rsid w:val="004D0287"/>
    <w:rsid w:val="004D0D9C"/>
    <w:rsid w:val="004D1788"/>
    <w:rsid w:val="004D1980"/>
    <w:rsid w:val="004D21AA"/>
    <w:rsid w:val="004D34D0"/>
    <w:rsid w:val="004D34EA"/>
    <w:rsid w:val="004D3515"/>
    <w:rsid w:val="004D43A4"/>
    <w:rsid w:val="004D4546"/>
    <w:rsid w:val="004D4608"/>
    <w:rsid w:val="004D4CBB"/>
    <w:rsid w:val="004D5B5C"/>
    <w:rsid w:val="004D609B"/>
    <w:rsid w:val="004D646E"/>
    <w:rsid w:val="004D708D"/>
    <w:rsid w:val="004D7645"/>
    <w:rsid w:val="004D7943"/>
    <w:rsid w:val="004D79AF"/>
    <w:rsid w:val="004E0093"/>
    <w:rsid w:val="004E0A3B"/>
    <w:rsid w:val="004E0B62"/>
    <w:rsid w:val="004E232B"/>
    <w:rsid w:val="004E290C"/>
    <w:rsid w:val="004E53D0"/>
    <w:rsid w:val="004E5FF8"/>
    <w:rsid w:val="004E634B"/>
    <w:rsid w:val="004E66EA"/>
    <w:rsid w:val="004E6B27"/>
    <w:rsid w:val="004E6BC1"/>
    <w:rsid w:val="004E74B4"/>
    <w:rsid w:val="004E7794"/>
    <w:rsid w:val="004E7A74"/>
    <w:rsid w:val="004E7C68"/>
    <w:rsid w:val="004E7D26"/>
    <w:rsid w:val="004E7DC0"/>
    <w:rsid w:val="004F1132"/>
    <w:rsid w:val="004F273D"/>
    <w:rsid w:val="004F278F"/>
    <w:rsid w:val="004F41EE"/>
    <w:rsid w:val="004F5B05"/>
    <w:rsid w:val="004F5D6F"/>
    <w:rsid w:val="004F65C7"/>
    <w:rsid w:val="004F69B4"/>
    <w:rsid w:val="004F6A1E"/>
    <w:rsid w:val="004F6B63"/>
    <w:rsid w:val="004F6E48"/>
    <w:rsid w:val="004F6F6E"/>
    <w:rsid w:val="004F73CA"/>
    <w:rsid w:val="004F7570"/>
    <w:rsid w:val="004F7CA5"/>
    <w:rsid w:val="004F7F95"/>
    <w:rsid w:val="005001D4"/>
    <w:rsid w:val="00500230"/>
    <w:rsid w:val="00500971"/>
    <w:rsid w:val="00501859"/>
    <w:rsid w:val="00501F7A"/>
    <w:rsid w:val="005026DC"/>
    <w:rsid w:val="00502A53"/>
    <w:rsid w:val="00503C87"/>
    <w:rsid w:val="00504595"/>
    <w:rsid w:val="0050466F"/>
    <w:rsid w:val="0050478E"/>
    <w:rsid w:val="00504901"/>
    <w:rsid w:val="00504F30"/>
    <w:rsid w:val="0050535B"/>
    <w:rsid w:val="005053DB"/>
    <w:rsid w:val="00505903"/>
    <w:rsid w:val="00505D5A"/>
    <w:rsid w:val="00505F18"/>
    <w:rsid w:val="0050653F"/>
    <w:rsid w:val="00507803"/>
    <w:rsid w:val="00507BBF"/>
    <w:rsid w:val="00510A7C"/>
    <w:rsid w:val="005119E0"/>
    <w:rsid w:val="00511D4F"/>
    <w:rsid w:val="00512EA3"/>
    <w:rsid w:val="00512FFC"/>
    <w:rsid w:val="0051330C"/>
    <w:rsid w:val="005138A2"/>
    <w:rsid w:val="00513B45"/>
    <w:rsid w:val="00513EAD"/>
    <w:rsid w:val="0051431E"/>
    <w:rsid w:val="005158B6"/>
    <w:rsid w:val="005158BF"/>
    <w:rsid w:val="0051669B"/>
    <w:rsid w:val="00516829"/>
    <w:rsid w:val="00516948"/>
    <w:rsid w:val="00516B5D"/>
    <w:rsid w:val="00516B5F"/>
    <w:rsid w:val="00516F7B"/>
    <w:rsid w:val="0051780B"/>
    <w:rsid w:val="00520499"/>
    <w:rsid w:val="00520BE2"/>
    <w:rsid w:val="00521264"/>
    <w:rsid w:val="0052173D"/>
    <w:rsid w:val="00521A65"/>
    <w:rsid w:val="00522578"/>
    <w:rsid w:val="00522788"/>
    <w:rsid w:val="00523445"/>
    <w:rsid w:val="005238ED"/>
    <w:rsid w:val="00523EE9"/>
    <w:rsid w:val="00525292"/>
    <w:rsid w:val="005257F8"/>
    <w:rsid w:val="005272B1"/>
    <w:rsid w:val="00527793"/>
    <w:rsid w:val="00527CDA"/>
    <w:rsid w:val="00530334"/>
    <w:rsid w:val="005307FF"/>
    <w:rsid w:val="00530FD1"/>
    <w:rsid w:val="005315DF"/>
    <w:rsid w:val="00532108"/>
    <w:rsid w:val="005329D2"/>
    <w:rsid w:val="00534381"/>
    <w:rsid w:val="00534A28"/>
    <w:rsid w:val="00534EC7"/>
    <w:rsid w:val="00535E8C"/>
    <w:rsid w:val="00536145"/>
    <w:rsid w:val="005364A4"/>
    <w:rsid w:val="00536D87"/>
    <w:rsid w:val="00536E1C"/>
    <w:rsid w:val="00537577"/>
    <w:rsid w:val="0053757C"/>
    <w:rsid w:val="00540306"/>
    <w:rsid w:val="00541467"/>
    <w:rsid w:val="0054148D"/>
    <w:rsid w:val="005429EC"/>
    <w:rsid w:val="00543258"/>
    <w:rsid w:val="005434DC"/>
    <w:rsid w:val="0054381D"/>
    <w:rsid w:val="00543D4F"/>
    <w:rsid w:val="00543E88"/>
    <w:rsid w:val="00545F58"/>
    <w:rsid w:val="00546198"/>
    <w:rsid w:val="00546372"/>
    <w:rsid w:val="005464B5"/>
    <w:rsid w:val="00546929"/>
    <w:rsid w:val="005471A1"/>
    <w:rsid w:val="005471BD"/>
    <w:rsid w:val="00547202"/>
    <w:rsid w:val="005477BC"/>
    <w:rsid w:val="0054790E"/>
    <w:rsid w:val="00550400"/>
    <w:rsid w:val="00550AB3"/>
    <w:rsid w:val="00550D6C"/>
    <w:rsid w:val="005510BA"/>
    <w:rsid w:val="00551412"/>
    <w:rsid w:val="0055225E"/>
    <w:rsid w:val="005524AA"/>
    <w:rsid w:val="0055294D"/>
    <w:rsid w:val="00552CEE"/>
    <w:rsid w:val="00553900"/>
    <w:rsid w:val="00553DB0"/>
    <w:rsid w:val="005542B7"/>
    <w:rsid w:val="00554690"/>
    <w:rsid w:val="00554B88"/>
    <w:rsid w:val="00554C4D"/>
    <w:rsid w:val="00554CB1"/>
    <w:rsid w:val="00554ED9"/>
    <w:rsid w:val="00554F1F"/>
    <w:rsid w:val="005555A9"/>
    <w:rsid w:val="005557A4"/>
    <w:rsid w:val="00555C1C"/>
    <w:rsid w:val="00555F63"/>
    <w:rsid w:val="005563C8"/>
    <w:rsid w:val="005602DB"/>
    <w:rsid w:val="0056036F"/>
    <w:rsid w:val="005608A0"/>
    <w:rsid w:val="00560939"/>
    <w:rsid w:val="00560E1D"/>
    <w:rsid w:val="00560FE2"/>
    <w:rsid w:val="00561B11"/>
    <w:rsid w:val="00563756"/>
    <w:rsid w:val="00563A47"/>
    <w:rsid w:val="00563BFA"/>
    <w:rsid w:val="00563DB7"/>
    <w:rsid w:val="005642B3"/>
    <w:rsid w:val="0056443F"/>
    <w:rsid w:val="00564959"/>
    <w:rsid w:val="00564FEF"/>
    <w:rsid w:val="0056517E"/>
    <w:rsid w:val="005652ED"/>
    <w:rsid w:val="0056572B"/>
    <w:rsid w:val="00566614"/>
    <w:rsid w:val="005673E4"/>
    <w:rsid w:val="005677B0"/>
    <w:rsid w:val="00567AB7"/>
    <w:rsid w:val="00570B83"/>
    <w:rsid w:val="00570C92"/>
    <w:rsid w:val="00571254"/>
    <w:rsid w:val="005713C4"/>
    <w:rsid w:val="005713FC"/>
    <w:rsid w:val="00571466"/>
    <w:rsid w:val="005715E7"/>
    <w:rsid w:val="00571867"/>
    <w:rsid w:val="005719CC"/>
    <w:rsid w:val="00572069"/>
    <w:rsid w:val="005721B7"/>
    <w:rsid w:val="00572220"/>
    <w:rsid w:val="00572350"/>
    <w:rsid w:val="0057237C"/>
    <w:rsid w:val="005732A8"/>
    <w:rsid w:val="00573675"/>
    <w:rsid w:val="00573729"/>
    <w:rsid w:val="00573EF7"/>
    <w:rsid w:val="00573FE1"/>
    <w:rsid w:val="00573FEB"/>
    <w:rsid w:val="00574519"/>
    <w:rsid w:val="00574E85"/>
    <w:rsid w:val="00575359"/>
    <w:rsid w:val="00575BE0"/>
    <w:rsid w:val="00576BBD"/>
    <w:rsid w:val="00577172"/>
    <w:rsid w:val="0057767E"/>
    <w:rsid w:val="00581AD5"/>
    <w:rsid w:val="005821D8"/>
    <w:rsid w:val="00582D8A"/>
    <w:rsid w:val="00582DDE"/>
    <w:rsid w:val="0058311D"/>
    <w:rsid w:val="005841C0"/>
    <w:rsid w:val="00584DC2"/>
    <w:rsid w:val="005850C5"/>
    <w:rsid w:val="0058567F"/>
    <w:rsid w:val="00585AFB"/>
    <w:rsid w:val="005864DD"/>
    <w:rsid w:val="005865ED"/>
    <w:rsid w:val="00586897"/>
    <w:rsid w:val="005868BB"/>
    <w:rsid w:val="00586907"/>
    <w:rsid w:val="00586C67"/>
    <w:rsid w:val="0058721E"/>
    <w:rsid w:val="005872BD"/>
    <w:rsid w:val="0058782C"/>
    <w:rsid w:val="005879C4"/>
    <w:rsid w:val="0059037E"/>
    <w:rsid w:val="005903DF"/>
    <w:rsid w:val="0059107A"/>
    <w:rsid w:val="00591C08"/>
    <w:rsid w:val="00592076"/>
    <w:rsid w:val="005940DF"/>
    <w:rsid w:val="0059458A"/>
    <w:rsid w:val="00594C81"/>
    <w:rsid w:val="00595A3D"/>
    <w:rsid w:val="005961DF"/>
    <w:rsid w:val="00596243"/>
    <w:rsid w:val="0059640E"/>
    <w:rsid w:val="005965AE"/>
    <w:rsid w:val="0059714D"/>
    <w:rsid w:val="00597D05"/>
    <w:rsid w:val="005A02B9"/>
    <w:rsid w:val="005A1841"/>
    <w:rsid w:val="005A2888"/>
    <w:rsid w:val="005A2B06"/>
    <w:rsid w:val="005A32F0"/>
    <w:rsid w:val="005A38E7"/>
    <w:rsid w:val="005A3A05"/>
    <w:rsid w:val="005A44EC"/>
    <w:rsid w:val="005A4966"/>
    <w:rsid w:val="005A49F2"/>
    <w:rsid w:val="005A55E9"/>
    <w:rsid w:val="005A5698"/>
    <w:rsid w:val="005A770F"/>
    <w:rsid w:val="005A7931"/>
    <w:rsid w:val="005A7AB9"/>
    <w:rsid w:val="005A7B52"/>
    <w:rsid w:val="005A7D62"/>
    <w:rsid w:val="005B066C"/>
    <w:rsid w:val="005B093E"/>
    <w:rsid w:val="005B0BE8"/>
    <w:rsid w:val="005B0CF5"/>
    <w:rsid w:val="005B0DAD"/>
    <w:rsid w:val="005B125E"/>
    <w:rsid w:val="005B174A"/>
    <w:rsid w:val="005B1842"/>
    <w:rsid w:val="005B2722"/>
    <w:rsid w:val="005B2A12"/>
    <w:rsid w:val="005B3C9D"/>
    <w:rsid w:val="005B3F85"/>
    <w:rsid w:val="005B40E1"/>
    <w:rsid w:val="005B51A2"/>
    <w:rsid w:val="005B6A11"/>
    <w:rsid w:val="005B6EF6"/>
    <w:rsid w:val="005C03FC"/>
    <w:rsid w:val="005C0B10"/>
    <w:rsid w:val="005C0DC5"/>
    <w:rsid w:val="005C182B"/>
    <w:rsid w:val="005C1977"/>
    <w:rsid w:val="005C1A30"/>
    <w:rsid w:val="005C1C13"/>
    <w:rsid w:val="005C2432"/>
    <w:rsid w:val="005C2616"/>
    <w:rsid w:val="005C2628"/>
    <w:rsid w:val="005C2F77"/>
    <w:rsid w:val="005C36A7"/>
    <w:rsid w:val="005C3BD5"/>
    <w:rsid w:val="005C41D0"/>
    <w:rsid w:val="005C5845"/>
    <w:rsid w:val="005C5B6B"/>
    <w:rsid w:val="005C5D05"/>
    <w:rsid w:val="005C6FFB"/>
    <w:rsid w:val="005C722A"/>
    <w:rsid w:val="005C789C"/>
    <w:rsid w:val="005D0317"/>
    <w:rsid w:val="005D0722"/>
    <w:rsid w:val="005D1396"/>
    <w:rsid w:val="005D1549"/>
    <w:rsid w:val="005D1BD1"/>
    <w:rsid w:val="005D245F"/>
    <w:rsid w:val="005D312F"/>
    <w:rsid w:val="005D3CE6"/>
    <w:rsid w:val="005D40E9"/>
    <w:rsid w:val="005D44D6"/>
    <w:rsid w:val="005D533C"/>
    <w:rsid w:val="005D5A55"/>
    <w:rsid w:val="005D5BB7"/>
    <w:rsid w:val="005D5BE8"/>
    <w:rsid w:val="005D60BA"/>
    <w:rsid w:val="005D7087"/>
    <w:rsid w:val="005D76CC"/>
    <w:rsid w:val="005D7791"/>
    <w:rsid w:val="005D7F5E"/>
    <w:rsid w:val="005E017B"/>
    <w:rsid w:val="005E0A4B"/>
    <w:rsid w:val="005E0DB0"/>
    <w:rsid w:val="005E1009"/>
    <w:rsid w:val="005E1138"/>
    <w:rsid w:val="005E11E0"/>
    <w:rsid w:val="005E1573"/>
    <w:rsid w:val="005E1604"/>
    <w:rsid w:val="005E194A"/>
    <w:rsid w:val="005E1E03"/>
    <w:rsid w:val="005E2521"/>
    <w:rsid w:val="005E2640"/>
    <w:rsid w:val="005E29DE"/>
    <w:rsid w:val="005E2FD6"/>
    <w:rsid w:val="005E3449"/>
    <w:rsid w:val="005E34B9"/>
    <w:rsid w:val="005E36B8"/>
    <w:rsid w:val="005E3F51"/>
    <w:rsid w:val="005E430D"/>
    <w:rsid w:val="005E440A"/>
    <w:rsid w:val="005E4699"/>
    <w:rsid w:val="005E58F5"/>
    <w:rsid w:val="005E5CCF"/>
    <w:rsid w:val="005E6751"/>
    <w:rsid w:val="005E6DA1"/>
    <w:rsid w:val="005E7389"/>
    <w:rsid w:val="005E7777"/>
    <w:rsid w:val="005E77AA"/>
    <w:rsid w:val="005E7C68"/>
    <w:rsid w:val="005E7CEF"/>
    <w:rsid w:val="005F07E4"/>
    <w:rsid w:val="005F08DB"/>
    <w:rsid w:val="005F1000"/>
    <w:rsid w:val="005F109E"/>
    <w:rsid w:val="005F1701"/>
    <w:rsid w:val="005F17BD"/>
    <w:rsid w:val="005F1A99"/>
    <w:rsid w:val="005F317B"/>
    <w:rsid w:val="005F3354"/>
    <w:rsid w:val="005F348E"/>
    <w:rsid w:val="005F3A9D"/>
    <w:rsid w:val="005F3C0B"/>
    <w:rsid w:val="005F4365"/>
    <w:rsid w:val="005F4572"/>
    <w:rsid w:val="005F45DE"/>
    <w:rsid w:val="005F4D2C"/>
    <w:rsid w:val="005F5973"/>
    <w:rsid w:val="005F5E86"/>
    <w:rsid w:val="005F61E7"/>
    <w:rsid w:val="005F6736"/>
    <w:rsid w:val="005F6C07"/>
    <w:rsid w:val="005F6CC1"/>
    <w:rsid w:val="005F74D5"/>
    <w:rsid w:val="0060026F"/>
    <w:rsid w:val="00600542"/>
    <w:rsid w:val="006009A2"/>
    <w:rsid w:val="00601DB5"/>
    <w:rsid w:val="00602094"/>
    <w:rsid w:val="00602859"/>
    <w:rsid w:val="00603158"/>
    <w:rsid w:val="006035D0"/>
    <w:rsid w:val="00603942"/>
    <w:rsid w:val="0060438E"/>
    <w:rsid w:val="006048C5"/>
    <w:rsid w:val="00605450"/>
    <w:rsid w:val="00605595"/>
    <w:rsid w:val="00605A7B"/>
    <w:rsid w:val="00605A98"/>
    <w:rsid w:val="00606521"/>
    <w:rsid w:val="0060686E"/>
    <w:rsid w:val="00606A97"/>
    <w:rsid w:val="00606B17"/>
    <w:rsid w:val="00610453"/>
    <w:rsid w:val="00610734"/>
    <w:rsid w:val="0061099A"/>
    <w:rsid w:val="00610B4D"/>
    <w:rsid w:val="00610B69"/>
    <w:rsid w:val="00610F73"/>
    <w:rsid w:val="006117F5"/>
    <w:rsid w:val="00611A49"/>
    <w:rsid w:val="00611B60"/>
    <w:rsid w:val="00612088"/>
    <w:rsid w:val="00612860"/>
    <w:rsid w:val="00612967"/>
    <w:rsid w:val="006130BD"/>
    <w:rsid w:val="0061351C"/>
    <w:rsid w:val="00613592"/>
    <w:rsid w:val="00613D41"/>
    <w:rsid w:val="00613D6C"/>
    <w:rsid w:val="00614801"/>
    <w:rsid w:val="00616826"/>
    <w:rsid w:val="006168A4"/>
    <w:rsid w:val="00616AB4"/>
    <w:rsid w:val="00616E8D"/>
    <w:rsid w:val="00616FF4"/>
    <w:rsid w:val="00617229"/>
    <w:rsid w:val="0061741B"/>
    <w:rsid w:val="00617B2C"/>
    <w:rsid w:val="00617CFA"/>
    <w:rsid w:val="006200D4"/>
    <w:rsid w:val="00620944"/>
    <w:rsid w:val="00621D54"/>
    <w:rsid w:val="00622371"/>
    <w:rsid w:val="006226A8"/>
    <w:rsid w:val="006227AB"/>
    <w:rsid w:val="006229E7"/>
    <w:rsid w:val="00622B22"/>
    <w:rsid w:val="006231D7"/>
    <w:rsid w:val="00623216"/>
    <w:rsid w:val="006239CB"/>
    <w:rsid w:val="00623D47"/>
    <w:rsid w:val="00623EC6"/>
    <w:rsid w:val="006245CB"/>
    <w:rsid w:val="0062501F"/>
    <w:rsid w:val="00626F42"/>
    <w:rsid w:val="00626FCD"/>
    <w:rsid w:val="0062754F"/>
    <w:rsid w:val="0062785A"/>
    <w:rsid w:val="00627896"/>
    <w:rsid w:val="00627F4E"/>
    <w:rsid w:val="006307E9"/>
    <w:rsid w:val="00630A6E"/>
    <w:rsid w:val="00630A9E"/>
    <w:rsid w:val="00631786"/>
    <w:rsid w:val="00631CE4"/>
    <w:rsid w:val="0063309E"/>
    <w:rsid w:val="006331FC"/>
    <w:rsid w:val="0063335C"/>
    <w:rsid w:val="0063347E"/>
    <w:rsid w:val="00633AE0"/>
    <w:rsid w:val="00633B05"/>
    <w:rsid w:val="00635502"/>
    <w:rsid w:val="00636C20"/>
    <w:rsid w:val="006372F0"/>
    <w:rsid w:val="00637339"/>
    <w:rsid w:val="006404C6"/>
    <w:rsid w:val="006415D3"/>
    <w:rsid w:val="00642064"/>
    <w:rsid w:val="00643D6F"/>
    <w:rsid w:val="00643DBD"/>
    <w:rsid w:val="00643FFC"/>
    <w:rsid w:val="00644892"/>
    <w:rsid w:val="00644934"/>
    <w:rsid w:val="00644BBC"/>
    <w:rsid w:val="006455A0"/>
    <w:rsid w:val="00645AD9"/>
    <w:rsid w:val="00645FE7"/>
    <w:rsid w:val="00646228"/>
    <w:rsid w:val="00646988"/>
    <w:rsid w:val="00646EC1"/>
    <w:rsid w:val="006477F3"/>
    <w:rsid w:val="00647A83"/>
    <w:rsid w:val="00647E4B"/>
    <w:rsid w:val="00647EE2"/>
    <w:rsid w:val="00650763"/>
    <w:rsid w:val="006515EE"/>
    <w:rsid w:val="006529B1"/>
    <w:rsid w:val="00652E1A"/>
    <w:rsid w:val="00653C19"/>
    <w:rsid w:val="00653DDC"/>
    <w:rsid w:val="0065420B"/>
    <w:rsid w:val="00654773"/>
    <w:rsid w:val="00654841"/>
    <w:rsid w:val="00654FB8"/>
    <w:rsid w:val="00655009"/>
    <w:rsid w:val="0065558D"/>
    <w:rsid w:val="00655C79"/>
    <w:rsid w:val="00655CBD"/>
    <w:rsid w:val="00656119"/>
    <w:rsid w:val="00656B67"/>
    <w:rsid w:val="00657026"/>
    <w:rsid w:val="00657220"/>
    <w:rsid w:val="0065773E"/>
    <w:rsid w:val="00657B9D"/>
    <w:rsid w:val="00660A09"/>
    <w:rsid w:val="00660E9A"/>
    <w:rsid w:val="00661009"/>
    <w:rsid w:val="0066180C"/>
    <w:rsid w:val="006626A5"/>
    <w:rsid w:val="006630DB"/>
    <w:rsid w:val="0066322D"/>
    <w:rsid w:val="006635F8"/>
    <w:rsid w:val="006636DE"/>
    <w:rsid w:val="00663C3F"/>
    <w:rsid w:val="00664471"/>
    <w:rsid w:val="00664B56"/>
    <w:rsid w:val="00665036"/>
    <w:rsid w:val="00665113"/>
    <w:rsid w:val="00665210"/>
    <w:rsid w:val="0066568D"/>
    <w:rsid w:val="00665842"/>
    <w:rsid w:val="00665DC9"/>
    <w:rsid w:val="006661B8"/>
    <w:rsid w:val="006661C9"/>
    <w:rsid w:val="00666851"/>
    <w:rsid w:val="00666992"/>
    <w:rsid w:val="00666DFD"/>
    <w:rsid w:val="0066705F"/>
    <w:rsid w:val="006673AF"/>
    <w:rsid w:val="006673C8"/>
    <w:rsid w:val="00667875"/>
    <w:rsid w:val="00667E11"/>
    <w:rsid w:val="006704A5"/>
    <w:rsid w:val="00670627"/>
    <w:rsid w:val="00670BF6"/>
    <w:rsid w:val="00670C89"/>
    <w:rsid w:val="00671756"/>
    <w:rsid w:val="006717A5"/>
    <w:rsid w:val="006717B7"/>
    <w:rsid w:val="006721DB"/>
    <w:rsid w:val="006732A8"/>
    <w:rsid w:val="00673365"/>
    <w:rsid w:val="0067356B"/>
    <w:rsid w:val="00673E83"/>
    <w:rsid w:val="0067410E"/>
    <w:rsid w:val="006748F0"/>
    <w:rsid w:val="00675665"/>
    <w:rsid w:val="00675CC2"/>
    <w:rsid w:val="006763FE"/>
    <w:rsid w:val="00676954"/>
    <w:rsid w:val="00676ACD"/>
    <w:rsid w:val="00676B81"/>
    <w:rsid w:val="00676CAC"/>
    <w:rsid w:val="00676DA5"/>
    <w:rsid w:val="00677CBD"/>
    <w:rsid w:val="0068162B"/>
    <w:rsid w:val="006818A9"/>
    <w:rsid w:val="00682757"/>
    <w:rsid w:val="006827B8"/>
    <w:rsid w:val="00682970"/>
    <w:rsid w:val="00683371"/>
    <w:rsid w:val="006834D5"/>
    <w:rsid w:val="006838B5"/>
    <w:rsid w:val="0068416A"/>
    <w:rsid w:val="006843CF"/>
    <w:rsid w:val="00685198"/>
    <w:rsid w:val="0068543D"/>
    <w:rsid w:val="00686A09"/>
    <w:rsid w:val="00686AD4"/>
    <w:rsid w:val="00686C35"/>
    <w:rsid w:val="00686ED8"/>
    <w:rsid w:val="00687436"/>
    <w:rsid w:val="0068770C"/>
    <w:rsid w:val="00687AE1"/>
    <w:rsid w:val="00690B71"/>
    <w:rsid w:val="00690BCF"/>
    <w:rsid w:val="00691399"/>
    <w:rsid w:val="00692461"/>
    <w:rsid w:val="00692FC9"/>
    <w:rsid w:val="00693484"/>
    <w:rsid w:val="00693528"/>
    <w:rsid w:val="00693B3E"/>
    <w:rsid w:val="00694421"/>
    <w:rsid w:val="00695C6A"/>
    <w:rsid w:val="0069693D"/>
    <w:rsid w:val="00696E2F"/>
    <w:rsid w:val="006974E7"/>
    <w:rsid w:val="00697B62"/>
    <w:rsid w:val="006A05A6"/>
    <w:rsid w:val="006A0907"/>
    <w:rsid w:val="006A1862"/>
    <w:rsid w:val="006A1A46"/>
    <w:rsid w:val="006A2359"/>
    <w:rsid w:val="006A2522"/>
    <w:rsid w:val="006A2823"/>
    <w:rsid w:val="006A2C68"/>
    <w:rsid w:val="006A322F"/>
    <w:rsid w:val="006A3301"/>
    <w:rsid w:val="006A3414"/>
    <w:rsid w:val="006A487E"/>
    <w:rsid w:val="006A4FB1"/>
    <w:rsid w:val="006A511F"/>
    <w:rsid w:val="006A5A90"/>
    <w:rsid w:val="006A5CED"/>
    <w:rsid w:val="006A6647"/>
    <w:rsid w:val="006A6AE6"/>
    <w:rsid w:val="006A6B4D"/>
    <w:rsid w:val="006A6F45"/>
    <w:rsid w:val="006A7073"/>
    <w:rsid w:val="006A731E"/>
    <w:rsid w:val="006A765F"/>
    <w:rsid w:val="006A7B3D"/>
    <w:rsid w:val="006B01D9"/>
    <w:rsid w:val="006B07FB"/>
    <w:rsid w:val="006B119E"/>
    <w:rsid w:val="006B1517"/>
    <w:rsid w:val="006B1C04"/>
    <w:rsid w:val="006B1C81"/>
    <w:rsid w:val="006B1F21"/>
    <w:rsid w:val="006B2036"/>
    <w:rsid w:val="006B21AA"/>
    <w:rsid w:val="006B2B4A"/>
    <w:rsid w:val="006B2CAE"/>
    <w:rsid w:val="006B3BD2"/>
    <w:rsid w:val="006B3C00"/>
    <w:rsid w:val="006B3DCC"/>
    <w:rsid w:val="006B40D4"/>
    <w:rsid w:val="006B447F"/>
    <w:rsid w:val="006B5037"/>
    <w:rsid w:val="006B5097"/>
    <w:rsid w:val="006B5490"/>
    <w:rsid w:val="006B5BA4"/>
    <w:rsid w:val="006B7C7E"/>
    <w:rsid w:val="006C02C2"/>
    <w:rsid w:val="006C036C"/>
    <w:rsid w:val="006C0888"/>
    <w:rsid w:val="006C0F55"/>
    <w:rsid w:val="006C1440"/>
    <w:rsid w:val="006C14A2"/>
    <w:rsid w:val="006C19EE"/>
    <w:rsid w:val="006C1B5D"/>
    <w:rsid w:val="006C2D1C"/>
    <w:rsid w:val="006C3960"/>
    <w:rsid w:val="006C4458"/>
    <w:rsid w:val="006C4A0B"/>
    <w:rsid w:val="006C5EA4"/>
    <w:rsid w:val="006C662B"/>
    <w:rsid w:val="006C67FE"/>
    <w:rsid w:val="006C6B50"/>
    <w:rsid w:val="006C7170"/>
    <w:rsid w:val="006C74FF"/>
    <w:rsid w:val="006C750B"/>
    <w:rsid w:val="006D00BD"/>
    <w:rsid w:val="006D0480"/>
    <w:rsid w:val="006D064D"/>
    <w:rsid w:val="006D0C58"/>
    <w:rsid w:val="006D0C69"/>
    <w:rsid w:val="006D0EF5"/>
    <w:rsid w:val="006D1185"/>
    <w:rsid w:val="006D23F6"/>
    <w:rsid w:val="006D31D4"/>
    <w:rsid w:val="006D4334"/>
    <w:rsid w:val="006D45BE"/>
    <w:rsid w:val="006D4618"/>
    <w:rsid w:val="006D4CAC"/>
    <w:rsid w:val="006D4D5C"/>
    <w:rsid w:val="006D5F67"/>
    <w:rsid w:val="006D6044"/>
    <w:rsid w:val="006D7635"/>
    <w:rsid w:val="006D768D"/>
    <w:rsid w:val="006E01BD"/>
    <w:rsid w:val="006E01FE"/>
    <w:rsid w:val="006E0C6E"/>
    <w:rsid w:val="006E0DF5"/>
    <w:rsid w:val="006E116B"/>
    <w:rsid w:val="006E11AF"/>
    <w:rsid w:val="006E1381"/>
    <w:rsid w:val="006E15F5"/>
    <w:rsid w:val="006E1A46"/>
    <w:rsid w:val="006E1AF1"/>
    <w:rsid w:val="006E219A"/>
    <w:rsid w:val="006E25D2"/>
    <w:rsid w:val="006E2BB4"/>
    <w:rsid w:val="006E2F50"/>
    <w:rsid w:val="006E30A2"/>
    <w:rsid w:val="006E30C3"/>
    <w:rsid w:val="006E34BF"/>
    <w:rsid w:val="006E3974"/>
    <w:rsid w:val="006E3CE0"/>
    <w:rsid w:val="006E4A0C"/>
    <w:rsid w:val="006E5038"/>
    <w:rsid w:val="006E5053"/>
    <w:rsid w:val="006E52D0"/>
    <w:rsid w:val="006E576D"/>
    <w:rsid w:val="006E5D53"/>
    <w:rsid w:val="006E5DE2"/>
    <w:rsid w:val="006E607E"/>
    <w:rsid w:val="006E6F65"/>
    <w:rsid w:val="006E7C68"/>
    <w:rsid w:val="006F0040"/>
    <w:rsid w:val="006F0396"/>
    <w:rsid w:val="006F03C1"/>
    <w:rsid w:val="006F11C1"/>
    <w:rsid w:val="006F144D"/>
    <w:rsid w:val="006F18B9"/>
    <w:rsid w:val="006F24C2"/>
    <w:rsid w:val="006F2762"/>
    <w:rsid w:val="006F2BAA"/>
    <w:rsid w:val="006F3301"/>
    <w:rsid w:val="006F3344"/>
    <w:rsid w:val="006F3437"/>
    <w:rsid w:val="006F4C9C"/>
    <w:rsid w:val="006F515C"/>
    <w:rsid w:val="006F5287"/>
    <w:rsid w:val="006F52A2"/>
    <w:rsid w:val="006F5D34"/>
    <w:rsid w:val="006F5E4A"/>
    <w:rsid w:val="006F73F3"/>
    <w:rsid w:val="00700AA0"/>
    <w:rsid w:val="0070110A"/>
    <w:rsid w:val="00701CDA"/>
    <w:rsid w:val="0070234C"/>
    <w:rsid w:val="00702B19"/>
    <w:rsid w:val="00702F54"/>
    <w:rsid w:val="007030C0"/>
    <w:rsid w:val="00703195"/>
    <w:rsid w:val="00703544"/>
    <w:rsid w:val="00703616"/>
    <w:rsid w:val="00703664"/>
    <w:rsid w:val="00703AB3"/>
    <w:rsid w:val="00705558"/>
    <w:rsid w:val="00705927"/>
    <w:rsid w:val="0070633D"/>
    <w:rsid w:val="0070666C"/>
    <w:rsid w:val="00706CD3"/>
    <w:rsid w:val="00706ECB"/>
    <w:rsid w:val="007076E4"/>
    <w:rsid w:val="00707F85"/>
    <w:rsid w:val="00710D60"/>
    <w:rsid w:val="00711088"/>
    <w:rsid w:val="00711137"/>
    <w:rsid w:val="00711515"/>
    <w:rsid w:val="00711812"/>
    <w:rsid w:val="00711A45"/>
    <w:rsid w:val="00711E80"/>
    <w:rsid w:val="00712876"/>
    <w:rsid w:val="007128F5"/>
    <w:rsid w:val="00712FB1"/>
    <w:rsid w:val="00713553"/>
    <w:rsid w:val="00713CB6"/>
    <w:rsid w:val="00714107"/>
    <w:rsid w:val="00714533"/>
    <w:rsid w:val="00714A61"/>
    <w:rsid w:val="00714AEB"/>
    <w:rsid w:val="00714CC2"/>
    <w:rsid w:val="00715262"/>
    <w:rsid w:val="00715301"/>
    <w:rsid w:val="0071535E"/>
    <w:rsid w:val="00715C87"/>
    <w:rsid w:val="0071713F"/>
    <w:rsid w:val="00717D17"/>
    <w:rsid w:val="00720F91"/>
    <w:rsid w:val="007215FE"/>
    <w:rsid w:val="00721EE0"/>
    <w:rsid w:val="007227E3"/>
    <w:rsid w:val="00723040"/>
    <w:rsid w:val="00724528"/>
    <w:rsid w:val="00724B84"/>
    <w:rsid w:val="007255D2"/>
    <w:rsid w:val="00725912"/>
    <w:rsid w:val="00725EEF"/>
    <w:rsid w:val="00726110"/>
    <w:rsid w:val="00726A27"/>
    <w:rsid w:val="00726EAF"/>
    <w:rsid w:val="0072716E"/>
    <w:rsid w:val="0073043F"/>
    <w:rsid w:val="00732CFD"/>
    <w:rsid w:val="00733089"/>
    <w:rsid w:val="007334B9"/>
    <w:rsid w:val="0073388E"/>
    <w:rsid w:val="00733BC4"/>
    <w:rsid w:val="00734049"/>
    <w:rsid w:val="007342FF"/>
    <w:rsid w:val="007355C8"/>
    <w:rsid w:val="007358A1"/>
    <w:rsid w:val="00735A34"/>
    <w:rsid w:val="007361D8"/>
    <w:rsid w:val="007376FB"/>
    <w:rsid w:val="00737DA7"/>
    <w:rsid w:val="0074002C"/>
    <w:rsid w:val="007403D0"/>
    <w:rsid w:val="00740BD1"/>
    <w:rsid w:val="00741009"/>
    <w:rsid w:val="00741110"/>
    <w:rsid w:val="007411D0"/>
    <w:rsid w:val="0074172F"/>
    <w:rsid w:val="007426B7"/>
    <w:rsid w:val="00743AA6"/>
    <w:rsid w:val="00744468"/>
    <w:rsid w:val="00744D78"/>
    <w:rsid w:val="00745D46"/>
    <w:rsid w:val="0074609B"/>
    <w:rsid w:val="00746D96"/>
    <w:rsid w:val="00747469"/>
    <w:rsid w:val="00747618"/>
    <w:rsid w:val="007476F3"/>
    <w:rsid w:val="0075007B"/>
    <w:rsid w:val="007502B7"/>
    <w:rsid w:val="0075059D"/>
    <w:rsid w:val="00750AC2"/>
    <w:rsid w:val="00750B2A"/>
    <w:rsid w:val="00752445"/>
    <w:rsid w:val="00752A16"/>
    <w:rsid w:val="00753355"/>
    <w:rsid w:val="00754027"/>
    <w:rsid w:val="007556B7"/>
    <w:rsid w:val="00755C0C"/>
    <w:rsid w:val="00756879"/>
    <w:rsid w:val="007568B1"/>
    <w:rsid w:val="00757182"/>
    <w:rsid w:val="007600E2"/>
    <w:rsid w:val="007604A8"/>
    <w:rsid w:val="00761572"/>
    <w:rsid w:val="00762404"/>
    <w:rsid w:val="00762BA4"/>
    <w:rsid w:val="00763604"/>
    <w:rsid w:val="00764060"/>
    <w:rsid w:val="00764BAF"/>
    <w:rsid w:val="007655B5"/>
    <w:rsid w:val="007657C6"/>
    <w:rsid w:val="00765905"/>
    <w:rsid w:val="0076656C"/>
    <w:rsid w:val="0076724F"/>
    <w:rsid w:val="0077113E"/>
    <w:rsid w:val="0077172D"/>
    <w:rsid w:val="00771B1A"/>
    <w:rsid w:val="0077264C"/>
    <w:rsid w:val="00773036"/>
    <w:rsid w:val="00773CE4"/>
    <w:rsid w:val="00774107"/>
    <w:rsid w:val="0077480B"/>
    <w:rsid w:val="007749B5"/>
    <w:rsid w:val="00774F13"/>
    <w:rsid w:val="00775C4B"/>
    <w:rsid w:val="00775EEE"/>
    <w:rsid w:val="0077685F"/>
    <w:rsid w:val="00776BB9"/>
    <w:rsid w:val="00780731"/>
    <w:rsid w:val="00780BAD"/>
    <w:rsid w:val="00781C20"/>
    <w:rsid w:val="00782084"/>
    <w:rsid w:val="00782197"/>
    <w:rsid w:val="00782519"/>
    <w:rsid w:val="00782C7D"/>
    <w:rsid w:val="00784DCE"/>
    <w:rsid w:val="00785552"/>
    <w:rsid w:val="00785BDD"/>
    <w:rsid w:val="00786A18"/>
    <w:rsid w:val="00787835"/>
    <w:rsid w:val="00787DEF"/>
    <w:rsid w:val="007909AC"/>
    <w:rsid w:val="007919E1"/>
    <w:rsid w:val="007925DA"/>
    <w:rsid w:val="00792DB2"/>
    <w:rsid w:val="007937A3"/>
    <w:rsid w:val="007938BA"/>
    <w:rsid w:val="00793BAF"/>
    <w:rsid w:val="00793C25"/>
    <w:rsid w:val="00793D85"/>
    <w:rsid w:val="00793DCB"/>
    <w:rsid w:val="00794207"/>
    <w:rsid w:val="00794D09"/>
    <w:rsid w:val="00795A1B"/>
    <w:rsid w:val="00795D02"/>
    <w:rsid w:val="00795DFE"/>
    <w:rsid w:val="00796300"/>
    <w:rsid w:val="00796753"/>
    <w:rsid w:val="00797478"/>
    <w:rsid w:val="007974ED"/>
    <w:rsid w:val="007977B3"/>
    <w:rsid w:val="00797D2D"/>
    <w:rsid w:val="007A0A1F"/>
    <w:rsid w:val="007A0BAA"/>
    <w:rsid w:val="007A0CF2"/>
    <w:rsid w:val="007A1897"/>
    <w:rsid w:val="007A1E42"/>
    <w:rsid w:val="007A21AC"/>
    <w:rsid w:val="007A31D9"/>
    <w:rsid w:val="007A338F"/>
    <w:rsid w:val="007A369B"/>
    <w:rsid w:val="007A3F7B"/>
    <w:rsid w:val="007A43E3"/>
    <w:rsid w:val="007A4925"/>
    <w:rsid w:val="007A4B8A"/>
    <w:rsid w:val="007A4DCB"/>
    <w:rsid w:val="007A6855"/>
    <w:rsid w:val="007A6FE4"/>
    <w:rsid w:val="007A76F3"/>
    <w:rsid w:val="007A79B2"/>
    <w:rsid w:val="007B0084"/>
    <w:rsid w:val="007B0175"/>
    <w:rsid w:val="007B06DE"/>
    <w:rsid w:val="007B1C0A"/>
    <w:rsid w:val="007B29C3"/>
    <w:rsid w:val="007B3735"/>
    <w:rsid w:val="007B378C"/>
    <w:rsid w:val="007B3921"/>
    <w:rsid w:val="007B3EE3"/>
    <w:rsid w:val="007B412F"/>
    <w:rsid w:val="007B41C1"/>
    <w:rsid w:val="007B4A05"/>
    <w:rsid w:val="007B53B5"/>
    <w:rsid w:val="007B6046"/>
    <w:rsid w:val="007B6245"/>
    <w:rsid w:val="007B6524"/>
    <w:rsid w:val="007B6CE8"/>
    <w:rsid w:val="007B7F6D"/>
    <w:rsid w:val="007C0A22"/>
    <w:rsid w:val="007C1225"/>
    <w:rsid w:val="007C178B"/>
    <w:rsid w:val="007C1F17"/>
    <w:rsid w:val="007C22AE"/>
    <w:rsid w:val="007C3A24"/>
    <w:rsid w:val="007C3DBC"/>
    <w:rsid w:val="007C4439"/>
    <w:rsid w:val="007C4C99"/>
    <w:rsid w:val="007C507C"/>
    <w:rsid w:val="007C5641"/>
    <w:rsid w:val="007C607C"/>
    <w:rsid w:val="007C6805"/>
    <w:rsid w:val="007C68A5"/>
    <w:rsid w:val="007C765C"/>
    <w:rsid w:val="007C7D2C"/>
    <w:rsid w:val="007C7D96"/>
    <w:rsid w:val="007C7F96"/>
    <w:rsid w:val="007D0C30"/>
    <w:rsid w:val="007D1529"/>
    <w:rsid w:val="007D172B"/>
    <w:rsid w:val="007D1D0C"/>
    <w:rsid w:val="007D1D8D"/>
    <w:rsid w:val="007D1DB9"/>
    <w:rsid w:val="007D1E7A"/>
    <w:rsid w:val="007D1F37"/>
    <w:rsid w:val="007D21A5"/>
    <w:rsid w:val="007D2661"/>
    <w:rsid w:val="007D2965"/>
    <w:rsid w:val="007D2E67"/>
    <w:rsid w:val="007D3556"/>
    <w:rsid w:val="007D4325"/>
    <w:rsid w:val="007D4354"/>
    <w:rsid w:val="007D4658"/>
    <w:rsid w:val="007D47D7"/>
    <w:rsid w:val="007D4DA8"/>
    <w:rsid w:val="007D6FF5"/>
    <w:rsid w:val="007D7293"/>
    <w:rsid w:val="007E0138"/>
    <w:rsid w:val="007E1117"/>
    <w:rsid w:val="007E1272"/>
    <w:rsid w:val="007E1570"/>
    <w:rsid w:val="007E1D7B"/>
    <w:rsid w:val="007E2997"/>
    <w:rsid w:val="007E3044"/>
    <w:rsid w:val="007E3C20"/>
    <w:rsid w:val="007E4075"/>
    <w:rsid w:val="007E42F0"/>
    <w:rsid w:val="007E4584"/>
    <w:rsid w:val="007E46E1"/>
    <w:rsid w:val="007E484F"/>
    <w:rsid w:val="007E4898"/>
    <w:rsid w:val="007E4989"/>
    <w:rsid w:val="007E49F6"/>
    <w:rsid w:val="007E52D5"/>
    <w:rsid w:val="007E55A4"/>
    <w:rsid w:val="007E5BBA"/>
    <w:rsid w:val="007E5D83"/>
    <w:rsid w:val="007E6E99"/>
    <w:rsid w:val="007E77F6"/>
    <w:rsid w:val="007E78BC"/>
    <w:rsid w:val="007E7FE2"/>
    <w:rsid w:val="007F15B9"/>
    <w:rsid w:val="007F1850"/>
    <w:rsid w:val="007F1F25"/>
    <w:rsid w:val="007F2982"/>
    <w:rsid w:val="007F3B7A"/>
    <w:rsid w:val="007F3BC8"/>
    <w:rsid w:val="007F48F1"/>
    <w:rsid w:val="007F4B15"/>
    <w:rsid w:val="007F4D77"/>
    <w:rsid w:val="007F5466"/>
    <w:rsid w:val="007F5899"/>
    <w:rsid w:val="007F5F68"/>
    <w:rsid w:val="007F6162"/>
    <w:rsid w:val="007F6AA8"/>
    <w:rsid w:val="007F7319"/>
    <w:rsid w:val="007F7336"/>
    <w:rsid w:val="007F788B"/>
    <w:rsid w:val="007F7F45"/>
    <w:rsid w:val="008003E8"/>
    <w:rsid w:val="00800AAD"/>
    <w:rsid w:val="00801441"/>
    <w:rsid w:val="00801B2C"/>
    <w:rsid w:val="00802344"/>
    <w:rsid w:val="00802672"/>
    <w:rsid w:val="0080290F"/>
    <w:rsid w:val="008031AA"/>
    <w:rsid w:val="0080339B"/>
    <w:rsid w:val="008038E7"/>
    <w:rsid w:val="00803B96"/>
    <w:rsid w:val="00804B27"/>
    <w:rsid w:val="008056DF"/>
    <w:rsid w:val="00805C5A"/>
    <w:rsid w:val="00805E46"/>
    <w:rsid w:val="008060C0"/>
    <w:rsid w:val="00806679"/>
    <w:rsid w:val="00806EB7"/>
    <w:rsid w:val="008074A2"/>
    <w:rsid w:val="00807C3E"/>
    <w:rsid w:val="00810025"/>
    <w:rsid w:val="00810312"/>
    <w:rsid w:val="008106E8"/>
    <w:rsid w:val="008108E0"/>
    <w:rsid w:val="00810C33"/>
    <w:rsid w:val="00810CB1"/>
    <w:rsid w:val="00810FB0"/>
    <w:rsid w:val="008115FB"/>
    <w:rsid w:val="00812F66"/>
    <w:rsid w:val="0081325D"/>
    <w:rsid w:val="00813EDF"/>
    <w:rsid w:val="00815A48"/>
    <w:rsid w:val="00815AD9"/>
    <w:rsid w:val="00815F25"/>
    <w:rsid w:val="00816473"/>
    <w:rsid w:val="008167A6"/>
    <w:rsid w:val="008168AC"/>
    <w:rsid w:val="00816F92"/>
    <w:rsid w:val="00817505"/>
    <w:rsid w:val="00817E75"/>
    <w:rsid w:val="00820573"/>
    <w:rsid w:val="00820BE1"/>
    <w:rsid w:val="00820D6A"/>
    <w:rsid w:val="00820EE6"/>
    <w:rsid w:val="0082124D"/>
    <w:rsid w:val="008218BE"/>
    <w:rsid w:val="00821C66"/>
    <w:rsid w:val="00822A7C"/>
    <w:rsid w:val="00823554"/>
    <w:rsid w:val="0082355B"/>
    <w:rsid w:val="008242B1"/>
    <w:rsid w:val="00824857"/>
    <w:rsid w:val="00824C2D"/>
    <w:rsid w:val="00824C87"/>
    <w:rsid w:val="0082507E"/>
    <w:rsid w:val="00825E27"/>
    <w:rsid w:val="00826140"/>
    <w:rsid w:val="008268A1"/>
    <w:rsid w:val="00826906"/>
    <w:rsid w:val="00826FEC"/>
    <w:rsid w:val="00827047"/>
    <w:rsid w:val="00827603"/>
    <w:rsid w:val="00827685"/>
    <w:rsid w:val="008303F1"/>
    <w:rsid w:val="00830714"/>
    <w:rsid w:val="008308D7"/>
    <w:rsid w:val="00830F7F"/>
    <w:rsid w:val="008312FB"/>
    <w:rsid w:val="00831A5B"/>
    <w:rsid w:val="00831EBD"/>
    <w:rsid w:val="0083271E"/>
    <w:rsid w:val="00834575"/>
    <w:rsid w:val="0083460C"/>
    <w:rsid w:val="0083505B"/>
    <w:rsid w:val="00835938"/>
    <w:rsid w:val="00835945"/>
    <w:rsid w:val="00836318"/>
    <w:rsid w:val="00836633"/>
    <w:rsid w:val="00836D2C"/>
    <w:rsid w:val="00836D73"/>
    <w:rsid w:val="0083780A"/>
    <w:rsid w:val="00837E49"/>
    <w:rsid w:val="00840411"/>
    <w:rsid w:val="00840A1A"/>
    <w:rsid w:val="00840C7E"/>
    <w:rsid w:val="00840CA8"/>
    <w:rsid w:val="00841121"/>
    <w:rsid w:val="00841414"/>
    <w:rsid w:val="00841E0D"/>
    <w:rsid w:val="00842745"/>
    <w:rsid w:val="00842E87"/>
    <w:rsid w:val="00842FD6"/>
    <w:rsid w:val="00843462"/>
    <w:rsid w:val="00843B99"/>
    <w:rsid w:val="00844082"/>
    <w:rsid w:val="00844219"/>
    <w:rsid w:val="008449E5"/>
    <w:rsid w:val="00845056"/>
    <w:rsid w:val="00845E0A"/>
    <w:rsid w:val="00845E52"/>
    <w:rsid w:val="00845ED3"/>
    <w:rsid w:val="008461A0"/>
    <w:rsid w:val="00846FBD"/>
    <w:rsid w:val="0084747E"/>
    <w:rsid w:val="008476A2"/>
    <w:rsid w:val="00847A54"/>
    <w:rsid w:val="00850F63"/>
    <w:rsid w:val="0085134C"/>
    <w:rsid w:val="008519C9"/>
    <w:rsid w:val="008520FB"/>
    <w:rsid w:val="00852231"/>
    <w:rsid w:val="0085274D"/>
    <w:rsid w:val="00853584"/>
    <w:rsid w:val="00853890"/>
    <w:rsid w:val="00853D98"/>
    <w:rsid w:val="00854AE0"/>
    <w:rsid w:val="00854F1F"/>
    <w:rsid w:val="00855BBA"/>
    <w:rsid w:val="00855BDB"/>
    <w:rsid w:val="00856CF3"/>
    <w:rsid w:val="008573EA"/>
    <w:rsid w:val="008577BC"/>
    <w:rsid w:val="00857EEC"/>
    <w:rsid w:val="00860311"/>
    <w:rsid w:val="0086161F"/>
    <w:rsid w:val="00861DB5"/>
    <w:rsid w:val="00861E4E"/>
    <w:rsid w:val="00862842"/>
    <w:rsid w:val="008628B1"/>
    <w:rsid w:val="00863388"/>
    <w:rsid w:val="00863D3F"/>
    <w:rsid w:val="00863F8F"/>
    <w:rsid w:val="00865BA7"/>
    <w:rsid w:val="008661BF"/>
    <w:rsid w:val="0086698B"/>
    <w:rsid w:val="00867006"/>
    <w:rsid w:val="008671F6"/>
    <w:rsid w:val="00870127"/>
    <w:rsid w:val="00870838"/>
    <w:rsid w:val="00870A0D"/>
    <w:rsid w:val="00871594"/>
    <w:rsid w:val="00871A5D"/>
    <w:rsid w:val="00871F2A"/>
    <w:rsid w:val="00872F5A"/>
    <w:rsid w:val="0087374E"/>
    <w:rsid w:val="00873767"/>
    <w:rsid w:val="008739BE"/>
    <w:rsid w:val="008748B1"/>
    <w:rsid w:val="00876F7E"/>
    <w:rsid w:val="00876FB5"/>
    <w:rsid w:val="008774FD"/>
    <w:rsid w:val="008775B0"/>
    <w:rsid w:val="00880ACE"/>
    <w:rsid w:val="00881350"/>
    <w:rsid w:val="00881AE3"/>
    <w:rsid w:val="008823C4"/>
    <w:rsid w:val="008823F4"/>
    <w:rsid w:val="00882839"/>
    <w:rsid w:val="0088284A"/>
    <w:rsid w:val="00882D4E"/>
    <w:rsid w:val="00882FC1"/>
    <w:rsid w:val="00882FD7"/>
    <w:rsid w:val="00883229"/>
    <w:rsid w:val="0088324F"/>
    <w:rsid w:val="00883518"/>
    <w:rsid w:val="00883626"/>
    <w:rsid w:val="00883E79"/>
    <w:rsid w:val="008840C8"/>
    <w:rsid w:val="008844A1"/>
    <w:rsid w:val="00884875"/>
    <w:rsid w:val="00884A33"/>
    <w:rsid w:val="008863A3"/>
    <w:rsid w:val="008863E8"/>
    <w:rsid w:val="00886485"/>
    <w:rsid w:val="00887711"/>
    <w:rsid w:val="008878A8"/>
    <w:rsid w:val="008901F9"/>
    <w:rsid w:val="008902FB"/>
    <w:rsid w:val="0089054A"/>
    <w:rsid w:val="00891176"/>
    <w:rsid w:val="008913FD"/>
    <w:rsid w:val="00891769"/>
    <w:rsid w:val="00891967"/>
    <w:rsid w:val="00891CFF"/>
    <w:rsid w:val="00892D9C"/>
    <w:rsid w:val="008931B1"/>
    <w:rsid w:val="008934DC"/>
    <w:rsid w:val="0089385D"/>
    <w:rsid w:val="0089390C"/>
    <w:rsid w:val="0089422C"/>
    <w:rsid w:val="0089427F"/>
    <w:rsid w:val="00894396"/>
    <w:rsid w:val="00894577"/>
    <w:rsid w:val="00894861"/>
    <w:rsid w:val="00894FBC"/>
    <w:rsid w:val="0089505D"/>
    <w:rsid w:val="008952E6"/>
    <w:rsid w:val="008956B3"/>
    <w:rsid w:val="008959B4"/>
    <w:rsid w:val="008964EB"/>
    <w:rsid w:val="008978F6"/>
    <w:rsid w:val="00897A13"/>
    <w:rsid w:val="008A1306"/>
    <w:rsid w:val="008A133F"/>
    <w:rsid w:val="008A19F8"/>
    <w:rsid w:val="008A2729"/>
    <w:rsid w:val="008A30B9"/>
    <w:rsid w:val="008A3669"/>
    <w:rsid w:val="008A3726"/>
    <w:rsid w:val="008A4583"/>
    <w:rsid w:val="008A5851"/>
    <w:rsid w:val="008A5968"/>
    <w:rsid w:val="008A6E13"/>
    <w:rsid w:val="008A73A4"/>
    <w:rsid w:val="008A7AFE"/>
    <w:rsid w:val="008A7C23"/>
    <w:rsid w:val="008A7D7B"/>
    <w:rsid w:val="008B00FB"/>
    <w:rsid w:val="008B019D"/>
    <w:rsid w:val="008B056C"/>
    <w:rsid w:val="008B0B4C"/>
    <w:rsid w:val="008B0C28"/>
    <w:rsid w:val="008B1465"/>
    <w:rsid w:val="008B16FF"/>
    <w:rsid w:val="008B1E46"/>
    <w:rsid w:val="008B2198"/>
    <w:rsid w:val="008B29EC"/>
    <w:rsid w:val="008B2C37"/>
    <w:rsid w:val="008B2F4C"/>
    <w:rsid w:val="008B375E"/>
    <w:rsid w:val="008B37EC"/>
    <w:rsid w:val="008B3EAD"/>
    <w:rsid w:val="008B3EE8"/>
    <w:rsid w:val="008B3FCC"/>
    <w:rsid w:val="008B425E"/>
    <w:rsid w:val="008B4DAF"/>
    <w:rsid w:val="008B50BA"/>
    <w:rsid w:val="008B5849"/>
    <w:rsid w:val="008B5EB9"/>
    <w:rsid w:val="008B709B"/>
    <w:rsid w:val="008B7A43"/>
    <w:rsid w:val="008B7CB1"/>
    <w:rsid w:val="008C07BF"/>
    <w:rsid w:val="008C07C3"/>
    <w:rsid w:val="008C097F"/>
    <w:rsid w:val="008C09CF"/>
    <w:rsid w:val="008C0C57"/>
    <w:rsid w:val="008C16CA"/>
    <w:rsid w:val="008C1929"/>
    <w:rsid w:val="008C1ECB"/>
    <w:rsid w:val="008C20F1"/>
    <w:rsid w:val="008C24ED"/>
    <w:rsid w:val="008C4224"/>
    <w:rsid w:val="008C5031"/>
    <w:rsid w:val="008C56AE"/>
    <w:rsid w:val="008C5874"/>
    <w:rsid w:val="008C61CC"/>
    <w:rsid w:val="008C64F0"/>
    <w:rsid w:val="008C6832"/>
    <w:rsid w:val="008C684D"/>
    <w:rsid w:val="008C6C1D"/>
    <w:rsid w:val="008C72F1"/>
    <w:rsid w:val="008C7FF5"/>
    <w:rsid w:val="008D0782"/>
    <w:rsid w:val="008D1040"/>
    <w:rsid w:val="008D142B"/>
    <w:rsid w:val="008D16A6"/>
    <w:rsid w:val="008D17BE"/>
    <w:rsid w:val="008D1DE7"/>
    <w:rsid w:val="008D219B"/>
    <w:rsid w:val="008D2472"/>
    <w:rsid w:val="008D252A"/>
    <w:rsid w:val="008D27C5"/>
    <w:rsid w:val="008D3A62"/>
    <w:rsid w:val="008D3DB9"/>
    <w:rsid w:val="008D518F"/>
    <w:rsid w:val="008D5701"/>
    <w:rsid w:val="008D5B5F"/>
    <w:rsid w:val="008D6044"/>
    <w:rsid w:val="008D6855"/>
    <w:rsid w:val="008D7723"/>
    <w:rsid w:val="008D7D56"/>
    <w:rsid w:val="008D7DEA"/>
    <w:rsid w:val="008D7EB8"/>
    <w:rsid w:val="008E0500"/>
    <w:rsid w:val="008E0B38"/>
    <w:rsid w:val="008E0FD3"/>
    <w:rsid w:val="008E0FDA"/>
    <w:rsid w:val="008E134C"/>
    <w:rsid w:val="008E1372"/>
    <w:rsid w:val="008E2404"/>
    <w:rsid w:val="008E256B"/>
    <w:rsid w:val="008E2CB4"/>
    <w:rsid w:val="008E2E80"/>
    <w:rsid w:val="008E300B"/>
    <w:rsid w:val="008E35E8"/>
    <w:rsid w:val="008E35F0"/>
    <w:rsid w:val="008E3CBE"/>
    <w:rsid w:val="008E3D10"/>
    <w:rsid w:val="008E43AB"/>
    <w:rsid w:val="008E441D"/>
    <w:rsid w:val="008E4429"/>
    <w:rsid w:val="008E5A8A"/>
    <w:rsid w:val="008E62C9"/>
    <w:rsid w:val="008E6A0E"/>
    <w:rsid w:val="008E6AFF"/>
    <w:rsid w:val="008E7207"/>
    <w:rsid w:val="008E72AD"/>
    <w:rsid w:val="008E797B"/>
    <w:rsid w:val="008F00CB"/>
    <w:rsid w:val="008F039A"/>
    <w:rsid w:val="008F0F81"/>
    <w:rsid w:val="008F13FE"/>
    <w:rsid w:val="008F2E4C"/>
    <w:rsid w:val="008F2F8F"/>
    <w:rsid w:val="008F3083"/>
    <w:rsid w:val="008F3550"/>
    <w:rsid w:val="008F376F"/>
    <w:rsid w:val="008F3DE2"/>
    <w:rsid w:val="008F42D4"/>
    <w:rsid w:val="008F45F1"/>
    <w:rsid w:val="008F47E9"/>
    <w:rsid w:val="008F48E8"/>
    <w:rsid w:val="008F4EB0"/>
    <w:rsid w:val="008F54DD"/>
    <w:rsid w:val="008F6131"/>
    <w:rsid w:val="008F7000"/>
    <w:rsid w:val="008F7738"/>
    <w:rsid w:val="008F7F26"/>
    <w:rsid w:val="008F7F9B"/>
    <w:rsid w:val="0090026B"/>
    <w:rsid w:val="00900757"/>
    <w:rsid w:val="00900DD9"/>
    <w:rsid w:val="00900F4A"/>
    <w:rsid w:val="00901A23"/>
    <w:rsid w:val="00902837"/>
    <w:rsid w:val="00903DEA"/>
    <w:rsid w:val="00903E4D"/>
    <w:rsid w:val="0090455C"/>
    <w:rsid w:val="00904BB3"/>
    <w:rsid w:val="0090516D"/>
    <w:rsid w:val="00905A9C"/>
    <w:rsid w:val="00905E4F"/>
    <w:rsid w:val="00906536"/>
    <w:rsid w:val="00906AC8"/>
    <w:rsid w:val="00907969"/>
    <w:rsid w:val="00907D1C"/>
    <w:rsid w:val="00910369"/>
    <w:rsid w:val="00910EDB"/>
    <w:rsid w:val="00910F68"/>
    <w:rsid w:val="0091107C"/>
    <w:rsid w:val="0091129D"/>
    <w:rsid w:val="0091188D"/>
    <w:rsid w:val="00911954"/>
    <w:rsid w:val="0091199D"/>
    <w:rsid w:val="00911EA6"/>
    <w:rsid w:val="0091220B"/>
    <w:rsid w:val="009132AC"/>
    <w:rsid w:val="009136BE"/>
    <w:rsid w:val="00913D5B"/>
    <w:rsid w:val="00915024"/>
    <w:rsid w:val="009150D9"/>
    <w:rsid w:val="009151C9"/>
    <w:rsid w:val="0091533C"/>
    <w:rsid w:val="00915527"/>
    <w:rsid w:val="00915744"/>
    <w:rsid w:val="009157B8"/>
    <w:rsid w:val="00915E3F"/>
    <w:rsid w:val="00916FC6"/>
    <w:rsid w:val="00916FF3"/>
    <w:rsid w:val="009176B3"/>
    <w:rsid w:val="00917A7E"/>
    <w:rsid w:val="00917E96"/>
    <w:rsid w:val="00920059"/>
    <w:rsid w:val="0092022D"/>
    <w:rsid w:val="00920D96"/>
    <w:rsid w:val="00920F28"/>
    <w:rsid w:val="00920F3B"/>
    <w:rsid w:val="00922592"/>
    <w:rsid w:val="00922ACA"/>
    <w:rsid w:val="00922F6F"/>
    <w:rsid w:val="00922FED"/>
    <w:rsid w:val="00923016"/>
    <w:rsid w:val="009239F1"/>
    <w:rsid w:val="009244EB"/>
    <w:rsid w:val="009260BB"/>
    <w:rsid w:val="00926B95"/>
    <w:rsid w:val="00926FCB"/>
    <w:rsid w:val="00927761"/>
    <w:rsid w:val="00927898"/>
    <w:rsid w:val="0092797B"/>
    <w:rsid w:val="00927E8E"/>
    <w:rsid w:val="00930962"/>
    <w:rsid w:val="00930C83"/>
    <w:rsid w:val="00930D30"/>
    <w:rsid w:val="00931548"/>
    <w:rsid w:val="00931778"/>
    <w:rsid w:val="009319D0"/>
    <w:rsid w:val="00931B4B"/>
    <w:rsid w:val="00931E52"/>
    <w:rsid w:val="00931FC6"/>
    <w:rsid w:val="009322F9"/>
    <w:rsid w:val="00932921"/>
    <w:rsid w:val="00932DAC"/>
    <w:rsid w:val="0093329F"/>
    <w:rsid w:val="009339EE"/>
    <w:rsid w:val="00933C59"/>
    <w:rsid w:val="00933D48"/>
    <w:rsid w:val="0093444B"/>
    <w:rsid w:val="009348C6"/>
    <w:rsid w:val="00934BC8"/>
    <w:rsid w:val="00934F77"/>
    <w:rsid w:val="00935097"/>
    <w:rsid w:val="009352D5"/>
    <w:rsid w:val="00935872"/>
    <w:rsid w:val="00935E7D"/>
    <w:rsid w:val="009367B7"/>
    <w:rsid w:val="00936847"/>
    <w:rsid w:val="00936ECB"/>
    <w:rsid w:val="009379D7"/>
    <w:rsid w:val="00937F02"/>
    <w:rsid w:val="00940677"/>
    <w:rsid w:val="009406BA"/>
    <w:rsid w:val="00940C88"/>
    <w:rsid w:val="009411D7"/>
    <w:rsid w:val="009412ED"/>
    <w:rsid w:val="009414F6"/>
    <w:rsid w:val="0094169B"/>
    <w:rsid w:val="00941C68"/>
    <w:rsid w:val="00941EF9"/>
    <w:rsid w:val="00941FC3"/>
    <w:rsid w:val="009420DF"/>
    <w:rsid w:val="00942C28"/>
    <w:rsid w:val="00943434"/>
    <w:rsid w:val="00943794"/>
    <w:rsid w:val="00943C9E"/>
    <w:rsid w:val="0094480A"/>
    <w:rsid w:val="00945539"/>
    <w:rsid w:val="00945A70"/>
    <w:rsid w:val="00946B00"/>
    <w:rsid w:val="0095001A"/>
    <w:rsid w:val="009501CB"/>
    <w:rsid w:val="00950453"/>
    <w:rsid w:val="0095113D"/>
    <w:rsid w:val="009511D8"/>
    <w:rsid w:val="009512D5"/>
    <w:rsid w:val="009517FB"/>
    <w:rsid w:val="00951AFB"/>
    <w:rsid w:val="00951D51"/>
    <w:rsid w:val="00952165"/>
    <w:rsid w:val="00952C20"/>
    <w:rsid w:val="009531FE"/>
    <w:rsid w:val="00953200"/>
    <w:rsid w:val="009538A0"/>
    <w:rsid w:val="00953F54"/>
    <w:rsid w:val="009544BC"/>
    <w:rsid w:val="0095458F"/>
    <w:rsid w:val="00955799"/>
    <w:rsid w:val="009560F8"/>
    <w:rsid w:val="009563A9"/>
    <w:rsid w:val="009565F7"/>
    <w:rsid w:val="009570B0"/>
    <w:rsid w:val="009570CC"/>
    <w:rsid w:val="009572E7"/>
    <w:rsid w:val="00957780"/>
    <w:rsid w:val="00957D45"/>
    <w:rsid w:val="00960378"/>
    <w:rsid w:val="00960D50"/>
    <w:rsid w:val="00961173"/>
    <w:rsid w:val="00961716"/>
    <w:rsid w:val="00961801"/>
    <w:rsid w:val="0096236F"/>
    <w:rsid w:val="00962802"/>
    <w:rsid w:val="00962F3C"/>
    <w:rsid w:val="00963CB7"/>
    <w:rsid w:val="0096425C"/>
    <w:rsid w:val="0096452E"/>
    <w:rsid w:val="00964797"/>
    <w:rsid w:val="0096538A"/>
    <w:rsid w:val="00965CBA"/>
    <w:rsid w:val="00965F63"/>
    <w:rsid w:val="009712BA"/>
    <w:rsid w:val="0097154C"/>
    <w:rsid w:val="009719E3"/>
    <w:rsid w:val="00971B72"/>
    <w:rsid w:val="009725C7"/>
    <w:rsid w:val="00972704"/>
    <w:rsid w:val="00973177"/>
    <w:rsid w:val="00973469"/>
    <w:rsid w:val="00973B17"/>
    <w:rsid w:val="00973C24"/>
    <w:rsid w:val="009744FA"/>
    <w:rsid w:val="009749DB"/>
    <w:rsid w:val="00974D01"/>
    <w:rsid w:val="009755C9"/>
    <w:rsid w:val="009759E1"/>
    <w:rsid w:val="00975B62"/>
    <w:rsid w:val="0097668B"/>
    <w:rsid w:val="009766EF"/>
    <w:rsid w:val="00976A45"/>
    <w:rsid w:val="00976B4B"/>
    <w:rsid w:val="00976EC1"/>
    <w:rsid w:val="00977082"/>
    <w:rsid w:val="009774DE"/>
    <w:rsid w:val="00977810"/>
    <w:rsid w:val="00981011"/>
    <w:rsid w:val="00981866"/>
    <w:rsid w:val="00981B83"/>
    <w:rsid w:val="00981FFB"/>
    <w:rsid w:val="00982245"/>
    <w:rsid w:val="00982303"/>
    <w:rsid w:val="00982DC2"/>
    <w:rsid w:val="00983CD6"/>
    <w:rsid w:val="00983DFF"/>
    <w:rsid w:val="009845F0"/>
    <w:rsid w:val="009848AA"/>
    <w:rsid w:val="00984B04"/>
    <w:rsid w:val="00984D90"/>
    <w:rsid w:val="0098573F"/>
    <w:rsid w:val="00985AD3"/>
    <w:rsid w:val="00985B1A"/>
    <w:rsid w:val="00985B8E"/>
    <w:rsid w:val="00985CE1"/>
    <w:rsid w:val="00986000"/>
    <w:rsid w:val="009860CE"/>
    <w:rsid w:val="00986590"/>
    <w:rsid w:val="009865AA"/>
    <w:rsid w:val="00986792"/>
    <w:rsid w:val="00986950"/>
    <w:rsid w:val="00986EBD"/>
    <w:rsid w:val="009873E4"/>
    <w:rsid w:val="00987C17"/>
    <w:rsid w:val="0099091F"/>
    <w:rsid w:val="00991434"/>
    <w:rsid w:val="009921E8"/>
    <w:rsid w:val="00992828"/>
    <w:rsid w:val="0099283D"/>
    <w:rsid w:val="00992BD8"/>
    <w:rsid w:val="009934C7"/>
    <w:rsid w:val="00993C22"/>
    <w:rsid w:val="0099499C"/>
    <w:rsid w:val="00995589"/>
    <w:rsid w:val="009956EB"/>
    <w:rsid w:val="00995C8D"/>
    <w:rsid w:val="00996241"/>
    <w:rsid w:val="0099761D"/>
    <w:rsid w:val="009A0013"/>
    <w:rsid w:val="009A0330"/>
    <w:rsid w:val="009A24CB"/>
    <w:rsid w:val="009A2638"/>
    <w:rsid w:val="009A32F0"/>
    <w:rsid w:val="009A38C5"/>
    <w:rsid w:val="009A3F53"/>
    <w:rsid w:val="009A4A2A"/>
    <w:rsid w:val="009A4CF0"/>
    <w:rsid w:val="009A5357"/>
    <w:rsid w:val="009A591E"/>
    <w:rsid w:val="009A5FDC"/>
    <w:rsid w:val="009A7B00"/>
    <w:rsid w:val="009B229C"/>
    <w:rsid w:val="009B332C"/>
    <w:rsid w:val="009B364B"/>
    <w:rsid w:val="009B4632"/>
    <w:rsid w:val="009B4B49"/>
    <w:rsid w:val="009B5479"/>
    <w:rsid w:val="009B6DF6"/>
    <w:rsid w:val="009B75FA"/>
    <w:rsid w:val="009B7683"/>
    <w:rsid w:val="009C0AA1"/>
    <w:rsid w:val="009C0B02"/>
    <w:rsid w:val="009C149E"/>
    <w:rsid w:val="009C2848"/>
    <w:rsid w:val="009C2B35"/>
    <w:rsid w:val="009C33CE"/>
    <w:rsid w:val="009C470D"/>
    <w:rsid w:val="009C4D38"/>
    <w:rsid w:val="009C56EA"/>
    <w:rsid w:val="009C59C7"/>
    <w:rsid w:val="009C5A65"/>
    <w:rsid w:val="009C5D68"/>
    <w:rsid w:val="009C689A"/>
    <w:rsid w:val="009D0B10"/>
    <w:rsid w:val="009D1E3B"/>
    <w:rsid w:val="009D2497"/>
    <w:rsid w:val="009D2D80"/>
    <w:rsid w:val="009D3C14"/>
    <w:rsid w:val="009D46FB"/>
    <w:rsid w:val="009D5005"/>
    <w:rsid w:val="009D5152"/>
    <w:rsid w:val="009D5944"/>
    <w:rsid w:val="009D5C0A"/>
    <w:rsid w:val="009D6074"/>
    <w:rsid w:val="009D60ED"/>
    <w:rsid w:val="009D6534"/>
    <w:rsid w:val="009D7019"/>
    <w:rsid w:val="009D7721"/>
    <w:rsid w:val="009D7D98"/>
    <w:rsid w:val="009E04B1"/>
    <w:rsid w:val="009E11D9"/>
    <w:rsid w:val="009E1935"/>
    <w:rsid w:val="009E2026"/>
    <w:rsid w:val="009E2BFB"/>
    <w:rsid w:val="009E2C85"/>
    <w:rsid w:val="009E3BEE"/>
    <w:rsid w:val="009E3D4B"/>
    <w:rsid w:val="009E418C"/>
    <w:rsid w:val="009E4269"/>
    <w:rsid w:val="009E43BC"/>
    <w:rsid w:val="009E4C0D"/>
    <w:rsid w:val="009E5AF4"/>
    <w:rsid w:val="009E5FDD"/>
    <w:rsid w:val="009E6120"/>
    <w:rsid w:val="009E61E6"/>
    <w:rsid w:val="009E724A"/>
    <w:rsid w:val="009E7962"/>
    <w:rsid w:val="009E7D93"/>
    <w:rsid w:val="009E7FD3"/>
    <w:rsid w:val="009F00CB"/>
    <w:rsid w:val="009F0B2E"/>
    <w:rsid w:val="009F127B"/>
    <w:rsid w:val="009F1AA0"/>
    <w:rsid w:val="009F21D3"/>
    <w:rsid w:val="009F350E"/>
    <w:rsid w:val="009F3C67"/>
    <w:rsid w:val="009F3D0E"/>
    <w:rsid w:val="009F3EA4"/>
    <w:rsid w:val="009F3FF0"/>
    <w:rsid w:val="009F4092"/>
    <w:rsid w:val="009F5329"/>
    <w:rsid w:val="009F53FD"/>
    <w:rsid w:val="009F55CB"/>
    <w:rsid w:val="009F5DE8"/>
    <w:rsid w:val="009F68EF"/>
    <w:rsid w:val="009F6BA9"/>
    <w:rsid w:val="009F7082"/>
    <w:rsid w:val="009F71F7"/>
    <w:rsid w:val="009F758F"/>
    <w:rsid w:val="009F788F"/>
    <w:rsid w:val="009F7A36"/>
    <w:rsid w:val="00A0045C"/>
    <w:rsid w:val="00A0065F"/>
    <w:rsid w:val="00A0161C"/>
    <w:rsid w:val="00A01E74"/>
    <w:rsid w:val="00A021F1"/>
    <w:rsid w:val="00A0245E"/>
    <w:rsid w:val="00A0248E"/>
    <w:rsid w:val="00A029EC"/>
    <w:rsid w:val="00A02B2A"/>
    <w:rsid w:val="00A0315F"/>
    <w:rsid w:val="00A04A0F"/>
    <w:rsid w:val="00A04A2B"/>
    <w:rsid w:val="00A04AB4"/>
    <w:rsid w:val="00A04CE3"/>
    <w:rsid w:val="00A0556F"/>
    <w:rsid w:val="00A06C27"/>
    <w:rsid w:val="00A0768B"/>
    <w:rsid w:val="00A105A5"/>
    <w:rsid w:val="00A10E09"/>
    <w:rsid w:val="00A112A0"/>
    <w:rsid w:val="00A11872"/>
    <w:rsid w:val="00A11D7E"/>
    <w:rsid w:val="00A12E07"/>
    <w:rsid w:val="00A138FE"/>
    <w:rsid w:val="00A139AB"/>
    <w:rsid w:val="00A1434E"/>
    <w:rsid w:val="00A14C60"/>
    <w:rsid w:val="00A150AB"/>
    <w:rsid w:val="00A159AE"/>
    <w:rsid w:val="00A15CBF"/>
    <w:rsid w:val="00A16094"/>
    <w:rsid w:val="00A161CA"/>
    <w:rsid w:val="00A162C0"/>
    <w:rsid w:val="00A165BD"/>
    <w:rsid w:val="00A16A41"/>
    <w:rsid w:val="00A1784E"/>
    <w:rsid w:val="00A2105B"/>
    <w:rsid w:val="00A223A9"/>
    <w:rsid w:val="00A22D74"/>
    <w:rsid w:val="00A23BC0"/>
    <w:rsid w:val="00A24C62"/>
    <w:rsid w:val="00A250FF"/>
    <w:rsid w:val="00A25F9D"/>
    <w:rsid w:val="00A25FCA"/>
    <w:rsid w:val="00A25FCB"/>
    <w:rsid w:val="00A2681F"/>
    <w:rsid w:val="00A26AE8"/>
    <w:rsid w:val="00A26CFC"/>
    <w:rsid w:val="00A26D04"/>
    <w:rsid w:val="00A26F3C"/>
    <w:rsid w:val="00A27642"/>
    <w:rsid w:val="00A304BD"/>
    <w:rsid w:val="00A3162C"/>
    <w:rsid w:val="00A32732"/>
    <w:rsid w:val="00A32AA0"/>
    <w:rsid w:val="00A32CFC"/>
    <w:rsid w:val="00A33451"/>
    <w:rsid w:val="00A3362E"/>
    <w:rsid w:val="00A34432"/>
    <w:rsid w:val="00A3483A"/>
    <w:rsid w:val="00A34861"/>
    <w:rsid w:val="00A34EA6"/>
    <w:rsid w:val="00A350D5"/>
    <w:rsid w:val="00A35593"/>
    <w:rsid w:val="00A35783"/>
    <w:rsid w:val="00A359F1"/>
    <w:rsid w:val="00A3691A"/>
    <w:rsid w:val="00A36EF0"/>
    <w:rsid w:val="00A375B4"/>
    <w:rsid w:val="00A375F0"/>
    <w:rsid w:val="00A40B1F"/>
    <w:rsid w:val="00A4133B"/>
    <w:rsid w:val="00A4178F"/>
    <w:rsid w:val="00A42047"/>
    <w:rsid w:val="00A428BC"/>
    <w:rsid w:val="00A42CD2"/>
    <w:rsid w:val="00A43019"/>
    <w:rsid w:val="00A435BC"/>
    <w:rsid w:val="00A435E5"/>
    <w:rsid w:val="00A43F6B"/>
    <w:rsid w:val="00A44268"/>
    <w:rsid w:val="00A44612"/>
    <w:rsid w:val="00A454C0"/>
    <w:rsid w:val="00A45752"/>
    <w:rsid w:val="00A45FAD"/>
    <w:rsid w:val="00A462F6"/>
    <w:rsid w:val="00A467B4"/>
    <w:rsid w:val="00A467E5"/>
    <w:rsid w:val="00A46927"/>
    <w:rsid w:val="00A46D4D"/>
    <w:rsid w:val="00A46D6D"/>
    <w:rsid w:val="00A5021C"/>
    <w:rsid w:val="00A50695"/>
    <w:rsid w:val="00A50794"/>
    <w:rsid w:val="00A50A52"/>
    <w:rsid w:val="00A50B33"/>
    <w:rsid w:val="00A50FF1"/>
    <w:rsid w:val="00A51B61"/>
    <w:rsid w:val="00A51DC5"/>
    <w:rsid w:val="00A522F8"/>
    <w:rsid w:val="00A5279B"/>
    <w:rsid w:val="00A52CD3"/>
    <w:rsid w:val="00A52F35"/>
    <w:rsid w:val="00A53F50"/>
    <w:rsid w:val="00A53FA5"/>
    <w:rsid w:val="00A54005"/>
    <w:rsid w:val="00A54086"/>
    <w:rsid w:val="00A5449D"/>
    <w:rsid w:val="00A5465B"/>
    <w:rsid w:val="00A55D98"/>
    <w:rsid w:val="00A55E36"/>
    <w:rsid w:val="00A55E68"/>
    <w:rsid w:val="00A5697D"/>
    <w:rsid w:val="00A56B6E"/>
    <w:rsid w:val="00A56FBA"/>
    <w:rsid w:val="00A577DD"/>
    <w:rsid w:val="00A57A80"/>
    <w:rsid w:val="00A57EA6"/>
    <w:rsid w:val="00A57F98"/>
    <w:rsid w:val="00A60184"/>
    <w:rsid w:val="00A60A21"/>
    <w:rsid w:val="00A60A40"/>
    <w:rsid w:val="00A611FC"/>
    <w:rsid w:val="00A61E0E"/>
    <w:rsid w:val="00A6254F"/>
    <w:rsid w:val="00A62BBE"/>
    <w:rsid w:val="00A62EFF"/>
    <w:rsid w:val="00A640BD"/>
    <w:rsid w:val="00A644B4"/>
    <w:rsid w:val="00A64A30"/>
    <w:rsid w:val="00A64BA1"/>
    <w:rsid w:val="00A6501F"/>
    <w:rsid w:val="00A65197"/>
    <w:rsid w:val="00A65299"/>
    <w:rsid w:val="00A65592"/>
    <w:rsid w:val="00A655E5"/>
    <w:rsid w:val="00A6581F"/>
    <w:rsid w:val="00A66E9A"/>
    <w:rsid w:val="00A671E6"/>
    <w:rsid w:val="00A67E95"/>
    <w:rsid w:val="00A71182"/>
    <w:rsid w:val="00A711E0"/>
    <w:rsid w:val="00A7269D"/>
    <w:rsid w:val="00A728D1"/>
    <w:rsid w:val="00A72C9C"/>
    <w:rsid w:val="00A7323D"/>
    <w:rsid w:val="00A748B9"/>
    <w:rsid w:val="00A74A72"/>
    <w:rsid w:val="00A74C63"/>
    <w:rsid w:val="00A74FD8"/>
    <w:rsid w:val="00A75AC8"/>
    <w:rsid w:val="00A76D1F"/>
    <w:rsid w:val="00A76EB0"/>
    <w:rsid w:val="00A77057"/>
    <w:rsid w:val="00A77BD2"/>
    <w:rsid w:val="00A77EFC"/>
    <w:rsid w:val="00A8042D"/>
    <w:rsid w:val="00A804C8"/>
    <w:rsid w:val="00A8054C"/>
    <w:rsid w:val="00A80975"/>
    <w:rsid w:val="00A81BF1"/>
    <w:rsid w:val="00A81E16"/>
    <w:rsid w:val="00A82019"/>
    <w:rsid w:val="00A821CB"/>
    <w:rsid w:val="00A824AB"/>
    <w:rsid w:val="00A82BBC"/>
    <w:rsid w:val="00A82CAB"/>
    <w:rsid w:val="00A83BA1"/>
    <w:rsid w:val="00A84092"/>
    <w:rsid w:val="00A84C81"/>
    <w:rsid w:val="00A84F2E"/>
    <w:rsid w:val="00A84FD4"/>
    <w:rsid w:val="00A85279"/>
    <w:rsid w:val="00A854E6"/>
    <w:rsid w:val="00A85BCC"/>
    <w:rsid w:val="00A85D68"/>
    <w:rsid w:val="00A86089"/>
    <w:rsid w:val="00A877FA"/>
    <w:rsid w:val="00A87B30"/>
    <w:rsid w:val="00A87B95"/>
    <w:rsid w:val="00A9022E"/>
    <w:rsid w:val="00A9194A"/>
    <w:rsid w:val="00A919C1"/>
    <w:rsid w:val="00A92599"/>
    <w:rsid w:val="00A92AB4"/>
    <w:rsid w:val="00A92F65"/>
    <w:rsid w:val="00A93939"/>
    <w:rsid w:val="00A94114"/>
    <w:rsid w:val="00A94ACE"/>
    <w:rsid w:val="00A95309"/>
    <w:rsid w:val="00A954FD"/>
    <w:rsid w:val="00A96720"/>
    <w:rsid w:val="00A96CCA"/>
    <w:rsid w:val="00A97074"/>
    <w:rsid w:val="00A970B9"/>
    <w:rsid w:val="00A97EFF"/>
    <w:rsid w:val="00AA0960"/>
    <w:rsid w:val="00AA0BA9"/>
    <w:rsid w:val="00AA1407"/>
    <w:rsid w:val="00AA1C33"/>
    <w:rsid w:val="00AA1CF7"/>
    <w:rsid w:val="00AA2138"/>
    <w:rsid w:val="00AA2E60"/>
    <w:rsid w:val="00AA4A36"/>
    <w:rsid w:val="00AA4E8E"/>
    <w:rsid w:val="00AA50E0"/>
    <w:rsid w:val="00AA5EA0"/>
    <w:rsid w:val="00AA5F77"/>
    <w:rsid w:val="00AA62F6"/>
    <w:rsid w:val="00AA65E7"/>
    <w:rsid w:val="00AA666F"/>
    <w:rsid w:val="00AA6ED8"/>
    <w:rsid w:val="00AA717B"/>
    <w:rsid w:val="00AA739C"/>
    <w:rsid w:val="00AA7D8F"/>
    <w:rsid w:val="00AB044E"/>
    <w:rsid w:val="00AB051F"/>
    <w:rsid w:val="00AB0979"/>
    <w:rsid w:val="00AB1206"/>
    <w:rsid w:val="00AB1399"/>
    <w:rsid w:val="00AB14B5"/>
    <w:rsid w:val="00AB237C"/>
    <w:rsid w:val="00AB2759"/>
    <w:rsid w:val="00AB3D7E"/>
    <w:rsid w:val="00AB4F09"/>
    <w:rsid w:val="00AB598A"/>
    <w:rsid w:val="00AB5AD8"/>
    <w:rsid w:val="00AB5B52"/>
    <w:rsid w:val="00AB61BC"/>
    <w:rsid w:val="00AB6B0E"/>
    <w:rsid w:val="00AB6F60"/>
    <w:rsid w:val="00AB71BE"/>
    <w:rsid w:val="00AB72DB"/>
    <w:rsid w:val="00AB7429"/>
    <w:rsid w:val="00AB7BB4"/>
    <w:rsid w:val="00AC01FF"/>
    <w:rsid w:val="00AC0357"/>
    <w:rsid w:val="00AC0CD7"/>
    <w:rsid w:val="00AC13B2"/>
    <w:rsid w:val="00AC267D"/>
    <w:rsid w:val="00AC2C86"/>
    <w:rsid w:val="00AC3974"/>
    <w:rsid w:val="00AC50DB"/>
    <w:rsid w:val="00AC5567"/>
    <w:rsid w:val="00AC589C"/>
    <w:rsid w:val="00AC5E3B"/>
    <w:rsid w:val="00AC6030"/>
    <w:rsid w:val="00AC6286"/>
    <w:rsid w:val="00AC64E4"/>
    <w:rsid w:val="00AC736C"/>
    <w:rsid w:val="00AC7AD9"/>
    <w:rsid w:val="00AC7E0A"/>
    <w:rsid w:val="00AD0002"/>
    <w:rsid w:val="00AD059B"/>
    <w:rsid w:val="00AD0DED"/>
    <w:rsid w:val="00AD1D53"/>
    <w:rsid w:val="00AD1FF5"/>
    <w:rsid w:val="00AD2C40"/>
    <w:rsid w:val="00AD2E36"/>
    <w:rsid w:val="00AD4C49"/>
    <w:rsid w:val="00AD512A"/>
    <w:rsid w:val="00AD51B8"/>
    <w:rsid w:val="00AD5343"/>
    <w:rsid w:val="00AD5B3A"/>
    <w:rsid w:val="00AD5E1E"/>
    <w:rsid w:val="00AD686B"/>
    <w:rsid w:val="00AE00E9"/>
    <w:rsid w:val="00AE0D79"/>
    <w:rsid w:val="00AE0EDB"/>
    <w:rsid w:val="00AE1400"/>
    <w:rsid w:val="00AE1683"/>
    <w:rsid w:val="00AE19F6"/>
    <w:rsid w:val="00AE1D2F"/>
    <w:rsid w:val="00AE1F74"/>
    <w:rsid w:val="00AE242A"/>
    <w:rsid w:val="00AE253D"/>
    <w:rsid w:val="00AE2B12"/>
    <w:rsid w:val="00AE34B8"/>
    <w:rsid w:val="00AE35DB"/>
    <w:rsid w:val="00AE3EA0"/>
    <w:rsid w:val="00AE4368"/>
    <w:rsid w:val="00AE4517"/>
    <w:rsid w:val="00AE4914"/>
    <w:rsid w:val="00AE5021"/>
    <w:rsid w:val="00AE5743"/>
    <w:rsid w:val="00AE5B2C"/>
    <w:rsid w:val="00AE626F"/>
    <w:rsid w:val="00AE632C"/>
    <w:rsid w:val="00AE6903"/>
    <w:rsid w:val="00AE6A03"/>
    <w:rsid w:val="00AE6CC4"/>
    <w:rsid w:val="00AE7322"/>
    <w:rsid w:val="00AF0894"/>
    <w:rsid w:val="00AF0ABB"/>
    <w:rsid w:val="00AF0EF6"/>
    <w:rsid w:val="00AF2491"/>
    <w:rsid w:val="00AF2B66"/>
    <w:rsid w:val="00AF2B78"/>
    <w:rsid w:val="00AF4EA6"/>
    <w:rsid w:val="00AF5549"/>
    <w:rsid w:val="00AF599A"/>
    <w:rsid w:val="00AF599F"/>
    <w:rsid w:val="00AF59B7"/>
    <w:rsid w:val="00AF5F7A"/>
    <w:rsid w:val="00AF60EF"/>
    <w:rsid w:val="00AF6D76"/>
    <w:rsid w:val="00AF6FAC"/>
    <w:rsid w:val="00AF7150"/>
    <w:rsid w:val="00AF7367"/>
    <w:rsid w:val="00AF7F7C"/>
    <w:rsid w:val="00AF7FCE"/>
    <w:rsid w:val="00B0029A"/>
    <w:rsid w:val="00B00BF6"/>
    <w:rsid w:val="00B013F1"/>
    <w:rsid w:val="00B014EA"/>
    <w:rsid w:val="00B015DA"/>
    <w:rsid w:val="00B0188D"/>
    <w:rsid w:val="00B0282E"/>
    <w:rsid w:val="00B03006"/>
    <w:rsid w:val="00B04005"/>
    <w:rsid w:val="00B04E1C"/>
    <w:rsid w:val="00B06837"/>
    <w:rsid w:val="00B06BA4"/>
    <w:rsid w:val="00B06CE2"/>
    <w:rsid w:val="00B06DF8"/>
    <w:rsid w:val="00B075D7"/>
    <w:rsid w:val="00B1209D"/>
    <w:rsid w:val="00B12775"/>
    <w:rsid w:val="00B12BB4"/>
    <w:rsid w:val="00B12C1C"/>
    <w:rsid w:val="00B132AF"/>
    <w:rsid w:val="00B132F8"/>
    <w:rsid w:val="00B13C1A"/>
    <w:rsid w:val="00B13DC0"/>
    <w:rsid w:val="00B1459F"/>
    <w:rsid w:val="00B16A51"/>
    <w:rsid w:val="00B16DBF"/>
    <w:rsid w:val="00B170BA"/>
    <w:rsid w:val="00B170D1"/>
    <w:rsid w:val="00B177FB"/>
    <w:rsid w:val="00B1789A"/>
    <w:rsid w:val="00B2130E"/>
    <w:rsid w:val="00B213EA"/>
    <w:rsid w:val="00B21B77"/>
    <w:rsid w:val="00B22DA2"/>
    <w:rsid w:val="00B23DEB"/>
    <w:rsid w:val="00B249F4"/>
    <w:rsid w:val="00B24F77"/>
    <w:rsid w:val="00B26002"/>
    <w:rsid w:val="00B262F4"/>
    <w:rsid w:val="00B2648C"/>
    <w:rsid w:val="00B26743"/>
    <w:rsid w:val="00B26E7D"/>
    <w:rsid w:val="00B27096"/>
    <w:rsid w:val="00B27CD6"/>
    <w:rsid w:val="00B30068"/>
    <w:rsid w:val="00B30869"/>
    <w:rsid w:val="00B30B92"/>
    <w:rsid w:val="00B30DF7"/>
    <w:rsid w:val="00B31080"/>
    <w:rsid w:val="00B313D1"/>
    <w:rsid w:val="00B315FC"/>
    <w:rsid w:val="00B31A9B"/>
    <w:rsid w:val="00B31E1D"/>
    <w:rsid w:val="00B327A4"/>
    <w:rsid w:val="00B33729"/>
    <w:rsid w:val="00B33A4F"/>
    <w:rsid w:val="00B33E9B"/>
    <w:rsid w:val="00B34450"/>
    <w:rsid w:val="00B34A3F"/>
    <w:rsid w:val="00B34ABE"/>
    <w:rsid w:val="00B34D56"/>
    <w:rsid w:val="00B353BC"/>
    <w:rsid w:val="00B355FD"/>
    <w:rsid w:val="00B35633"/>
    <w:rsid w:val="00B35C23"/>
    <w:rsid w:val="00B366F9"/>
    <w:rsid w:val="00B36A8C"/>
    <w:rsid w:val="00B3720E"/>
    <w:rsid w:val="00B3749B"/>
    <w:rsid w:val="00B37ACE"/>
    <w:rsid w:val="00B37BF1"/>
    <w:rsid w:val="00B37D99"/>
    <w:rsid w:val="00B37EAB"/>
    <w:rsid w:val="00B40167"/>
    <w:rsid w:val="00B40454"/>
    <w:rsid w:val="00B406DF"/>
    <w:rsid w:val="00B40ECE"/>
    <w:rsid w:val="00B41221"/>
    <w:rsid w:val="00B41C25"/>
    <w:rsid w:val="00B4407F"/>
    <w:rsid w:val="00B44CAE"/>
    <w:rsid w:val="00B4548F"/>
    <w:rsid w:val="00B45751"/>
    <w:rsid w:val="00B45861"/>
    <w:rsid w:val="00B45A9E"/>
    <w:rsid w:val="00B46293"/>
    <w:rsid w:val="00B464F6"/>
    <w:rsid w:val="00B467F1"/>
    <w:rsid w:val="00B46B4B"/>
    <w:rsid w:val="00B47755"/>
    <w:rsid w:val="00B478C1"/>
    <w:rsid w:val="00B47DE2"/>
    <w:rsid w:val="00B507CD"/>
    <w:rsid w:val="00B508FA"/>
    <w:rsid w:val="00B51EE0"/>
    <w:rsid w:val="00B52A50"/>
    <w:rsid w:val="00B52CF5"/>
    <w:rsid w:val="00B52D95"/>
    <w:rsid w:val="00B53327"/>
    <w:rsid w:val="00B53456"/>
    <w:rsid w:val="00B5372B"/>
    <w:rsid w:val="00B537A0"/>
    <w:rsid w:val="00B53807"/>
    <w:rsid w:val="00B53A2A"/>
    <w:rsid w:val="00B540A2"/>
    <w:rsid w:val="00B551B3"/>
    <w:rsid w:val="00B55954"/>
    <w:rsid w:val="00B5645A"/>
    <w:rsid w:val="00B57B9E"/>
    <w:rsid w:val="00B60596"/>
    <w:rsid w:val="00B6063B"/>
    <w:rsid w:val="00B61279"/>
    <w:rsid w:val="00B63433"/>
    <w:rsid w:val="00B6589F"/>
    <w:rsid w:val="00B673E6"/>
    <w:rsid w:val="00B67A56"/>
    <w:rsid w:val="00B7090B"/>
    <w:rsid w:val="00B7099C"/>
    <w:rsid w:val="00B70A7F"/>
    <w:rsid w:val="00B70DCF"/>
    <w:rsid w:val="00B7151F"/>
    <w:rsid w:val="00B729AF"/>
    <w:rsid w:val="00B7328F"/>
    <w:rsid w:val="00B732B2"/>
    <w:rsid w:val="00B73442"/>
    <w:rsid w:val="00B7354A"/>
    <w:rsid w:val="00B73D08"/>
    <w:rsid w:val="00B740A8"/>
    <w:rsid w:val="00B7439E"/>
    <w:rsid w:val="00B74884"/>
    <w:rsid w:val="00B748F4"/>
    <w:rsid w:val="00B74BDD"/>
    <w:rsid w:val="00B75F90"/>
    <w:rsid w:val="00B76237"/>
    <w:rsid w:val="00B772AD"/>
    <w:rsid w:val="00B775A1"/>
    <w:rsid w:val="00B77E34"/>
    <w:rsid w:val="00B80381"/>
    <w:rsid w:val="00B803AB"/>
    <w:rsid w:val="00B80750"/>
    <w:rsid w:val="00B807C5"/>
    <w:rsid w:val="00B8080D"/>
    <w:rsid w:val="00B80D8A"/>
    <w:rsid w:val="00B8134C"/>
    <w:rsid w:val="00B81709"/>
    <w:rsid w:val="00B81ABF"/>
    <w:rsid w:val="00B81C52"/>
    <w:rsid w:val="00B8451B"/>
    <w:rsid w:val="00B85398"/>
    <w:rsid w:val="00B8560E"/>
    <w:rsid w:val="00B856A6"/>
    <w:rsid w:val="00B861A1"/>
    <w:rsid w:val="00B868FF"/>
    <w:rsid w:val="00B8736D"/>
    <w:rsid w:val="00B87769"/>
    <w:rsid w:val="00B87972"/>
    <w:rsid w:val="00B92870"/>
    <w:rsid w:val="00B92C72"/>
    <w:rsid w:val="00B92E39"/>
    <w:rsid w:val="00B92F02"/>
    <w:rsid w:val="00B9313E"/>
    <w:rsid w:val="00B9329C"/>
    <w:rsid w:val="00B93608"/>
    <w:rsid w:val="00B93AC6"/>
    <w:rsid w:val="00B959CA"/>
    <w:rsid w:val="00B95DA1"/>
    <w:rsid w:val="00B9633D"/>
    <w:rsid w:val="00B96534"/>
    <w:rsid w:val="00B967EC"/>
    <w:rsid w:val="00B97151"/>
    <w:rsid w:val="00B971FB"/>
    <w:rsid w:val="00B97E97"/>
    <w:rsid w:val="00BA13EF"/>
    <w:rsid w:val="00BA1EB2"/>
    <w:rsid w:val="00BA1FA2"/>
    <w:rsid w:val="00BA318A"/>
    <w:rsid w:val="00BA3521"/>
    <w:rsid w:val="00BA4E0C"/>
    <w:rsid w:val="00BA5594"/>
    <w:rsid w:val="00BA5911"/>
    <w:rsid w:val="00BA5AA9"/>
    <w:rsid w:val="00BA5D17"/>
    <w:rsid w:val="00BA679A"/>
    <w:rsid w:val="00BA7611"/>
    <w:rsid w:val="00BA76EF"/>
    <w:rsid w:val="00BA7818"/>
    <w:rsid w:val="00BB0796"/>
    <w:rsid w:val="00BB083E"/>
    <w:rsid w:val="00BB0EB5"/>
    <w:rsid w:val="00BB1233"/>
    <w:rsid w:val="00BB1844"/>
    <w:rsid w:val="00BB2735"/>
    <w:rsid w:val="00BB2F6A"/>
    <w:rsid w:val="00BB35B5"/>
    <w:rsid w:val="00BB35E1"/>
    <w:rsid w:val="00BB3CF8"/>
    <w:rsid w:val="00BB42D5"/>
    <w:rsid w:val="00BB441F"/>
    <w:rsid w:val="00BB46CE"/>
    <w:rsid w:val="00BB5ADE"/>
    <w:rsid w:val="00BB5EDA"/>
    <w:rsid w:val="00BB6652"/>
    <w:rsid w:val="00BB7893"/>
    <w:rsid w:val="00BB7DD5"/>
    <w:rsid w:val="00BB7E95"/>
    <w:rsid w:val="00BC0211"/>
    <w:rsid w:val="00BC050C"/>
    <w:rsid w:val="00BC0759"/>
    <w:rsid w:val="00BC0D87"/>
    <w:rsid w:val="00BC0DAD"/>
    <w:rsid w:val="00BC0E26"/>
    <w:rsid w:val="00BC123D"/>
    <w:rsid w:val="00BC1E1A"/>
    <w:rsid w:val="00BC1F9B"/>
    <w:rsid w:val="00BC2082"/>
    <w:rsid w:val="00BC2C2E"/>
    <w:rsid w:val="00BC35C5"/>
    <w:rsid w:val="00BC4407"/>
    <w:rsid w:val="00BC440C"/>
    <w:rsid w:val="00BC4CCF"/>
    <w:rsid w:val="00BC4FB8"/>
    <w:rsid w:val="00BC5627"/>
    <w:rsid w:val="00BC5F23"/>
    <w:rsid w:val="00BC6522"/>
    <w:rsid w:val="00BC6FED"/>
    <w:rsid w:val="00BC705C"/>
    <w:rsid w:val="00BC7FD9"/>
    <w:rsid w:val="00BD003B"/>
    <w:rsid w:val="00BD0271"/>
    <w:rsid w:val="00BD099E"/>
    <w:rsid w:val="00BD0CFB"/>
    <w:rsid w:val="00BD0F3A"/>
    <w:rsid w:val="00BD12B7"/>
    <w:rsid w:val="00BD1334"/>
    <w:rsid w:val="00BD15EF"/>
    <w:rsid w:val="00BD33CA"/>
    <w:rsid w:val="00BD35D0"/>
    <w:rsid w:val="00BD5141"/>
    <w:rsid w:val="00BD57C3"/>
    <w:rsid w:val="00BD5CF8"/>
    <w:rsid w:val="00BD5DE0"/>
    <w:rsid w:val="00BD6487"/>
    <w:rsid w:val="00BD7DBB"/>
    <w:rsid w:val="00BE0B4A"/>
    <w:rsid w:val="00BE0C03"/>
    <w:rsid w:val="00BE1E6B"/>
    <w:rsid w:val="00BE1ECB"/>
    <w:rsid w:val="00BE2710"/>
    <w:rsid w:val="00BE2C65"/>
    <w:rsid w:val="00BE31FB"/>
    <w:rsid w:val="00BE379F"/>
    <w:rsid w:val="00BE3C7A"/>
    <w:rsid w:val="00BE44B0"/>
    <w:rsid w:val="00BE4E2A"/>
    <w:rsid w:val="00BE57BD"/>
    <w:rsid w:val="00BE5B8B"/>
    <w:rsid w:val="00BE5D2A"/>
    <w:rsid w:val="00BE66E8"/>
    <w:rsid w:val="00BE696D"/>
    <w:rsid w:val="00BE69CB"/>
    <w:rsid w:val="00BE6FEE"/>
    <w:rsid w:val="00BE73ED"/>
    <w:rsid w:val="00BF018D"/>
    <w:rsid w:val="00BF02A8"/>
    <w:rsid w:val="00BF06B0"/>
    <w:rsid w:val="00BF0E42"/>
    <w:rsid w:val="00BF134C"/>
    <w:rsid w:val="00BF1383"/>
    <w:rsid w:val="00BF258C"/>
    <w:rsid w:val="00BF26E2"/>
    <w:rsid w:val="00BF2B56"/>
    <w:rsid w:val="00BF2EF3"/>
    <w:rsid w:val="00BF34B6"/>
    <w:rsid w:val="00BF4D65"/>
    <w:rsid w:val="00BF4DAF"/>
    <w:rsid w:val="00BF4E99"/>
    <w:rsid w:val="00BF55CD"/>
    <w:rsid w:val="00BF5773"/>
    <w:rsid w:val="00BF5902"/>
    <w:rsid w:val="00BF5EFA"/>
    <w:rsid w:val="00BF6B21"/>
    <w:rsid w:val="00BF6D6E"/>
    <w:rsid w:val="00BF72BC"/>
    <w:rsid w:val="00BF7400"/>
    <w:rsid w:val="00BF7585"/>
    <w:rsid w:val="00BF7768"/>
    <w:rsid w:val="00C0081E"/>
    <w:rsid w:val="00C00A7E"/>
    <w:rsid w:val="00C0240E"/>
    <w:rsid w:val="00C02CF8"/>
    <w:rsid w:val="00C02E53"/>
    <w:rsid w:val="00C03300"/>
    <w:rsid w:val="00C03682"/>
    <w:rsid w:val="00C038CB"/>
    <w:rsid w:val="00C044E6"/>
    <w:rsid w:val="00C04BF2"/>
    <w:rsid w:val="00C051A7"/>
    <w:rsid w:val="00C05682"/>
    <w:rsid w:val="00C056BB"/>
    <w:rsid w:val="00C05C75"/>
    <w:rsid w:val="00C05CD2"/>
    <w:rsid w:val="00C060AA"/>
    <w:rsid w:val="00C06B5E"/>
    <w:rsid w:val="00C07068"/>
    <w:rsid w:val="00C07568"/>
    <w:rsid w:val="00C079CB"/>
    <w:rsid w:val="00C107F8"/>
    <w:rsid w:val="00C10934"/>
    <w:rsid w:val="00C10A62"/>
    <w:rsid w:val="00C113DB"/>
    <w:rsid w:val="00C12E6B"/>
    <w:rsid w:val="00C12F8B"/>
    <w:rsid w:val="00C133C5"/>
    <w:rsid w:val="00C136DB"/>
    <w:rsid w:val="00C1399E"/>
    <w:rsid w:val="00C144D1"/>
    <w:rsid w:val="00C15D08"/>
    <w:rsid w:val="00C1660E"/>
    <w:rsid w:val="00C16C84"/>
    <w:rsid w:val="00C17192"/>
    <w:rsid w:val="00C17198"/>
    <w:rsid w:val="00C1796C"/>
    <w:rsid w:val="00C17D38"/>
    <w:rsid w:val="00C17E40"/>
    <w:rsid w:val="00C20379"/>
    <w:rsid w:val="00C205E5"/>
    <w:rsid w:val="00C20A36"/>
    <w:rsid w:val="00C210BC"/>
    <w:rsid w:val="00C21546"/>
    <w:rsid w:val="00C21621"/>
    <w:rsid w:val="00C2177C"/>
    <w:rsid w:val="00C22749"/>
    <w:rsid w:val="00C22B19"/>
    <w:rsid w:val="00C23264"/>
    <w:rsid w:val="00C232C7"/>
    <w:rsid w:val="00C23495"/>
    <w:rsid w:val="00C234DE"/>
    <w:rsid w:val="00C23A8D"/>
    <w:rsid w:val="00C23EEE"/>
    <w:rsid w:val="00C246AF"/>
    <w:rsid w:val="00C25638"/>
    <w:rsid w:val="00C25C01"/>
    <w:rsid w:val="00C26225"/>
    <w:rsid w:val="00C26BD9"/>
    <w:rsid w:val="00C279BF"/>
    <w:rsid w:val="00C27A89"/>
    <w:rsid w:val="00C30671"/>
    <w:rsid w:val="00C3119E"/>
    <w:rsid w:val="00C3153E"/>
    <w:rsid w:val="00C31622"/>
    <w:rsid w:val="00C318CE"/>
    <w:rsid w:val="00C32E9A"/>
    <w:rsid w:val="00C33049"/>
    <w:rsid w:val="00C33981"/>
    <w:rsid w:val="00C33ED2"/>
    <w:rsid w:val="00C34554"/>
    <w:rsid w:val="00C3470C"/>
    <w:rsid w:val="00C3495D"/>
    <w:rsid w:val="00C354F0"/>
    <w:rsid w:val="00C358E2"/>
    <w:rsid w:val="00C35EF9"/>
    <w:rsid w:val="00C36D75"/>
    <w:rsid w:val="00C37508"/>
    <w:rsid w:val="00C37BE2"/>
    <w:rsid w:val="00C4080F"/>
    <w:rsid w:val="00C40D23"/>
    <w:rsid w:val="00C43079"/>
    <w:rsid w:val="00C439E5"/>
    <w:rsid w:val="00C439F2"/>
    <w:rsid w:val="00C43BEF"/>
    <w:rsid w:val="00C444CB"/>
    <w:rsid w:val="00C44617"/>
    <w:rsid w:val="00C4481A"/>
    <w:rsid w:val="00C4496C"/>
    <w:rsid w:val="00C453A4"/>
    <w:rsid w:val="00C45FA0"/>
    <w:rsid w:val="00C46B67"/>
    <w:rsid w:val="00C46E5F"/>
    <w:rsid w:val="00C46F88"/>
    <w:rsid w:val="00C47B03"/>
    <w:rsid w:val="00C47CB4"/>
    <w:rsid w:val="00C47D70"/>
    <w:rsid w:val="00C50ECC"/>
    <w:rsid w:val="00C50FC3"/>
    <w:rsid w:val="00C511C9"/>
    <w:rsid w:val="00C52579"/>
    <w:rsid w:val="00C53EFB"/>
    <w:rsid w:val="00C5456F"/>
    <w:rsid w:val="00C546C0"/>
    <w:rsid w:val="00C54716"/>
    <w:rsid w:val="00C54A3E"/>
    <w:rsid w:val="00C54B67"/>
    <w:rsid w:val="00C555E0"/>
    <w:rsid w:val="00C55621"/>
    <w:rsid w:val="00C55658"/>
    <w:rsid w:val="00C55784"/>
    <w:rsid w:val="00C55856"/>
    <w:rsid w:val="00C55A1D"/>
    <w:rsid w:val="00C55B3A"/>
    <w:rsid w:val="00C55B6A"/>
    <w:rsid w:val="00C55BB0"/>
    <w:rsid w:val="00C566DE"/>
    <w:rsid w:val="00C567EB"/>
    <w:rsid w:val="00C56AB0"/>
    <w:rsid w:val="00C60881"/>
    <w:rsid w:val="00C6091B"/>
    <w:rsid w:val="00C61330"/>
    <w:rsid w:val="00C614D1"/>
    <w:rsid w:val="00C61541"/>
    <w:rsid w:val="00C61F98"/>
    <w:rsid w:val="00C6201A"/>
    <w:rsid w:val="00C6367E"/>
    <w:rsid w:val="00C6376D"/>
    <w:rsid w:val="00C637ED"/>
    <w:rsid w:val="00C63804"/>
    <w:rsid w:val="00C642C3"/>
    <w:rsid w:val="00C654D2"/>
    <w:rsid w:val="00C656CF"/>
    <w:rsid w:val="00C65DD0"/>
    <w:rsid w:val="00C66209"/>
    <w:rsid w:val="00C66AF8"/>
    <w:rsid w:val="00C66F5B"/>
    <w:rsid w:val="00C70F0F"/>
    <w:rsid w:val="00C72042"/>
    <w:rsid w:val="00C727CA"/>
    <w:rsid w:val="00C729AC"/>
    <w:rsid w:val="00C72D69"/>
    <w:rsid w:val="00C73365"/>
    <w:rsid w:val="00C73492"/>
    <w:rsid w:val="00C73DB6"/>
    <w:rsid w:val="00C74157"/>
    <w:rsid w:val="00C743F7"/>
    <w:rsid w:val="00C7474D"/>
    <w:rsid w:val="00C74F11"/>
    <w:rsid w:val="00C75803"/>
    <w:rsid w:val="00C75950"/>
    <w:rsid w:val="00C75ACD"/>
    <w:rsid w:val="00C75C99"/>
    <w:rsid w:val="00C76294"/>
    <w:rsid w:val="00C7665C"/>
    <w:rsid w:val="00C766E3"/>
    <w:rsid w:val="00C767A8"/>
    <w:rsid w:val="00C76E5B"/>
    <w:rsid w:val="00C772E7"/>
    <w:rsid w:val="00C776CB"/>
    <w:rsid w:val="00C778D4"/>
    <w:rsid w:val="00C80B02"/>
    <w:rsid w:val="00C816A0"/>
    <w:rsid w:val="00C81929"/>
    <w:rsid w:val="00C81A33"/>
    <w:rsid w:val="00C82934"/>
    <w:rsid w:val="00C8371C"/>
    <w:rsid w:val="00C83787"/>
    <w:rsid w:val="00C83A97"/>
    <w:rsid w:val="00C83E8B"/>
    <w:rsid w:val="00C84755"/>
    <w:rsid w:val="00C84DAB"/>
    <w:rsid w:val="00C84F76"/>
    <w:rsid w:val="00C8587A"/>
    <w:rsid w:val="00C862FD"/>
    <w:rsid w:val="00C86320"/>
    <w:rsid w:val="00C865CB"/>
    <w:rsid w:val="00C866C4"/>
    <w:rsid w:val="00C86CBA"/>
    <w:rsid w:val="00C876D0"/>
    <w:rsid w:val="00C87A9E"/>
    <w:rsid w:val="00C9009E"/>
    <w:rsid w:val="00C9040B"/>
    <w:rsid w:val="00C90695"/>
    <w:rsid w:val="00C90851"/>
    <w:rsid w:val="00C90D70"/>
    <w:rsid w:val="00C90DD9"/>
    <w:rsid w:val="00C9138A"/>
    <w:rsid w:val="00C91A92"/>
    <w:rsid w:val="00C92E09"/>
    <w:rsid w:val="00C93577"/>
    <w:rsid w:val="00C94089"/>
    <w:rsid w:val="00C94219"/>
    <w:rsid w:val="00C9468E"/>
    <w:rsid w:val="00C94AB6"/>
    <w:rsid w:val="00C94B12"/>
    <w:rsid w:val="00C9596D"/>
    <w:rsid w:val="00C96365"/>
    <w:rsid w:val="00C96530"/>
    <w:rsid w:val="00C96EDA"/>
    <w:rsid w:val="00C97D33"/>
    <w:rsid w:val="00CA027D"/>
    <w:rsid w:val="00CA03E0"/>
    <w:rsid w:val="00CA058B"/>
    <w:rsid w:val="00CA1F77"/>
    <w:rsid w:val="00CA257B"/>
    <w:rsid w:val="00CA2636"/>
    <w:rsid w:val="00CA33B6"/>
    <w:rsid w:val="00CA3787"/>
    <w:rsid w:val="00CA417C"/>
    <w:rsid w:val="00CA41B2"/>
    <w:rsid w:val="00CA46FB"/>
    <w:rsid w:val="00CA545C"/>
    <w:rsid w:val="00CA63FE"/>
    <w:rsid w:val="00CA6407"/>
    <w:rsid w:val="00CA6A03"/>
    <w:rsid w:val="00CA6ACA"/>
    <w:rsid w:val="00CA7218"/>
    <w:rsid w:val="00CA7A81"/>
    <w:rsid w:val="00CA7F75"/>
    <w:rsid w:val="00CB0951"/>
    <w:rsid w:val="00CB2C8E"/>
    <w:rsid w:val="00CB306E"/>
    <w:rsid w:val="00CB57A4"/>
    <w:rsid w:val="00CB57C6"/>
    <w:rsid w:val="00CB5E5A"/>
    <w:rsid w:val="00CB635B"/>
    <w:rsid w:val="00CB6A61"/>
    <w:rsid w:val="00CB6B0F"/>
    <w:rsid w:val="00CB6F88"/>
    <w:rsid w:val="00CB789F"/>
    <w:rsid w:val="00CB7F20"/>
    <w:rsid w:val="00CC02D9"/>
    <w:rsid w:val="00CC1011"/>
    <w:rsid w:val="00CC1517"/>
    <w:rsid w:val="00CC19AE"/>
    <w:rsid w:val="00CC2347"/>
    <w:rsid w:val="00CC23C7"/>
    <w:rsid w:val="00CC3AD3"/>
    <w:rsid w:val="00CC4349"/>
    <w:rsid w:val="00CC4478"/>
    <w:rsid w:val="00CC4EDC"/>
    <w:rsid w:val="00CC50B7"/>
    <w:rsid w:val="00CC50D4"/>
    <w:rsid w:val="00CC57CD"/>
    <w:rsid w:val="00CC5802"/>
    <w:rsid w:val="00CC59AC"/>
    <w:rsid w:val="00CC59B2"/>
    <w:rsid w:val="00CC627A"/>
    <w:rsid w:val="00CC658A"/>
    <w:rsid w:val="00CC7B0D"/>
    <w:rsid w:val="00CD0E73"/>
    <w:rsid w:val="00CD15AF"/>
    <w:rsid w:val="00CD1C24"/>
    <w:rsid w:val="00CD2C40"/>
    <w:rsid w:val="00CD3F90"/>
    <w:rsid w:val="00CD43D1"/>
    <w:rsid w:val="00CD53CA"/>
    <w:rsid w:val="00CD558B"/>
    <w:rsid w:val="00CD5D3D"/>
    <w:rsid w:val="00CD5E6E"/>
    <w:rsid w:val="00CD6025"/>
    <w:rsid w:val="00CD615C"/>
    <w:rsid w:val="00CD64D7"/>
    <w:rsid w:val="00CD6602"/>
    <w:rsid w:val="00CE04CA"/>
    <w:rsid w:val="00CE04CF"/>
    <w:rsid w:val="00CE0C3B"/>
    <w:rsid w:val="00CE0F50"/>
    <w:rsid w:val="00CE13C4"/>
    <w:rsid w:val="00CE184F"/>
    <w:rsid w:val="00CE2BE1"/>
    <w:rsid w:val="00CE3CE6"/>
    <w:rsid w:val="00CE3EE9"/>
    <w:rsid w:val="00CE42CA"/>
    <w:rsid w:val="00CE4DE0"/>
    <w:rsid w:val="00CE5082"/>
    <w:rsid w:val="00CE609E"/>
    <w:rsid w:val="00CE6D25"/>
    <w:rsid w:val="00CE6D92"/>
    <w:rsid w:val="00CE702D"/>
    <w:rsid w:val="00CE77A2"/>
    <w:rsid w:val="00CF0649"/>
    <w:rsid w:val="00CF0E69"/>
    <w:rsid w:val="00CF1121"/>
    <w:rsid w:val="00CF1130"/>
    <w:rsid w:val="00CF13EF"/>
    <w:rsid w:val="00CF19B0"/>
    <w:rsid w:val="00CF1D2F"/>
    <w:rsid w:val="00CF258A"/>
    <w:rsid w:val="00CF2617"/>
    <w:rsid w:val="00CF2756"/>
    <w:rsid w:val="00CF2C35"/>
    <w:rsid w:val="00CF3494"/>
    <w:rsid w:val="00CF3639"/>
    <w:rsid w:val="00CF36B0"/>
    <w:rsid w:val="00CF4076"/>
    <w:rsid w:val="00CF424F"/>
    <w:rsid w:val="00CF4D33"/>
    <w:rsid w:val="00CF58CF"/>
    <w:rsid w:val="00CF5E17"/>
    <w:rsid w:val="00CF5E8D"/>
    <w:rsid w:val="00CF6358"/>
    <w:rsid w:val="00CF6D8B"/>
    <w:rsid w:val="00CF74B8"/>
    <w:rsid w:val="00CF771F"/>
    <w:rsid w:val="00D00769"/>
    <w:rsid w:val="00D00D24"/>
    <w:rsid w:val="00D01236"/>
    <w:rsid w:val="00D015D4"/>
    <w:rsid w:val="00D019B9"/>
    <w:rsid w:val="00D01EBC"/>
    <w:rsid w:val="00D01FEF"/>
    <w:rsid w:val="00D02241"/>
    <w:rsid w:val="00D02CC0"/>
    <w:rsid w:val="00D04073"/>
    <w:rsid w:val="00D041E8"/>
    <w:rsid w:val="00D042F3"/>
    <w:rsid w:val="00D04527"/>
    <w:rsid w:val="00D045D2"/>
    <w:rsid w:val="00D04871"/>
    <w:rsid w:val="00D0555B"/>
    <w:rsid w:val="00D058ED"/>
    <w:rsid w:val="00D0606E"/>
    <w:rsid w:val="00D06479"/>
    <w:rsid w:val="00D0654F"/>
    <w:rsid w:val="00D07569"/>
    <w:rsid w:val="00D077A8"/>
    <w:rsid w:val="00D07C27"/>
    <w:rsid w:val="00D10299"/>
    <w:rsid w:val="00D10786"/>
    <w:rsid w:val="00D10B42"/>
    <w:rsid w:val="00D10E0A"/>
    <w:rsid w:val="00D10EEF"/>
    <w:rsid w:val="00D1179F"/>
    <w:rsid w:val="00D11919"/>
    <w:rsid w:val="00D133D8"/>
    <w:rsid w:val="00D135C7"/>
    <w:rsid w:val="00D136A6"/>
    <w:rsid w:val="00D13929"/>
    <w:rsid w:val="00D13E26"/>
    <w:rsid w:val="00D1409A"/>
    <w:rsid w:val="00D141D1"/>
    <w:rsid w:val="00D14BEC"/>
    <w:rsid w:val="00D14F53"/>
    <w:rsid w:val="00D1541A"/>
    <w:rsid w:val="00D16712"/>
    <w:rsid w:val="00D16C76"/>
    <w:rsid w:val="00D16FD8"/>
    <w:rsid w:val="00D173AE"/>
    <w:rsid w:val="00D21169"/>
    <w:rsid w:val="00D21173"/>
    <w:rsid w:val="00D21392"/>
    <w:rsid w:val="00D21466"/>
    <w:rsid w:val="00D21479"/>
    <w:rsid w:val="00D21A28"/>
    <w:rsid w:val="00D22228"/>
    <w:rsid w:val="00D225AB"/>
    <w:rsid w:val="00D23665"/>
    <w:rsid w:val="00D23797"/>
    <w:rsid w:val="00D24190"/>
    <w:rsid w:val="00D26887"/>
    <w:rsid w:val="00D26957"/>
    <w:rsid w:val="00D26AB9"/>
    <w:rsid w:val="00D2712D"/>
    <w:rsid w:val="00D2770D"/>
    <w:rsid w:val="00D3067F"/>
    <w:rsid w:val="00D306DB"/>
    <w:rsid w:val="00D3074B"/>
    <w:rsid w:val="00D31333"/>
    <w:rsid w:val="00D31575"/>
    <w:rsid w:val="00D31DEB"/>
    <w:rsid w:val="00D31E86"/>
    <w:rsid w:val="00D32398"/>
    <w:rsid w:val="00D32B5F"/>
    <w:rsid w:val="00D3305E"/>
    <w:rsid w:val="00D33C60"/>
    <w:rsid w:val="00D3403E"/>
    <w:rsid w:val="00D347AB"/>
    <w:rsid w:val="00D34EC6"/>
    <w:rsid w:val="00D35016"/>
    <w:rsid w:val="00D3505D"/>
    <w:rsid w:val="00D35659"/>
    <w:rsid w:val="00D35900"/>
    <w:rsid w:val="00D35D6B"/>
    <w:rsid w:val="00D364E2"/>
    <w:rsid w:val="00D36FED"/>
    <w:rsid w:val="00D374B0"/>
    <w:rsid w:val="00D402D6"/>
    <w:rsid w:val="00D404B4"/>
    <w:rsid w:val="00D40AF3"/>
    <w:rsid w:val="00D41DF9"/>
    <w:rsid w:val="00D4279E"/>
    <w:rsid w:val="00D432BB"/>
    <w:rsid w:val="00D433A7"/>
    <w:rsid w:val="00D43ABA"/>
    <w:rsid w:val="00D43C42"/>
    <w:rsid w:val="00D44525"/>
    <w:rsid w:val="00D45172"/>
    <w:rsid w:val="00D4534E"/>
    <w:rsid w:val="00D468B1"/>
    <w:rsid w:val="00D469EA"/>
    <w:rsid w:val="00D46B1B"/>
    <w:rsid w:val="00D46EBD"/>
    <w:rsid w:val="00D473BF"/>
    <w:rsid w:val="00D477B9"/>
    <w:rsid w:val="00D4797D"/>
    <w:rsid w:val="00D5000C"/>
    <w:rsid w:val="00D50039"/>
    <w:rsid w:val="00D51548"/>
    <w:rsid w:val="00D51568"/>
    <w:rsid w:val="00D51C72"/>
    <w:rsid w:val="00D52ABA"/>
    <w:rsid w:val="00D5326E"/>
    <w:rsid w:val="00D53BA5"/>
    <w:rsid w:val="00D54307"/>
    <w:rsid w:val="00D5496A"/>
    <w:rsid w:val="00D55975"/>
    <w:rsid w:val="00D55AAC"/>
    <w:rsid w:val="00D563DE"/>
    <w:rsid w:val="00D574BF"/>
    <w:rsid w:val="00D57A6E"/>
    <w:rsid w:val="00D57AFC"/>
    <w:rsid w:val="00D57B5A"/>
    <w:rsid w:val="00D60148"/>
    <w:rsid w:val="00D60467"/>
    <w:rsid w:val="00D60A10"/>
    <w:rsid w:val="00D61382"/>
    <w:rsid w:val="00D61BCF"/>
    <w:rsid w:val="00D620E7"/>
    <w:rsid w:val="00D6215B"/>
    <w:rsid w:val="00D62197"/>
    <w:rsid w:val="00D629EF"/>
    <w:rsid w:val="00D6304B"/>
    <w:rsid w:val="00D64195"/>
    <w:rsid w:val="00D64AAC"/>
    <w:rsid w:val="00D64BC8"/>
    <w:rsid w:val="00D65402"/>
    <w:rsid w:val="00D65640"/>
    <w:rsid w:val="00D6574C"/>
    <w:rsid w:val="00D65BDA"/>
    <w:rsid w:val="00D66373"/>
    <w:rsid w:val="00D66770"/>
    <w:rsid w:val="00D673CB"/>
    <w:rsid w:val="00D67762"/>
    <w:rsid w:val="00D67949"/>
    <w:rsid w:val="00D67F80"/>
    <w:rsid w:val="00D67FFC"/>
    <w:rsid w:val="00D7029E"/>
    <w:rsid w:val="00D707CE"/>
    <w:rsid w:val="00D7093C"/>
    <w:rsid w:val="00D70AB6"/>
    <w:rsid w:val="00D72940"/>
    <w:rsid w:val="00D72FFE"/>
    <w:rsid w:val="00D7338E"/>
    <w:rsid w:val="00D736BE"/>
    <w:rsid w:val="00D739EB"/>
    <w:rsid w:val="00D73E15"/>
    <w:rsid w:val="00D7400C"/>
    <w:rsid w:val="00D743D5"/>
    <w:rsid w:val="00D7512F"/>
    <w:rsid w:val="00D75F4F"/>
    <w:rsid w:val="00D76CD5"/>
    <w:rsid w:val="00D76E54"/>
    <w:rsid w:val="00D77140"/>
    <w:rsid w:val="00D801DC"/>
    <w:rsid w:val="00D809E2"/>
    <w:rsid w:val="00D8150A"/>
    <w:rsid w:val="00D81898"/>
    <w:rsid w:val="00D81D1E"/>
    <w:rsid w:val="00D83390"/>
    <w:rsid w:val="00D84D96"/>
    <w:rsid w:val="00D8510B"/>
    <w:rsid w:val="00D852BD"/>
    <w:rsid w:val="00D85441"/>
    <w:rsid w:val="00D85BEA"/>
    <w:rsid w:val="00D8683F"/>
    <w:rsid w:val="00D871AD"/>
    <w:rsid w:val="00D87656"/>
    <w:rsid w:val="00D877A0"/>
    <w:rsid w:val="00D9015D"/>
    <w:rsid w:val="00D90423"/>
    <w:rsid w:val="00D9091A"/>
    <w:rsid w:val="00D91443"/>
    <w:rsid w:val="00D917E3"/>
    <w:rsid w:val="00D91B65"/>
    <w:rsid w:val="00D92134"/>
    <w:rsid w:val="00D930AA"/>
    <w:rsid w:val="00D93F93"/>
    <w:rsid w:val="00D94526"/>
    <w:rsid w:val="00D94CFE"/>
    <w:rsid w:val="00D94E93"/>
    <w:rsid w:val="00D95565"/>
    <w:rsid w:val="00D960A5"/>
    <w:rsid w:val="00D96C7D"/>
    <w:rsid w:val="00D97DAF"/>
    <w:rsid w:val="00DA044C"/>
    <w:rsid w:val="00DA0860"/>
    <w:rsid w:val="00DA15EB"/>
    <w:rsid w:val="00DA1980"/>
    <w:rsid w:val="00DA212A"/>
    <w:rsid w:val="00DA37C8"/>
    <w:rsid w:val="00DA3979"/>
    <w:rsid w:val="00DA43C6"/>
    <w:rsid w:val="00DA499E"/>
    <w:rsid w:val="00DA507F"/>
    <w:rsid w:val="00DA5F3B"/>
    <w:rsid w:val="00DA6966"/>
    <w:rsid w:val="00DA6C35"/>
    <w:rsid w:val="00DA6D9E"/>
    <w:rsid w:val="00DA70ED"/>
    <w:rsid w:val="00DB02D1"/>
    <w:rsid w:val="00DB04C0"/>
    <w:rsid w:val="00DB100B"/>
    <w:rsid w:val="00DB213A"/>
    <w:rsid w:val="00DB2C9B"/>
    <w:rsid w:val="00DB32CC"/>
    <w:rsid w:val="00DB337D"/>
    <w:rsid w:val="00DB3DB1"/>
    <w:rsid w:val="00DB41F9"/>
    <w:rsid w:val="00DB4F78"/>
    <w:rsid w:val="00DB554B"/>
    <w:rsid w:val="00DB5F54"/>
    <w:rsid w:val="00DB60E5"/>
    <w:rsid w:val="00DB76EC"/>
    <w:rsid w:val="00DB7CE6"/>
    <w:rsid w:val="00DC0248"/>
    <w:rsid w:val="00DC03EE"/>
    <w:rsid w:val="00DC05DC"/>
    <w:rsid w:val="00DC05E5"/>
    <w:rsid w:val="00DC1FF2"/>
    <w:rsid w:val="00DC2ACB"/>
    <w:rsid w:val="00DC2B5A"/>
    <w:rsid w:val="00DC301F"/>
    <w:rsid w:val="00DC3430"/>
    <w:rsid w:val="00DC4CBC"/>
    <w:rsid w:val="00DC53CC"/>
    <w:rsid w:val="00DC54B2"/>
    <w:rsid w:val="00DC5CEF"/>
    <w:rsid w:val="00DC722A"/>
    <w:rsid w:val="00DC7773"/>
    <w:rsid w:val="00DD0B60"/>
    <w:rsid w:val="00DD0EDD"/>
    <w:rsid w:val="00DD1858"/>
    <w:rsid w:val="00DD2448"/>
    <w:rsid w:val="00DD27FD"/>
    <w:rsid w:val="00DD30B9"/>
    <w:rsid w:val="00DD39DA"/>
    <w:rsid w:val="00DD3E41"/>
    <w:rsid w:val="00DD4132"/>
    <w:rsid w:val="00DD41DC"/>
    <w:rsid w:val="00DD5030"/>
    <w:rsid w:val="00DD544F"/>
    <w:rsid w:val="00DD5B28"/>
    <w:rsid w:val="00DD60F8"/>
    <w:rsid w:val="00DD6961"/>
    <w:rsid w:val="00DD73B6"/>
    <w:rsid w:val="00DD73D9"/>
    <w:rsid w:val="00DE04F6"/>
    <w:rsid w:val="00DE07BE"/>
    <w:rsid w:val="00DE11AF"/>
    <w:rsid w:val="00DE1400"/>
    <w:rsid w:val="00DE1480"/>
    <w:rsid w:val="00DE1B9F"/>
    <w:rsid w:val="00DE24C5"/>
    <w:rsid w:val="00DE2A11"/>
    <w:rsid w:val="00DE3920"/>
    <w:rsid w:val="00DE3B68"/>
    <w:rsid w:val="00DE3CE0"/>
    <w:rsid w:val="00DE3F52"/>
    <w:rsid w:val="00DE47A7"/>
    <w:rsid w:val="00DE4AD6"/>
    <w:rsid w:val="00DE5E52"/>
    <w:rsid w:val="00DE7566"/>
    <w:rsid w:val="00DF0601"/>
    <w:rsid w:val="00DF076C"/>
    <w:rsid w:val="00DF12E5"/>
    <w:rsid w:val="00DF165E"/>
    <w:rsid w:val="00DF1DE3"/>
    <w:rsid w:val="00DF256F"/>
    <w:rsid w:val="00DF2A9B"/>
    <w:rsid w:val="00DF2DAC"/>
    <w:rsid w:val="00DF317A"/>
    <w:rsid w:val="00DF33AC"/>
    <w:rsid w:val="00DF442F"/>
    <w:rsid w:val="00DF494C"/>
    <w:rsid w:val="00DF49CE"/>
    <w:rsid w:val="00DF50ED"/>
    <w:rsid w:val="00DF5929"/>
    <w:rsid w:val="00DF624A"/>
    <w:rsid w:val="00DF6DE8"/>
    <w:rsid w:val="00DF70A1"/>
    <w:rsid w:val="00DF70BC"/>
    <w:rsid w:val="00DF7393"/>
    <w:rsid w:val="00DF7642"/>
    <w:rsid w:val="00DF7C11"/>
    <w:rsid w:val="00E000EE"/>
    <w:rsid w:val="00E011E7"/>
    <w:rsid w:val="00E01208"/>
    <w:rsid w:val="00E01B7D"/>
    <w:rsid w:val="00E02778"/>
    <w:rsid w:val="00E030A1"/>
    <w:rsid w:val="00E039F2"/>
    <w:rsid w:val="00E03F04"/>
    <w:rsid w:val="00E0484C"/>
    <w:rsid w:val="00E055F5"/>
    <w:rsid w:val="00E05DA9"/>
    <w:rsid w:val="00E06D65"/>
    <w:rsid w:val="00E0706A"/>
    <w:rsid w:val="00E0764B"/>
    <w:rsid w:val="00E0765D"/>
    <w:rsid w:val="00E07A62"/>
    <w:rsid w:val="00E07F7B"/>
    <w:rsid w:val="00E1039C"/>
    <w:rsid w:val="00E109CE"/>
    <w:rsid w:val="00E10C31"/>
    <w:rsid w:val="00E10E3F"/>
    <w:rsid w:val="00E10E77"/>
    <w:rsid w:val="00E11795"/>
    <w:rsid w:val="00E11A12"/>
    <w:rsid w:val="00E12878"/>
    <w:rsid w:val="00E12D72"/>
    <w:rsid w:val="00E1392F"/>
    <w:rsid w:val="00E13DBE"/>
    <w:rsid w:val="00E13E2D"/>
    <w:rsid w:val="00E13EB7"/>
    <w:rsid w:val="00E14541"/>
    <w:rsid w:val="00E15AA7"/>
    <w:rsid w:val="00E15BD8"/>
    <w:rsid w:val="00E163FA"/>
    <w:rsid w:val="00E164FC"/>
    <w:rsid w:val="00E16C9A"/>
    <w:rsid w:val="00E20073"/>
    <w:rsid w:val="00E200B5"/>
    <w:rsid w:val="00E214DB"/>
    <w:rsid w:val="00E21BF7"/>
    <w:rsid w:val="00E21EE9"/>
    <w:rsid w:val="00E21FC2"/>
    <w:rsid w:val="00E22457"/>
    <w:rsid w:val="00E22483"/>
    <w:rsid w:val="00E2298F"/>
    <w:rsid w:val="00E235CE"/>
    <w:rsid w:val="00E23AD4"/>
    <w:rsid w:val="00E23D08"/>
    <w:rsid w:val="00E24816"/>
    <w:rsid w:val="00E248E9"/>
    <w:rsid w:val="00E24CB8"/>
    <w:rsid w:val="00E251A4"/>
    <w:rsid w:val="00E251B9"/>
    <w:rsid w:val="00E25375"/>
    <w:rsid w:val="00E257C1"/>
    <w:rsid w:val="00E26282"/>
    <w:rsid w:val="00E27CC0"/>
    <w:rsid w:val="00E30008"/>
    <w:rsid w:val="00E30413"/>
    <w:rsid w:val="00E307A3"/>
    <w:rsid w:val="00E308D6"/>
    <w:rsid w:val="00E310C4"/>
    <w:rsid w:val="00E31BE6"/>
    <w:rsid w:val="00E31F2E"/>
    <w:rsid w:val="00E32CFE"/>
    <w:rsid w:val="00E3343E"/>
    <w:rsid w:val="00E33728"/>
    <w:rsid w:val="00E341D4"/>
    <w:rsid w:val="00E3445A"/>
    <w:rsid w:val="00E34A94"/>
    <w:rsid w:val="00E35326"/>
    <w:rsid w:val="00E35F3A"/>
    <w:rsid w:val="00E36B28"/>
    <w:rsid w:val="00E36C1D"/>
    <w:rsid w:val="00E37093"/>
    <w:rsid w:val="00E37A75"/>
    <w:rsid w:val="00E37EB8"/>
    <w:rsid w:val="00E4037D"/>
    <w:rsid w:val="00E403A4"/>
    <w:rsid w:val="00E407D6"/>
    <w:rsid w:val="00E40D47"/>
    <w:rsid w:val="00E418D4"/>
    <w:rsid w:val="00E41F0A"/>
    <w:rsid w:val="00E42CD3"/>
    <w:rsid w:val="00E4417E"/>
    <w:rsid w:val="00E451DC"/>
    <w:rsid w:val="00E45566"/>
    <w:rsid w:val="00E460F8"/>
    <w:rsid w:val="00E46278"/>
    <w:rsid w:val="00E46361"/>
    <w:rsid w:val="00E46B28"/>
    <w:rsid w:val="00E4796F"/>
    <w:rsid w:val="00E51158"/>
    <w:rsid w:val="00E5198E"/>
    <w:rsid w:val="00E52491"/>
    <w:rsid w:val="00E52524"/>
    <w:rsid w:val="00E53738"/>
    <w:rsid w:val="00E54CBE"/>
    <w:rsid w:val="00E55005"/>
    <w:rsid w:val="00E560AA"/>
    <w:rsid w:val="00E562B2"/>
    <w:rsid w:val="00E566D3"/>
    <w:rsid w:val="00E5771C"/>
    <w:rsid w:val="00E6055C"/>
    <w:rsid w:val="00E60804"/>
    <w:rsid w:val="00E60D42"/>
    <w:rsid w:val="00E613D1"/>
    <w:rsid w:val="00E61457"/>
    <w:rsid w:val="00E61485"/>
    <w:rsid w:val="00E62C11"/>
    <w:rsid w:val="00E62D74"/>
    <w:rsid w:val="00E62D75"/>
    <w:rsid w:val="00E63B08"/>
    <w:rsid w:val="00E6542C"/>
    <w:rsid w:val="00E65616"/>
    <w:rsid w:val="00E6580E"/>
    <w:rsid w:val="00E669C6"/>
    <w:rsid w:val="00E66D39"/>
    <w:rsid w:val="00E66FAB"/>
    <w:rsid w:val="00E670DD"/>
    <w:rsid w:val="00E67FF5"/>
    <w:rsid w:val="00E70977"/>
    <w:rsid w:val="00E70F68"/>
    <w:rsid w:val="00E72B22"/>
    <w:rsid w:val="00E72C90"/>
    <w:rsid w:val="00E74177"/>
    <w:rsid w:val="00E74348"/>
    <w:rsid w:val="00E75049"/>
    <w:rsid w:val="00E764EA"/>
    <w:rsid w:val="00E769B7"/>
    <w:rsid w:val="00E77238"/>
    <w:rsid w:val="00E772C8"/>
    <w:rsid w:val="00E7732D"/>
    <w:rsid w:val="00E775B7"/>
    <w:rsid w:val="00E801F2"/>
    <w:rsid w:val="00E816B2"/>
    <w:rsid w:val="00E81D5E"/>
    <w:rsid w:val="00E82022"/>
    <w:rsid w:val="00E82858"/>
    <w:rsid w:val="00E82B62"/>
    <w:rsid w:val="00E832D4"/>
    <w:rsid w:val="00E83911"/>
    <w:rsid w:val="00E83948"/>
    <w:rsid w:val="00E83D3D"/>
    <w:rsid w:val="00E842B0"/>
    <w:rsid w:val="00E84713"/>
    <w:rsid w:val="00E85660"/>
    <w:rsid w:val="00E859A9"/>
    <w:rsid w:val="00E85C02"/>
    <w:rsid w:val="00E85C5A"/>
    <w:rsid w:val="00E85C6E"/>
    <w:rsid w:val="00E85FDB"/>
    <w:rsid w:val="00E86296"/>
    <w:rsid w:val="00E863A8"/>
    <w:rsid w:val="00E86C7D"/>
    <w:rsid w:val="00E87EEB"/>
    <w:rsid w:val="00E90726"/>
    <w:rsid w:val="00E9111C"/>
    <w:rsid w:val="00E91292"/>
    <w:rsid w:val="00E91379"/>
    <w:rsid w:val="00E91D23"/>
    <w:rsid w:val="00E927E8"/>
    <w:rsid w:val="00E92A44"/>
    <w:rsid w:val="00E92A57"/>
    <w:rsid w:val="00E92B6B"/>
    <w:rsid w:val="00E939FD"/>
    <w:rsid w:val="00E93BE4"/>
    <w:rsid w:val="00E93E15"/>
    <w:rsid w:val="00E94269"/>
    <w:rsid w:val="00E9490E"/>
    <w:rsid w:val="00E94C23"/>
    <w:rsid w:val="00E94DDC"/>
    <w:rsid w:val="00E95576"/>
    <w:rsid w:val="00E9669F"/>
    <w:rsid w:val="00E96B2E"/>
    <w:rsid w:val="00E96DFA"/>
    <w:rsid w:val="00E9767D"/>
    <w:rsid w:val="00E97774"/>
    <w:rsid w:val="00E97AAB"/>
    <w:rsid w:val="00E97DCA"/>
    <w:rsid w:val="00E97DF0"/>
    <w:rsid w:val="00EA1DDA"/>
    <w:rsid w:val="00EA30AA"/>
    <w:rsid w:val="00EA3C07"/>
    <w:rsid w:val="00EA3D80"/>
    <w:rsid w:val="00EA5313"/>
    <w:rsid w:val="00EA5696"/>
    <w:rsid w:val="00EA65E5"/>
    <w:rsid w:val="00EA7037"/>
    <w:rsid w:val="00EA71FF"/>
    <w:rsid w:val="00EA7549"/>
    <w:rsid w:val="00EA7849"/>
    <w:rsid w:val="00EB012C"/>
    <w:rsid w:val="00EB0B82"/>
    <w:rsid w:val="00EB1C74"/>
    <w:rsid w:val="00EB2A17"/>
    <w:rsid w:val="00EB2AEA"/>
    <w:rsid w:val="00EB2FFC"/>
    <w:rsid w:val="00EB3050"/>
    <w:rsid w:val="00EB32E9"/>
    <w:rsid w:val="00EB337B"/>
    <w:rsid w:val="00EB33A1"/>
    <w:rsid w:val="00EB3512"/>
    <w:rsid w:val="00EB36E7"/>
    <w:rsid w:val="00EB5628"/>
    <w:rsid w:val="00EB6C4D"/>
    <w:rsid w:val="00EB6C9B"/>
    <w:rsid w:val="00EB77D9"/>
    <w:rsid w:val="00EC0ADD"/>
    <w:rsid w:val="00EC12B4"/>
    <w:rsid w:val="00EC1478"/>
    <w:rsid w:val="00EC149F"/>
    <w:rsid w:val="00EC1570"/>
    <w:rsid w:val="00EC19BD"/>
    <w:rsid w:val="00EC28B5"/>
    <w:rsid w:val="00EC2AFC"/>
    <w:rsid w:val="00EC37D5"/>
    <w:rsid w:val="00EC40A6"/>
    <w:rsid w:val="00EC46DB"/>
    <w:rsid w:val="00EC4E55"/>
    <w:rsid w:val="00EC584F"/>
    <w:rsid w:val="00EC624E"/>
    <w:rsid w:val="00EC62CF"/>
    <w:rsid w:val="00EC6326"/>
    <w:rsid w:val="00EC683E"/>
    <w:rsid w:val="00EC6982"/>
    <w:rsid w:val="00EC6D8F"/>
    <w:rsid w:val="00EC6F42"/>
    <w:rsid w:val="00EC720B"/>
    <w:rsid w:val="00EC7E72"/>
    <w:rsid w:val="00EC7E95"/>
    <w:rsid w:val="00ED01B4"/>
    <w:rsid w:val="00ED0377"/>
    <w:rsid w:val="00ED1F49"/>
    <w:rsid w:val="00ED221A"/>
    <w:rsid w:val="00ED3105"/>
    <w:rsid w:val="00ED3644"/>
    <w:rsid w:val="00ED37FB"/>
    <w:rsid w:val="00ED3DBD"/>
    <w:rsid w:val="00ED4085"/>
    <w:rsid w:val="00ED4468"/>
    <w:rsid w:val="00ED47B2"/>
    <w:rsid w:val="00ED4C87"/>
    <w:rsid w:val="00ED4E74"/>
    <w:rsid w:val="00ED4ECD"/>
    <w:rsid w:val="00ED5051"/>
    <w:rsid w:val="00ED5956"/>
    <w:rsid w:val="00ED59C6"/>
    <w:rsid w:val="00ED5E6B"/>
    <w:rsid w:val="00ED6F8F"/>
    <w:rsid w:val="00ED7C40"/>
    <w:rsid w:val="00EE0050"/>
    <w:rsid w:val="00EE0191"/>
    <w:rsid w:val="00EE0F00"/>
    <w:rsid w:val="00EE11CC"/>
    <w:rsid w:val="00EE14EA"/>
    <w:rsid w:val="00EE16F0"/>
    <w:rsid w:val="00EE4F61"/>
    <w:rsid w:val="00EE539E"/>
    <w:rsid w:val="00EE5763"/>
    <w:rsid w:val="00EE5847"/>
    <w:rsid w:val="00EE5FCE"/>
    <w:rsid w:val="00EE6208"/>
    <w:rsid w:val="00EE6C0E"/>
    <w:rsid w:val="00EE75ED"/>
    <w:rsid w:val="00EF0578"/>
    <w:rsid w:val="00EF089C"/>
    <w:rsid w:val="00EF0EEB"/>
    <w:rsid w:val="00EF1397"/>
    <w:rsid w:val="00EF190C"/>
    <w:rsid w:val="00EF208C"/>
    <w:rsid w:val="00EF28F4"/>
    <w:rsid w:val="00EF2D83"/>
    <w:rsid w:val="00EF34CB"/>
    <w:rsid w:val="00EF3FD5"/>
    <w:rsid w:val="00EF52F5"/>
    <w:rsid w:val="00EF6495"/>
    <w:rsid w:val="00EF6E01"/>
    <w:rsid w:val="00EF7AC1"/>
    <w:rsid w:val="00EF7C44"/>
    <w:rsid w:val="00F00266"/>
    <w:rsid w:val="00F0095E"/>
    <w:rsid w:val="00F02802"/>
    <w:rsid w:val="00F030E8"/>
    <w:rsid w:val="00F032D0"/>
    <w:rsid w:val="00F03D36"/>
    <w:rsid w:val="00F047DA"/>
    <w:rsid w:val="00F047F9"/>
    <w:rsid w:val="00F05075"/>
    <w:rsid w:val="00F0523E"/>
    <w:rsid w:val="00F0668E"/>
    <w:rsid w:val="00F066A6"/>
    <w:rsid w:val="00F06739"/>
    <w:rsid w:val="00F06B5C"/>
    <w:rsid w:val="00F07263"/>
    <w:rsid w:val="00F07316"/>
    <w:rsid w:val="00F07B05"/>
    <w:rsid w:val="00F07B76"/>
    <w:rsid w:val="00F07CEE"/>
    <w:rsid w:val="00F1048F"/>
    <w:rsid w:val="00F10A72"/>
    <w:rsid w:val="00F12B48"/>
    <w:rsid w:val="00F13A44"/>
    <w:rsid w:val="00F13A6A"/>
    <w:rsid w:val="00F14A52"/>
    <w:rsid w:val="00F1522E"/>
    <w:rsid w:val="00F1538A"/>
    <w:rsid w:val="00F15467"/>
    <w:rsid w:val="00F159C9"/>
    <w:rsid w:val="00F1631B"/>
    <w:rsid w:val="00F1640E"/>
    <w:rsid w:val="00F16E91"/>
    <w:rsid w:val="00F17966"/>
    <w:rsid w:val="00F179CF"/>
    <w:rsid w:val="00F17F47"/>
    <w:rsid w:val="00F20124"/>
    <w:rsid w:val="00F202F7"/>
    <w:rsid w:val="00F20536"/>
    <w:rsid w:val="00F215E1"/>
    <w:rsid w:val="00F21CAF"/>
    <w:rsid w:val="00F22359"/>
    <w:rsid w:val="00F225DC"/>
    <w:rsid w:val="00F23083"/>
    <w:rsid w:val="00F2337C"/>
    <w:rsid w:val="00F23398"/>
    <w:rsid w:val="00F23FA6"/>
    <w:rsid w:val="00F243A7"/>
    <w:rsid w:val="00F2516F"/>
    <w:rsid w:val="00F25F20"/>
    <w:rsid w:val="00F2670B"/>
    <w:rsid w:val="00F26FAA"/>
    <w:rsid w:val="00F2761B"/>
    <w:rsid w:val="00F27E62"/>
    <w:rsid w:val="00F31611"/>
    <w:rsid w:val="00F3180B"/>
    <w:rsid w:val="00F31A8B"/>
    <w:rsid w:val="00F31D16"/>
    <w:rsid w:val="00F3251A"/>
    <w:rsid w:val="00F32F60"/>
    <w:rsid w:val="00F33822"/>
    <w:rsid w:val="00F33B7A"/>
    <w:rsid w:val="00F3457A"/>
    <w:rsid w:val="00F35460"/>
    <w:rsid w:val="00F357D5"/>
    <w:rsid w:val="00F3592F"/>
    <w:rsid w:val="00F35951"/>
    <w:rsid w:val="00F365E2"/>
    <w:rsid w:val="00F366D6"/>
    <w:rsid w:val="00F36BDF"/>
    <w:rsid w:val="00F40096"/>
    <w:rsid w:val="00F403B5"/>
    <w:rsid w:val="00F408A7"/>
    <w:rsid w:val="00F40D5B"/>
    <w:rsid w:val="00F410B1"/>
    <w:rsid w:val="00F43B76"/>
    <w:rsid w:val="00F4408E"/>
    <w:rsid w:val="00F44474"/>
    <w:rsid w:val="00F446EE"/>
    <w:rsid w:val="00F45FC1"/>
    <w:rsid w:val="00F461C5"/>
    <w:rsid w:val="00F46664"/>
    <w:rsid w:val="00F46714"/>
    <w:rsid w:val="00F46902"/>
    <w:rsid w:val="00F46BA5"/>
    <w:rsid w:val="00F46C7B"/>
    <w:rsid w:val="00F47EEB"/>
    <w:rsid w:val="00F50BD9"/>
    <w:rsid w:val="00F50CA3"/>
    <w:rsid w:val="00F50DC7"/>
    <w:rsid w:val="00F516CA"/>
    <w:rsid w:val="00F52215"/>
    <w:rsid w:val="00F5240A"/>
    <w:rsid w:val="00F52A38"/>
    <w:rsid w:val="00F536F8"/>
    <w:rsid w:val="00F5429B"/>
    <w:rsid w:val="00F543F5"/>
    <w:rsid w:val="00F5490B"/>
    <w:rsid w:val="00F55009"/>
    <w:rsid w:val="00F550E9"/>
    <w:rsid w:val="00F554E9"/>
    <w:rsid w:val="00F55A34"/>
    <w:rsid w:val="00F55E2F"/>
    <w:rsid w:val="00F56E2D"/>
    <w:rsid w:val="00F57059"/>
    <w:rsid w:val="00F573DC"/>
    <w:rsid w:val="00F60DF0"/>
    <w:rsid w:val="00F6158C"/>
    <w:rsid w:val="00F62B2B"/>
    <w:rsid w:val="00F63074"/>
    <w:rsid w:val="00F63A82"/>
    <w:rsid w:val="00F65969"/>
    <w:rsid w:val="00F65E68"/>
    <w:rsid w:val="00F65F49"/>
    <w:rsid w:val="00F66222"/>
    <w:rsid w:val="00F67A51"/>
    <w:rsid w:val="00F70243"/>
    <w:rsid w:val="00F70CEB"/>
    <w:rsid w:val="00F719D9"/>
    <w:rsid w:val="00F71A68"/>
    <w:rsid w:val="00F72AE6"/>
    <w:rsid w:val="00F72C25"/>
    <w:rsid w:val="00F72F87"/>
    <w:rsid w:val="00F7317B"/>
    <w:rsid w:val="00F7375E"/>
    <w:rsid w:val="00F74553"/>
    <w:rsid w:val="00F745E0"/>
    <w:rsid w:val="00F74837"/>
    <w:rsid w:val="00F7655D"/>
    <w:rsid w:val="00F7787B"/>
    <w:rsid w:val="00F77970"/>
    <w:rsid w:val="00F77BC7"/>
    <w:rsid w:val="00F77C94"/>
    <w:rsid w:val="00F803D8"/>
    <w:rsid w:val="00F808DB"/>
    <w:rsid w:val="00F80F52"/>
    <w:rsid w:val="00F8108E"/>
    <w:rsid w:val="00F81636"/>
    <w:rsid w:val="00F816C1"/>
    <w:rsid w:val="00F81829"/>
    <w:rsid w:val="00F81AD5"/>
    <w:rsid w:val="00F81BD3"/>
    <w:rsid w:val="00F8207B"/>
    <w:rsid w:val="00F828BC"/>
    <w:rsid w:val="00F82DCD"/>
    <w:rsid w:val="00F82E22"/>
    <w:rsid w:val="00F831DD"/>
    <w:rsid w:val="00F83595"/>
    <w:rsid w:val="00F835EB"/>
    <w:rsid w:val="00F837F5"/>
    <w:rsid w:val="00F8406B"/>
    <w:rsid w:val="00F84119"/>
    <w:rsid w:val="00F8472A"/>
    <w:rsid w:val="00F84AA3"/>
    <w:rsid w:val="00F86030"/>
    <w:rsid w:val="00F864E9"/>
    <w:rsid w:val="00F86609"/>
    <w:rsid w:val="00F8664B"/>
    <w:rsid w:val="00F867B0"/>
    <w:rsid w:val="00F86976"/>
    <w:rsid w:val="00F86EBC"/>
    <w:rsid w:val="00F870FF"/>
    <w:rsid w:val="00F87F93"/>
    <w:rsid w:val="00F90C50"/>
    <w:rsid w:val="00F91AC0"/>
    <w:rsid w:val="00F91CDD"/>
    <w:rsid w:val="00F93249"/>
    <w:rsid w:val="00F9359C"/>
    <w:rsid w:val="00F951AA"/>
    <w:rsid w:val="00F956C4"/>
    <w:rsid w:val="00F963CB"/>
    <w:rsid w:val="00F971A4"/>
    <w:rsid w:val="00F97E8B"/>
    <w:rsid w:val="00FA0855"/>
    <w:rsid w:val="00FA0ABE"/>
    <w:rsid w:val="00FA0D53"/>
    <w:rsid w:val="00FA1AD8"/>
    <w:rsid w:val="00FA1C7A"/>
    <w:rsid w:val="00FA1CCF"/>
    <w:rsid w:val="00FA28E7"/>
    <w:rsid w:val="00FA29FE"/>
    <w:rsid w:val="00FA41A3"/>
    <w:rsid w:val="00FA6245"/>
    <w:rsid w:val="00FA6514"/>
    <w:rsid w:val="00FA6E0B"/>
    <w:rsid w:val="00FA7268"/>
    <w:rsid w:val="00FA78B3"/>
    <w:rsid w:val="00FB0086"/>
    <w:rsid w:val="00FB0301"/>
    <w:rsid w:val="00FB0BE8"/>
    <w:rsid w:val="00FB0D5A"/>
    <w:rsid w:val="00FB1A4D"/>
    <w:rsid w:val="00FB2393"/>
    <w:rsid w:val="00FB3040"/>
    <w:rsid w:val="00FB36AC"/>
    <w:rsid w:val="00FB3C03"/>
    <w:rsid w:val="00FB3E68"/>
    <w:rsid w:val="00FB45C6"/>
    <w:rsid w:val="00FB4E92"/>
    <w:rsid w:val="00FB4F92"/>
    <w:rsid w:val="00FB4FBD"/>
    <w:rsid w:val="00FB52A3"/>
    <w:rsid w:val="00FB538A"/>
    <w:rsid w:val="00FB5D74"/>
    <w:rsid w:val="00FB6D83"/>
    <w:rsid w:val="00FB6DA6"/>
    <w:rsid w:val="00FB6E3C"/>
    <w:rsid w:val="00FB7E16"/>
    <w:rsid w:val="00FB7E6C"/>
    <w:rsid w:val="00FB7F4D"/>
    <w:rsid w:val="00FC01DC"/>
    <w:rsid w:val="00FC0BEE"/>
    <w:rsid w:val="00FC1420"/>
    <w:rsid w:val="00FC1E34"/>
    <w:rsid w:val="00FC2B1C"/>
    <w:rsid w:val="00FC42E8"/>
    <w:rsid w:val="00FC4A6B"/>
    <w:rsid w:val="00FC4B25"/>
    <w:rsid w:val="00FC582F"/>
    <w:rsid w:val="00FC5B18"/>
    <w:rsid w:val="00FC5C33"/>
    <w:rsid w:val="00FC5C80"/>
    <w:rsid w:val="00FC5DC1"/>
    <w:rsid w:val="00FC5DE4"/>
    <w:rsid w:val="00FC61D9"/>
    <w:rsid w:val="00FC633F"/>
    <w:rsid w:val="00FC689C"/>
    <w:rsid w:val="00FC7254"/>
    <w:rsid w:val="00FC7A98"/>
    <w:rsid w:val="00FC7C42"/>
    <w:rsid w:val="00FD0593"/>
    <w:rsid w:val="00FD0839"/>
    <w:rsid w:val="00FD0845"/>
    <w:rsid w:val="00FD13BF"/>
    <w:rsid w:val="00FD16B9"/>
    <w:rsid w:val="00FD189B"/>
    <w:rsid w:val="00FD18B5"/>
    <w:rsid w:val="00FD1A4E"/>
    <w:rsid w:val="00FD1CE9"/>
    <w:rsid w:val="00FD20BD"/>
    <w:rsid w:val="00FD2CD8"/>
    <w:rsid w:val="00FD3B78"/>
    <w:rsid w:val="00FD414C"/>
    <w:rsid w:val="00FD42FB"/>
    <w:rsid w:val="00FD4D86"/>
    <w:rsid w:val="00FD4FD4"/>
    <w:rsid w:val="00FD503D"/>
    <w:rsid w:val="00FD602F"/>
    <w:rsid w:val="00FD7B72"/>
    <w:rsid w:val="00FE03A0"/>
    <w:rsid w:val="00FE060F"/>
    <w:rsid w:val="00FE1605"/>
    <w:rsid w:val="00FE19A8"/>
    <w:rsid w:val="00FE2438"/>
    <w:rsid w:val="00FE25E7"/>
    <w:rsid w:val="00FE2C34"/>
    <w:rsid w:val="00FE2DF0"/>
    <w:rsid w:val="00FE3403"/>
    <w:rsid w:val="00FE376A"/>
    <w:rsid w:val="00FE4388"/>
    <w:rsid w:val="00FE4BD4"/>
    <w:rsid w:val="00FE4BF9"/>
    <w:rsid w:val="00FE4F7C"/>
    <w:rsid w:val="00FE5813"/>
    <w:rsid w:val="00FE5FB1"/>
    <w:rsid w:val="00FE6CA9"/>
    <w:rsid w:val="00FE71ED"/>
    <w:rsid w:val="00FE79D6"/>
    <w:rsid w:val="00FE7EE6"/>
    <w:rsid w:val="00FF04AD"/>
    <w:rsid w:val="00FF171A"/>
    <w:rsid w:val="00FF19E4"/>
    <w:rsid w:val="00FF2574"/>
    <w:rsid w:val="00FF28A1"/>
    <w:rsid w:val="00FF308F"/>
    <w:rsid w:val="00FF3BF8"/>
    <w:rsid w:val="00FF3C75"/>
    <w:rsid w:val="00FF4564"/>
    <w:rsid w:val="00FF4B4E"/>
    <w:rsid w:val="00FF5318"/>
    <w:rsid w:val="00FF5A22"/>
    <w:rsid w:val="00FF64AB"/>
    <w:rsid w:val="00FF7098"/>
    <w:rsid w:val="00FF7123"/>
    <w:rsid w:val="00FF7833"/>
    <w:rsid w:val="00FF79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BA642"/>
  <w15:docId w15:val="{EEF6C26F-47A7-4466-B4F0-411844AF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917"/>
    <w:pPr>
      <w:spacing w:after="120" w:line="240" w:lineRule="auto"/>
      <w:jc w:val="both"/>
    </w:pPr>
    <w:rPr>
      <w:rFonts w:ascii="Calibri" w:eastAsia="Times New Roman" w:hAnsi="Calibri" w:cs="Times New Roman"/>
      <w:sz w:val="20"/>
      <w:szCs w:val="24"/>
      <w:lang w:val="en-US"/>
    </w:rPr>
  </w:style>
  <w:style w:type="paragraph" w:styleId="Titre1">
    <w:name w:val="heading 1"/>
    <w:basedOn w:val="Normal"/>
    <w:next w:val="Normal"/>
    <w:link w:val="Titre1Car"/>
    <w:uiPriority w:val="9"/>
    <w:qFormat/>
    <w:rsid w:val="00F46C7B"/>
    <w:pPr>
      <w:keepNext/>
      <w:spacing w:before="240" w:after="60"/>
      <w:outlineLvl w:val="0"/>
    </w:pPr>
    <w:rPr>
      <w:rFonts w:ascii="Cambria" w:eastAsia="SimSun" w:hAnsi="Cambria"/>
      <w:b/>
      <w:kern w:val="32"/>
      <w:sz w:val="32"/>
      <w:szCs w:val="20"/>
    </w:rPr>
  </w:style>
  <w:style w:type="paragraph" w:styleId="Titre2">
    <w:name w:val="heading 2"/>
    <w:basedOn w:val="Normal"/>
    <w:next w:val="Normal"/>
    <w:link w:val="Titre2Car"/>
    <w:uiPriority w:val="9"/>
    <w:qFormat/>
    <w:rsid w:val="00F46C7B"/>
    <w:pPr>
      <w:keepNext/>
      <w:numPr>
        <w:ilvl w:val="1"/>
        <w:numId w:val="4"/>
      </w:numPr>
      <w:shd w:val="clear" w:color="auto" w:fill="8DB3E2"/>
      <w:tabs>
        <w:tab w:val="left" w:pos="941"/>
        <w:tab w:val="num" w:pos="1440"/>
      </w:tabs>
      <w:ind w:left="1440"/>
      <w:outlineLvl w:val="1"/>
    </w:pPr>
    <w:rPr>
      <w:rFonts w:asciiTheme="minorHAnsi" w:hAnsiTheme="minorHAnsi"/>
      <w:b/>
      <w:bCs/>
      <w:iCs/>
      <w:caps/>
      <w:color w:val="FFFFFF"/>
      <w:szCs w:val="20"/>
    </w:rPr>
  </w:style>
  <w:style w:type="paragraph" w:styleId="Titre3">
    <w:name w:val="heading 3"/>
    <w:basedOn w:val="Normal"/>
    <w:next w:val="Normal"/>
    <w:link w:val="Titre3Car"/>
    <w:qFormat/>
    <w:rsid w:val="00F46C7B"/>
    <w:pPr>
      <w:keepNext/>
      <w:spacing w:before="240" w:after="60"/>
      <w:outlineLvl w:val="2"/>
    </w:pPr>
    <w:rPr>
      <w:rFonts w:ascii="Cambria" w:eastAsia="SimSun" w:hAnsi="Cambria"/>
      <w:b/>
      <w:sz w:val="26"/>
      <w:szCs w:val="20"/>
    </w:rPr>
  </w:style>
  <w:style w:type="paragraph" w:styleId="Titre4">
    <w:name w:val="heading 4"/>
    <w:basedOn w:val="Normal"/>
    <w:next w:val="Normal"/>
    <w:link w:val="Titre4Car"/>
    <w:qFormat/>
    <w:rsid w:val="00F46C7B"/>
    <w:pPr>
      <w:keepNext/>
      <w:spacing w:before="240" w:after="60"/>
      <w:outlineLvl w:val="3"/>
    </w:pPr>
    <w:rPr>
      <w:rFonts w:eastAsia="SimSun"/>
      <w:b/>
      <w:sz w:val="28"/>
      <w:szCs w:val="20"/>
    </w:rPr>
  </w:style>
  <w:style w:type="paragraph" w:styleId="Titre5">
    <w:name w:val="heading 5"/>
    <w:basedOn w:val="Normal"/>
    <w:next w:val="Normal"/>
    <w:link w:val="Titre5Car"/>
    <w:qFormat/>
    <w:rsid w:val="00F46C7B"/>
    <w:pPr>
      <w:spacing w:before="240" w:after="60"/>
      <w:outlineLvl w:val="4"/>
    </w:pPr>
    <w:rPr>
      <w:rFonts w:eastAsia="SimSun"/>
      <w:b/>
      <w:i/>
      <w:sz w:val="26"/>
      <w:szCs w:val="20"/>
    </w:rPr>
  </w:style>
  <w:style w:type="paragraph" w:styleId="Titre6">
    <w:name w:val="heading 6"/>
    <w:basedOn w:val="Normal"/>
    <w:next w:val="Normal"/>
    <w:link w:val="Titre6Car"/>
    <w:qFormat/>
    <w:rsid w:val="00F46C7B"/>
    <w:pPr>
      <w:spacing w:before="240" w:after="60"/>
      <w:outlineLvl w:val="5"/>
    </w:pPr>
    <w:rPr>
      <w:rFonts w:eastAsia="SimSun"/>
      <w:b/>
      <w:szCs w:val="20"/>
    </w:rPr>
  </w:style>
  <w:style w:type="paragraph" w:styleId="Titre7">
    <w:name w:val="heading 7"/>
    <w:basedOn w:val="Normal"/>
    <w:next w:val="Normal"/>
    <w:link w:val="Titre7Car"/>
    <w:qFormat/>
    <w:rsid w:val="00F46C7B"/>
    <w:pPr>
      <w:spacing w:before="240" w:after="60"/>
      <w:outlineLvl w:val="6"/>
    </w:pPr>
    <w:rPr>
      <w:rFonts w:eastAsia="SimSun"/>
      <w:sz w:val="24"/>
      <w:szCs w:val="20"/>
    </w:rPr>
  </w:style>
  <w:style w:type="paragraph" w:styleId="Titre8">
    <w:name w:val="heading 8"/>
    <w:basedOn w:val="Normal"/>
    <w:next w:val="Normal"/>
    <w:link w:val="Titre8Car"/>
    <w:qFormat/>
    <w:rsid w:val="00F46C7B"/>
    <w:pPr>
      <w:spacing w:before="240" w:after="60"/>
      <w:outlineLvl w:val="7"/>
    </w:pPr>
    <w:rPr>
      <w:rFonts w:eastAsia="SimSun"/>
      <w:i/>
      <w:sz w:val="24"/>
      <w:szCs w:val="20"/>
    </w:rPr>
  </w:style>
  <w:style w:type="paragraph" w:styleId="Titre9">
    <w:name w:val="heading 9"/>
    <w:basedOn w:val="Normal"/>
    <w:next w:val="Normal"/>
    <w:link w:val="Titre9Car"/>
    <w:qFormat/>
    <w:rsid w:val="00F46C7B"/>
    <w:pPr>
      <w:spacing w:before="240" w:after="60"/>
      <w:outlineLvl w:val="8"/>
    </w:pPr>
    <w:rPr>
      <w:rFonts w:ascii="Cambria" w:eastAsia="SimSun" w:hAnsi="Cambria"/>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46C7B"/>
    <w:rPr>
      <w:rFonts w:ascii="Cambria" w:eastAsia="SimSun" w:hAnsi="Cambria" w:cs="Times New Roman"/>
      <w:b/>
      <w:kern w:val="32"/>
      <w:sz w:val="32"/>
      <w:szCs w:val="20"/>
      <w:lang w:val="en-US"/>
    </w:rPr>
  </w:style>
  <w:style w:type="character" w:customStyle="1" w:styleId="Titre2Car">
    <w:name w:val="Titre 2 Car"/>
    <w:basedOn w:val="Policepardfaut"/>
    <w:link w:val="Titre2"/>
    <w:uiPriority w:val="9"/>
    <w:rsid w:val="00F46C7B"/>
    <w:rPr>
      <w:rFonts w:eastAsia="Times New Roman" w:cs="Times New Roman"/>
      <w:b/>
      <w:bCs/>
      <w:iCs/>
      <w:caps/>
      <w:color w:val="FFFFFF"/>
      <w:sz w:val="20"/>
      <w:szCs w:val="20"/>
      <w:shd w:val="clear" w:color="auto" w:fill="8DB3E2"/>
      <w:lang w:val="en-US"/>
    </w:rPr>
  </w:style>
  <w:style w:type="character" w:customStyle="1" w:styleId="Titre3Car">
    <w:name w:val="Titre 3 Car"/>
    <w:basedOn w:val="Policepardfaut"/>
    <w:link w:val="Titre3"/>
    <w:uiPriority w:val="9"/>
    <w:rsid w:val="00F46C7B"/>
    <w:rPr>
      <w:rFonts w:ascii="Cambria" w:eastAsia="SimSun" w:hAnsi="Cambria" w:cs="Times New Roman"/>
      <w:b/>
      <w:sz w:val="26"/>
      <w:szCs w:val="20"/>
      <w:lang w:val="en-US"/>
    </w:rPr>
  </w:style>
  <w:style w:type="character" w:customStyle="1" w:styleId="Titre4Car">
    <w:name w:val="Titre 4 Car"/>
    <w:basedOn w:val="Policepardfaut"/>
    <w:link w:val="Titre4"/>
    <w:uiPriority w:val="9"/>
    <w:rsid w:val="00F46C7B"/>
    <w:rPr>
      <w:rFonts w:ascii="Calibri" w:eastAsia="SimSun" w:hAnsi="Calibri" w:cs="Times New Roman"/>
      <w:b/>
      <w:sz w:val="28"/>
      <w:szCs w:val="20"/>
      <w:lang w:val="en-US"/>
    </w:rPr>
  </w:style>
  <w:style w:type="character" w:customStyle="1" w:styleId="Titre5Car">
    <w:name w:val="Titre 5 Car"/>
    <w:basedOn w:val="Policepardfaut"/>
    <w:link w:val="Titre5"/>
    <w:uiPriority w:val="9"/>
    <w:rsid w:val="00F46C7B"/>
    <w:rPr>
      <w:rFonts w:ascii="Calibri" w:eastAsia="SimSun" w:hAnsi="Calibri" w:cs="Times New Roman"/>
      <w:b/>
      <w:i/>
      <w:sz w:val="26"/>
      <w:szCs w:val="20"/>
      <w:lang w:val="en-US"/>
    </w:rPr>
  </w:style>
  <w:style w:type="character" w:customStyle="1" w:styleId="Titre6Car">
    <w:name w:val="Titre 6 Car"/>
    <w:basedOn w:val="Policepardfaut"/>
    <w:link w:val="Titre6"/>
    <w:uiPriority w:val="9"/>
    <w:rsid w:val="00F46C7B"/>
    <w:rPr>
      <w:rFonts w:ascii="Calibri" w:eastAsia="SimSun" w:hAnsi="Calibri" w:cs="Times New Roman"/>
      <w:b/>
      <w:sz w:val="20"/>
      <w:szCs w:val="20"/>
      <w:lang w:val="en-US"/>
    </w:rPr>
  </w:style>
  <w:style w:type="character" w:customStyle="1" w:styleId="Titre7Car">
    <w:name w:val="Titre 7 Car"/>
    <w:basedOn w:val="Policepardfaut"/>
    <w:link w:val="Titre7"/>
    <w:uiPriority w:val="9"/>
    <w:rsid w:val="00F46C7B"/>
    <w:rPr>
      <w:rFonts w:ascii="Calibri" w:eastAsia="SimSun" w:hAnsi="Calibri" w:cs="Times New Roman"/>
      <w:sz w:val="24"/>
      <w:szCs w:val="20"/>
      <w:lang w:val="en-US"/>
    </w:rPr>
  </w:style>
  <w:style w:type="character" w:customStyle="1" w:styleId="Titre8Car">
    <w:name w:val="Titre 8 Car"/>
    <w:basedOn w:val="Policepardfaut"/>
    <w:link w:val="Titre8"/>
    <w:uiPriority w:val="9"/>
    <w:rsid w:val="00F46C7B"/>
    <w:rPr>
      <w:rFonts w:ascii="Calibri" w:eastAsia="SimSun" w:hAnsi="Calibri" w:cs="Times New Roman"/>
      <w:i/>
      <w:sz w:val="24"/>
      <w:szCs w:val="20"/>
      <w:lang w:val="en-US"/>
    </w:rPr>
  </w:style>
  <w:style w:type="character" w:customStyle="1" w:styleId="Titre9Car">
    <w:name w:val="Titre 9 Car"/>
    <w:basedOn w:val="Policepardfaut"/>
    <w:link w:val="Titre9"/>
    <w:uiPriority w:val="9"/>
    <w:rsid w:val="00F46C7B"/>
    <w:rPr>
      <w:rFonts w:ascii="Cambria" w:eastAsia="SimSun" w:hAnsi="Cambria" w:cs="Times New Roman"/>
      <w:sz w:val="20"/>
      <w:szCs w:val="20"/>
      <w:lang w:val="en-US"/>
    </w:rPr>
  </w:style>
  <w:style w:type="character" w:customStyle="1" w:styleId="Heading1Char">
    <w:name w:val="Heading 1 Char"/>
    <w:basedOn w:val="Policepardfaut"/>
    <w:uiPriority w:val="99"/>
    <w:locked/>
    <w:rsid w:val="00F46C7B"/>
    <w:rPr>
      <w:rFonts w:ascii="Tahoma" w:eastAsia="SimSun" w:hAnsi="Tahoma" w:cs="Times New Roman"/>
      <w:b/>
      <w:i/>
      <w:color w:val="666699"/>
      <w:kern w:val="28"/>
      <w:sz w:val="26"/>
      <w:lang w:val="en-GB"/>
    </w:rPr>
  </w:style>
  <w:style w:type="character" w:customStyle="1" w:styleId="Heading5Char">
    <w:name w:val="Heading 5 Char"/>
    <w:basedOn w:val="Policepardfaut"/>
    <w:uiPriority w:val="99"/>
    <w:locked/>
    <w:rsid w:val="00F46C7B"/>
    <w:rPr>
      <w:rFonts w:ascii="Garamond" w:hAnsi="Garamond" w:cs="Times New Roman"/>
      <w:b/>
      <w:sz w:val="24"/>
      <w:lang w:eastAsia="fr-FR"/>
    </w:rPr>
  </w:style>
  <w:style w:type="paragraph" w:styleId="Corpsdetexte">
    <w:name w:val="Body Text"/>
    <w:aliases w:val="b,bt"/>
    <w:basedOn w:val="Normal"/>
    <w:link w:val="CorpsdetexteCar"/>
    <w:uiPriority w:val="99"/>
    <w:rsid w:val="00F46C7B"/>
    <w:pPr>
      <w:spacing w:after="240"/>
    </w:pPr>
    <w:rPr>
      <w:szCs w:val="20"/>
    </w:rPr>
  </w:style>
  <w:style w:type="character" w:customStyle="1" w:styleId="CorpsdetexteCar">
    <w:name w:val="Corps de texte Car"/>
    <w:aliases w:val="b Car,bt Car"/>
    <w:basedOn w:val="Policepardfaut"/>
    <w:link w:val="Corpsdetexte"/>
    <w:uiPriority w:val="99"/>
    <w:rsid w:val="00F46C7B"/>
    <w:rPr>
      <w:rFonts w:ascii="Times New Roman" w:eastAsia="Times New Roman" w:hAnsi="Times New Roman" w:cs="Times New Roman"/>
      <w:sz w:val="20"/>
      <w:szCs w:val="20"/>
      <w:lang w:val="en-US"/>
    </w:rPr>
  </w:style>
  <w:style w:type="character" w:customStyle="1" w:styleId="BodyTextChar">
    <w:name w:val="Body Text Char"/>
    <w:basedOn w:val="Policepardfaut"/>
    <w:uiPriority w:val="99"/>
    <w:locked/>
    <w:rsid w:val="00F46C7B"/>
    <w:rPr>
      <w:rFonts w:ascii="Times New Roman" w:hAnsi="Times New Roman" w:cs="Times New Roman"/>
      <w:sz w:val="24"/>
    </w:rPr>
  </w:style>
  <w:style w:type="paragraph" w:styleId="Corpsdetexte2">
    <w:name w:val="Body Text 2"/>
    <w:aliases w:val="b2"/>
    <w:basedOn w:val="Corpsdetexte"/>
    <w:link w:val="Corpsdetexte2Car"/>
    <w:uiPriority w:val="99"/>
    <w:rsid w:val="00F46C7B"/>
    <w:pPr>
      <w:spacing w:after="120"/>
      <w:jc w:val="center"/>
    </w:pPr>
  </w:style>
  <w:style w:type="character" w:customStyle="1" w:styleId="Corpsdetexte2Car">
    <w:name w:val="Corps de texte 2 Car"/>
    <w:aliases w:val="b2 Car"/>
    <w:basedOn w:val="Policepardfaut"/>
    <w:link w:val="Corpsdetexte2"/>
    <w:uiPriority w:val="99"/>
    <w:rsid w:val="00F46C7B"/>
    <w:rPr>
      <w:rFonts w:ascii="Times New Roman" w:eastAsia="Times New Roman" w:hAnsi="Times New Roman" w:cs="Times New Roman"/>
      <w:sz w:val="20"/>
      <w:szCs w:val="20"/>
      <w:lang w:val="en-US"/>
    </w:rPr>
  </w:style>
  <w:style w:type="paragraph" w:styleId="En-tte">
    <w:name w:val="header"/>
    <w:basedOn w:val="Normal"/>
    <w:link w:val="En-tteCar"/>
    <w:uiPriority w:val="99"/>
    <w:rsid w:val="00F46C7B"/>
    <w:pPr>
      <w:widowControl w:val="0"/>
      <w:tabs>
        <w:tab w:val="center" w:pos="4320"/>
        <w:tab w:val="right" w:pos="8640"/>
      </w:tabs>
    </w:pPr>
    <w:rPr>
      <w:szCs w:val="20"/>
    </w:rPr>
  </w:style>
  <w:style w:type="character" w:customStyle="1" w:styleId="En-tteCar">
    <w:name w:val="En-tête Car"/>
    <w:basedOn w:val="Policepardfaut"/>
    <w:link w:val="En-tte"/>
    <w:uiPriority w:val="99"/>
    <w:rsid w:val="00F46C7B"/>
    <w:rPr>
      <w:rFonts w:ascii="Times New Roman" w:eastAsia="Times New Roman" w:hAnsi="Times New Roman" w:cs="Times New Roman"/>
      <w:sz w:val="20"/>
      <w:szCs w:val="20"/>
      <w:lang w:val="en-US"/>
    </w:rPr>
  </w:style>
  <w:style w:type="character" w:customStyle="1" w:styleId="HeaderChar">
    <w:name w:val="Header Char"/>
    <w:basedOn w:val="Policepardfaut"/>
    <w:uiPriority w:val="99"/>
    <w:locked/>
    <w:rsid w:val="00F46C7B"/>
    <w:rPr>
      <w:rFonts w:ascii="Trebuchet MS" w:hAnsi="Trebuchet MS" w:cs="Times New Roman"/>
      <w:sz w:val="20"/>
    </w:rPr>
  </w:style>
  <w:style w:type="paragraph" w:styleId="Corpsdetexte3">
    <w:name w:val="Body Text 3"/>
    <w:aliases w:val="b3"/>
    <w:basedOn w:val="Normal"/>
    <w:link w:val="Corpsdetexte3Car"/>
    <w:uiPriority w:val="99"/>
    <w:rsid w:val="00F46C7B"/>
    <w:pPr>
      <w:spacing w:after="240"/>
    </w:pPr>
    <w:rPr>
      <w:i/>
      <w:szCs w:val="20"/>
    </w:rPr>
  </w:style>
  <w:style w:type="character" w:customStyle="1" w:styleId="Corpsdetexte3Car">
    <w:name w:val="Corps de texte 3 Car"/>
    <w:aliases w:val="b3 Car"/>
    <w:basedOn w:val="Policepardfaut"/>
    <w:link w:val="Corpsdetexte3"/>
    <w:uiPriority w:val="99"/>
    <w:rsid w:val="00F46C7B"/>
    <w:rPr>
      <w:rFonts w:ascii="Times New Roman" w:eastAsia="Times New Roman" w:hAnsi="Times New Roman" w:cs="Times New Roman"/>
      <w:i/>
      <w:sz w:val="20"/>
      <w:szCs w:val="20"/>
      <w:lang w:val="en-US"/>
    </w:rPr>
  </w:style>
  <w:style w:type="character" w:styleId="Lienhypertexte">
    <w:name w:val="Hyperlink"/>
    <w:basedOn w:val="Policepardfaut"/>
    <w:uiPriority w:val="99"/>
    <w:rsid w:val="00F46C7B"/>
    <w:rPr>
      <w:rFonts w:cs="Times New Roman"/>
      <w:color w:val="0000FF"/>
      <w:u w:val="single"/>
    </w:rPr>
  </w:style>
  <w:style w:type="paragraph" w:styleId="Pieddepage">
    <w:name w:val="footer"/>
    <w:basedOn w:val="Normal"/>
    <w:link w:val="PieddepageCar"/>
    <w:uiPriority w:val="99"/>
    <w:rsid w:val="00F46C7B"/>
    <w:pPr>
      <w:tabs>
        <w:tab w:val="center" w:pos="4536"/>
        <w:tab w:val="right" w:pos="9072"/>
      </w:tabs>
    </w:pPr>
    <w:rPr>
      <w:sz w:val="24"/>
      <w:szCs w:val="20"/>
    </w:rPr>
  </w:style>
  <w:style w:type="character" w:customStyle="1" w:styleId="PieddepageCar">
    <w:name w:val="Pied de page Car"/>
    <w:basedOn w:val="Policepardfaut"/>
    <w:link w:val="Pieddepage"/>
    <w:uiPriority w:val="99"/>
    <w:rsid w:val="00F46C7B"/>
    <w:rPr>
      <w:rFonts w:ascii="Times New Roman" w:eastAsia="Times New Roman" w:hAnsi="Times New Roman" w:cs="Times New Roman"/>
      <w:sz w:val="24"/>
      <w:szCs w:val="20"/>
      <w:lang w:val="en-US"/>
    </w:rPr>
  </w:style>
  <w:style w:type="character" w:customStyle="1" w:styleId="FooterChar">
    <w:name w:val="Footer Char"/>
    <w:basedOn w:val="Policepardfaut"/>
    <w:uiPriority w:val="99"/>
    <w:locked/>
    <w:rsid w:val="00F46C7B"/>
    <w:rPr>
      <w:rFonts w:ascii="Trebuchet MS" w:hAnsi="Trebuchet MS" w:cs="Times New Roman"/>
      <w:sz w:val="19"/>
    </w:rPr>
  </w:style>
  <w:style w:type="character" w:styleId="Numrodepage">
    <w:name w:val="page number"/>
    <w:basedOn w:val="Policepardfaut"/>
    <w:uiPriority w:val="99"/>
    <w:rsid w:val="00F46C7B"/>
    <w:rPr>
      <w:rFonts w:cs="Times New Roman"/>
    </w:rPr>
  </w:style>
  <w:style w:type="paragraph" w:styleId="Retraitcorpsdetexte3">
    <w:name w:val="Body Text Indent 3"/>
    <w:basedOn w:val="Normal"/>
    <w:link w:val="Retraitcorpsdetexte3Car"/>
    <w:uiPriority w:val="99"/>
    <w:rsid w:val="00F46C7B"/>
    <w:pPr>
      <w:ind w:left="720"/>
    </w:pPr>
    <w:rPr>
      <w:rFonts w:ascii="Arial" w:hAnsi="Arial"/>
      <w:szCs w:val="20"/>
    </w:rPr>
  </w:style>
  <w:style w:type="character" w:customStyle="1" w:styleId="Retraitcorpsdetexte3Car">
    <w:name w:val="Retrait corps de texte 3 Car"/>
    <w:basedOn w:val="Policepardfaut"/>
    <w:link w:val="Retraitcorpsdetexte3"/>
    <w:uiPriority w:val="99"/>
    <w:rsid w:val="00F46C7B"/>
    <w:rPr>
      <w:rFonts w:ascii="Arial" w:eastAsia="Times New Roman" w:hAnsi="Arial" w:cs="Times New Roman"/>
      <w:sz w:val="20"/>
      <w:szCs w:val="20"/>
      <w:lang w:val="en-US"/>
    </w:rPr>
  </w:style>
  <w:style w:type="paragraph" w:styleId="Normalcentr">
    <w:name w:val="Block Text"/>
    <w:aliases w:val="bl"/>
    <w:basedOn w:val="Normal"/>
    <w:uiPriority w:val="99"/>
    <w:rsid w:val="00F46C7B"/>
    <w:pPr>
      <w:pBdr>
        <w:top w:val="single" w:sz="2" w:space="1" w:color="000000"/>
        <w:left w:val="single" w:sz="2" w:space="4" w:color="000000"/>
        <w:bottom w:val="single" w:sz="2" w:space="1" w:color="000000"/>
        <w:right w:val="single" w:sz="2" w:space="4" w:color="000000"/>
      </w:pBdr>
      <w:tabs>
        <w:tab w:val="left" w:pos="8647"/>
      </w:tabs>
      <w:spacing w:after="240"/>
      <w:ind w:right="-2"/>
    </w:pPr>
    <w:rPr>
      <w:szCs w:val="22"/>
    </w:rPr>
  </w:style>
  <w:style w:type="paragraph" w:styleId="TM1">
    <w:name w:val="toc 1"/>
    <w:aliases w:val="toc1"/>
    <w:basedOn w:val="Normal"/>
    <w:next w:val="Normal"/>
    <w:link w:val="TM1Car"/>
    <w:autoRedefine/>
    <w:uiPriority w:val="39"/>
    <w:rsid w:val="003D20F8"/>
    <w:pPr>
      <w:keepNext/>
      <w:tabs>
        <w:tab w:val="left" w:pos="539"/>
        <w:tab w:val="right" w:leader="dot" w:pos="9639"/>
      </w:tabs>
      <w:spacing w:before="180" w:after="180"/>
      <w:jc w:val="center"/>
    </w:pPr>
    <w:rPr>
      <w:rFonts w:ascii="Times New Roman Gras" w:hAnsi="Times New Roman Gras"/>
      <w:b/>
      <w:noProof/>
      <w:szCs w:val="20"/>
    </w:rPr>
  </w:style>
  <w:style w:type="paragraph" w:styleId="TM2">
    <w:name w:val="toc 2"/>
    <w:aliases w:val="toc2"/>
    <w:basedOn w:val="Normal"/>
    <w:next w:val="Normal"/>
    <w:autoRedefine/>
    <w:uiPriority w:val="39"/>
    <w:rsid w:val="001C638E"/>
    <w:pPr>
      <w:tabs>
        <w:tab w:val="left" w:pos="0"/>
        <w:tab w:val="left" w:pos="960"/>
        <w:tab w:val="right" w:leader="dot" w:pos="9639"/>
      </w:tabs>
      <w:spacing w:before="60" w:after="60"/>
      <w:ind w:left="539" w:hanging="539"/>
    </w:pPr>
    <w:rPr>
      <w:rFonts w:asciiTheme="minorHAnsi" w:hAnsiTheme="minorHAnsi"/>
      <w:b/>
      <w:noProof/>
      <w:color w:val="7030A0"/>
      <w:szCs w:val="18"/>
      <w:lang w:val="fr-FR"/>
    </w:rPr>
  </w:style>
  <w:style w:type="paragraph" w:styleId="Notedebasdepage">
    <w:name w:val="footnote text"/>
    <w:basedOn w:val="Normal"/>
    <w:link w:val="NotedebasdepageCar"/>
    <w:uiPriority w:val="99"/>
    <w:rsid w:val="00F46C7B"/>
    <w:rPr>
      <w:szCs w:val="20"/>
    </w:rPr>
  </w:style>
  <w:style w:type="character" w:customStyle="1" w:styleId="NotedebasdepageCar">
    <w:name w:val="Note de bas de page Car"/>
    <w:basedOn w:val="Policepardfaut"/>
    <w:link w:val="Notedebasdepage"/>
    <w:uiPriority w:val="99"/>
    <w:rsid w:val="00F46C7B"/>
    <w:rPr>
      <w:rFonts w:ascii="Times New Roman" w:eastAsia="Times New Roman" w:hAnsi="Times New Roman" w:cs="Times New Roman"/>
      <w:sz w:val="20"/>
      <w:szCs w:val="20"/>
      <w:lang w:val="en-US"/>
    </w:rPr>
  </w:style>
  <w:style w:type="character" w:customStyle="1" w:styleId="FootnoteTextChar">
    <w:name w:val="Footnote Text Char"/>
    <w:basedOn w:val="Policepardfaut"/>
    <w:uiPriority w:val="99"/>
    <w:semiHidden/>
    <w:locked/>
    <w:rsid w:val="00F46C7B"/>
    <w:rPr>
      <w:rFonts w:ascii="Times New Roman" w:hAnsi="Times New Roman" w:cs="Times New Roman"/>
      <w:sz w:val="20"/>
      <w:lang w:eastAsia="fr-FR"/>
    </w:rPr>
  </w:style>
  <w:style w:type="character" w:styleId="Appelnotedebasdep">
    <w:name w:val="footnote reference"/>
    <w:basedOn w:val="Policepardfaut"/>
    <w:uiPriority w:val="99"/>
    <w:rsid w:val="00F46C7B"/>
    <w:rPr>
      <w:rFonts w:cs="Times New Roman"/>
      <w:vertAlign w:val="superscript"/>
    </w:rPr>
  </w:style>
  <w:style w:type="paragraph" w:styleId="Titre">
    <w:name w:val="Title"/>
    <w:aliases w:val="t"/>
    <w:basedOn w:val="Normal"/>
    <w:link w:val="TitreCar"/>
    <w:uiPriority w:val="10"/>
    <w:qFormat/>
    <w:rsid w:val="00F46C7B"/>
    <w:pPr>
      <w:spacing w:after="240"/>
      <w:jc w:val="center"/>
    </w:pPr>
    <w:rPr>
      <w:b/>
      <w:szCs w:val="20"/>
    </w:rPr>
  </w:style>
  <w:style w:type="character" w:customStyle="1" w:styleId="TitreCar">
    <w:name w:val="Titre Car"/>
    <w:aliases w:val="t Car"/>
    <w:basedOn w:val="Policepardfaut"/>
    <w:link w:val="Titre"/>
    <w:uiPriority w:val="10"/>
    <w:rsid w:val="00F46C7B"/>
    <w:rPr>
      <w:rFonts w:ascii="Times New Roman" w:eastAsia="Times New Roman" w:hAnsi="Times New Roman" w:cs="Times New Roman"/>
      <w:b/>
      <w:sz w:val="20"/>
      <w:szCs w:val="20"/>
      <w:lang w:val="en-US"/>
    </w:rPr>
  </w:style>
  <w:style w:type="paragraph" w:styleId="Sous-titre">
    <w:name w:val="Subtitle"/>
    <w:aliases w:val="su"/>
    <w:basedOn w:val="Normal"/>
    <w:link w:val="Sous-titreCar"/>
    <w:uiPriority w:val="11"/>
    <w:qFormat/>
    <w:rsid w:val="00F46C7B"/>
    <w:pPr>
      <w:spacing w:line="360" w:lineRule="auto"/>
      <w:jc w:val="center"/>
    </w:pPr>
    <w:rPr>
      <w:b/>
      <w:szCs w:val="20"/>
    </w:rPr>
  </w:style>
  <w:style w:type="character" w:customStyle="1" w:styleId="Sous-titreCar">
    <w:name w:val="Sous-titre Car"/>
    <w:aliases w:val="su Car"/>
    <w:basedOn w:val="Policepardfaut"/>
    <w:link w:val="Sous-titre"/>
    <w:uiPriority w:val="11"/>
    <w:rsid w:val="00F46C7B"/>
    <w:rPr>
      <w:rFonts w:ascii="Times New Roman" w:eastAsia="Times New Roman" w:hAnsi="Times New Roman" w:cs="Times New Roman"/>
      <w:b/>
      <w:sz w:val="20"/>
      <w:szCs w:val="20"/>
      <w:lang w:val="en-US"/>
    </w:rPr>
  </w:style>
  <w:style w:type="character" w:customStyle="1" w:styleId="zzmpTrailerItem">
    <w:name w:val="zzmpTrailerItem"/>
    <w:basedOn w:val="Policepardfaut"/>
    <w:rsid w:val="00741110"/>
    <w:rPr>
      <w:rFonts w:ascii="Calibri" w:hAnsi="Calibri" w:cs="Times New Roman"/>
      <w:dstrike w:val="0"/>
      <w:noProof/>
      <w:color w:val="auto"/>
      <w:spacing w:val="0"/>
      <w:position w:val="0"/>
      <w:sz w:val="16"/>
      <w:szCs w:val="16"/>
      <w:u w:val="none"/>
      <w:effect w:val="none"/>
      <w:vertAlign w:val="baseline"/>
    </w:rPr>
  </w:style>
  <w:style w:type="paragraph" w:customStyle="1" w:styleId="BlockLeft">
    <w:name w:val="Block Left"/>
    <w:basedOn w:val="Normal"/>
    <w:link w:val="BlockLeftChar"/>
    <w:uiPriority w:val="99"/>
    <w:rsid w:val="00F46C7B"/>
    <w:rPr>
      <w:szCs w:val="20"/>
    </w:rPr>
  </w:style>
  <w:style w:type="paragraph" w:customStyle="1" w:styleId="ConmainL1">
    <w:name w:val="Conmain_L1"/>
    <w:basedOn w:val="Normal"/>
    <w:next w:val="ConmainL2"/>
    <w:uiPriority w:val="99"/>
    <w:rsid w:val="00F46C7B"/>
    <w:pPr>
      <w:keepNext/>
      <w:pageBreakBefore/>
      <w:tabs>
        <w:tab w:val="num" w:pos="720"/>
      </w:tabs>
      <w:spacing w:after="240"/>
      <w:ind w:left="720" w:hanging="720"/>
      <w:outlineLvl w:val="0"/>
    </w:pPr>
    <w:rPr>
      <w:b/>
      <w:caps/>
      <w:szCs w:val="22"/>
    </w:rPr>
  </w:style>
  <w:style w:type="paragraph" w:customStyle="1" w:styleId="ConmainL2">
    <w:name w:val="Conmain_L2"/>
    <w:basedOn w:val="Normal"/>
    <w:link w:val="ConmainL2CharChar1"/>
    <w:uiPriority w:val="99"/>
    <w:rsid w:val="00F46C7B"/>
    <w:pPr>
      <w:keepNext/>
      <w:numPr>
        <w:numId w:val="1"/>
      </w:numPr>
      <w:spacing w:after="240"/>
      <w:outlineLvl w:val="1"/>
    </w:pPr>
    <w:rPr>
      <w:b/>
      <w:szCs w:val="20"/>
    </w:rPr>
  </w:style>
  <w:style w:type="paragraph" w:customStyle="1" w:styleId="ConmainL3">
    <w:name w:val="Conmain_L3"/>
    <w:basedOn w:val="Normal"/>
    <w:uiPriority w:val="99"/>
    <w:rsid w:val="00F46C7B"/>
    <w:pPr>
      <w:keepNext/>
      <w:tabs>
        <w:tab w:val="num" w:pos="360"/>
      </w:tabs>
      <w:spacing w:after="240"/>
      <w:ind w:left="360" w:hanging="360"/>
      <w:outlineLvl w:val="2"/>
    </w:pPr>
    <w:rPr>
      <w:szCs w:val="22"/>
    </w:rPr>
  </w:style>
  <w:style w:type="paragraph" w:customStyle="1" w:styleId="ConmainL4">
    <w:name w:val="Conmain_L4"/>
    <w:basedOn w:val="Normal"/>
    <w:uiPriority w:val="99"/>
    <w:rsid w:val="00F46C7B"/>
    <w:pPr>
      <w:keepNext/>
      <w:keepLines/>
      <w:tabs>
        <w:tab w:val="num" w:pos="360"/>
      </w:tabs>
      <w:spacing w:after="240"/>
      <w:ind w:left="360" w:hanging="360"/>
      <w:outlineLvl w:val="3"/>
    </w:pPr>
    <w:rPr>
      <w:noProof/>
      <w:szCs w:val="22"/>
    </w:rPr>
  </w:style>
  <w:style w:type="paragraph" w:customStyle="1" w:styleId="ConmainL5">
    <w:name w:val="Conmain_L5"/>
    <w:basedOn w:val="Normal"/>
    <w:uiPriority w:val="99"/>
    <w:rsid w:val="00F46C7B"/>
    <w:pPr>
      <w:spacing w:after="240"/>
      <w:outlineLvl w:val="4"/>
    </w:pPr>
    <w:rPr>
      <w:i/>
      <w:szCs w:val="20"/>
    </w:rPr>
  </w:style>
  <w:style w:type="paragraph" w:customStyle="1" w:styleId="ConmainL6">
    <w:name w:val="Conmain_L6"/>
    <w:basedOn w:val="Normal"/>
    <w:uiPriority w:val="99"/>
    <w:rsid w:val="00F46C7B"/>
    <w:pPr>
      <w:tabs>
        <w:tab w:val="num" w:pos="3600"/>
      </w:tabs>
      <w:spacing w:after="240"/>
      <w:ind w:left="3600" w:hanging="720"/>
      <w:outlineLvl w:val="5"/>
    </w:pPr>
    <w:rPr>
      <w:szCs w:val="20"/>
    </w:rPr>
  </w:style>
  <w:style w:type="paragraph" w:customStyle="1" w:styleId="ConmainL7">
    <w:name w:val="Conmain_L7"/>
    <w:basedOn w:val="Normal"/>
    <w:uiPriority w:val="99"/>
    <w:rsid w:val="00F46C7B"/>
    <w:pPr>
      <w:tabs>
        <w:tab w:val="num" w:pos="1440"/>
      </w:tabs>
      <w:spacing w:after="240"/>
      <w:ind w:left="1440" w:hanging="720"/>
      <w:outlineLvl w:val="6"/>
    </w:pPr>
    <w:rPr>
      <w:szCs w:val="20"/>
    </w:rPr>
  </w:style>
  <w:style w:type="paragraph" w:customStyle="1" w:styleId="ConmainL8">
    <w:name w:val="Conmain_L8"/>
    <w:basedOn w:val="Normal"/>
    <w:uiPriority w:val="99"/>
    <w:rsid w:val="00F46C7B"/>
    <w:pPr>
      <w:numPr>
        <w:numId w:val="2"/>
      </w:numPr>
      <w:tabs>
        <w:tab w:val="clear" w:pos="643"/>
        <w:tab w:val="num" w:pos="2880"/>
      </w:tabs>
      <w:spacing w:after="240"/>
      <w:ind w:left="2880" w:hanging="720"/>
      <w:outlineLvl w:val="7"/>
    </w:pPr>
    <w:rPr>
      <w:szCs w:val="20"/>
    </w:rPr>
  </w:style>
  <w:style w:type="paragraph" w:customStyle="1" w:styleId="ConmainL9">
    <w:name w:val="Conmain_L9"/>
    <w:basedOn w:val="Normal"/>
    <w:uiPriority w:val="99"/>
    <w:rsid w:val="00F46C7B"/>
    <w:pPr>
      <w:numPr>
        <w:numId w:val="3"/>
      </w:numPr>
      <w:tabs>
        <w:tab w:val="clear" w:pos="926"/>
      </w:tabs>
      <w:spacing w:after="240"/>
      <w:ind w:left="0" w:firstLine="0"/>
      <w:outlineLvl w:val="8"/>
    </w:pPr>
    <w:rPr>
      <w:szCs w:val="20"/>
    </w:rPr>
  </w:style>
  <w:style w:type="paragraph" w:styleId="Paragraphedeliste">
    <w:name w:val="List Paragraph"/>
    <w:basedOn w:val="Normal"/>
    <w:link w:val="ParagraphedelisteCar"/>
    <w:uiPriority w:val="34"/>
    <w:qFormat/>
    <w:rsid w:val="00F46C7B"/>
    <w:pPr>
      <w:ind w:left="708"/>
    </w:pPr>
  </w:style>
  <w:style w:type="paragraph" w:styleId="NormalWeb">
    <w:name w:val="Normal (Web)"/>
    <w:basedOn w:val="Normal"/>
    <w:uiPriority w:val="99"/>
    <w:rsid w:val="00F46C7B"/>
    <w:pPr>
      <w:spacing w:before="100" w:beforeAutospacing="1" w:after="100" w:afterAutospacing="1"/>
    </w:pPr>
  </w:style>
  <w:style w:type="paragraph" w:customStyle="1" w:styleId="Source">
    <w:name w:val="Source"/>
    <w:basedOn w:val="Normal"/>
    <w:uiPriority w:val="99"/>
    <w:rsid w:val="00F46C7B"/>
    <w:pPr>
      <w:spacing w:after="240"/>
      <w:jc w:val="right"/>
    </w:pPr>
  </w:style>
  <w:style w:type="paragraph" w:customStyle="1" w:styleId="SubtitleItalic">
    <w:name w:val="Subtitle Italic"/>
    <w:basedOn w:val="Normal"/>
    <w:next w:val="Corpsdetexte"/>
    <w:uiPriority w:val="99"/>
    <w:rsid w:val="00F46C7B"/>
    <w:pPr>
      <w:keepNext/>
      <w:spacing w:after="240"/>
    </w:pPr>
    <w:rPr>
      <w:i/>
      <w:szCs w:val="20"/>
      <w:lang w:eastAsia="zh-CN"/>
    </w:rPr>
  </w:style>
  <w:style w:type="paragraph" w:customStyle="1" w:styleId="SubtitleUnderline">
    <w:name w:val="Subtitle Underline"/>
    <w:basedOn w:val="Normal"/>
    <w:next w:val="Corpsdetexte"/>
    <w:uiPriority w:val="99"/>
    <w:rsid w:val="00F46C7B"/>
    <w:pPr>
      <w:keepNext/>
      <w:spacing w:after="240"/>
      <w:jc w:val="center"/>
    </w:pPr>
    <w:rPr>
      <w:rFonts w:ascii="Times New Roman Bold" w:hAnsi="Times New Roman Bold" w:cs="Times New Roman Bold"/>
      <w:b/>
      <w:sz w:val="24"/>
      <w:szCs w:val="20"/>
      <w:u w:val="single"/>
      <w:lang w:eastAsia="zh-CN"/>
    </w:rPr>
  </w:style>
  <w:style w:type="paragraph" w:customStyle="1" w:styleId="Graphic">
    <w:name w:val="Graphic"/>
    <w:basedOn w:val="Normal"/>
    <w:uiPriority w:val="99"/>
    <w:rsid w:val="00F46C7B"/>
    <w:pPr>
      <w:spacing w:before="120" w:after="240"/>
      <w:jc w:val="center"/>
    </w:pPr>
    <w:rPr>
      <w:sz w:val="24"/>
      <w:szCs w:val="20"/>
      <w:lang w:eastAsia="zh-CN"/>
    </w:rPr>
  </w:style>
  <w:style w:type="character" w:customStyle="1" w:styleId="DocID">
    <w:name w:val="DocID"/>
    <w:uiPriority w:val="99"/>
    <w:rsid w:val="00F46C7B"/>
    <w:rPr>
      <w:rFonts w:ascii="Times New Roman" w:hAnsi="Times New Roman"/>
      <w:sz w:val="16"/>
    </w:rPr>
  </w:style>
  <w:style w:type="paragraph" w:styleId="Listepuces">
    <w:name w:val="List Bullet"/>
    <w:basedOn w:val="Normal"/>
    <w:uiPriority w:val="99"/>
    <w:rsid w:val="00F46C7B"/>
    <w:pPr>
      <w:numPr>
        <w:numId w:val="4"/>
      </w:numPr>
      <w:spacing w:after="240" w:line="240" w:lineRule="atLeast"/>
      <w:ind w:left="720"/>
      <w:contextualSpacing/>
    </w:pPr>
    <w:rPr>
      <w:rFonts w:eastAsia="SimSun"/>
      <w:szCs w:val="20"/>
      <w:lang w:val="en-GB" w:eastAsia="zh-CN"/>
    </w:rPr>
  </w:style>
  <w:style w:type="paragraph" w:styleId="Listepuces2">
    <w:name w:val="List Bullet 2"/>
    <w:basedOn w:val="Normal"/>
    <w:uiPriority w:val="99"/>
    <w:rsid w:val="00F46C7B"/>
    <w:pPr>
      <w:numPr>
        <w:numId w:val="7"/>
      </w:numPr>
      <w:spacing w:after="240" w:line="240" w:lineRule="atLeast"/>
      <w:ind w:left="1080"/>
    </w:pPr>
    <w:rPr>
      <w:rFonts w:eastAsia="SimSun"/>
      <w:szCs w:val="20"/>
      <w:lang w:val="en-GB" w:eastAsia="zh-CN"/>
    </w:rPr>
  </w:style>
  <w:style w:type="paragraph" w:styleId="Listepuces3">
    <w:name w:val="List Bullet 3"/>
    <w:basedOn w:val="Normal"/>
    <w:uiPriority w:val="99"/>
    <w:rsid w:val="00F46C7B"/>
    <w:pPr>
      <w:numPr>
        <w:numId w:val="8"/>
      </w:numPr>
      <w:spacing w:line="240" w:lineRule="atLeast"/>
      <w:ind w:left="1800"/>
    </w:pPr>
    <w:rPr>
      <w:rFonts w:eastAsia="SimSun"/>
      <w:szCs w:val="20"/>
      <w:lang w:val="en-GB" w:eastAsia="zh-CN"/>
    </w:rPr>
  </w:style>
  <w:style w:type="paragraph" w:styleId="Listepuces4">
    <w:name w:val="List Bullet 4"/>
    <w:basedOn w:val="Normal"/>
    <w:uiPriority w:val="99"/>
    <w:rsid w:val="00F46C7B"/>
    <w:pPr>
      <w:numPr>
        <w:ilvl w:val="3"/>
        <w:numId w:val="4"/>
      </w:numPr>
      <w:spacing w:after="240" w:line="240" w:lineRule="atLeast"/>
    </w:pPr>
    <w:rPr>
      <w:rFonts w:ascii="Arial" w:eastAsia="SimSun" w:hAnsi="Arial"/>
      <w:szCs w:val="20"/>
      <w:lang w:val="en-GB" w:eastAsia="zh-CN"/>
    </w:rPr>
  </w:style>
  <w:style w:type="paragraph" w:styleId="Listepuces5">
    <w:name w:val="List Bullet 5"/>
    <w:basedOn w:val="Normal"/>
    <w:uiPriority w:val="99"/>
    <w:rsid w:val="00F46C7B"/>
    <w:pPr>
      <w:numPr>
        <w:ilvl w:val="4"/>
        <w:numId w:val="4"/>
      </w:numPr>
      <w:spacing w:after="240" w:line="240" w:lineRule="atLeast"/>
    </w:pPr>
    <w:rPr>
      <w:rFonts w:ascii="Arial" w:eastAsia="SimSun" w:hAnsi="Arial"/>
      <w:szCs w:val="20"/>
      <w:lang w:val="en-GB" w:eastAsia="zh-CN"/>
    </w:rPr>
  </w:style>
  <w:style w:type="character" w:customStyle="1" w:styleId="ConmainL2Char">
    <w:name w:val="Conmain_L2 Char"/>
    <w:uiPriority w:val="99"/>
    <w:rsid w:val="00F46C7B"/>
    <w:rPr>
      <w:rFonts w:ascii="Arial" w:hAnsi="Arial"/>
      <w:b/>
      <w:sz w:val="22"/>
      <w:lang w:val="fr-FR" w:eastAsia="en-US"/>
    </w:rPr>
  </w:style>
  <w:style w:type="paragraph" w:customStyle="1" w:styleId="A-Puces">
    <w:name w:val="A-Puces"/>
    <w:basedOn w:val="Normal"/>
    <w:autoRedefine/>
    <w:uiPriority w:val="99"/>
    <w:rsid w:val="00F46C7B"/>
    <w:pPr>
      <w:numPr>
        <w:numId w:val="5"/>
      </w:numPr>
      <w:spacing w:after="60"/>
      <w:ind w:hanging="357"/>
    </w:pPr>
    <w:rPr>
      <w:szCs w:val="22"/>
    </w:rPr>
  </w:style>
  <w:style w:type="paragraph" w:customStyle="1" w:styleId="ENUM1">
    <w:name w:val="ENUM.1"/>
    <w:basedOn w:val="Normal"/>
    <w:uiPriority w:val="99"/>
    <w:rsid w:val="00F46C7B"/>
    <w:pPr>
      <w:keepLines/>
      <w:tabs>
        <w:tab w:val="left" w:pos="284"/>
      </w:tabs>
      <w:spacing w:after="240"/>
      <w:ind w:left="288" w:hanging="288"/>
    </w:pPr>
    <w:rPr>
      <w:sz w:val="24"/>
      <w:szCs w:val="20"/>
    </w:rPr>
  </w:style>
  <w:style w:type="paragraph" w:customStyle="1" w:styleId="StyleGauche1cm">
    <w:name w:val="Style Gauche :  1 cm"/>
    <w:basedOn w:val="Normal"/>
    <w:uiPriority w:val="99"/>
    <w:rsid w:val="00F46C7B"/>
    <w:pPr>
      <w:widowControl w:val="0"/>
      <w:spacing w:line="280" w:lineRule="exact"/>
      <w:ind w:left="567"/>
    </w:pPr>
    <w:rPr>
      <w:rFonts w:ascii="Arial" w:hAnsi="Arial"/>
      <w:szCs w:val="20"/>
    </w:rPr>
  </w:style>
  <w:style w:type="paragraph" w:customStyle="1" w:styleId="HyphenBullet">
    <w:name w:val="Hyphen Bullet"/>
    <w:basedOn w:val="Corpsdetexte"/>
    <w:uiPriority w:val="99"/>
    <w:rsid w:val="00F46C7B"/>
    <w:pPr>
      <w:numPr>
        <w:numId w:val="6"/>
      </w:numPr>
    </w:pPr>
  </w:style>
  <w:style w:type="paragraph" w:customStyle="1" w:styleId="BlockIndent">
    <w:name w:val="Block Indent"/>
    <w:basedOn w:val="Corpsdetexte"/>
    <w:uiPriority w:val="99"/>
    <w:rsid w:val="00F46C7B"/>
    <w:pPr>
      <w:spacing w:after="0"/>
      <w:ind w:left="5490"/>
    </w:pPr>
  </w:style>
  <w:style w:type="paragraph" w:customStyle="1" w:styleId="Hanging1">
    <w:name w:val="Hanging1"/>
    <w:basedOn w:val="Normal"/>
    <w:uiPriority w:val="99"/>
    <w:rsid w:val="00F46C7B"/>
    <w:pPr>
      <w:spacing w:after="240"/>
      <w:ind w:left="1080" w:hanging="360"/>
      <w:contextualSpacing/>
    </w:pPr>
  </w:style>
  <w:style w:type="paragraph" w:customStyle="1" w:styleId="TableKey1">
    <w:name w:val="TableKey1"/>
    <w:basedOn w:val="Normal"/>
    <w:uiPriority w:val="99"/>
    <w:rsid w:val="00F46C7B"/>
    <w:pPr>
      <w:spacing w:after="240"/>
    </w:pPr>
    <w:rPr>
      <w:rFonts w:eastAsia="EUAlbertina-Regular-Identity-H"/>
      <w:sz w:val="18"/>
      <w:szCs w:val="18"/>
    </w:rPr>
  </w:style>
  <w:style w:type="paragraph" w:customStyle="1" w:styleId="TableKey2">
    <w:name w:val="TableKey2"/>
    <w:basedOn w:val="Normal"/>
    <w:uiPriority w:val="99"/>
    <w:rsid w:val="00F46C7B"/>
    <w:pPr>
      <w:spacing w:after="240"/>
      <w:ind w:left="706"/>
      <w:outlineLvl w:val="0"/>
    </w:pPr>
    <w:rPr>
      <w:sz w:val="18"/>
      <w:szCs w:val="18"/>
    </w:rPr>
  </w:style>
  <w:style w:type="paragraph" w:customStyle="1" w:styleId="Tabletxt-1">
    <w:name w:val="Tabletxt-1"/>
    <w:basedOn w:val="Normal"/>
    <w:uiPriority w:val="99"/>
    <w:rsid w:val="00F46C7B"/>
    <w:rPr>
      <w:rFonts w:eastAsia="EUAlbertina-Regular-Identity-H"/>
      <w:szCs w:val="20"/>
    </w:rPr>
  </w:style>
  <w:style w:type="paragraph" w:customStyle="1" w:styleId="Tabletxt-2">
    <w:name w:val="Tabletxt-2"/>
    <w:basedOn w:val="Normal"/>
    <w:uiPriority w:val="99"/>
    <w:rsid w:val="00F46C7B"/>
    <w:pPr>
      <w:ind w:left="173"/>
    </w:pPr>
    <w:rPr>
      <w:rFonts w:eastAsia="EUAlbertina-Regular-Identity-H"/>
      <w:szCs w:val="20"/>
    </w:rPr>
  </w:style>
  <w:style w:type="paragraph" w:customStyle="1" w:styleId="Tabletxt-3">
    <w:name w:val="Tabletxt-3"/>
    <w:basedOn w:val="Normal"/>
    <w:uiPriority w:val="99"/>
    <w:rsid w:val="00F46C7B"/>
    <w:pPr>
      <w:ind w:left="346"/>
    </w:pPr>
    <w:rPr>
      <w:rFonts w:eastAsia="EUAlbertina-Regular-Identity-H"/>
      <w:szCs w:val="20"/>
    </w:rPr>
  </w:style>
  <w:style w:type="paragraph" w:customStyle="1" w:styleId="Centertxt">
    <w:name w:val="Centertxt"/>
    <w:basedOn w:val="Normal"/>
    <w:uiPriority w:val="99"/>
    <w:rsid w:val="00F46C7B"/>
    <w:pPr>
      <w:spacing w:after="240"/>
      <w:jc w:val="center"/>
    </w:pPr>
    <w:rPr>
      <w:rFonts w:eastAsia="EUAlbertina-Regular-Identity-H"/>
    </w:rPr>
  </w:style>
  <w:style w:type="table" w:styleId="Grilledutableau">
    <w:name w:val="Table Grid"/>
    <w:aliases w:val="Smart Text Table"/>
    <w:basedOn w:val="TableauNormal"/>
    <w:rsid w:val="00F46C7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1religne">
    <w:name w:val="Body Text First Indent"/>
    <w:basedOn w:val="Corpsdetexte"/>
    <w:link w:val="Retrait1religneCar"/>
    <w:uiPriority w:val="99"/>
    <w:rsid w:val="00F46C7B"/>
    <w:pPr>
      <w:spacing w:after="120"/>
      <w:ind w:firstLine="210"/>
      <w:jc w:val="left"/>
    </w:pPr>
    <w:rPr>
      <w:szCs w:val="22"/>
    </w:rPr>
  </w:style>
  <w:style w:type="character" w:customStyle="1" w:styleId="Retrait1religneCar">
    <w:name w:val="Retrait 1re ligne Car"/>
    <w:basedOn w:val="CorpsdetexteCar"/>
    <w:link w:val="Retrait1religne"/>
    <w:uiPriority w:val="99"/>
    <w:rsid w:val="00F46C7B"/>
    <w:rPr>
      <w:rFonts w:ascii="Times New Roman" w:eastAsia="Times New Roman" w:hAnsi="Times New Roman" w:cs="Times New Roman"/>
      <w:sz w:val="20"/>
      <w:szCs w:val="20"/>
      <w:lang w:val="en-US"/>
    </w:rPr>
  </w:style>
  <w:style w:type="character" w:customStyle="1" w:styleId="apple-style-span">
    <w:name w:val="apple-style-span"/>
    <w:uiPriority w:val="99"/>
    <w:rsid w:val="00F46C7B"/>
  </w:style>
  <w:style w:type="paragraph" w:styleId="Notedefin">
    <w:name w:val="endnote text"/>
    <w:basedOn w:val="Normal"/>
    <w:link w:val="NotedefinCar"/>
    <w:uiPriority w:val="99"/>
    <w:rsid w:val="00F46C7B"/>
    <w:rPr>
      <w:szCs w:val="20"/>
    </w:rPr>
  </w:style>
  <w:style w:type="character" w:customStyle="1" w:styleId="NotedefinCar">
    <w:name w:val="Note de fin Car"/>
    <w:basedOn w:val="Policepardfaut"/>
    <w:link w:val="Notedefin"/>
    <w:uiPriority w:val="99"/>
    <w:rsid w:val="00F46C7B"/>
    <w:rPr>
      <w:rFonts w:ascii="Times New Roman" w:eastAsia="Times New Roman" w:hAnsi="Times New Roman" w:cs="Times New Roman"/>
      <w:sz w:val="20"/>
      <w:szCs w:val="20"/>
      <w:lang w:val="en-US"/>
    </w:rPr>
  </w:style>
  <w:style w:type="character" w:styleId="Appeldenotedefin">
    <w:name w:val="endnote reference"/>
    <w:basedOn w:val="Policepardfaut"/>
    <w:uiPriority w:val="99"/>
    <w:rsid w:val="00F46C7B"/>
    <w:rPr>
      <w:rFonts w:cs="Times New Roman"/>
      <w:vertAlign w:val="superscript"/>
    </w:rPr>
  </w:style>
  <w:style w:type="character" w:customStyle="1" w:styleId="BodyTextChar1">
    <w:name w:val="Body Text Char1"/>
    <w:uiPriority w:val="99"/>
    <w:rsid w:val="00F46C7B"/>
    <w:rPr>
      <w:sz w:val="22"/>
      <w:lang w:val="fr-FR" w:eastAsia="fr-FR"/>
    </w:rPr>
  </w:style>
  <w:style w:type="character" w:customStyle="1" w:styleId="BlockLeftChar">
    <w:name w:val="Block Left Char"/>
    <w:link w:val="BlockLeft"/>
    <w:uiPriority w:val="99"/>
    <w:locked/>
    <w:rsid w:val="00F46C7B"/>
    <w:rPr>
      <w:rFonts w:ascii="Times New Roman" w:eastAsia="Times New Roman" w:hAnsi="Times New Roman" w:cs="Times New Roman"/>
      <w:sz w:val="20"/>
      <w:szCs w:val="20"/>
      <w:lang w:val="en-US"/>
    </w:rPr>
  </w:style>
  <w:style w:type="character" w:customStyle="1" w:styleId="ConmainL2CharChar1">
    <w:name w:val="Conmain_L2 Char Char1"/>
    <w:link w:val="ConmainL2"/>
    <w:uiPriority w:val="99"/>
    <w:locked/>
    <w:rsid w:val="00F46C7B"/>
    <w:rPr>
      <w:rFonts w:ascii="Calibri" w:eastAsia="Times New Roman" w:hAnsi="Calibri" w:cs="Times New Roman"/>
      <w:b/>
      <w:sz w:val="20"/>
      <w:szCs w:val="20"/>
      <w:lang w:val="en-US"/>
    </w:rPr>
  </w:style>
  <w:style w:type="character" w:styleId="Marquedecommentaire">
    <w:name w:val="annotation reference"/>
    <w:basedOn w:val="Policepardfaut"/>
    <w:uiPriority w:val="99"/>
    <w:rsid w:val="00F46C7B"/>
    <w:rPr>
      <w:rFonts w:cs="Times New Roman"/>
      <w:sz w:val="16"/>
    </w:rPr>
  </w:style>
  <w:style w:type="paragraph" w:customStyle="1" w:styleId="Style1">
    <w:name w:val="Style1"/>
    <w:basedOn w:val="Normal"/>
    <w:uiPriority w:val="99"/>
    <w:rsid w:val="00F46C7B"/>
    <w:pPr>
      <w:ind w:left="284"/>
    </w:pPr>
    <w:rPr>
      <w:sz w:val="18"/>
      <w:szCs w:val="18"/>
    </w:rPr>
  </w:style>
  <w:style w:type="paragraph" w:customStyle="1" w:styleId="Titregauche">
    <w:name w:val="Titre gauche"/>
    <w:basedOn w:val="Normal"/>
    <w:uiPriority w:val="99"/>
    <w:rsid w:val="00F46C7B"/>
    <w:pPr>
      <w:tabs>
        <w:tab w:val="left" w:pos="720"/>
        <w:tab w:val="left" w:pos="1440"/>
        <w:tab w:val="left" w:pos="2160"/>
        <w:tab w:val="left" w:pos="2880"/>
      </w:tabs>
    </w:pPr>
    <w:rPr>
      <w:b/>
      <w:szCs w:val="22"/>
    </w:rPr>
  </w:style>
  <w:style w:type="paragraph" w:customStyle="1" w:styleId="Default">
    <w:name w:val="Default"/>
    <w:rsid w:val="00F46C7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Explorateurdedocuments">
    <w:name w:val="Document Map"/>
    <w:basedOn w:val="Normal"/>
    <w:link w:val="ExplorateurdedocumentsCar"/>
    <w:uiPriority w:val="99"/>
    <w:rsid w:val="00F46C7B"/>
    <w:rPr>
      <w:rFonts w:ascii="Tahoma" w:hAnsi="Tahoma"/>
      <w:sz w:val="16"/>
      <w:szCs w:val="20"/>
    </w:rPr>
  </w:style>
  <w:style w:type="character" w:customStyle="1" w:styleId="ExplorateurdedocumentsCar">
    <w:name w:val="Explorateur de documents Car"/>
    <w:basedOn w:val="Policepardfaut"/>
    <w:link w:val="Explorateurdedocuments"/>
    <w:uiPriority w:val="99"/>
    <w:rsid w:val="00F46C7B"/>
    <w:rPr>
      <w:rFonts w:ascii="Tahoma" w:eastAsia="Times New Roman" w:hAnsi="Tahoma" w:cs="Times New Roman"/>
      <w:sz w:val="16"/>
      <w:szCs w:val="20"/>
      <w:lang w:val="en-US"/>
    </w:rPr>
  </w:style>
  <w:style w:type="paragraph" w:styleId="Textedebulles">
    <w:name w:val="Balloon Text"/>
    <w:basedOn w:val="Normal"/>
    <w:link w:val="TextedebullesCar"/>
    <w:uiPriority w:val="99"/>
    <w:rsid w:val="00F46C7B"/>
    <w:rPr>
      <w:rFonts w:ascii="Tahoma" w:hAnsi="Tahoma"/>
      <w:sz w:val="16"/>
      <w:szCs w:val="20"/>
    </w:rPr>
  </w:style>
  <w:style w:type="character" w:customStyle="1" w:styleId="TextedebullesCar">
    <w:name w:val="Texte de bulles Car"/>
    <w:basedOn w:val="Policepardfaut"/>
    <w:link w:val="Textedebulles"/>
    <w:uiPriority w:val="99"/>
    <w:rsid w:val="00F46C7B"/>
    <w:rPr>
      <w:rFonts w:ascii="Tahoma" w:eastAsia="Times New Roman" w:hAnsi="Tahoma" w:cs="Times New Roman"/>
      <w:sz w:val="16"/>
      <w:szCs w:val="20"/>
      <w:lang w:val="en-US"/>
    </w:rPr>
  </w:style>
  <w:style w:type="character" w:customStyle="1" w:styleId="BalloonTextChar">
    <w:name w:val="Balloon Text Char"/>
    <w:basedOn w:val="Policepardfaut"/>
    <w:uiPriority w:val="99"/>
    <w:semiHidden/>
    <w:locked/>
    <w:rsid w:val="00F46C7B"/>
    <w:rPr>
      <w:rFonts w:ascii="Tahoma" w:hAnsi="Tahoma" w:cs="Times New Roman"/>
      <w:sz w:val="16"/>
      <w:lang w:eastAsia="fr-FR"/>
    </w:rPr>
  </w:style>
  <w:style w:type="paragraph" w:styleId="Commentaire">
    <w:name w:val="annotation text"/>
    <w:basedOn w:val="Normal"/>
    <w:link w:val="CommentaireCar"/>
    <w:uiPriority w:val="99"/>
    <w:rsid w:val="00F46C7B"/>
    <w:rPr>
      <w:szCs w:val="20"/>
    </w:rPr>
  </w:style>
  <w:style w:type="character" w:customStyle="1" w:styleId="CommentaireCar">
    <w:name w:val="Commentaire Car"/>
    <w:basedOn w:val="Policepardfaut"/>
    <w:link w:val="Commentaire"/>
    <w:uiPriority w:val="99"/>
    <w:rsid w:val="00F46C7B"/>
    <w:rPr>
      <w:rFonts w:ascii="Times New Roman" w:eastAsia="Times New Roman" w:hAnsi="Times New Roman" w:cs="Times New Roman"/>
      <w:sz w:val="20"/>
      <w:szCs w:val="20"/>
      <w:lang w:val="en-US"/>
    </w:rPr>
  </w:style>
  <w:style w:type="character" w:customStyle="1" w:styleId="CommentTextChar">
    <w:name w:val="Comment Text Char"/>
    <w:basedOn w:val="Policepardfaut"/>
    <w:uiPriority w:val="99"/>
    <w:locked/>
    <w:rsid w:val="00F46C7B"/>
    <w:rPr>
      <w:rFonts w:ascii="Calibri" w:hAnsi="Calibri" w:cs="Times New Roman"/>
    </w:rPr>
  </w:style>
  <w:style w:type="paragraph" w:styleId="Objetducommentaire">
    <w:name w:val="annotation subject"/>
    <w:basedOn w:val="Commentaire"/>
    <w:next w:val="Commentaire"/>
    <w:link w:val="ObjetducommentaireCar"/>
    <w:uiPriority w:val="99"/>
    <w:rsid w:val="00F46C7B"/>
    <w:rPr>
      <w:b/>
    </w:rPr>
  </w:style>
  <w:style w:type="character" w:customStyle="1" w:styleId="ObjetducommentaireCar">
    <w:name w:val="Objet du commentaire Car"/>
    <w:basedOn w:val="CommentaireCar"/>
    <w:link w:val="Objetducommentaire"/>
    <w:uiPriority w:val="99"/>
    <w:rsid w:val="00F46C7B"/>
    <w:rPr>
      <w:rFonts w:ascii="Times New Roman" w:eastAsia="Times New Roman" w:hAnsi="Times New Roman" w:cs="Times New Roman"/>
      <w:b/>
      <w:sz w:val="20"/>
      <w:szCs w:val="20"/>
      <w:lang w:val="en-US"/>
    </w:rPr>
  </w:style>
  <w:style w:type="character" w:customStyle="1" w:styleId="CommentSubjectChar">
    <w:name w:val="Comment Subject Char"/>
    <w:basedOn w:val="CommentaireCar"/>
    <w:uiPriority w:val="99"/>
    <w:semiHidden/>
    <w:locked/>
    <w:rsid w:val="00F46C7B"/>
    <w:rPr>
      <w:rFonts w:ascii="Times New Roman" w:eastAsia="Times New Roman" w:hAnsi="Times New Roman" w:cs="Times New Roman"/>
      <w:b/>
      <w:sz w:val="20"/>
      <w:szCs w:val="20"/>
      <w:lang w:val="en-US" w:eastAsia="fr-FR"/>
    </w:rPr>
  </w:style>
  <w:style w:type="table" w:customStyle="1" w:styleId="TableGrid1">
    <w:name w:val="Table Grid1"/>
    <w:uiPriority w:val="99"/>
    <w:rsid w:val="00F46C7B"/>
    <w:pPr>
      <w:spacing w:after="0" w:line="240" w:lineRule="auto"/>
    </w:pPr>
    <w:rPr>
      <w:rFonts w:ascii="Calibri" w:eastAsia="SimSu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F46C7B"/>
  </w:style>
  <w:style w:type="character" w:customStyle="1" w:styleId="BodyTextFirstIndentChar1">
    <w:name w:val="Body Text First Indent Char1"/>
    <w:uiPriority w:val="99"/>
    <w:locked/>
    <w:rsid w:val="00F46C7B"/>
    <w:rPr>
      <w:sz w:val="24"/>
    </w:rPr>
  </w:style>
  <w:style w:type="table" w:customStyle="1" w:styleId="Grilledutableau1">
    <w:name w:val="Grille du tableau1"/>
    <w:uiPriority w:val="99"/>
    <w:rsid w:val="00F46C7B"/>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DBTitre2Car">
    <w:name w:val="DDB Titre 2 Car"/>
    <w:link w:val="DDBTitre2"/>
    <w:locked/>
    <w:rsid w:val="00F46C7B"/>
    <w:rPr>
      <w:b/>
      <w:caps/>
      <w:color w:val="FFFFFF"/>
      <w:shd w:val="clear" w:color="auto" w:fill="8DB3E2"/>
    </w:rPr>
  </w:style>
  <w:style w:type="paragraph" w:customStyle="1" w:styleId="DDBTitre2">
    <w:name w:val="DDB Titre 2"/>
    <w:basedOn w:val="Titre2"/>
    <w:link w:val="DDBTitre2Car"/>
    <w:qFormat/>
    <w:rsid w:val="00F46C7B"/>
    <w:pPr>
      <w:numPr>
        <w:numId w:val="0"/>
      </w:numPr>
    </w:pPr>
    <w:rPr>
      <w:rFonts w:eastAsiaTheme="minorHAnsi" w:cstheme="minorBidi"/>
      <w:bCs w:val="0"/>
      <w:iCs w:val="0"/>
      <w:sz w:val="22"/>
      <w:szCs w:val="22"/>
      <w:lang w:val="fr-FR"/>
    </w:rPr>
  </w:style>
  <w:style w:type="character" w:customStyle="1" w:styleId="DDBTitre3Car">
    <w:name w:val="DDB Titre 3 Car"/>
    <w:link w:val="DDBTitre3"/>
    <w:uiPriority w:val="99"/>
    <w:locked/>
    <w:rsid w:val="00F46C7B"/>
    <w:rPr>
      <w:rFonts w:ascii="Garamond" w:eastAsia="SimSun" w:hAnsi="Garamond"/>
      <w:b/>
    </w:rPr>
  </w:style>
  <w:style w:type="paragraph" w:customStyle="1" w:styleId="DDBTitre3">
    <w:name w:val="DDB Titre 3"/>
    <w:basedOn w:val="Titre3"/>
    <w:link w:val="DDBTitre3Car"/>
    <w:uiPriority w:val="99"/>
    <w:rsid w:val="00F46C7B"/>
    <w:pPr>
      <w:numPr>
        <w:ilvl w:val="3"/>
      </w:numPr>
      <w:spacing w:before="600" w:after="240"/>
      <w:ind w:left="720" w:hanging="432"/>
    </w:pPr>
    <w:rPr>
      <w:rFonts w:ascii="Garamond" w:hAnsi="Garamond" w:cstheme="minorBidi"/>
      <w:sz w:val="22"/>
      <w:szCs w:val="22"/>
      <w:lang w:val="fr-FR"/>
    </w:rPr>
  </w:style>
  <w:style w:type="paragraph" w:customStyle="1" w:styleId="BlockTextital">
    <w:name w:val="Block Text ital"/>
    <w:uiPriority w:val="99"/>
    <w:rsid w:val="00F46C7B"/>
    <w:pPr>
      <w:spacing w:after="240" w:line="240" w:lineRule="auto"/>
      <w:jc w:val="both"/>
    </w:pPr>
    <w:rPr>
      <w:rFonts w:ascii="Times New Roman" w:eastAsia="PMingLiU" w:hAnsi="Times New Roman" w:cs="Times New Roman"/>
      <w:i/>
      <w:sz w:val="20"/>
      <w:szCs w:val="24"/>
      <w:lang w:val="en-US"/>
    </w:rPr>
  </w:style>
  <w:style w:type="character" w:customStyle="1" w:styleId="BulletedListChar">
    <w:name w:val="Bulleted List Char"/>
    <w:link w:val="BulletedList"/>
    <w:uiPriority w:val="99"/>
    <w:locked/>
    <w:rsid w:val="00F46C7B"/>
    <w:rPr>
      <w:rFonts w:eastAsia="PMingLiU"/>
    </w:rPr>
  </w:style>
  <w:style w:type="paragraph" w:customStyle="1" w:styleId="BulletedList">
    <w:name w:val="Bulleted List"/>
    <w:basedOn w:val="Normal"/>
    <w:link w:val="BulletedListChar"/>
    <w:uiPriority w:val="99"/>
    <w:rsid w:val="00F46C7B"/>
    <w:pPr>
      <w:numPr>
        <w:numId w:val="12"/>
      </w:numPr>
      <w:tabs>
        <w:tab w:val="left" w:pos="1440"/>
      </w:tabs>
      <w:spacing w:after="240"/>
    </w:pPr>
    <w:rPr>
      <w:rFonts w:asciiTheme="minorHAnsi" w:eastAsia="PMingLiU" w:hAnsiTheme="minorHAnsi" w:cstheme="minorBidi"/>
      <w:sz w:val="22"/>
      <w:szCs w:val="22"/>
      <w:lang w:val="fr-FR"/>
    </w:rPr>
  </w:style>
  <w:style w:type="paragraph" w:styleId="Rvision">
    <w:name w:val="Revision"/>
    <w:hidden/>
    <w:uiPriority w:val="99"/>
    <w:rsid w:val="00F46C7B"/>
    <w:pPr>
      <w:spacing w:after="0" w:line="240" w:lineRule="auto"/>
    </w:pPr>
    <w:rPr>
      <w:rFonts w:ascii="Times New Roman" w:eastAsia="Times New Roman" w:hAnsi="Times New Roman" w:cs="Times New Roman"/>
      <w:sz w:val="20"/>
      <w:szCs w:val="24"/>
      <w:lang w:val="en-US"/>
    </w:rPr>
  </w:style>
  <w:style w:type="paragraph" w:customStyle="1" w:styleId="StyleCentr">
    <w:name w:val="Style Centré"/>
    <w:basedOn w:val="Normal"/>
    <w:uiPriority w:val="99"/>
    <w:rsid w:val="00F46C7B"/>
    <w:pPr>
      <w:jc w:val="center"/>
    </w:pPr>
    <w:rPr>
      <w:rFonts w:ascii="Garamond" w:hAnsi="Garamond"/>
      <w:szCs w:val="20"/>
    </w:rPr>
  </w:style>
  <w:style w:type="paragraph" w:customStyle="1" w:styleId="DDBBullet1">
    <w:name w:val="DDB Bullet 1"/>
    <w:basedOn w:val="Normal"/>
    <w:link w:val="DDBBullet1Car"/>
    <w:uiPriority w:val="99"/>
    <w:rsid w:val="00F46C7B"/>
    <w:pPr>
      <w:numPr>
        <w:numId w:val="18"/>
      </w:numPr>
    </w:pPr>
    <w:rPr>
      <w:rFonts w:ascii="Garamond" w:hAnsi="Garamond"/>
    </w:rPr>
  </w:style>
  <w:style w:type="paragraph" w:customStyle="1" w:styleId="DDBBullet2">
    <w:name w:val="DDB Bullet 2"/>
    <w:basedOn w:val="DDBBullet1"/>
    <w:link w:val="DDBBullet2Car"/>
    <w:uiPriority w:val="99"/>
    <w:rsid w:val="00F46C7B"/>
    <w:pPr>
      <w:numPr>
        <w:ilvl w:val="1"/>
        <w:numId w:val="19"/>
      </w:numPr>
      <w:tabs>
        <w:tab w:val="num" w:pos="792"/>
        <w:tab w:val="num" w:pos="1440"/>
      </w:tabs>
      <w:ind w:left="709" w:hanging="283"/>
    </w:pPr>
  </w:style>
  <w:style w:type="paragraph" w:styleId="Index1">
    <w:name w:val="index 1"/>
    <w:basedOn w:val="Normal"/>
    <w:next w:val="Normal"/>
    <w:autoRedefine/>
    <w:uiPriority w:val="99"/>
    <w:rsid w:val="00F46C7B"/>
    <w:rPr>
      <w:rFonts w:ascii="Garamond" w:hAnsi="Garamond"/>
    </w:rPr>
  </w:style>
  <w:style w:type="paragraph" w:styleId="Index2">
    <w:name w:val="index 2"/>
    <w:basedOn w:val="Normal"/>
    <w:next w:val="Normal"/>
    <w:autoRedefine/>
    <w:uiPriority w:val="99"/>
    <w:rsid w:val="00F46C7B"/>
    <w:pPr>
      <w:ind w:left="1440" w:hanging="720"/>
    </w:pPr>
    <w:rPr>
      <w:rFonts w:ascii="Garamond" w:hAnsi="Garamond"/>
    </w:rPr>
  </w:style>
  <w:style w:type="paragraph" w:styleId="Listecontinue4">
    <w:name w:val="List Continue 4"/>
    <w:basedOn w:val="Normal"/>
    <w:uiPriority w:val="99"/>
    <w:rsid w:val="00F46C7B"/>
    <w:pPr>
      <w:ind w:left="1440"/>
    </w:pPr>
    <w:rPr>
      <w:rFonts w:ascii="Garamond" w:hAnsi="Garamond"/>
    </w:rPr>
  </w:style>
  <w:style w:type="paragraph" w:styleId="Listecontinue">
    <w:name w:val="List Continue"/>
    <w:aliases w:val="lc"/>
    <w:basedOn w:val="Normal"/>
    <w:uiPriority w:val="99"/>
    <w:rsid w:val="00F46C7B"/>
    <w:pPr>
      <w:ind w:left="720"/>
    </w:pPr>
    <w:rPr>
      <w:rFonts w:ascii="Garamond" w:hAnsi="Garamond"/>
    </w:rPr>
  </w:style>
  <w:style w:type="paragraph" w:styleId="Listenumros">
    <w:name w:val="List Number"/>
    <w:aliases w:val="ln,Bullet niveau 1"/>
    <w:basedOn w:val="Normal"/>
    <w:link w:val="ListenumrosCar"/>
    <w:uiPriority w:val="99"/>
    <w:rsid w:val="00F46C7B"/>
    <w:pPr>
      <w:tabs>
        <w:tab w:val="num" w:pos="360"/>
      </w:tabs>
      <w:ind w:left="360" w:hanging="360"/>
    </w:pPr>
    <w:rPr>
      <w:rFonts w:ascii="Garamond" w:hAnsi="Garamond"/>
      <w:sz w:val="24"/>
      <w:szCs w:val="20"/>
    </w:rPr>
  </w:style>
  <w:style w:type="paragraph" w:customStyle="1" w:styleId="Table">
    <w:name w:val="Table"/>
    <w:aliases w:val="Ta"/>
    <w:basedOn w:val="Normal"/>
    <w:uiPriority w:val="99"/>
    <w:rsid w:val="00F46C7B"/>
    <w:rPr>
      <w:rFonts w:ascii="Garamond" w:hAnsi="Garamond"/>
    </w:rPr>
  </w:style>
  <w:style w:type="character" w:customStyle="1" w:styleId="DDBBullet1Car">
    <w:name w:val="DDB Bullet 1 Car"/>
    <w:link w:val="DDBBullet1"/>
    <w:uiPriority w:val="99"/>
    <w:locked/>
    <w:rsid w:val="00F46C7B"/>
    <w:rPr>
      <w:rFonts w:ascii="Garamond" w:eastAsia="Times New Roman" w:hAnsi="Garamond" w:cs="Times New Roman"/>
      <w:sz w:val="20"/>
      <w:szCs w:val="24"/>
      <w:lang w:val="en-US"/>
    </w:rPr>
  </w:style>
  <w:style w:type="paragraph" w:styleId="Signature">
    <w:name w:val="Signature"/>
    <w:aliases w:val="si"/>
    <w:basedOn w:val="Normal"/>
    <w:link w:val="SignatureCar"/>
    <w:uiPriority w:val="99"/>
    <w:rsid w:val="00F46C7B"/>
    <w:pPr>
      <w:ind w:left="4320"/>
    </w:pPr>
    <w:rPr>
      <w:rFonts w:ascii="Garamond" w:hAnsi="Garamond"/>
      <w:sz w:val="24"/>
      <w:szCs w:val="20"/>
    </w:rPr>
  </w:style>
  <w:style w:type="character" w:customStyle="1" w:styleId="SignatureCar">
    <w:name w:val="Signature Car"/>
    <w:aliases w:val="si Car"/>
    <w:basedOn w:val="Policepardfaut"/>
    <w:link w:val="Signature"/>
    <w:uiPriority w:val="99"/>
    <w:rsid w:val="00F46C7B"/>
    <w:rPr>
      <w:rFonts w:ascii="Garamond" w:eastAsia="Times New Roman" w:hAnsi="Garamond" w:cs="Times New Roman"/>
      <w:sz w:val="24"/>
      <w:szCs w:val="20"/>
      <w:lang w:val="en-US"/>
    </w:rPr>
  </w:style>
  <w:style w:type="paragraph" w:styleId="TM3">
    <w:name w:val="toc 3"/>
    <w:aliases w:val="toc3"/>
    <w:basedOn w:val="Normal"/>
    <w:next w:val="Normal"/>
    <w:autoRedefine/>
    <w:uiPriority w:val="39"/>
    <w:rsid w:val="00F46C7B"/>
    <w:pPr>
      <w:tabs>
        <w:tab w:val="left" w:pos="1701"/>
        <w:tab w:val="right" w:leader="dot" w:pos="9360"/>
      </w:tabs>
      <w:spacing w:before="20" w:after="20"/>
      <w:ind w:left="1701" w:right="380" w:hanging="850"/>
    </w:pPr>
    <w:rPr>
      <w:rFonts w:ascii="Garamond" w:hAnsi="Garamond"/>
      <w:noProof/>
    </w:rPr>
  </w:style>
  <w:style w:type="paragraph" w:styleId="TM4">
    <w:name w:val="toc 4"/>
    <w:aliases w:val="toc4"/>
    <w:basedOn w:val="Normal"/>
    <w:next w:val="Normal"/>
    <w:autoRedefine/>
    <w:rsid w:val="00F46C7B"/>
    <w:pPr>
      <w:tabs>
        <w:tab w:val="right" w:leader="dot" w:pos="9360"/>
      </w:tabs>
      <w:ind w:left="720"/>
    </w:pPr>
    <w:rPr>
      <w:rFonts w:ascii="Garamond" w:hAnsi="Garamond"/>
    </w:rPr>
  </w:style>
  <w:style w:type="paragraph" w:styleId="TM5">
    <w:name w:val="toc 5"/>
    <w:aliases w:val="toc5"/>
    <w:basedOn w:val="Normal"/>
    <w:next w:val="Normal"/>
    <w:autoRedefine/>
    <w:rsid w:val="00F46C7B"/>
    <w:pPr>
      <w:tabs>
        <w:tab w:val="right" w:leader="dot" w:pos="9360"/>
      </w:tabs>
      <w:ind w:left="960"/>
    </w:pPr>
    <w:rPr>
      <w:rFonts w:ascii="Garamond" w:hAnsi="Garamond"/>
    </w:rPr>
  </w:style>
  <w:style w:type="paragraph" w:styleId="TM6">
    <w:name w:val="toc 6"/>
    <w:aliases w:val="toc6"/>
    <w:basedOn w:val="Normal"/>
    <w:next w:val="Normal"/>
    <w:autoRedefine/>
    <w:rsid w:val="00F46C7B"/>
    <w:pPr>
      <w:tabs>
        <w:tab w:val="right" w:leader="dot" w:pos="9360"/>
      </w:tabs>
      <w:ind w:left="1200"/>
    </w:pPr>
    <w:rPr>
      <w:rFonts w:ascii="Garamond" w:hAnsi="Garamond"/>
    </w:rPr>
  </w:style>
  <w:style w:type="paragraph" w:styleId="TM7">
    <w:name w:val="toc 7"/>
    <w:aliases w:val="toc7"/>
    <w:basedOn w:val="Normal"/>
    <w:next w:val="Normal"/>
    <w:autoRedefine/>
    <w:rsid w:val="00F46C7B"/>
    <w:pPr>
      <w:tabs>
        <w:tab w:val="right" w:leader="dot" w:pos="9360"/>
      </w:tabs>
      <w:ind w:left="1440"/>
    </w:pPr>
    <w:rPr>
      <w:rFonts w:ascii="Garamond" w:hAnsi="Garamond"/>
    </w:rPr>
  </w:style>
  <w:style w:type="paragraph" w:styleId="TM8">
    <w:name w:val="toc 8"/>
    <w:aliases w:val="toc8"/>
    <w:basedOn w:val="Normal"/>
    <w:next w:val="Normal"/>
    <w:autoRedefine/>
    <w:rsid w:val="00F46C7B"/>
    <w:pPr>
      <w:tabs>
        <w:tab w:val="right" w:leader="dot" w:pos="9360"/>
      </w:tabs>
      <w:ind w:left="1680"/>
    </w:pPr>
    <w:rPr>
      <w:rFonts w:ascii="Garamond" w:hAnsi="Garamond"/>
    </w:rPr>
  </w:style>
  <w:style w:type="paragraph" w:styleId="TM9">
    <w:name w:val="toc 9"/>
    <w:aliases w:val="toc9"/>
    <w:basedOn w:val="Normal"/>
    <w:next w:val="Normal"/>
    <w:autoRedefine/>
    <w:rsid w:val="00F46C7B"/>
    <w:pPr>
      <w:tabs>
        <w:tab w:val="right" w:leader="dot" w:pos="9360"/>
      </w:tabs>
      <w:ind w:left="1920"/>
    </w:pPr>
    <w:rPr>
      <w:rFonts w:ascii="Garamond" w:hAnsi="Garamond"/>
    </w:rPr>
  </w:style>
  <w:style w:type="paragraph" w:customStyle="1" w:styleId="duedil2">
    <w:name w:val="due dil 2"/>
    <w:basedOn w:val="Normal"/>
    <w:uiPriority w:val="99"/>
    <w:rsid w:val="00F46C7B"/>
    <w:pPr>
      <w:tabs>
        <w:tab w:val="num" w:pos="0"/>
      </w:tabs>
      <w:ind w:left="560" w:hanging="560"/>
    </w:pPr>
    <w:rPr>
      <w:rFonts w:ascii="Garamond" w:hAnsi="Garamond"/>
      <w:iCs/>
      <w:szCs w:val="22"/>
    </w:rPr>
  </w:style>
  <w:style w:type="paragraph" w:customStyle="1" w:styleId="puce">
    <w:name w:val="puce"/>
    <w:basedOn w:val="Normal"/>
    <w:uiPriority w:val="99"/>
    <w:rsid w:val="00F46C7B"/>
    <w:pPr>
      <w:tabs>
        <w:tab w:val="num" w:pos="360"/>
      </w:tabs>
      <w:ind w:left="360" w:hanging="360"/>
    </w:pPr>
    <w:rPr>
      <w:rFonts w:ascii="Garamond" w:hAnsi="Garamond"/>
      <w:i/>
      <w:iCs/>
      <w:color w:val="000000"/>
      <w:szCs w:val="20"/>
    </w:rPr>
  </w:style>
  <w:style w:type="character" w:customStyle="1" w:styleId="DDBBullet2Car">
    <w:name w:val="DDB Bullet 2 Car"/>
    <w:link w:val="DDBBullet2"/>
    <w:uiPriority w:val="99"/>
    <w:locked/>
    <w:rsid w:val="00F46C7B"/>
    <w:rPr>
      <w:rFonts w:ascii="Garamond" w:eastAsia="Times New Roman" w:hAnsi="Garamond" w:cs="Times New Roman"/>
      <w:sz w:val="20"/>
      <w:szCs w:val="24"/>
      <w:lang w:val="en-US"/>
    </w:rPr>
  </w:style>
  <w:style w:type="paragraph" w:customStyle="1" w:styleId="soustitrea">
    <w:name w:val="sous titre a)"/>
    <w:basedOn w:val="Normal"/>
    <w:uiPriority w:val="99"/>
    <w:rsid w:val="00F46C7B"/>
    <w:pPr>
      <w:numPr>
        <w:numId w:val="14"/>
      </w:numPr>
    </w:pPr>
    <w:rPr>
      <w:rFonts w:ascii="Tahoma" w:hAnsi="Tahoma" w:cs="Tahoma"/>
      <w:b/>
      <w:bCs/>
      <w:szCs w:val="20"/>
    </w:rPr>
  </w:style>
  <w:style w:type="paragraph" w:styleId="Date">
    <w:name w:val="Date"/>
    <w:basedOn w:val="Normal"/>
    <w:next w:val="Normal"/>
    <w:link w:val="DateCar"/>
    <w:uiPriority w:val="99"/>
    <w:rsid w:val="00F46C7B"/>
    <w:rPr>
      <w:rFonts w:ascii="Garamond" w:hAnsi="Garamond"/>
      <w:szCs w:val="20"/>
    </w:rPr>
  </w:style>
  <w:style w:type="character" w:customStyle="1" w:styleId="DateCar">
    <w:name w:val="Date Car"/>
    <w:basedOn w:val="Policepardfaut"/>
    <w:link w:val="Date"/>
    <w:uiPriority w:val="99"/>
    <w:rsid w:val="00F46C7B"/>
    <w:rPr>
      <w:rFonts w:ascii="Garamond" w:eastAsia="Times New Roman" w:hAnsi="Garamond" w:cs="Times New Roman"/>
      <w:sz w:val="20"/>
      <w:szCs w:val="20"/>
      <w:lang w:val="en-US"/>
    </w:rPr>
  </w:style>
  <w:style w:type="paragraph" w:styleId="En-ttedemessage">
    <w:name w:val="Message Header"/>
    <w:basedOn w:val="Normal"/>
    <w:link w:val="En-ttedemessageCar"/>
    <w:uiPriority w:val="99"/>
    <w:rsid w:val="00F46C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0"/>
    </w:rPr>
  </w:style>
  <w:style w:type="character" w:customStyle="1" w:styleId="En-ttedemessageCar">
    <w:name w:val="En-tête de message Car"/>
    <w:basedOn w:val="Policepardfaut"/>
    <w:link w:val="En-ttedemessage"/>
    <w:uiPriority w:val="99"/>
    <w:rsid w:val="00F46C7B"/>
    <w:rPr>
      <w:rFonts w:ascii="Arial" w:eastAsia="Times New Roman" w:hAnsi="Arial" w:cs="Times New Roman"/>
      <w:sz w:val="24"/>
      <w:szCs w:val="20"/>
      <w:shd w:val="pct20" w:color="auto" w:fill="auto"/>
      <w:lang w:val="en-US"/>
    </w:rPr>
  </w:style>
  <w:style w:type="paragraph" w:styleId="Formuledepolitesse">
    <w:name w:val="Closing"/>
    <w:basedOn w:val="Normal"/>
    <w:link w:val="FormuledepolitesseCar"/>
    <w:uiPriority w:val="99"/>
    <w:rsid w:val="00F46C7B"/>
    <w:pPr>
      <w:ind w:left="4252"/>
    </w:pPr>
    <w:rPr>
      <w:rFonts w:ascii="Garamond" w:hAnsi="Garamond"/>
      <w:szCs w:val="20"/>
    </w:rPr>
  </w:style>
  <w:style w:type="character" w:customStyle="1" w:styleId="FormuledepolitesseCar">
    <w:name w:val="Formule de politesse Car"/>
    <w:basedOn w:val="Policepardfaut"/>
    <w:link w:val="Formuledepolitesse"/>
    <w:uiPriority w:val="99"/>
    <w:rsid w:val="00F46C7B"/>
    <w:rPr>
      <w:rFonts w:ascii="Garamond" w:eastAsia="Times New Roman" w:hAnsi="Garamond" w:cs="Times New Roman"/>
      <w:sz w:val="20"/>
      <w:szCs w:val="20"/>
      <w:lang w:val="en-US"/>
    </w:rPr>
  </w:style>
  <w:style w:type="paragraph" w:styleId="Index3">
    <w:name w:val="index 3"/>
    <w:basedOn w:val="Normal"/>
    <w:next w:val="Normal"/>
    <w:autoRedefine/>
    <w:uiPriority w:val="99"/>
    <w:rsid w:val="00F46C7B"/>
    <w:pPr>
      <w:ind w:left="720" w:hanging="240"/>
    </w:pPr>
    <w:rPr>
      <w:rFonts w:ascii="Garamond" w:hAnsi="Garamond"/>
      <w:szCs w:val="20"/>
    </w:rPr>
  </w:style>
  <w:style w:type="paragraph" w:styleId="Index4">
    <w:name w:val="index 4"/>
    <w:basedOn w:val="Normal"/>
    <w:next w:val="Normal"/>
    <w:autoRedefine/>
    <w:uiPriority w:val="99"/>
    <w:rsid w:val="00F46C7B"/>
    <w:pPr>
      <w:ind w:left="960" w:hanging="240"/>
    </w:pPr>
    <w:rPr>
      <w:rFonts w:ascii="Garamond" w:hAnsi="Garamond"/>
      <w:szCs w:val="20"/>
    </w:rPr>
  </w:style>
  <w:style w:type="paragraph" w:styleId="Index5">
    <w:name w:val="index 5"/>
    <w:basedOn w:val="Normal"/>
    <w:next w:val="Normal"/>
    <w:autoRedefine/>
    <w:uiPriority w:val="99"/>
    <w:rsid w:val="00F46C7B"/>
    <w:pPr>
      <w:ind w:left="1200" w:hanging="240"/>
    </w:pPr>
    <w:rPr>
      <w:rFonts w:ascii="Garamond" w:hAnsi="Garamond"/>
      <w:szCs w:val="20"/>
    </w:rPr>
  </w:style>
  <w:style w:type="paragraph" w:styleId="Index6">
    <w:name w:val="index 6"/>
    <w:basedOn w:val="Normal"/>
    <w:next w:val="Normal"/>
    <w:autoRedefine/>
    <w:uiPriority w:val="99"/>
    <w:rsid w:val="00F46C7B"/>
    <w:pPr>
      <w:ind w:left="1440" w:hanging="240"/>
    </w:pPr>
    <w:rPr>
      <w:rFonts w:ascii="Garamond" w:hAnsi="Garamond"/>
      <w:szCs w:val="20"/>
    </w:rPr>
  </w:style>
  <w:style w:type="paragraph" w:styleId="Index7">
    <w:name w:val="index 7"/>
    <w:basedOn w:val="Normal"/>
    <w:next w:val="Normal"/>
    <w:autoRedefine/>
    <w:uiPriority w:val="99"/>
    <w:rsid w:val="00F46C7B"/>
    <w:pPr>
      <w:ind w:left="1680" w:hanging="240"/>
    </w:pPr>
    <w:rPr>
      <w:rFonts w:ascii="Garamond" w:hAnsi="Garamond"/>
      <w:szCs w:val="20"/>
    </w:rPr>
  </w:style>
  <w:style w:type="paragraph" w:styleId="Index8">
    <w:name w:val="index 8"/>
    <w:basedOn w:val="Normal"/>
    <w:next w:val="Normal"/>
    <w:autoRedefine/>
    <w:uiPriority w:val="99"/>
    <w:rsid w:val="00F46C7B"/>
    <w:pPr>
      <w:ind w:left="1920" w:hanging="240"/>
    </w:pPr>
    <w:rPr>
      <w:rFonts w:ascii="Garamond" w:hAnsi="Garamond"/>
      <w:szCs w:val="20"/>
    </w:rPr>
  </w:style>
  <w:style w:type="paragraph" w:styleId="Index9">
    <w:name w:val="index 9"/>
    <w:basedOn w:val="Normal"/>
    <w:next w:val="Normal"/>
    <w:autoRedefine/>
    <w:uiPriority w:val="99"/>
    <w:rsid w:val="00F46C7B"/>
    <w:pPr>
      <w:ind w:left="2160" w:hanging="240"/>
    </w:pPr>
    <w:rPr>
      <w:rFonts w:ascii="Garamond" w:hAnsi="Garamond"/>
      <w:szCs w:val="20"/>
    </w:rPr>
  </w:style>
  <w:style w:type="paragraph" w:styleId="Lgende">
    <w:name w:val="caption"/>
    <w:basedOn w:val="Normal"/>
    <w:next w:val="Normal"/>
    <w:uiPriority w:val="35"/>
    <w:qFormat/>
    <w:rsid w:val="00F46C7B"/>
    <w:pPr>
      <w:spacing w:before="120"/>
    </w:pPr>
    <w:rPr>
      <w:rFonts w:ascii="Garamond" w:hAnsi="Garamond"/>
      <w:b/>
      <w:bCs/>
      <w:szCs w:val="20"/>
    </w:rPr>
  </w:style>
  <w:style w:type="paragraph" w:styleId="Liste">
    <w:name w:val="List"/>
    <w:basedOn w:val="Normal"/>
    <w:uiPriority w:val="99"/>
    <w:rsid w:val="00F46C7B"/>
    <w:pPr>
      <w:ind w:left="283" w:hanging="283"/>
    </w:pPr>
    <w:rPr>
      <w:rFonts w:ascii="Garamond" w:hAnsi="Garamond"/>
      <w:szCs w:val="20"/>
    </w:rPr>
  </w:style>
  <w:style w:type="paragraph" w:styleId="Liste2">
    <w:name w:val="List 2"/>
    <w:basedOn w:val="Normal"/>
    <w:uiPriority w:val="99"/>
    <w:rsid w:val="00F46C7B"/>
    <w:pPr>
      <w:ind w:left="566" w:hanging="283"/>
    </w:pPr>
    <w:rPr>
      <w:rFonts w:ascii="Garamond" w:hAnsi="Garamond"/>
      <w:szCs w:val="20"/>
    </w:rPr>
  </w:style>
  <w:style w:type="paragraph" w:styleId="Liste3">
    <w:name w:val="List 3"/>
    <w:basedOn w:val="Normal"/>
    <w:uiPriority w:val="99"/>
    <w:rsid w:val="00F46C7B"/>
    <w:pPr>
      <w:ind w:left="849" w:hanging="283"/>
    </w:pPr>
    <w:rPr>
      <w:rFonts w:ascii="Garamond" w:hAnsi="Garamond"/>
      <w:szCs w:val="20"/>
    </w:rPr>
  </w:style>
  <w:style w:type="paragraph" w:styleId="Liste4">
    <w:name w:val="List 4"/>
    <w:basedOn w:val="Normal"/>
    <w:uiPriority w:val="99"/>
    <w:rsid w:val="00F46C7B"/>
    <w:pPr>
      <w:ind w:left="1132" w:hanging="283"/>
    </w:pPr>
    <w:rPr>
      <w:rFonts w:ascii="Garamond" w:hAnsi="Garamond"/>
      <w:szCs w:val="20"/>
    </w:rPr>
  </w:style>
  <w:style w:type="paragraph" w:styleId="Liste5">
    <w:name w:val="List 5"/>
    <w:basedOn w:val="Normal"/>
    <w:uiPriority w:val="99"/>
    <w:rsid w:val="00F46C7B"/>
    <w:pPr>
      <w:ind w:left="1415" w:hanging="283"/>
    </w:pPr>
    <w:rPr>
      <w:rFonts w:ascii="Garamond" w:hAnsi="Garamond"/>
      <w:szCs w:val="20"/>
    </w:rPr>
  </w:style>
  <w:style w:type="paragraph" w:styleId="Listenumros2">
    <w:name w:val="List Number 2"/>
    <w:basedOn w:val="Normal"/>
    <w:uiPriority w:val="99"/>
    <w:rsid w:val="00F46C7B"/>
    <w:pPr>
      <w:tabs>
        <w:tab w:val="num" w:pos="643"/>
      </w:tabs>
      <w:ind w:left="643" w:hanging="360"/>
    </w:pPr>
    <w:rPr>
      <w:rFonts w:ascii="Garamond" w:hAnsi="Garamond"/>
      <w:szCs w:val="20"/>
    </w:rPr>
  </w:style>
  <w:style w:type="paragraph" w:styleId="Listenumros3">
    <w:name w:val="List Number 3"/>
    <w:basedOn w:val="Normal"/>
    <w:uiPriority w:val="99"/>
    <w:rsid w:val="00F46C7B"/>
    <w:pPr>
      <w:tabs>
        <w:tab w:val="num" w:pos="926"/>
      </w:tabs>
      <w:ind w:left="926" w:hanging="360"/>
    </w:pPr>
    <w:rPr>
      <w:rFonts w:ascii="Garamond" w:hAnsi="Garamond"/>
      <w:szCs w:val="20"/>
    </w:rPr>
  </w:style>
  <w:style w:type="paragraph" w:styleId="Listenumros4">
    <w:name w:val="List Number 4"/>
    <w:basedOn w:val="Normal"/>
    <w:uiPriority w:val="99"/>
    <w:rsid w:val="00F46C7B"/>
    <w:pPr>
      <w:tabs>
        <w:tab w:val="num" w:pos="1209"/>
      </w:tabs>
      <w:ind w:left="1209" w:hanging="360"/>
    </w:pPr>
    <w:rPr>
      <w:rFonts w:ascii="Garamond" w:hAnsi="Garamond"/>
      <w:szCs w:val="20"/>
    </w:rPr>
  </w:style>
  <w:style w:type="paragraph" w:styleId="Listenumros5">
    <w:name w:val="List Number 5"/>
    <w:basedOn w:val="Normal"/>
    <w:uiPriority w:val="99"/>
    <w:rsid w:val="00F46C7B"/>
    <w:pPr>
      <w:tabs>
        <w:tab w:val="num" w:pos="1492"/>
      </w:tabs>
      <w:ind w:left="1492" w:hanging="360"/>
    </w:pPr>
    <w:rPr>
      <w:rFonts w:ascii="Garamond" w:hAnsi="Garamond"/>
      <w:szCs w:val="20"/>
    </w:rPr>
  </w:style>
  <w:style w:type="paragraph" w:styleId="Listecontinue2">
    <w:name w:val="List Continue 2"/>
    <w:basedOn w:val="Normal"/>
    <w:uiPriority w:val="99"/>
    <w:rsid w:val="00F46C7B"/>
    <w:pPr>
      <w:ind w:left="566"/>
    </w:pPr>
    <w:rPr>
      <w:rFonts w:ascii="Garamond" w:hAnsi="Garamond"/>
      <w:szCs w:val="20"/>
    </w:rPr>
  </w:style>
  <w:style w:type="paragraph" w:styleId="Listecontinue3">
    <w:name w:val="List Continue 3"/>
    <w:basedOn w:val="Normal"/>
    <w:uiPriority w:val="99"/>
    <w:rsid w:val="00F46C7B"/>
    <w:pPr>
      <w:ind w:left="849"/>
    </w:pPr>
    <w:rPr>
      <w:rFonts w:ascii="Garamond" w:hAnsi="Garamond"/>
      <w:szCs w:val="20"/>
    </w:rPr>
  </w:style>
  <w:style w:type="paragraph" w:styleId="Listecontinue5">
    <w:name w:val="List Continue 5"/>
    <w:basedOn w:val="Normal"/>
    <w:uiPriority w:val="99"/>
    <w:rsid w:val="00F46C7B"/>
    <w:pPr>
      <w:ind w:left="1415"/>
    </w:pPr>
    <w:rPr>
      <w:rFonts w:ascii="Garamond" w:hAnsi="Garamond"/>
      <w:szCs w:val="20"/>
    </w:rPr>
  </w:style>
  <w:style w:type="paragraph" w:styleId="PrformatHTML">
    <w:name w:val="HTML Preformatted"/>
    <w:basedOn w:val="Normal"/>
    <w:link w:val="PrformatHTMLCar"/>
    <w:uiPriority w:val="99"/>
    <w:rsid w:val="00F46C7B"/>
    <w:rPr>
      <w:rFonts w:ascii="Courier New" w:hAnsi="Courier New"/>
      <w:szCs w:val="20"/>
    </w:rPr>
  </w:style>
  <w:style w:type="character" w:customStyle="1" w:styleId="PrformatHTMLCar">
    <w:name w:val="Préformaté HTML Car"/>
    <w:basedOn w:val="Policepardfaut"/>
    <w:link w:val="PrformatHTML"/>
    <w:uiPriority w:val="99"/>
    <w:rsid w:val="00F46C7B"/>
    <w:rPr>
      <w:rFonts w:ascii="Courier New" w:eastAsia="Times New Roman" w:hAnsi="Courier New" w:cs="Times New Roman"/>
      <w:sz w:val="20"/>
      <w:szCs w:val="20"/>
      <w:lang w:val="en-US"/>
    </w:rPr>
  </w:style>
  <w:style w:type="paragraph" w:styleId="Retraitcorpsdetexte">
    <w:name w:val="Body Text Indent"/>
    <w:basedOn w:val="Normal"/>
    <w:link w:val="RetraitcorpsdetexteCar"/>
    <w:uiPriority w:val="99"/>
    <w:rsid w:val="00F46C7B"/>
    <w:pPr>
      <w:ind w:left="283"/>
    </w:pPr>
    <w:rPr>
      <w:rFonts w:ascii="Garamond" w:hAnsi="Garamond"/>
      <w:szCs w:val="20"/>
    </w:rPr>
  </w:style>
  <w:style w:type="character" w:customStyle="1" w:styleId="RetraitcorpsdetexteCar">
    <w:name w:val="Retrait corps de texte Car"/>
    <w:basedOn w:val="Policepardfaut"/>
    <w:link w:val="Retraitcorpsdetexte"/>
    <w:uiPriority w:val="99"/>
    <w:rsid w:val="00F46C7B"/>
    <w:rPr>
      <w:rFonts w:ascii="Garamond" w:eastAsia="Times New Roman" w:hAnsi="Garamond" w:cs="Times New Roman"/>
      <w:sz w:val="20"/>
      <w:szCs w:val="20"/>
      <w:lang w:val="en-US"/>
    </w:rPr>
  </w:style>
  <w:style w:type="character" w:customStyle="1" w:styleId="BodyTextIndentChar">
    <w:name w:val="Body Text Indent Char"/>
    <w:basedOn w:val="Policepardfaut"/>
    <w:uiPriority w:val="99"/>
    <w:locked/>
    <w:rsid w:val="00F46C7B"/>
    <w:rPr>
      <w:rFonts w:ascii="Times New Roman" w:hAnsi="Times New Roman" w:cs="Times New Roman"/>
      <w:sz w:val="20"/>
      <w:lang w:eastAsia="fr-FR"/>
    </w:rPr>
  </w:style>
  <w:style w:type="paragraph" w:styleId="Retraitcorpsdetexte2">
    <w:name w:val="Body Text Indent 2"/>
    <w:basedOn w:val="Normal"/>
    <w:link w:val="Retraitcorpsdetexte2Car"/>
    <w:uiPriority w:val="99"/>
    <w:rsid w:val="00F46C7B"/>
    <w:pPr>
      <w:spacing w:line="480" w:lineRule="auto"/>
      <w:ind w:left="283"/>
    </w:pPr>
    <w:rPr>
      <w:rFonts w:ascii="Garamond" w:hAnsi="Garamond"/>
      <w:szCs w:val="20"/>
    </w:rPr>
  </w:style>
  <w:style w:type="character" w:customStyle="1" w:styleId="Retraitcorpsdetexte2Car">
    <w:name w:val="Retrait corps de texte 2 Car"/>
    <w:basedOn w:val="Policepardfaut"/>
    <w:link w:val="Retraitcorpsdetexte2"/>
    <w:uiPriority w:val="99"/>
    <w:rsid w:val="00F46C7B"/>
    <w:rPr>
      <w:rFonts w:ascii="Garamond" w:eastAsia="Times New Roman" w:hAnsi="Garamond" w:cs="Times New Roman"/>
      <w:sz w:val="20"/>
      <w:szCs w:val="20"/>
      <w:lang w:val="en-US"/>
    </w:rPr>
  </w:style>
  <w:style w:type="paragraph" w:styleId="Retraitcorpset1relig">
    <w:name w:val="Body Text First Indent 2"/>
    <w:basedOn w:val="Retraitcorpsdetexte"/>
    <w:link w:val="Retraitcorpset1religCar"/>
    <w:uiPriority w:val="99"/>
    <w:rsid w:val="00F46C7B"/>
    <w:pPr>
      <w:ind w:firstLine="210"/>
    </w:pPr>
  </w:style>
  <w:style w:type="character" w:customStyle="1" w:styleId="Retraitcorpset1religCar">
    <w:name w:val="Retrait corps et 1re lig. Car"/>
    <w:basedOn w:val="RetraitcorpsdetexteCar"/>
    <w:link w:val="Retraitcorpset1relig"/>
    <w:uiPriority w:val="99"/>
    <w:rsid w:val="00F46C7B"/>
    <w:rPr>
      <w:rFonts w:ascii="Garamond" w:eastAsia="Times New Roman" w:hAnsi="Garamond" w:cs="Times New Roman"/>
      <w:sz w:val="20"/>
      <w:szCs w:val="20"/>
      <w:lang w:val="en-US"/>
    </w:rPr>
  </w:style>
  <w:style w:type="paragraph" w:styleId="Retraitnormal">
    <w:name w:val="Normal Indent"/>
    <w:basedOn w:val="Normal"/>
    <w:uiPriority w:val="99"/>
    <w:rsid w:val="00F46C7B"/>
    <w:pPr>
      <w:ind w:left="708"/>
    </w:pPr>
    <w:rPr>
      <w:rFonts w:ascii="Garamond" w:hAnsi="Garamond"/>
      <w:szCs w:val="20"/>
    </w:rPr>
  </w:style>
  <w:style w:type="paragraph" w:styleId="Salutations">
    <w:name w:val="Salutation"/>
    <w:basedOn w:val="Normal"/>
    <w:next w:val="Normal"/>
    <w:link w:val="SalutationsCar"/>
    <w:uiPriority w:val="99"/>
    <w:rsid w:val="00F46C7B"/>
    <w:rPr>
      <w:rFonts w:ascii="Garamond" w:hAnsi="Garamond"/>
      <w:szCs w:val="20"/>
    </w:rPr>
  </w:style>
  <w:style w:type="character" w:customStyle="1" w:styleId="SalutationsCar">
    <w:name w:val="Salutations Car"/>
    <w:basedOn w:val="Policepardfaut"/>
    <w:link w:val="Salutations"/>
    <w:uiPriority w:val="99"/>
    <w:rsid w:val="00F46C7B"/>
    <w:rPr>
      <w:rFonts w:ascii="Garamond" w:eastAsia="Times New Roman" w:hAnsi="Garamond" w:cs="Times New Roman"/>
      <w:sz w:val="20"/>
      <w:szCs w:val="20"/>
      <w:lang w:val="en-US"/>
    </w:rPr>
  </w:style>
  <w:style w:type="paragraph" w:styleId="Signaturelectronique">
    <w:name w:val="E-mail Signature"/>
    <w:basedOn w:val="Normal"/>
    <w:link w:val="SignaturelectroniqueCar"/>
    <w:uiPriority w:val="99"/>
    <w:rsid w:val="00F46C7B"/>
    <w:rPr>
      <w:rFonts w:ascii="Garamond" w:hAnsi="Garamond"/>
      <w:szCs w:val="20"/>
    </w:rPr>
  </w:style>
  <w:style w:type="character" w:customStyle="1" w:styleId="SignaturelectroniqueCar">
    <w:name w:val="Signature électronique Car"/>
    <w:basedOn w:val="Policepardfaut"/>
    <w:link w:val="Signaturelectronique"/>
    <w:uiPriority w:val="99"/>
    <w:rsid w:val="00F46C7B"/>
    <w:rPr>
      <w:rFonts w:ascii="Garamond" w:eastAsia="Times New Roman" w:hAnsi="Garamond" w:cs="Times New Roman"/>
      <w:sz w:val="20"/>
      <w:szCs w:val="20"/>
      <w:lang w:val="en-US"/>
    </w:rPr>
  </w:style>
  <w:style w:type="paragraph" w:styleId="Tabledesillustrations">
    <w:name w:val="table of figures"/>
    <w:basedOn w:val="Normal"/>
    <w:next w:val="Normal"/>
    <w:uiPriority w:val="99"/>
    <w:rsid w:val="00F46C7B"/>
    <w:pPr>
      <w:ind w:left="480" w:hanging="480"/>
    </w:pPr>
    <w:rPr>
      <w:rFonts w:ascii="Garamond" w:hAnsi="Garamond"/>
      <w:szCs w:val="20"/>
    </w:rPr>
  </w:style>
  <w:style w:type="paragraph" w:styleId="Tabledesrfrencesjuridiques">
    <w:name w:val="table of authorities"/>
    <w:basedOn w:val="Normal"/>
    <w:next w:val="Normal"/>
    <w:uiPriority w:val="99"/>
    <w:rsid w:val="00F46C7B"/>
    <w:pPr>
      <w:ind w:left="240" w:hanging="240"/>
    </w:pPr>
    <w:rPr>
      <w:rFonts w:ascii="Garamond" w:hAnsi="Garamond"/>
      <w:szCs w:val="20"/>
    </w:rPr>
  </w:style>
  <w:style w:type="paragraph" w:styleId="Textebrut">
    <w:name w:val="Plain Text"/>
    <w:basedOn w:val="Normal"/>
    <w:link w:val="TextebrutCar"/>
    <w:uiPriority w:val="99"/>
    <w:rsid w:val="00F46C7B"/>
    <w:rPr>
      <w:rFonts w:ascii="Courier New" w:hAnsi="Courier New"/>
      <w:szCs w:val="20"/>
    </w:rPr>
  </w:style>
  <w:style w:type="character" w:customStyle="1" w:styleId="TextebrutCar">
    <w:name w:val="Texte brut Car"/>
    <w:basedOn w:val="Policepardfaut"/>
    <w:link w:val="Textebrut"/>
    <w:uiPriority w:val="99"/>
    <w:rsid w:val="00F46C7B"/>
    <w:rPr>
      <w:rFonts w:ascii="Courier New" w:eastAsia="Times New Roman" w:hAnsi="Courier New" w:cs="Times New Roman"/>
      <w:sz w:val="20"/>
      <w:szCs w:val="20"/>
      <w:lang w:val="en-US"/>
    </w:rPr>
  </w:style>
  <w:style w:type="character" w:customStyle="1" w:styleId="PlainTextChar">
    <w:name w:val="Plain Text Char"/>
    <w:basedOn w:val="Policepardfaut"/>
    <w:uiPriority w:val="99"/>
    <w:locked/>
    <w:rsid w:val="00F46C7B"/>
    <w:rPr>
      <w:rFonts w:ascii="Courier New" w:hAnsi="Courier New" w:cs="Times New Roman"/>
      <w:sz w:val="20"/>
      <w:lang w:eastAsia="fr-FR"/>
    </w:rPr>
  </w:style>
  <w:style w:type="paragraph" w:styleId="Textedemacro">
    <w:name w:val="macro"/>
    <w:link w:val="TextedemacroCar"/>
    <w:uiPriority w:val="99"/>
    <w:rsid w:val="00F46C7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4"/>
      <w:szCs w:val="24"/>
      <w:lang w:val="en-US"/>
    </w:rPr>
  </w:style>
  <w:style w:type="character" w:customStyle="1" w:styleId="TextedemacroCar">
    <w:name w:val="Texte de macro Car"/>
    <w:basedOn w:val="Policepardfaut"/>
    <w:link w:val="Textedemacro"/>
    <w:uiPriority w:val="99"/>
    <w:rsid w:val="00F46C7B"/>
    <w:rPr>
      <w:rFonts w:ascii="Courier New" w:eastAsia="Times New Roman" w:hAnsi="Courier New" w:cs="Times New Roman"/>
      <w:sz w:val="24"/>
      <w:szCs w:val="24"/>
      <w:lang w:val="en-US"/>
    </w:rPr>
  </w:style>
  <w:style w:type="character" w:styleId="Lienhypertextesuivivisit">
    <w:name w:val="FollowedHyperlink"/>
    <w:basedOn w:val="Policepardfaut"/>
    <w:uiPriority w:val="99"/>
    <w:rsid w:val="00F46C7B"/>
    <w:rPr>
      <w:rFonts w:cs="Times New Roman"/>
      <w:color w:val="800080"/>
      <w:u w:val="single"/>
    </w:rPr>
  </w:style>
  <w:style w:type="character" w:customStyle="1" w:styleId="DeltaViewInsertion">
    <w:name w:val="DeltaView Insertion"/>
    <w:uiPriority w:val="99"/>
    <w:rsid w:val="00F46C7B"/>
    <w:rPr>
      <w:color w:val="0000FF"/>
      <w:spacing w:val="0"/>
      <w:u w:val="double"/>
    </w:rPr>
  </w:style>
  <w:style w:type="paragraph" w:customStyle="1" w:styleId="font0">
    <w:name w:val="font0"/>
    <w:basedOn w:val="Normal"/>
    <w:uiPriority w:val="99"/>
    <w:rsid w:val="00F46C7B"/>
    <w:pPr>
      <w:spacing w:before="100" w:beforeAutospacing="1" w:after="100" w:afterAutospacing="1"/>
    </w:pPr>
    <w:rPr>
      <w:rFonts w:ascii="Arial" w:hAnsi="Arial" w:cs="Arial"/>
      <w:szCs w:val="20"/>
    </w:rPr>
  </w:style>
  <w:style w:type="paragraph" w:customStyle="1" w:styleId="font5">
    <w:name w:val="font5"/>
    <w:basedOn w:val="Normal"/>
    <w:uiPriority w:val="99"/>
    <w:rsid w:val="00F46C7B"/>
    <w:pPr>
      <w:numPr>
        <w:ilvl w:val="3"/>
        <w:numId w:val="15"/>
      </w:numPr>
      <w:tabs>
        <w:tab w:val="clear" w:pos="2844"/>
      </w:tabs>
      <w:spacing w:before="100" w:beforeAutospacing="1" w:after="100" w:afterAutospacing="1"/>
      <w:ind w:left="0" w:firstLine="0"/>
    </w:pPr>
    <w:rPr>
      <w:rFonts w:ascii="Arial" w:hAnsi="Arial" w:cs="Arial"/>
      <w:szCs w:val="20"/>
    </w:rPr>
  </w:style>
  <w:style w:type="paragraph" w:customStyle="1" w:styleId="font6">
    <w:name w:val="font6"/>
    <w:basedOn w:val="Normal"/>
    <w:uiPriority w:val="99"/>
    <w:rsid w:val="00F46C7B"/>
    <w:pPr>
      <w:spacing w:before="100" w:beforeAutospacing="1" w:after="100" w:afterAutospacing="1"/>
    </w:pPr>
    <w:rPr>
      <w:rFonts w:ascii="Arial" w:hAnsi="Arial" w:cs="Arial"/>
      <w:b/>
      <w:bCs/>
      <w:szCs w:val="20"/>
    </w:rPr>
  </w:style>
  <w:style w:type="paragraph" w:customStyle="1" w:styleId="OmniPage1">
    <w:name w:val="OmniPage #1"/>
    <w:basedOn w:val="Normal"/>
    <w:uiPriority w:val="99"/>
    <w:rsid w:val="00F46C7B"/>
    <w:pPr>
      <w:spacing w:line="240" w:lineRule="exact"/>
    </w:pPr>
    <w:rPr>
      <w:rFonts w:ascii="Garamond" w:hAnsi="Garamond"/>
      <w:szCs w:val="20"/>
    </w:rPr>
  </w:style>
  <w:style w:type="paragraph" w:customStyle="1" w:styleId="OmniPage7">
    <w:name w:val="OmniPage #7"/>
    <w:basedOn w:val="Normal"/>
    <w:uiPriority w:val="99"/>
    <w:rsid w:val="00F46C7B"/>
    <w:pPr>
      <w:spacing w:line="180" w:lineRule="exact"/>
    </w:pPr>
    <w:rPr>
      <w:rFonts w:ascii="Garamond" w:hAnsi="Garamond"/>
      <w:szCs w:val="20"/>
    </w:rPr>
  </w:style>
  <w:style w:type="paragraph" w:customStyle="1" w:styleId="Heading1Bold11pt">
    <w:name w:val="Heading 1 + Bold + 11 pt"/>
    <w:aliases w:val="Small caps"/>
    <w:basedOn w:val="Normal"/>
    <w:uiPriority w:val="99"/>
    <w:rsid w:val="00F46C7B"/>
    <w:pPr>
      <w:keepNext/>
      <w:outlineLvl w:val="0"/>
    </w:pPr>
    <w:rPr>
      <w:rFonts w:ascii="Garamond" w:hAnsi="Garamond"/>
      <w:b/>
      <w:bCs/>
      <w:smallCaps/>
      <w:szCs w:val="22"/>
    </w:rPr>
  </w:style>
  <w:style w:type="paragraph" w:customStyle="1" w:styleId="Heading3Italic">
    <w:name w:val="Heading 3 + Italic"/>
    <w:basedOn w:val="Titre3"/>
    <w:uiPriority w:val="99"/>
    <w:rsid w:val="00F46C7B"/>
    <w:pPr>
      <w:keepNext w:val="0"/>
      <w:tabs>
        <w:tab w:val="left" w:pos="960"/>
      </w:tabs>
      <w:spacing w:before="600" w:after="240"/>
    </w:pPr>
    <w:rPr>
      <w:rFonts w:ascii="Garamond" w:eastAsia="Times New Roman" w:hAnsi="Garamond" w:cs="Arial"/>
      <w:b w:val="0"/>
      <w:i/>
      <w:sz w:val="24"/>
    </w:rPr>
  </w:style>
  <w:style w:type="paragraph" w:customStyle="1" w:styleId="NormalJustified">
    <w:name w:val="Normal + Justified"/>
    <w:basedOn w:val="Normal"/>
    <w:uiPriority w:val="99"/>
    <w:rsid w:val="00F46C7B"/>
    <w:rPr>
      <w:rFonts w:ascii="Times New Roman Bold" w:hAnsi="Times New Roman Bold"/>
      <w:szCs w:val="22"/>
    </w:rPr>
  </w:style>
  <w:style w:type="character" w:customStyle="1" w:styleId="DeltaViewDeletion">
    <w:name w:val="DeltaView Deletion"/>
    <w:uiPriority w:val="99"/>
    <w:rsid w:val="00F46C7B"/>
    <w:rPr>
      <w:strike/>
      <w:color w:val="FF0000"/>
      <w:spacing w:val="0"/>
    </w:rPr>
  </w:style>
  <w:style w:type="character" w:customStyle="1" w:styleId="TM1Car">
    <w:name w:val="TM 1 Car"/>
    <w:aliases w:val="toc1 Car"/>
    <w:link w:val="TM1"/>
    <w:uiPriority w:val="39"/>
    <w:locked/>
    <w:rsid w:val="003D20F8"/>
    <w:rPr>
      <w:rFonts w:ascii="Times New Roman Gras" w:eastAsia="Times New Roman" w:hAnsi="Times New Roman Gras" w:cs="Times New Roman"/>
      <w:b/>
      <w:noProof/>
      <w:sz w:val="20"/>
      <w:szCs w:val="20"/>
      <w:lang w:val="en-US"/>
    </w:rPr>
  </w:style>
  <w:style w:type="paragraph" w:customStyle="1" w:styleId="DDBTitre1">
    <w:name w:val="DDB Titre 1"/>
    <w:basedOn w:val="Titre1"/>
    <w:link w:val="DDBTitre1Car"/>
    <w:uiPriority w:val="99"/>
    <w:rsid w:val="00F46C7B"/>
    <w:pPr>
      <w:pageBreakBefore/>
      <w:tabs>
        <w:tab w:val="left" w:pos="709"/>
      </w:tabs>
      <w:spacing w:before="0" w:after="120"/>
      <w:ind w:left="720" w:hanging="360"/>
    </w:pPr>
    <w:rPr>
      <w:rFonts w:ascii="Garamond" w:eastAsia="Times New Roman" w:hAnsi="Garamond"/>
      <w:caps/>
      <w:kern w:val="0"/>
      <w:sz w:val="28"/>
    </w:rPr>
  </w:style>
  <w:style w:type="character" w:customStyle="1" w:styleId="DDBTitre1Car">
    <w:name w:val="DDB Titre 1 Car"/>
    <w:link w:val="DDBTitre1"/>
    <w:uiPriority w:val="99"/>
    <w:locked/>
    <w:rsid w:val="00F46C7B"/>
    <w:rPr>
      <w:rFonts w:ascii="Garamond" w:eastAsia="Times New Roman" w:hAnsi="Garamond" w:cs="Times New Roman"/>
      <w:b/>
      <w:caps/>
      <w:sz w:val="28"/>
      <w:szCs w:val="20"/>
      <w:lang w:val="en-US"/>
    </w:rPr>
  </w:style>
  <w:style w:type="paragraph" w:customStyle="1" w:styleId="DDBTitre4">
    <w:name w:val="DDB Titre 4"/>
    <w:basedOn w:val="Titre4"/>
    <w:link w:val="DDBTitre4Car"/>
    <w:qFormat/>
    <w:rsid w:val="00F46C7B"/>
    <w:pPr>
      <w:pBdr>
        <w:bottom w:val="single" w:sz="4" w:space="1" w:color="auto"/>
      </w:pBdr>
      <w:tabs>
        <w:tab w:val="left" w:pos="1701"/>
      </w:tabs>
      <w:spacing w:before="0" w:after="120"/>
      <w:ind w:left="1701" w:hanging="992"/>
    </w:pPr>
    <w:rPr>
      <w:rFonts w:ascii="Garamond" w:eastAsia="Times New Roman" w:hAnsi="Garamond"/>
      <w:color w:val="595959"/>
      <w:sz w:val="20"/>
    </w:rPr>
  </w:style>
  <w:style w:type="character" w:customStyle="1" w:styleId="DDBTitre4Car">
    <w:name w:val="DDB Titre 4 Car"/>
    <w:link w:val="DDBTitre4"/>
    <w:locked/>
    <w:rsid w:val="00F46C7B"/>
    <w:rPr>
      <w:rFonts w:ascii="Garamond" w:eastAsia="Times New Roman" w:hAnsi="Garamond" w:cs="Times New Roman"/>
      <w:b/>
      <w:color w:val="595959"/>
      <w:sz w:val="20"/>
      <w:szCs w:val="20"/>
      <w:lang w:val="en-US"/>
    </w:rPr>
  </w:style>
  <w:style w:type="character" w:customStyle="1" w:styleId="Emphaseintense1">
    <w:name w:val="Emphase intense1"/>
    <w:uiPriority w:val="99"/>
    <w:rsid w:val="00F46C7B"/>
    <w:rPr>
      <w:b/>
      <w:i/>
      <w:color w:val="0000FF"/>
    </w:rPr>
  </w:style>
  <w:style w:type="paragraph" w:customStyle="1" w:styleId="Corpsdetexte0">
    <w:name w:val="Corps de texte 0"/>
    <w:basedOn w:val="Normal"/>
    <w:link w:val="Corpsdetexte0Char"/>
    <w:uiPriority w:val="99"/>
    <w:rsid w:val="00F46C7B"/>
    <w:pPr>
      <w:spacing w:after="240"/>
    </w:pPr>
    <w:rPr>
      <w:szCs w:val="20"/>
    </w:rPr>
  </w:style>
  <w:style w:type="paragraph" w:customStyle="1" w:styleId="ListeIGras">
    <w:name w:val="Liste I Gras"/>
    <w:basedOn w:val="Normal"/>
    <w:next w:val="Corpsdetexte"/>
    <w:uiPriority w:val="99"/>
    <w:rsid w:val="00F46C7B"/>
    <w:pPr>
      <w:numPr>
        <w:numId w:val="20"/>
      </w:numPr>
      <w:tabs>
        <w:tab w:val="clear" w:pos="851"/>
        <w:tab w:val="num" w:pos="360"/>
      </w:tabs>
      <w:spacing w:after="240"/>
      <w:ind w:left="936" w:hanging="936"/>
    </w:pPr>
    <w:rPr>
      <w:b/>
      <w:szCs w:val="22"/>
      <w:u w:val="single"/>
    </w:rPr>
  </w:style>
  <w:style w:type="character" w:customStyle="1" w:styleId="Corpsdetexte0Char">
    <w:name w:val="Corps de texte 0 Char"/>
    <w:link w:val="Corpsdetexte0"/>
    <w:uiPriority w:val="99"/>
    <w:locked/>
    <w:rsid w:val="00F46C7B"/>
    <w:rPr>
      <w:rFonts w:ascii="Times New Roman" w:eastAsia="Times New Roman" w:hAnsi="Times New Roman" w:cs="Times New Roman"/>
      <w:sz w:val="20"/>
      <w:szCs w:val="20"/>
      <w:lang w:val="en-US"/>
    </w:rPr>
  </w:style>
  <w:style w:type="paragraph" w:customStyle="1" w:styleId="Text">
    <w:name w:val="Text"/>
    <w:basedOn w:val="Normal"/>
    <w:uiPriority w:val="99"/>
    <w:rsid w:val="00F46C7B"/>
    <w:pPr>
      <w:spacing w:after="240"/>
      <w:ind w:firstLine="1440"/>
    </w:pPr>
    <w:rPr>
      <w:sz w:val="24"/>
      <w:szCs w:val="20"/>
    </w:rPr>
  </w:style>
  <w:style w:type="paragraph" w:customStyle="1" w:styleId="Corpsdetexte5">
    <w:name w:val="Corps de texte 5"/>
    <w:basedOn w:val="Normal"/>
    <w:link w:val="Corpsdetexte5Char"/>
    <w:uiPriority w:val="99"/>
    <w:rsid w:val="00F46C7B"/>
    <w:pPr>
      <w:spacing w:after="240"/>
      <w:ind w:left="1418"/>
    </w:pPr>
    <w:rPr>
      <w:szCs w:val="20"/>
    </w:rPr>
  </w:style>
  <w:style w:type="character" w:customStyle="1" w:styleId="Corpsdetexte5Char">
    <w:name w:val="Corps de texte 5 Char"/>
    <w:link w:val="Corpsdetexte5"/>
    <w:uiPriority w:val="99"/>
    <w:locked/>
    <w:rsid w:val="00F46C7B"/>
    <w:rPr>
      <w:rFonts w:ascii="Times New Roman" w:eastAsia="Times New Roman" w:hAnsi="Times New Roman" w:cs="Times New Roman"/>
      <w:sz w:val="20"/>
      <w:szCs w:val="20"/>
      <w:lang w:val="en-US"/>
    </w:rPr>
  </w:style>
  <w:style w:type="paragraph" w:customStyle="1" w:styleId="Bulletniveau2">
    <w:name w:val="Bullet niveau 2"/>
    <w:basedOn w:val="Listenumros"/>
    <w:uiPriority w:val="99"/>
    <w:rsid w:val="00F46C7B"/>
    <w:pPr>
      <w:tabs>
        <w:tab w:val="clear" w:pos="360"/>
        <w:tab w:val="num" w:pos="851"/>
        <w:tab w:val="left" w:pos="4536"/>
      </w:tabs>
      <w:spacing w:after="0"/>
      <w:ind w:left="851" w:hanging="425"/>
    </w:pPr>
    <w:rPr>
      <w:rFonts w:ascii="Compatil Fact LT Com" w:hAnsi="Compatil Fact LT Com"/>
      <w:szCs w:val="22"/>
    </w:rPr>
  </w:style>
  <w:style w:type="character" w:customStyle="1" w:styleId="ListenumrosCar">
    <w:name w:val="Liste à numéros Car"/>
    <w:aliases w:val="ln Car,Bullet niveau 1 Car"/>
    <w:link w:val="Listenumros"/>
    <w:uiPriority w:val="99"/>
    <w:locked/>
    <w:rsid w:val="00F46C7B"/>
    <w:rPr>
      <w:rFonts w:ascii="Garamond" w:eastAsia="Times New Roman" w:hAnsi="Garamond" w:cs="Times New Roman"/>
      <w:sz w:val="24"/>
      <w:szCs w:val="20"/>
      <w:lang w:val="en-US"/>
    </w:rPr>
  </w:style>
  <w:style w:type="paragraph" w:customStyle="1" w:styleId="DefaultText">
    <w:name w:val="Default Text"/>
    <w:basedOn w:val="Normal"/>
    <w:uiPriority w:val="99"/>
    <w:rsid w:val="00F46C7B"/>
    <w:pPr>
      <w:overflowPunct w:val="0"/>
      <w:autoSpaceDE w:val="0"/>
      <w:autoSpaceDN w:val="0"/>
      <w:adjustRightInd w:val="0"/>
      <w:textAlignment w:val="baseline"/>
    </w:pPr>
    <w:rPr>
      <w:sz w:val="24"/>
      <w:szCs w:val="20"/>
    </w:rPr>
  </w:style>
  <w:style w:type="paragraph" w:customStyle="1" w:styleId="Tableau">
    <w:name w:val="Tableau"/>
    <w:basedOn w:val="Normal"/>
    <w:uiPriority w:val="99"/>
    <w:rsid w:val="00F46C7B"/>
    <w:pPr>
      <w:spacing w:before="120"/>
    </w:pPr>
    <w:rPr>
      <w:szCs w:val="20"/>
    </w:rPr>
  </w:style>
  <w:style w:type="paragraph" w:customStyle="1" w:styleId="texte1x">
    <w:name w:val="texte 1.x"/>
    <w:basedOn w:val="Normal"/>
    <w:uiPriority w:val="99"/>
    <w:rsid w:val="00F46C7B"/>
    <w:pPr>
      <w:spacing w:before="120"/>
      <w:ind w:left="567"/>
    </w:pPr>
    <w:rPr>
      <w:rFonts w:ascii="Arial" w:hAnsi="Arial"/>
      <w:szCs w:val="20"/>
    </w:rPr>
  </w:style>
  <w:style w:type="character" w:styleId="Textedelespacerserv">
    <w:name w:val="Placeholder Text"/>
    <w:basedOn w:val="Policepardfaut"/>
    <w:uiPriority w:val="99"/>
    <w:semiHidden/>
    <w:rsid w:val="00F46C7B"/>
    <w:rPr>
      <w:rFonts w:cs="Times New Roman"/>
      <w:color w:val="808080"/>
    </w:rPr>
  </w:style>
  <w:style w:type="character" w:styleId="lev">
    <w:name w:val="Strong"/>
    <w:basedOn w:val="Policepardfaut"/>
    <w:uiPriority w:val="22"/>
    <w:qFormat/>
    <w:rsid w:val="00F46C7B"/>
    <w:rPr>
      <w:rFonts w:cs="Times New Roman"/>
      <w:b/>
    </w:rPr>
  </w:style>
  <w:style w:type="paragraph" w:customStyle="1" w:styleId="Texte1xx">
    <w:name w:val="Texte 1.xx"/>
    <w:basedOn w:val="Normal"/>
    <w:uiPriority w:val="99"/>
    <w:rsid w:val="00F46C7B"/>
    <w:pPr>
      <w:spacing w:before="120"/>
      <w:ind w:left="1418"/>
    </w:pPr>
    <w:rPr>
      <w:rFonts w:ascii="Arial" w:hAnsi="Arial"/>
      <w:szCs w:val="20"/>
    </w:rPr>
  </w:style>
  <w:style w:type="paragraph" w:customStyle="1" w:styleId="Address">
    <w:name w:val="Address"/>
    <w:uiPriority w:val="99"/>
    <w:rsid w:val="00F46C7B"/>
    <w:pPr>
      <w:widowControl w:val="0"/>
      <w:spacing w:after="0" w:line="240" w:lineRule="auto"/>
    </w:pPr>
    <w:rPr>
      <w:rFonts w:ascii="Times New Roman" w:eastAsia="Times New Roman" w:hAnsi="Times New Roman" w:cs="Times New Roman"/>
      <w:sz w:val="24"/>
      <w:szCs w:val="20"/>
      <w:lang w:val="en-US"/>
    </w:rPr>
  </w:style>
  <w:style w:type="paragraph" w:styleId="Adressedestinataire">
    <w:name w:val="envelope address"/>
    <w:basedOn w:val="Normal"/>
    <w:uiPriority w:val="99"/>
    <w:rsid w:val="00F46C7B"/>
    <w:pPr>
      <w:framePr w:w="7920" w:h="1980" w:hRule="exact" w:hSpace="180" w:wrap="auto" w:hAnchor="page" w:xAlign="center" w:yAlign="bottom"/>
      <w:ind w:left="2880"/>
    </w:pPr>
    <w:rPr>
      <w:rFonts w:cs="Arial"/>
    </w:rPr>
  </w:style>
  <w:style w:type="paragraph" w:styleId="Adresseexpditeur">
    <w:name w:val="envelope return"/>
    <w:basedOn w:val="Normal"/>
    <w:uiPriority w:val="99"/>
    <w:rsid w:val="00F46C7B"/>
    <w:rPr>
      <w:rFonts w:cs="Arial"/>
      <w:szCs w:val="20"/>
    </w:rPr>
  </w:style>
  <w:style w:type="paragraph" w:styleId="Titreindex">
    <w:name w:val="index heading"/>
    <w:basedOn w:val="Normal"/>
    <w:next w:val="Index1"/>
    <w:uiPriority w:val="99"/>
    <w:rsid w:val="00F46C7B"/>
    <w:pPr>
      <w:spacing w:after="240"/>
    </w:pPr>
    <w:rPr>
      <w:rFonts w:cs="Arial"/>
      <w:b/>
    </w:rPr>
  </w:style>
  <w:style w:type="paragraph" w:customStyle="1" w:styleId="Cadre">
    <w:name w:val="Cadre"/>
    <w:basedOn w:val="Titre"/>
    <w:uiPriority w:val="99"/>
    <w:rsid w:val="00F46C7B"/>
    <w:pPr>
      <w:pBdr>
        <w:top w:val="single" w:sz="12" w:space="1" w:color="808080" w:shadow="1"/>
        <w:left w:val="single" w:sz="12" w:space="4" w:color="808080" w:shadow="1"/>
        <w:bottom w:val="single" w:sz="12" w:space="1" w:color="808080" w:shadow="1"/>
        <w:right w:val="single" w:sz="12" w:space="4" w:color="808080" w:shadow="1"/>
      </w:pBdr>
      <w:shd w:val="clear" w:color="auto" w:fill="FFCC99"/>
      <w:spacing w:after="0"/>
      <w:ind w:left="2268" w:right="2268"/>
    </w:pPr>
    <w:rPr>
      <w:rFonts w:ascii="Clarendon Condensed" w:hAnsi="Clarendon Condensed"/>
      <w:b w:val="0"/>
      <w:color w:val="CC99FF"/>
      <w:spacing w:val="160"/>
      <w:sz w:val="56"/>
    </w:rPr>
  </w:style>
  <w:style w:type="paragraph" w:styleId="AdresseHTML">
    <w:name w:val="HTML Address"/>
    <w:basedOn w:val="Normal"/>
    <w:link w:val="AdresseHTMLCar"/>
    <w:uiPriority w:val="99"/>
    <w:rsid w:val="00F46C7B"/>
    <w:rPr>
      <w:i/>
      <w:szCs w:val="20"/>
    </w:rPr>
  </w:style>
  <w:style w:type="character" w:customStyle="1" w:styleId="AdresseHTMLCar">
    <w:name w:val="Adresse HTML Car"/>
    <w:basedOn w:val="Policepardfaut"/>
    <w:link w:val="AdresseHTML"/>
    <w:uiPriority w:val="99"/>
    <w:rsid w:val="00F46C7B"/>
    <w:rPr>
      <w:rFonts w:ascii="Calibri" w:eastAsia="Times New Roman" w:hAnsi="Calibri" w:cs="Times New Roman"/>
      <w:i/>
      <w:sz w:val="20"/>
      <w:szCs w:val="20"/>
      <w:lang w:val="en-US"/>
    </w:rPr>
  </w:style>
  <w:style w:type="paragraph" w:styleId="Titredenote">
    <w:name w:val="Note Heading"/>
    <w:basedOn w:val="Normal"/>
    <w:next w:val="Normal"/>
    <w:link w:val="TitredenoteCar"/>
    <w:uiPriority w:val="99"/>
    <w:rsid w:val="00F46C7B"/>
    <w:rPr>
      <w:szCs w:val="20"/>
    </w:rPr>
  </w:style>
  <w:style w:type="character" w:customStyle="1" w:styleId="TitredenoteCar">
    <w:name w:val="Titre de note Car"/>
    <w:basedOn w:val="Policepardfaut"/>
    <w:link w:val="Titredenote"/>
    <w:uiPriority w:val="99"/>
    <w:rsid w:val="00F46C7B"/>
    <w:rPr>
      <w:rFonts w:ascii="Calibri" w:eastAsia="Times New Roman" w:hAnsi="Calibri" w:cs="Times New Roman"/>
      <w:sz w:val="20"/>
      <w:szCs w:val="20"/>
      <w:lang w:val="en-US"/>
    </w:rPr>
  </w:style>
  <w:style w:type="paragraph" w:styleId="TitreTR">
    <w:name w:val="toa heading"/>
    <w:basedOn w:val="Normal"/>
    <w:next w:val="Normal"/>
    <w:uiPriority w:val="99"/>
    <w:rsid w:val="00F46C7B"/>
    <w:pPr>
      <w:spacing w:before="120"/>
    </w:pPr>
    <w:rPr>
      <w:rFonts w:ascii="Arial" w:hAnsi="Arial" w:cs="Arial"/>
      <w:b/>
      <w:bCs/>
    </w:rPr>
  </w:style>
  <w:style w:type="paragraph" w:customStyle="1" w:styleId="xl24">
    <w:name w:val="xl24"/>
    <w:basedOn w:val="Normal"/>
    <w:uiPriority w:val="99"/>
    <w:rsid w:val="00F46C7B"/>
    <w:pPr>
      <w:spacing w:before="100" w:beforeAutospacing="1" w:after="100" w:afterAutospacing="1"/>
    </w:pPr>
    <w:rPr>
      <w:szCs w:val="22"/>
    </w:rPr>
  </w:style>
  <w:style w:type="paragraph" w:customStyle="1" w:styleId="xl25">
    <w:name w:val="xl25"/>
    <w:basedOn w:val="Normal"/>
    <w:uiPriority w:val="99"/>
    <w:rsid w:val="00F46C7B"/>
    <w:pPr>
      <w:spacing w:before="100" w:beforeAutospacing="1" w:after="100" w:afterAutospacing="1"/>
    </w:pPr>
    <w:rPr>
      <w:i/>
      <w:iCs/>
    </w:rPr>
  </w:style>
  <w:style w:type="paragraph" w:customStyle="1" w:styleId="xl26">
    <w:name w:val="xl26"/>
    <w:basedOn w:val="Normal"/>
    <w:uiPriority w:val="99"/>
    <w:rsid w:val="00F46C7B"/>
    <w:pPr>
      <w:spacing w:before="100" w:beforeAutospacing="1" w:after="100" w:afterAutospacing="1"/>
      <w:jc w:val="right"/>
      <w:textAlignment w:val="top"/>
    </w:pPr>
    <w:rPr>
      <w:sz w:val="18"/>
      <w:szCs w:val="18"/>
    </w:rPr>
  </w:style>
  <w:style w:type="paragraph" w:customStyle="1" w:styleId="xl27">
    <w:name w:val="xl27"/>
    <w:basedOn w:val="Normal"/>
    <w:uiPriority w:val="99"/>
    <w:rsid w:val="00F46C7B"/>
    <w:pPr>
      <w:spacing w:before="100" w:beforeAutospacing="1" w:after="100" w:afterAutospacing="1"/>
      <w:textAlignment w:val="top"/>
    </w:pPr>
    <w:rPr>
      <w:color w:val="000000"/>
      <w:sz w:val="18"/>
      <w:szCs w:val="18"/>
    </w:rPr>
  </w:style>
  <w:style w:type="paragraph" w:customStyle="1" w:styleId="xl28">
    <w:name w:val="xl28"/>
    <w:basedOn w:val="Normal"/>
    <w:uiPriority w:val="99"/>
    <w:rsid w:val="00F46C7B"/>
    <w:pPr>
      <w:spacing w:before="100" w:beforeAutospacing="1" w:after="100" w:afterAutospacing="1"/>
      <w:jc w:val="right"/>
      <w:textAlignment w:val="top"/>
    </w:pPr>
    <w:rPr>
      <w:sz w:val="18"/>
      <w:szCs w:val="18"/>
    </w:rPr>
  </w:style>
  <w:style w:type="paragraph" w:customStyle="1" w:styleId="xl29">
    <w:name w:val="xl29"/>
    <w:basedOn w:val="Normal"/>
    <w:uiPriority w:val="99"/>
    <w:rsid w:val="00F46C7B"/>
    <w:pPr>
      <w:spacing w:before="100" w:beforeAutospacing="1" w:after="100" w:afterAutospacing="1"/>
      <w:jc w:val="right"/>
      <w:textAlignment w:val="top"/>
    </w:pPr>
    <w:rPr>
      <w:color w:val="000000"/>
      <w:sz w:val="18"/>
      <w:szCs w:val="18"/>
    </w:rPr>
  </w:style>
  <w:style w:type="paragraph" w:customStyle="1" w:styleId="xl30">
    <w:name w:val="xl30"/>
    <w:basedOn w:val="Normal"/>
    <w:uiPriority w:val="99"/>
    <w:rsid w:val="00F46C7B"/>
    <w:pPr>
      <w:spacing w:before="100" w:beforeAutospacing="1" w:after="100" w:afterAutospacing="1"/>
      <w:textAlignment w:val="top"/>
    </w:pPr>
    <w:rPr>
      <w:b/>
      <w:bCs/>
      <w:color w:val="000000"/>
      <w:sz w:val="18"/>
      <w:szCs w:val="18"/>
    </w:rPr>
  </w:style>
  <w:style w:type="paragraph" w:customStyle="1" w:styleId="xl31">
    <w:name w:val="xl31"/>
    <w:basedOn w:val="Normal"/>
    <w:uiPriority w:val="99"/>
    <w:rsid w:val="00F46C7B"/>
    <w:pPr>
      <w:spacing w:before="100" w:beforeAutospacing="1" w:after="100" w:afterAutospacing="1"/>
      <w:jc w:val="right"/>
      <w:textAlignment w:val="top"/>
    </w:pPr>
    <w:rPr>
      <w:b/>
      <w:bCs/>
      <w:sz w:val="18"/>
      <w:szCs w:val="18"/>
    </w:rPr>
  </w:style>
  <w:style w:type="paragraph" w:customStyle="1" w:styleId="xl32">
    <w:name w:val="xl32"/>
    <w:basedOn w:val="Normal"/>
    <w:uiPriority w:val="99"/>
    <w:rsid w:val="00F46C7B"/>
    <w:pPr>
      <w:pBdr>
        <w:top w:val="single" w:sz="8" w:space="0" w:color="808080"/>
      </w:pBdr>
      <w:spacing w:before="100" w:beforeAutospacing="1" w:after="100" w:afterAutospacing="1"/>
      <w:jc w:val="center"/>
      <w:textAlignment w:val="top"/>
    </w:pPr>
    <w:rPr>
      <w:sz w:val="18"/>
      <w:szCs w:val="18"/>
    </w:rPr>
  </w:style>
  <w:style w:type="paragraph" w:customStyle="1" w:styleId="xl33">
    <w:name w:val="xl33"/>
    <w:basedOn w:val="Normal"/>
    <w:uiPriority w:val="99"/>
    <w:rsid w:val="00F46C7B"/>
    <w:pPr>
      <w:pBdr>
        <w:top w:val="single" w:sz="8" w:space="0" w:color="808080"/>
      </w:pBdr>
      <w:spacing w:before="100" w:beforeAutospacing="1" w:after="100" w:afterAutospacing="1"/>
      <w:jc w:val="center"/>
      <w:textAlignment w:val="top"/>
    </w:pPr>
    <w:rPr>
      <w:i/>
      <w:iCs/>
      <w:color w:val="000000"/>
      <w:sz w:val="18"/>
      <w:szCs w:val="18"/>
    </w:rPr>
  </w:style>
  <w:style w:type="paragraph" w:customStyle="1" w:styleId="xl34">
    <w:name w:val="xl34"/>
    <w:basedOn w:val="Normal"/>
    <w:uiPriority w:val="99"/>
    <w:rsid w:val="00F46C7B"/>
    <w:pPr>
      <w:pBdr>
        <w:bottom w:val="single" w:sz="8" w:space="0" w:color="808080"/>
      </w:pBdr>
      <w:spacing w:before="100" w:beforeAutospacing="1" w:after="100" w:afterAutospacing="1"/>
      <w:jc w:val="center"/>
      <w:textAlignment w:val="top"/>
    </w:pPr>
    <w:rPr>
      <w:i/>
      <w:iCs/>
      <w:color w:val="000000"/>
      <w:sz w:val="18"/>
      <w:szCs w:val="18"/>
    </w:rPr>
  </w:style>
  <w:style w:type="paragraph" w:customStyle="1" w:styleId="xl35">
    <w:name w:val="xl35"/>
    <w:basedOn w:val="Normal"/>
    <w:uiPriority w:val="99"/>
    <w:rsid w:val="00F46C7B"/>
    <w:pPr>
      <w:pBdr>
        <w:bottom w:val="single" w:sz="8" w:space="0" w:color="808080"/>
      </w:pBdr>
      <w:spacing w:before="100" w:beforeAutospacing="1" w:after="100" w:afterAutospacing="1"/>
      <w:jc w:val="center"/>
      <w:textAlignment w:val="top"/>
    </w:pPr>
    <w:rPr>
      <w:sz w:val="18"/>
      <w:szCs w:val="18"/>
    </w:rPr>
  </w:style>
  <w:style w:type="paragraph" w:customStyle="1" w:styleId="xl36">
    <w:name w:val="xl36"/>
    <w:basedOn w:val="Normal"/>
    <w:uiPriority w:val="99"/>
    <w:rsid w:val="00F46C7B"/>
    <w:pPr>
      <w:spacing w:before="100" w:beforeAutospacing="1" w:after="100" w:afterAutospacing="1"/>
      <w:jc w:val="center"/>
      <w:textAlignment w:val="top"/>
    </w:pPr>
    <w:rPr>
      <w:sz w:val="18"/>
      <w:szCs w:val="18"/>
    </w:rPr>
  </w:style>
  <w:style w:type="paragraph" w:customStyle="1" w:styleId="xl37">
    <w:name w:val="xl37"/>
    <w:basedOn w:val="Normal"/>
    <w:uiPriority w:val="99"/>
    <w:rsid w:val="00F46C7B"/>
    <w:pPr>
      <w:spacing w:before="100" w:beforeAutospacing="1" w:after="100" w:afterAutospacing="1"/>
      <w:jc w:val="right"/>
      <w:textAlignment w:val="top"/>
    </w:pPr>
    <w:rPr>
      <w:b/>
      <w:bCs/>
      <w:i/>
      <w:iCs/>
      <w:color w:val="000000"/>
      <w:sz w:val="18"/>
      <w:szCs w:val="18"/>
    </w:rPr>
  </w:style>
  <w:style w:type="paragraph" w:customStyle="1" w:styleId="xl38">
    <w:name w:val="xl38"/>
    <w:basedOn w:val="Normal"/>
    <w:uiPriority w:val="99"/>
    <w:rsid w:val="00F46C7B"/>
    <w:pPr>
      <w:spacing w:before="100" w:beforeAutospacing="1" w:after="100" w:afterAutospacing="1"/>
      <w:jc w:val="right"/>
      <w:textAlignment w:val="top"/>
    </w:pPr>
    <w:rPr>
      <w:b/>
      <w:bCs/>
      <w:color w:val="000000"/>
      <w:sz w:val="18"/>
      <w:szCs w:val="18"/>
    </w:rPr>
  </w:style>
  <w:style w:type="paragraph" w:customStyle="1" w:styleId="TITREA191">
    <w:name w:val="TITRE A19 1"/>
    <w:basedOn w:val="Normal"/>
    <w:autoRedefine/>
    <w:uiPriority w:val="99"/>
    <w:rsid w:val="00F46C7B"/>
    <w:pPr>
      <w:widowControl w:val="0"/>
      <w:spacing w:line="360" w:lineRule="auto"/>
      <w:ind w:left="705" w:hanging="705"/>
    </w:pPr>
    <w:rPr>
      <w:rFonts w:ascii="Arial Gras" w:hAnsi="Arial Gras"/>
      <w:b/>
      <w:szCs w:val="20"/>
    </w:rPr>
  </w:style>
  <w:style w:type="paragraph" w:customStyle="1" w:styleId="TITREA192">
    <w:name w:val="TITRE A19 2"/>
    <w:basedOn w:val="Normal"/>
    <w:next w:val="TITREA191"/>
    <w:uiPriority w:val="99"/>
    <w:rsid w:val="00F46C7B"/>
    <w:pPr>
      <w:numPr>
        <w:numId w:val="22"/>
      </w:numPr>
      <w:spacing w:line="360" w:lineRule="auto"/>
      <w:ind w:right="1134"/>
    </w:pPr>
    <w:rPr>
      <w:rFonts w:ascii="Arial Gras" w:hAnsi="Arial Gras" w:cs="Arial"/>
      <w:b/>
      <w:bCs/>
      <w:szCs w:val="20"/>
    </w:rPr>
  </w:style>
  <w:style w:type="paragraph" w:customStyle="1" w:styleId="TITREA193">
    <w:name w:val="TITRE A19 3"/>
    <w:basedOn w:val="Normal"/>
    <w:uiPriority w:val="99"/>
    <w:rsid w:val="00F46C7B"/>
    <w:pPr>
      <w:numPr>
        <w:numId w:val="23"/>
      </w:numPr>
      <w:spacing w:line="360" w:lineRule="auto"/>
      <w:ind w:right="415"/>
    </w:pPr>
    <w:rPr>
      <w:rFonts w:ascii="Arial" w:hAnsi="Arial" w:cs="Arial"/>
      <w:szCs w:val="20"/>
    </w:rPr>
  </w:style>
  <w:style w:type="paragraph" w:customStyle="1" w:styleId="xl39">
    <w:name w:val="xl39"/>
    <w:basedOn w:val="Normal"/>
    <w:uiPriority w:val="99"/>
    <w:rsid w:val="00F46C7B"/>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0">
    <w:name w:val="xl40"/>
    <w:basedOn w:val="Normal"/>
    <w:uiPriority w:val="99"/>
    <w:rsid w:val="00F46C7B"/>
    <w:pPr>
      <w:pBdr>
        <w:bottom w:val="single" w:sz="4" w:space="0" w:color="auto"/>
      </w:pBdr>
      <w:spacing w:before="100" w:beforeAutospacing="1" w:after="100" w:afterAutospacing="1"/>
      <w:jc w:val="center"/>
    </w:pPr>
    <w:rPr>
      <w:rFonts w:ascii="Arial" w:hAnsi="Arial" w:cs="Arial"/>
      <w:b/>
      <w:bCs/>
      <w:sz w:val="28"/>
      <w:szCs w:val="28"/>
    </w:rPr>
  </w:style>
  <w:style w:type="paragraph" w:customStyle="1" w:styleId="xl41">
    <w:name w:val="xl41"/>
    <w:basedOn w:val="Normal"/>
    <w:uiPriority w:val="99"/>
    <w:rsid w:val="00F46C7B"/>
    <w:pPr>
      <w:pBdr>
        <w:left w:val="single" w:sz="4" w:space="0" w:color="auto"/>
        <w:right w:val="single" w:sz="4" w:space="0" w:color="auto"/>
      </w:pBdr>
      <w:spacing w:before="100" w:beforeAutospacing="1" w:after="100" w:afterAutospacing="1"/>
      <w:jc w:val="right"/>
    </w:pPr>
    <w:rPr>
      <w:rFonts w:ascii="Arial Unicode MS" w:hAnsi="Arial Unicode MS" w:cs="Arial Unicode MS"/>
    </w:rPr>
  </w:style>
  <w:style w:type="paragraph" w:customStyle="1" w:styleId="xl42">
    <w:name w:val="xl42"/>
    <w:basedOn w:val="Normal"/>
    <w:uiPriority w:val="99"/>
    <w:rsid w:val="00F46C7B"/>
    <w:pPr>
      <w:pBdr>
        <w:left w:val="single" w:sz="4" w:space="0" w:color="auto"/>
      </w:pBdr>
      <w:spacing w:before="100" w:beforeAutospacing="1" w:after="100" w:afterAutospacing="1"/>
    </w:pPr>
    <w:rPr>
      <w:rFonts w:ascii="Arial" w:hAnsi="Arial" w:cs="Arial"/>
      <w:sz w:val="18"/>
      <w:szCs w:val="18"/>
    </w:rPr>
  </w:style>
  <w:style w:type="paragraph" w:customStyle="1" w:styleId="xl43">
    <w:name w:val="xl43"/>
    <w:basedOn w:val="Normal"/>
    <w:uiPriority w:val="99"/>
    <w:rsid w:val="00F46C7B"/>
    <w:pPr>
      <w:spacing w:before="100" w:beforeAutospacing="1" w:after="100" w:afterAutospacing="1"/>
      <w:jc w:val="right"/>
    </w:pPr>
    <w:rPr>
      <w:rFonts w:ascii="Arial" w:hAnsi="Arial" w:cs="Arial"/>
      <w:b/>
      <w:bCs/>
      <w:sz w:val="18"/>
      <w:szCs w:val="18"/>
    </w:rPr>
  </w:style>
  <w:style w:type="paragraph" w:customStyle="1" w:styleId="xl44">
    <w:name w:val="xl44"/>
    <w:basedOn w:val="Normal"/>
    <w:uiPriority w:val="99"/>
    <w:rsid w:val="00F46C7B"/>
    <w:pPr>
      <w:pBdr>
        <w:right w:val="single" w:sz="4" w:space="0" w:color="auto"/>
      </w:pBdr>
      <w:spacing w:before="100" w:beforeAutospacing="1" w:after="100" w:afterAutospacing="1"/>
      <w:jc w:val="right"/>
    </w:pPr>
    <w:rPr>
      <w:rFonts w:ascii="Arial" w:hAnsi="Arial" w:cs="Arial"/>
      <w:b/>
      <w:bCs/>
      <w:sz w:val="18"/>
      <w:szCs w:val="18"/>
    </w:rPr>
  </w:style>
  <w:style w:type="paragraph" w:customStyle="1" w:styleId="xl45">
    <w:name w:val="xl45"/>
    <w:basedOn w:val="Normal"/>
    <w:uiPriority w:val="99"/>
    <w:rsid w:val="00F46C7B"/>
    <w:pPr>
      <w:pBdr>
        <w:bottom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F46C7B"/>
    <w:pPr>
      <w:pBdr>
        <w:left w:val="single" w:sz="4" w:space="0" w:color="auto"/>
      </w:pBdr>
      <w:spacing w:before="100" w:beforeAutospacing="1" w:after="100" w:afterAutospacing="1"/>
      <w:textAlignment w:val="center"/>
    </w:pPr>
    <w:rPr>
      <w:rFonts w:ascii="Arial" w:hAnsi="Arial" w:cs="Arial"/>
    </w:rPr>
  </w:style>
  <w:style w:type="paragraph" w:customStyle="1" w:styleId="xl47">
    <w:name w:val="xl47"/>
    <w:basedOn w:val="Normal"/>
    <w:uiPriority w:val="99"/>
    <w:rsid w:val="00F46C7B"/>
    <w:pPr>
      <w:spacing w:before="100" w:beforeAutospacing="1" w:after="100" w:afterAutospacing="1"/>
      <w:jc w:val="center"/>
      <w:textAlignment w:val="center"/>
    </w:pPr>
    <w:rPr>
      <w:rFonts w:ascii="Arial" w:hAnsi="Arial" w:cs="Arial"/>
    </w:rPr>
  </w:style>
  <w:style w:type="paragraph" w:customStyle="1" w:styleId="xl48">
    <w:name w:val="xl48"/>
    <w:basedOn w:val="Normal"/>
    <w:uiPriority w:val="99"/>
    <w:rsid w:val="00F46C7B"/>
    <w:pPr>
      <w:pBdr>
        <w:left w:val="single" w:sz="4" w:space="0" w:color="auto"/>
      </w:pBdr>
      <w:spacing w:before="100" w:beforeAutospacing="1" w:after="100" w:afterAutospacing="1"/>
      <w:textAlignment w:val="center"/>
    </w:pPr>
    <w:rPr>
      <w:rFonts w:ascii="Arial" w:hAnsi="Arial" w:cs="Arial"/>
    </w:rPr>
  </w:style>
  <w:style w:type="paragraph" w:customStyle="1" w:styleId="xl49">
    <w:name w:val="xl49"/>
    <w:basedOn w:val="Normal"/>
    <w:uiPriority w:val="99"/>
    <w:rsid w:val="00F46C7B"/>
    <w:pPr>
      <w:pBdr>
        <w:left w:val="single" w:sz="4" w:space="0" w:color="auto"/>
      </w:pBdr>
      <w:spacing w:before="100" w:beforeAutospacing="1" w:after="100" w:afterAutospacing="1"/>
    </w:pPr>
    <w:rPr>
      <w:rFonts w:ascii="Arial" w:hAnsi="Arial" w:cs="Arial"/>
    </w:rPr>
  </w:style>
  <w:style w:type="paragraph" w:customStyle="1" w:styleId="xl50">
    <w:name w:val="xl50"/>
    <w:basedOn w:val="Normal"/>
    <w:uiPriority w:val="99"/>
    <w:rsid w:val="00F46C7B"/>
    <w:pPr>
      <w:spacing w:before="100" w:beforeAutospacing="1" w:after="100" w:afterAutospacing="1"/>
      <w:jc w:val="center"/>
    </w:pPr>
    <w:rPr>
      <w:rFonts w:ascii="Arial" w:hAnsi="Arial" w:cs="Arial"/>
    </w:rPr>
  </w:style>
  <w:style w:type="paragraph" w:customStyle="1" w:styleId="xl51">
    <w:name w:val="xl51"/>
    <w:basedOn w:val="Normal"/>
    <w:uiPriority w:val="99"/>
    <w:rsid w:val="00F46C7B"/>
    <w:pPr>
      <w:pBdr>
        <w:bottom w:val="single" w:sz="4" w:space="0" w:color="auto"/>
      </w:pBdr>
      <w:spacing w:before="100" w:beforeAutospacing="1" w:after="100" w:afterAutospacing="1"/>
    </w:pPr>
    <w:rPr>
      <w:rFonts w:ascii="Arial" w:hAnsi="Arial" w:cs="Arial"/>
    </w:rPr>
  </w:style>
  <w:style w:type="paragraph" w:customStyle="1" w:styleId="xl52">
    <w:name w:val="xl52"/>
    <w:basedOn w:val="Normal"/>
    <w:uiPriority w:val="99"/>
    <w:rsid w:val="00F46C7B"/>
    <w:pPr>
      <w:spacing w:before="100" w:beforeAutospacing="1" w:after="100" w:afterAutospacing="1"/>
      <w:jc w:val="center"/>
      <w:textAlignment w:val="center"/>
    </w:pPr>
    <w:rPr>
      <w:rFonts w:ascii="Arial" w:hAnsi="Arial" w:cs="Arial"/>
      <w:b/>
      <w:bCs/>
      <w:sz w:val="18"/>
      <w:szCs w:val="18"/>
    </w:rPr>
  </w:style>
  <w:style w:type="paragraph" w:customStyle="1" w:styleId="xl53">
    <w:name w:val="xl53"/>
    <w:basedOn w:val="Normal"/>
    <w:uiPriority w:val="99"/>
    <w:rsid w:val="00F46C7B"/>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hAnsi="Arial Unicode MS" w:cs="Arial Unicode MS"/>
    </w:rPr>
  </w:style>
  <w:style w:type="paragraph" w:customStyle="1" w:styleId="xl54">
    <w:name w:val="xl54"/>
    <w:basedOn w:val="Normal"/>
    <w:uiPriority w:val="99"/>
    <w:rsid w:val="00F46C7B"/>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hAnsi="Arial Unicode MS" w:cs="Arial Unicode MS"/>
    </w:rPr>
  </w:style>
  <w:style w:type="paragraph" w:customStyle="1" w:styleId="xl55">
    <w:name w:val="xl55"/>
    <w:basedOn w:val="Normal"/>
    <w:uiPriority w:val="99"/>
    <w:rsid w:val="00F46C7B"/>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6">
    <w:name w:val="xl56"/>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7">
    <w:name w:val="xl57"/>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8">
    <w:name w:val="xl58"/>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9">
    <w:name w:val="xl59"/>
    <w:basedOn w:val="Normal"/>
    <w:uiPriority w:val="99"/>
    <w:rsid w:val="00F46C7B"/>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hAnsi="Arial Unicode MS" w:cs="Arial Unicode MS"/>
    </w:rPr>
  </w:style>
  <w:style w:type="paragraph" w:customStyle="1" w:styleId="xl60">
    <w:name w:val="xl60"/>
    <w:basedOn w:val="Normal"/>
    <w:uiPriority w:val="99"/>
    <w:rsid w:val="00F46C7B"/>
    <w:pPr>
      <w:spacing w:before="100" w:beforeAutospacing="1" w:after="100" w:afterAutospacing="1"/>
    </w:pPr>
    <w:rPr>
      <w:rFonts w:ascii="Arial" w:hAnsi="Arial" w:cs="Arial"/>
    </w:rPr>
  </w:style>
  <w:style w:type="paragraph" w:customStyle="1" w:styleId="xl62">
    <w:name w:val="xl62"/>
    <w:basedOn w:val="Normal"/>
    <w:uiPriority w:val="99"/>
    <w:rsid w:val="00F46C7B"/>
    <w:pPr>
      <w:pBdr>
        <w:top w:val="single" w:sz="8" w:space="0" w:color="auto"/>
      </w:pBdr>
      <w:spacing w:before="100" w:beforeAutospacing="1" w:after="100" w:afterAutospacing="1"/>
      <w:jc w:val="center"/>
    </w:pPr>
    <w:rPr>
      <w:rFonts w:ascii="Arial" w:hAnsi="Arial" w:cs="Arial"/>
      <w:b/>
      <w:bCs/>
    </w:rPr>
  </w:style>
  <w:style w:type="paragraph" w:customStyle="1" w:styleId="xl63">
    <w:name w:val="xl63"/>
    <w:basedOn w:val="Normal"/>
    <w:rsid w:val="00F46C7B"/>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4">
    <w:name w:val="xl64"/>
    <w:basedOn w:val="Normal"/>
    <w:rsid w:val="00F46C7B"/>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61">
    <w:name w:val="xl61"/>
    <w:basedOn w:val="Normal"/>
    <w:uiPriority w:val="99"/>
    <w:rsid w:val="00F46C7B"/>
    <w:pPr>
      <w:pBdr>
        <w:top w:val="single" w:sz="8" w:space="0" w:color="auto"/>
      </w:pBdr>
      <w:spacing w:before="100" w:beforeAutospacing="1" w:after="100" w:afterAutospacing="1"/>
      <w:jc w:val="center"/>
    </w:pPr>
    <w:rPr>
      <w:rFonts w:ascii="Arial" w:hAnsi="Arial" w:cs="Arial"/>
      <w:b/>
      <w:bCs/>
    </w:rPr>
  </w:style>
  <w:style w:type="paragraph" w:customStyle="1" w:styleId="xl65">
    <w:name w:val="xl65"/>
    <w:basedOn w:val="Normal"/>
    <w:rsid w:val="00F46C7B"/>
    <w:pPr>
      <w:spacing w:before="100" w:beforeAutospacing="1" w:after="100" w:afterAutospacing="1"/>
    </w:pPr>
    <w:rPr>
      <w:rFonts w:ascii="Book Antiqua" w:hAnsi="Book Antiqua" w:cs="Arial Unicode MS"/>
      <w:sz w:val="14"/>
      <w:szCs w:val="14"/>
    </w:rPr>
  </w:style>
  <w:style w:type="paragraph" w:customStyle="1" w:styleId="BodyText31">
    <w:name w:val="Body Text 31"/>
    <w:basedOn w:val="Normal"/>
    <w:uiPriority w:val="99"/>
    <w:rsid w:val="00F46C7B"/>
    <w:pPr>
      <w:tabs>
        <w:tab w:val="left" w:pos="-678"/>
        <w:tab w:val="left" w:pos="5954"/>
      </w:tabs>
      <w:overflowPunct w:val="0"/>
      <w:autoSpaceDE w:val="0"/>
      <w:autoSpaceDN w:val="0"/>
      <w:adjustRightInd w:val="0"/>
      <w:textAlignment w:val="baseline"/>
    </w:pPr>
    <w:rPr>
      <w:szCs w:val="20"/>
    </w:rPr>
  </w:style>
  <w:style w:type="character" w:styleId="Accentuation">
    <w:name w:val="Emphasis"/>
    <w:basedOn w:val="Policepardfaut"/>
    <w:uiPriority w:val="20"/>
    <w:qFormat/>
    <w:rsid w:val="00F46C7B"/>
    <w:rPr>
      <w:rFonts w:cs="Times New Roman"/>
      <w:i/>
    </w:rPr>
  </w:style>
  <w:style w:type="paragraph" w:customStyle="1" w:styleId="StyleHeading2">
    <w:name w:val="Style Heading 2"/>
    <w:aliases w:val="(F3) + Justified"/>
    <w:basedOn w:val="Titre2"/>
    <w:autoRedefine/>
    <w:uiPriority w:val="99"/>
    <w:rsid w:val="00F46C7B"/>
    <w:pPr>
      <w:numPr>
        <w:ilvl w:val="0"/>
        <w:numId w:val="0"/>
      </w:numPr>
      <w:spacing w:after="240"/>
      <w:ind w:left="1440" w:hanging="360"/>
    </w:pPr>
    <w:rPr>
      <w:rFonts w:ascii="Calibri" w:hAnsi="Calibri"/>
      <w:iCs w:val="0"/>
    </w:rPr>
  </w:style>
  <w:style w:type="paragraph" w:customStyle="1" w:styleId="StyleTM1">
    <w:name w:val="Style TM 1"/>
    <w:aliases w:val="toc1 + (normal text) Petites majuscules"/>
    <w:basedOn w:val="TM1"/>
    <w:link w:val="StyleTM11"/>
    <w:autoRedefine/>
    <w:uiPriority w:val="99"/>
    <w:rsid w:val="00F46C7B"/>
    <w:pPr>
      <w:tabs>
        <w:tab w:val="left" w:pos="640"/>
        <w:tab w:val="right" w:leader="dot" w:pos="9360"/>
      </w:tabs>
      <w:spacing w:before="120" w:after="120"/>
      <w:ind w:left="675" w:right="720" w:hanging="675"/>
      <w:jc w:val="both"/>
    </w:pPr>
    <w:rPr>
      <w:rFonts w:ascii="(normal text)" w:hAnsi="(normal text)"/>
      <w:caps/>
      <w:smallCaps/>
      <w:noProof w:val="0"/>
      <w:sz w:val="22"/>
    </w:rPr>
  </w:style>
  <w:style w:type="character" w:customStyle="1" w:styleId="StyleTM11">
    <w:name w:val="Style TM 11"/>
    <w:aliases w:val="toc1 + (normal text) Petites majuscules Car"/>
    <w:link w:val="StyleTM1"/>
    <w:uiPriority w:val="99"/>
    <w:locked/>
    <w:rsid w:val="00F46C7B"/>
    <w:rPr>
      <w:rFonts w:ascii="(normal text)" w:eastAsia="Times New Roman" w:hAnsi="(normal text)" w:cs="Times New Roman"/>
      <w:b/>
      <w:caps/>
      <w:smallCaps/>
      <w:szCs w:val="20"/>
      <w:lang w:val="en-US"/>
    </w:rPr>
  </w:style>
  <w:style w:type="paragraph" w:customStyle="1" w:styleId="StyleJustifi">
    <w:name w:val="Style Justifié"/>
    <w:basedOn w:val="Normal"/>
    <w:uiPriority w:val="99"/>
    <w:rsid w:val="00F46C7B"/>
    <w:pPr>
      <w:spacing w:after="240"/>
    </w:pPr>
    <w:rPr>
      <w:szCs w:val="20"/>
    </w:rPr>
  </w:style>
  <w:style w:type="paragraph" w:customStyle="1" w:styleId="BulletsL1">
    <w:name w:val="Bullets_L1"/>
    <w:basedOn w:val="Normal"/>
    <w:link w:val="BulletsL1Char"/>
    <w:uiPriority w:val="99"/>
    <w:rsid w:val="00F46C7B"/>
    <w:pPr>
      <w:numPr>
        <w:numId w:val="24"/>
      </w:numPr>
      <w:spacing w:after="220"/>
      <w:outlineLvl w:val="0"/>
    </w:pPr>
    <w:rPr>
      <w:szCs w:val="20"/>
      <w:lang w:val="en-GB"/>
    </w:rPr>
  </w:style>
  <w:style w:type="paragraph" w:customStyle="1" w:styleId="BulletsL2">
    <w:name w:val="Bullets_L2"/>
    <w:basedOn w:val="BulletsL1"/>
    <w:link w:val="BulletsL2Char"/>
    <w:uiPriority w:val="99"/>
    <w:rsid w:val="00F46C7B"/>
    <w:pPr>
      <w:numPr>
        <w:ilvl w:val="1"/>
      </w:numPr>
      <w:tabs>
        <w:tab w:val="clear" w:pos="1985"/>
        <w:tab w:val="num" w:pos="720"/>
        <w:tab w:val="num" w:pos="1043"/>
      </w:tabs>
      <w:ind w:left="720" w:hanging="720"/>
      <w:outlineLvl w:val="1"/>
    </w:pPr>
  </w:style>
  <w:style w:type="paragraph" w:customStyle="1" w:styleId="BulletsL3">
    <w:name w:val="Bullets_L3"/>
    <w:basedOn w:val="BulletsL2"/>
    <w:uiPriority w:val="99"/>
    <w:rsid w:val="00F46C7B"/>
    <w:pPr>
      <w:numPr>
        <w:ilvl w:val="2"/>
      </w:numPr>
      <w:tabs>
        <w:tab w:val="num" w:pos="1043"/>
        <w:tab w:val="num" w:pos="1260"/>
        <w:tab w:val="num" w:pos="1763"/>
      </w:tabs>
      <w:ind w:left="2160" w:hanging="360"/>
      <w:outlineLvl w:val="2"/>
    </w:pPr>
  </w:style>
  <w:style w:type="paragraph" w:customStyle="1" w:styleId="BulletsL4">
    <w:name w:val="Bullets_L4"/>
    <w:basedOn w:val="BulletsL3"/>
    <w:uiPriority w:val="99"/>
    <w:rsid w:val="00F46C7B"/>
    <w:pPr>
      <w:numPr>
        <w:ilvl w:val="3"/>
      </w:numPr>
      <w:tabs>
        <w:tab w:val="num" w:pos="1260"/>
        <w:tab w:val="num" w:pos="2483"/>
        <w:tab w:val="num" w:pos="2520"/>
      </w:tabs>
      <w:ind w:left="2880" w:hanging="360"/>
      <w:outlineLvl w:val="3"/>
    </w:pPr>
  </w:style>
  <w:style w:type="paragraph" w:customStyle="1" w:styleId="BulletsL5">
    <w:name w:val="Bullets_L5"/>
    <w:basedOn w:val="BulletsL4"/>
    <w:uiPriority w:val="99"/>
    <w:rsid w:val="00F46C7B"/>
    <w:pPr>
      <w:numPr>
        <w:ilvl w:val="4"/>
      </w:numPr>
      <w:tabs>
        <w:tab w:val="num" w:pos="1763"/>
        <w:tab w:val="num" w:pos="3203"/>
        <w:tab w:val="num" w:pos="3600"/>
      </w:tabs>
      <w:ind w:left="3600" w:hanging="360"/>
      <w:outlineLvl w:val="4"/>
    </w:pPr>
  </w:style>
  <w:style w:type="paragraph" w:customStyle="1" w:styleId="BulletsL6">
    <w:name w:val="Bullets_L6"/>
    <w:basedOn w:val="BulletsL5"/>
    <w:uiPriority w:val="99"/>
    <w:rsid w:val="00F46C7B"/>
    <w:pPr>
      <w:numPr>
        <w:ilvl w:val="5"/>
      </w:numPr>
      <w:tabs>
        <w:tab w:val="num" w:pos="2483"/>
        <w:tab w:val="num" w:pos="3923"/>
      </w:tabs>
      <w:ind w:left="4320" w:hanging="180"/>
      <w:outlineLvl w:val="5"/>
    </w:pPr>
  </w:style>
  <w:style w:type="paragraph" w:customStyle="1" w:styleId="BulletsL7">
    <w:name w:val="Bullets_L7"/>
    <w:basedOn w:val="BulletsL6"/>
    <w:uiPriority w:val="99"/>
    <w:rsid w:val="00F46C7B"/>
    <w:pPr>
      <w:numPr>
        <w:ilvl w:val="6"/>
      </w:numPr>
      <w:tabs>
        <w:tab w:val="clear" w:pos="992"/>
        <w:tab w:val="num" w:pos="1440"/>
        <w:tab w:val="num" w:pos="4643"/>
      </w:tabs>
      <w:ind w:left="5040" w:hanging="360"/>
      <w:outlineLvl w:val="6"/>
    </w:pPr>
  </w:style>
  <w:style w:type="paragraph" w:customStyle="1" w:styleId="BulletsL8">
    <w:name w:val="Bullets_L8"/>
    <w:basedOn w:val="BulletsL7"/>
    <w:uiPriority w:val="99"/>
    <w:rsid w:val="00F46C7B"/>
    <w:pPr>
      <w:numPr>
        <w:ilvl w:val="7"/>
      </w:numPr>
      <w:tabs>
        <w:tab w:val="clear" w:pos="1985"/>
        <w:tab w:val="num" w:pos="2880"/>
        <w:tab w:val="num" w:pos="5363"/>
      </w:tabs>
      <w:ind w:left="5760" w:hanging="360"/>
      <w:outlineLvl w:val="7"/>
    </w:pPr>
  </w:style>
  <w:style w:type="paragraph" w:customStyle="1" w:styleId="BulletsL9">
    <w:name w:val="Bullets_L9"/>
    <w:basedOn w:val="BulletsL8"/>
    <w:uiPriority w:val="99"/>
    <w:rsid w:val="00F46C7B"/>
    <w:pPr>
      <w:numPr>
        <w:ilvl w:val="8"/>
      </w:numPr>
      <w:tabs>
        <w:tab w:val="clear" w:pos="2977"/>
        <w:tab w:val="clear" w:pos="3923"/>
        <w:tab w:val="num" w:pos="2880"/>
        <w:tab w:val="num" w:pos="6083"/>
        <w:tab w:val="num" w:pos="6480"/>
      </w:tabs>
      <w:ind w:left="0" w:firstLine="5760"/>
      <w:outlineLvl w:val="8"/>
    </w:pPr>
  </w:style>
  <w:style w:type="character" w:customStyle="1" w:styleId="BulletsL2Char">
    <w:name w:val="Bullets_L2 Char"/>
    <w:link w:val="BulletsL2"/>
    <w:uiPriority w:val="99"/>
    <w:locked/>
    <w:rsid w:val="00F46C7B"/>
    <w:rPr>
      <w:rFonts w:ascii="Calibri" w:eastAsia="Times New Roman" w:hAnsi="Calibri" w:cs="Times New Roman"/>
      <w:sz w:val="20"/>
      <w:szCs w:val="20"/>
      <w:lang w:val="en-GB"/>
    </w:rPr>
  </w:style>
  <w:style w:type="character" w:customStyle="1" w:styleId="BulletsL1Char">
    <w:name w:val="Bullets_L1 Char"/>
    <w:link w:val="BulletsL1"/>
    <w:uiPriority w:val="99"/>
    <w:locked/>
    <w:rsid w:val="00F46C7B"/>
    <w:rPr>
      <w:rFonts w:ascii="Calibri" w:eastAsia="Times New Roman" w:hAnsi="Calibri" w:cs="Times New Roman"/>
      <w:sz w:val="20"/>
      <w:szCs w:val="20"/>
      <w:lang w:val="en-GB"/>
    </w:rPr>
  </w:style>
  <w:style w:type="paragraph" w:styleId="Sansinterligne">
    <w:name w:val="No Spacing"/>
    <w:link w:val="SansinterligneCar"/>
    <w:uiPriority w:val="1"/>
    <w:qFormat/>
    <w:rsid w:val="00F46C7B"/>
    <w:pPr>
      <w:spacing w:after="0" w:line="240" w:lineRule="auto"/>
    </w:pPr>
    <w:rPr>
      <w:rFonts w:ascii="Times New Roman" w:eastAsia="Times New Roman" w:hAnsi="Times New Roman" w:cs="Times New Roman"/>
      <w:sz w:val="24"/>
      <w:szCs w:val="24"/>
      <w:lang w:val="en-US"/>
    </w:rPr>
  </w:style>
  <w:style w:type="table" w:styleId="Listeclaire-Accent5">
    <w:name w:val="Light List Accent 5"/>
    <w:basedOn w:val="TableauNormal"/>
    <w:uiPriority w:val="99"/>
    <w:rsid w:val="00F46C7B"/>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itre3Car1">
    <w:name w:val="Titre 3 Car1"/>
    <w:uiPriority w:val="99"/>
    <w:rsid w:val="00F46C7B"/>
    <w:rPr>
      <w:rFonts w:eastAsia="Times New Roman"/>
      <w:b/>
      <w:lang w:eastAsia="fr-FR"/>
    </w:rPr>
  </w:style>
  <w:style w:type="paragraph" w:customStyle="1" w:styleId="PRt4">
    <w:name w:val="PR t4"/>
    <w:basedOn w:val="Normal"/>
    <w:next w:val="Normal"/>
    <w:autoRedefine/>
    <w:uiPriority w:val="99"/>
    <w:rsid w:val="00F46C7B"/>
    <w:pPr>
      <w:numPr>
        <w:ilvl w:val="3"/>
        <w:numId w:val="25"/>
      </w:numPr>
    </w:pPr>
    <w:rPr>
      <w:i/>
      <w:szCs w:val="22"/>
      <w:u w:val="single"/>
      <w:lang w:val="en-GB"/>
    </w:rPr>
  </w:style>
  <w:style w:type="paragraph" w:customStyle="1" w:styleId="PRt1">
    <w:name w:val="PR t1"/>
    <w:basedOn w:val="Listenumros"/>
    <w:autoRedefine/>
    <w:uiPriority w:val="99"/>
    <w:rsid w:val="00F46C7B"/>
    <w:pPr>
      <w:tabs>
        <w:tab w:val="clear" w:pos="360"/>
        <w:tab w:val="num" w:pos="567"/>
      </w:tabs>
      <w:spacing w:after="0"/>
      <w:jc w:val="left"/>
    </w:pPr>
    <w:rPr>
      <w:rFonts w:ascii="Times New Roman" w:hAnsi="Times New Roman"/>
      <w:b/>
      <w:caps/>
      <w:sz w:val="26"/>
      <w:szCs w:val="26"/>
      <w:lang w:val="en-GB"/>
    </w:rPr>
  </w:style>
  <w:style w:type="paragraph" w:customStyle="1" w:styleId="Style10">
    <w:name w:val="Style 1"/>
    <w:basedOn w:val="Normal"/>
    <w:uiPriority w:val="99"/>
    <w:rsid w:val="00F46C7B"/>
    <w:pPr>
      <w:widowControl w:val="0"/>
      <w:autoSpaceDE w:val="0"/>
      <w:autoSpaceDN w:val="0"/>
      <w:ind w:left="72"/>
    </w:pPr>
    <w:rPr>
      <w:sz w:val="24"/>
    </w:rPr>
  </w:style>
  <w:style w:type="paragraph" w:customStyle="1" w:styleId="Style20">
    <w:name w:val="Style 2"/>
    <w:basedOn w:val="Normal"/>
    <w:uiPriority w:val="99"/>
    <w:rsid w:val="00F46C7B"/>
    <w:pPr>
      <w:widowControl w:val="0"/>
      <w:autoSpaceDE w:val="0"/>
      <w:autoSpaceDN w:val="0"/>
      <w:adjustRightInd w:val="0"/>
    </w:pPr>
    <w:rPr>
      <w:sz w:val="24"/>
    </w:rPr>
  </w:style>
  <w:style w:type="paragraph" w:customStyle="1" w:styleId="AJnormal">
    <w:name w:val="AJnormal"/>
    <w:uiPriority w:val="99"/>
    <w:rsid w:val="00F46C7B"/>
    <w:pPr>
      <w:widowControl w:val="0"/>
      <w:autoSpaceDE w:val="0"/>
      <w:autoSpaceDN w:val="0"/>
      <w:adjustRightInd w:val="0"/>
      <w:spacing w:before="120" w:after="0" w:line="240" w:lineRule="auto"/>
      <w:jc w:val="both"/>
    </w:pPr>
    <w:rPr>
      <w:rFonts w:ascii="Times New Roman" w:eastAsia="Times New Roman" w:hAnsi="Times New Roman" w:cs="Times New Roman"/>
      <w:sz w:val="20"/>
      <w:szCs w:val="20"/>
      <w:lang w:val="en-US"/>
    </w:rPr>
  </w:style>
  <w:style w:type="character" w:customStyle="1" w:styleId="AJvar">
    <w:name w:val="AJvar"/>
    <w:uiPriority w:val="99"/>
    <w:rsid w:val="00F46C7B"/>
    <w:rPr>
      <w:i/>
    </w:rPr>
  </w:style>
  <w:style w:type="character" w:customStyle="1" w:styleId="Style10pt">
    <w:name w:val="Style 10 pt"/>
    <w:uiPriority w:val="99"/>
    <w:rsid w:val="00F46C7B"/>
    <w:rPr>
      <w:sz w:val="20"/>
    </w:rPr>
  </w:style>
  <w:style w:type="character" w:customStyle="1" w:styleId="textarial1">
    <w:name w:val="textarial1"/>
    <w:uiPriority w:val="99"/>
    <w:rsid w:val="00F46C7B"/>
    <w:rPr>
      <w:rFonts w:ascii="Arial" w:hAnsi="Arial"/>
      <w:sz w:val="18"/>
    </w:rPr>
  </w:style>
  <w:style w:type="paragraph" w:customStyle="1" w:styleId="textetableau">
    <w:name w:val="texte_tableau"/>
    <w:basedOn w:val="Normal"/>
    <w:uiPriority w:val="99"/>
    <w:rsid w:val="00F46C7B"/>
    <w:pPr>
      <w:shd w:val="pct10" w:color="auto" w:fill="FFFFFF"/>
      <w:spacing w:before="40" w:after="40" w:line="180" w:lineRule="exact"/>
    </w:pPr>
    <w:rPr>
      <w:rFonts w:ascii="Trebuchet MS" w:hAnsi="Trebuchet MS"/>
      <w:sz w:val="18"/>
      <w:szCs w:val="18"/>
      <w:lang w:eastAsia="ko-KR"/>
    </w:rPr>
  </w:style>
  <w:style w:type="paragraph" w:customStyle="1" w:styleId="1erelignetableau">
    <w:name w:val="1ereligne_tableau"/>
    <w:basedOn w:val="textetableau"/>
    <w:uiPriority w:val="99"/>
    <w:rsid w:val="00F46C7B"/>
    <w:pPr>
      <w:pBdr>
        <w:top w:val="threeDEmboss" w:sz="6" w:space="2" w:color="auto"/>
        <w:bottom w:val="threeDEngrave" w:sz="6" w:space="2" w:color="auto"/>
      </w:pBdr>
      <w:shd w:val="pct15" w:color="auto" w:fill="FFFFFF"/>
    </w:pPr>
    <w:rPr>
      <w:b/>
      <w:bCs/>
    </w:rPr>
  </w:style>
  <w:style w:type="paragraph" w:customStyle="1" w:styleId="11Heading">
    <w:name w:val="1.1 Heading"/>
    <w:basedOn w:val="Normal"/>
    <w:uiPriority w:val="99"/>
    <w:rsid w:val="00F46C7B"/>
    <w:rPr>
      <w:sz w:val="24"/>
    </w:rPr>
  </w:style>
  <w:style w:type="character" w:customStyle="1" w:styleId="CarCar">
    <w:name w:val="Car Car"/>
    <w:uiPriority w:val="99"/>
    <w:rsid w:val="00F46C7B"/>
    <w:rPr>
      <w:b/>
      <w:caps/>
      <w:kern w:val="32"/>
      <w:sz w:val="26"/>
      <w:lang w:val="fr-FR" w:eastAsia="fr-FR"/>
    </w:rPr>
  </w:style>
  <w:style w:type="character" w:customStyle="1" w:styleId="EmailStyle581">
    <w:name w:val="EmailStyle581"/>
    <w:uiPriority w:val="99"/>
    <w:semiHidden/>
    <w:rsid w:val="00F46C7B"/>
    <w:rPr>
      <w:rFonts w:ascii="Arial" w:eastAsia="SimSun" w:hAnsi="Arial"/>
      <w:color w:val="auto"/>
      <w:sz w:val="20"/>
      <w:lang w:val="en-US" w:eastAsia="zh-CN"/>
    </w:rPr>
  </w:style>
  <w:style w:type="paragraph" w:customStyle="1" w:styleId="BlockTextJ">
    <w:name w:val="Block Text J"/>
    <w:basedOn w:val="Normal"/>
    <w:uiPriority w:val="99"/>
    <w:rsid w:val="00F46C7B"/>
    <w:pPr>
      <w:autoSpaceDE w:val="0"/>
      <w:autoSpaceDN w:val="0"/>
      <w:adjustRightInd w:val="0"/>
    </w:pPr>
    <w:rPr>
      <w:sz w:val="24"/>
    </w:rPr>
  </w:style>
  <w:style w:type="paragraph" w:customStyle="1" w:styleId="Normal10pt">
    <w:name w:val="Normal + 10 pt"/>
    <w:aliases w:val="Centré + 10 pt"/>
    <w:basedOn w:val="Titre7"/>
    <w:uiPriority w:val="99"/>
    <w:rsid w:val="00F46C7B"/>
    <w:rPr>
      <w:rFonts w:ascii="Times New Roman" w:eastAsia="Times New Roman" w:hAnsi="Times New Roman"/>
    </w:rPr>
  </w:style>
  <w:style w:type="paragraph" w:customStyle="1" w:styleId="StyleTitre2NonsoulignToutenmajusculeGaucheDroite">
    <w:name w:val="Style Titre 2 + Non souligné Tout en majuscule Gauche Droite :  ..."/>
    <w:basedOn w:val="Normal"/>
    <w:autoRedefine/>
    <w:uiPriority w:val="99"/>
    <w:rsid w:val="00F46C7B"/>
    <w:rPr>
      <w:bCs/>
      <w:iCs/>
      <w:caps/>
      <w:sz w:val="24"/>
      <w:szCs w:val="20"/>
    </w:rPr>
  </w:style>
  <w:style w:type="character" w:customStyle="1" w:styleId="normal1">
    <w:name w:val="normal1"/>
    <w:uiPriority w:val="99"/>
    <w:rsid w:val="00F46C7B"/>
    <w:rPr>
      <w:rFonts w:ascii="Verdana" w:hAnsi="Verdana"/>
      <w:color w:val="454545"/>
      <w:sz w:val="17"/>
      <w:u w:val="none"/>
      <w:effect w:val="none"/>
    </w:rPr>
  </w:style>
  <w:style w:type="paragraph" w:customStyle="1" w:styleId="CarCarCar">
    <w:name w:val="Car Car Car"/>
    <w:basedOn w:val="Normal"/>
    <w:uiPriority w:val="99"/>
    <w:rsid w:val="00F46C7B"/>
    <w:pPr>
      <w:numPr>
        <w:numId w:val="26"/>
      </w:numPr>
      <w:tabs>
        <w:tab w:val="left" w:pos="540"/>
        <w:tab w:val="left" w:pos="1260"/>
        <w:tab w:val="left" w:pos="1800"/>
      </w:tabs>
      <w:spacing w:before="240" w:after="160" w:line="240" w:lineRule="exact"/>
    </w:pPr>
    <w:rPr>
      <w:rFonts w:ascii="Verdana" w:eastAsia="SimSun" w:hAnsi="Verdana" w:cs="Verdana"/>
      <w:sz w:val="24"/>
      <w:lang w:eastAsia="zh-CN"/>
    </w:rPr>
  </w:style>
  <w:style w:type="paragraph" w:customStyle="1" w:styleId="CG-SingleSp">
    <w:name w:val="CG-Single Sp"/>
    <w:aliases w:val="s1"/>
    <w:basedOn w:val="Normal"/>
    <w:uiPriority w:val="99"/>
    <w:rsid w:val="00F46C7B"/>
    <w:pPr>
      <w:widowControl w:val="0"/>
      <w:spacing w:after="240"/>
    </w:pPr>
    <w:rPr>
      <w:sz w:val="24"/>
    </w:rPr>
  </w:style>
  <w:style w:type="character" w:customStyle="1" w:styleId="spelle">
    <w:name w:val="spelle"/>
    <w:uiPriority w:val="99"/>
    <w:rsid w:val="00F46C7B"/>
  </w:style>
  <w:style w:type="paragraph" w:customStyle="1" w:styleId="Paragraphedeliste1">
    <w:name w:val="Paragraphe de liste1"/>
    <w:basedOn w:val="Normal"/>
    <w:uiPriority w:val="99"/>
    <w:rsid w:val="00F46C7B"/>
    <w:pPr>
      <w:spacing w:after="200" w:line="276" w:lineRule="auto"/>
      <w:ind w:left="720"/>
      <w:contextualSpacing/>
    </w:pPr>
    <w:rPr>
      <w:szCs w:val="22"/>
    </w:rPr>
  </w:style>
  <w:style w:type="paragraph" w:customStyle="1" w:styleId="texte1">
    <w:name w:val="texte 1"/>
    <w:basedOn w:val="Normal"/>
    <w:uiPriority w:val="99"/>
    <w:rsid w:val="00F46C7B"/>
    <w:pPr>
      <w:spacing w:before="120"/>
      <w:ind w:left="425"/>
    </w:pPr>
    <w:rPr>
      <w:rFonts w:ascii="Arial" w:hAnsi="Arial"/>
      <w:szCs w:val="20"/>
    </w:rPr>
  </w:style>
  <w:style w:type="character" w:customStyle="1" w:styleId="txtdef">
    <w:name w:val="txtdef"/>
    <w:uiPriority w:val="99"/>
    <w:rsid w:val="00F46C7B"/>
  </w:style>
  <w:style w:type="character" w:customStyle="1" w:styleId="lang-en">
    <w:name w:val="lang-en"/>
    <w:uiPriority w:val="99"/>
    <w:rsid w:val="00F46C7B"/>
  </w:style>
  <w:style w:type="paragraph" w:customStyle="1" w:styleId="Paragraphedeliste2">
    <w:name w:val="Paragraphe de liste2"/>
    <w:basedOn w:val="Normal"/>
    <w:uiPriority w:val="99"/>
    <w:rsid w:val="00F46C7B"/>
    <w:pPr>
      <w:spacing w:after="200" w:line="276" w:lineRule="auto"/>
      <w:ind w:left="720"/>
      <w:contextualSpacing/>
    </w:pPr>
    <w:rPr>
      <w:szCs w:val="22"/>
    </w:rPr>
  </w:style>
  <w:style w:type="character" w:customStyle="1" w:styleId="ilad">
    <w:name w:val="il_ad"/>
    <w:uiPriority w:val="99"/>
    <w:rsid w:val="00F46C7B"/>
  </w:style>
  <w:style w:type="paragraph" w:customStyle="1" w:styleId="astrid11">
    <w:name w:val="astrid 1.1"/>
    <w:basedOn w:val="Normal"/>
    <w:link w:val="astrid11CarCar"/>
    <w:autoRedefine/>
    <w:uiPriority w:val="99"/>
    <w:rsid w:val="00F46C7B"/>
    <w:pPr>
      <w:keepNext/>
      <w:tabs>
        <w:tab w:val="left" w:pos="9000"/>
      </w:tabs>
      <w:autoSpaceDE w:val="0"/>
      <w:autoSpaceDN w:val="0"/>
      <w:adjustRightInd w:val="0"/>
      <w:spacing w:before="240" w:after="60"/>
      <w:ind w:right="25"/>
      <w:outlineLvl w:val="1"/>
    </w:pPr>
    <w:rPr>
      <w:rFonts w:ascii="Times New Roman Gras" w:hAnsi="Times New Roman Gras"/>
      <w:b/>
      <w:sz w:val="24"/>
      <w:szCs w:val="20"/>
    </w:rPr>
  </w:style>
  <w:style w:type="character" w:customStyle="1" w:styleId="astrid11CarCar">
    <w:name w:val="astrid 1.1 Car Car"/>
    <w:link w:val="astrid11"/>
    <w:uiPriority w:val="99"/>
    <w:locked/>
    <w:rsid w:val="00F46C7B"/>
    <w:rPr>
      <w:rFonts w:ascii="Times New Roman Gras" w:eastAsia="Times New Roman" w:hAnsi="Times New Roman Gras" w:cs="Times New Roman"/>
      <w:b/>
      <w:sz w:val="24"/>
      <w:szCs w:val="20"/>
      <w:lang w:val="en-US"/>
    </w:rPr>
  </w:style>
  <w:style w:type="paragraph" w:customStyle="1" w:styleId="astrid">
    <w:name w:val="astrid"/>
    <w:basedOn w:val="Normal"/>
    <w:link w:val="astridCar"/>
    <w:uiPriority w:val="99"/>
    <w:rsid w:val="00F46C7B"/>
    <w:rPr>
      <w:b/>
      <w:caps/>
      <w:sz w:val="28"/>
      <w:szCs w:val="20"/>
    </w:rPr>
  </w:style>
  <w:style w:type="character" w:customStyle="1" w:styleId="astridCar">
    <w:name w:val="astrid Car"/>
    <w:link w:val="astrid"/>
    <w:uiPriority w:val="99"/>
    <w:locked/>
    <w:rsid w:val="00F46C7B"/>
    <w:rPr>
      <w:rFonts w:ascii="Times New Roman" w:eastAsia="Times New Roman" w:hAnsi="Times New Roman" w:cs="Times New Roman"/>
      <w:b/>
      <w:caps/>
      <w:sz w:val="28"/>
      <w:szCs w:val="20"/>
      <w:lang w:val="en-US"/>
    </w:rPr>
  </w:style>
  <w:style w:type="character" w:customStyle="1" w:styleId="hps">
    <w:name w:val="hps"/>
    <w:uiPriority w:val="99"/>
    <w:rsid w:val="00F46C7B"/>
  </w:style>
  <w:style w:type="character" w:customStyle="1" w:styleId="wording">
    <w:name w:val="wording"/>
    <w:uiPriority w:val="99"/>
    <w:rsid w:val="00F46C7B"/>
  </w:style>
  <w:style w:type="character" w:customStyle="1" w:styleId="google-src-text">
    <w:name w:val="google-src-text"/>
    <w:uiPriority w:val="99"/>
    <w:rsid w:val="00F46C7B"/>
  </w:style>
  <w:style w:type="paragraph" w:customStyle="1" w:styleId="Texte">
    <w:name w:val="Texte"/>
    <w:basedOn w:val="Normal"/>
    <w:link w:val="TexteCar"/>
    <w:uiPriority w:val="99"/>
    <w:rsid w:val="00F46C7B"/>
    <w:pPr>
      <w:keepLines/>
      <w:overflowPunct w:val="0"/>
      <w:autoSpaceDE w:val="0"/>
      <w:autoSpaceDN w:val="0"/>
      <w:adjustRightInd w:val="0"/>
      <w:spacing w:after="240" w:line="260" w:lineRule="exact"/>
      <w:textAlignment w:val="baseline"/>
    </w:pPr>
    <w:rPr>
      <w:rFonts w:ascii="EYInterstate Light" w:hAnsi="EYInterstate Light"/>
      <w:kern w:val="12"/>
      <w:sz w:val="18"/>
      <w:szCs w:val="20"/>
    </w:rPr>
  </w:style>
  <w:style w:type="character" w:customStyle="1" w:styleId="TexteCar">
    <w:name w:val="Texte Car"/>
    <w:link w:val="Texte"/>
    <w:uiPriority w:val="99"/>
    <w:locked/>
    <w:rsid w:val="00F46C7B"/>
    <w:rPr>
      <w:rFonts w:ascii="EYInterstate Light" w:eastAsia="Times New Roman" w:hAnsi="EYInterstate Light" w:cs="Times New Roman"/>
      <w:kern w:val="12"/>
      <w:sz w:val="18"/>
      <w:szCs w:val="20"/>
      <w:lang w:val="en-US"/>
    </w:rPr>
  </w:style>
  <w:style w:type="paragraph" w:customStyle="1" w:styleId="Signature1">
    <w:name w:val="Signature 1"/>
    <w:basedOn w:val="Blocsignature"/>
    <w:uiPriority w:val="99"/>
    <w:rsid w:val="00F46C7B"/>
    <w:pPr>
      <w:spacing w:before="1600"/>
    </w:pPr>
  </w:style>
  <w:style w:type="paragraph" w:customStyle="1" w:styleId="Blocsignature">
    <w:name w:val="Bloc signature"/>
    <w:basedOn w:val="Normal"/>
    <w:uiPriority w:val="99"/>
    <w:rsid w:val="00F46C7B"/>
    <w:pPr>
      <w:keepLines/>
      <w:overflowPunct w:val="0"/>
      <w:autoSpaceDE w:val="0"/>
      <w:autoSpaceDN w:val="0"/>
      <w:adjustRightInd w:val="0"/>
      <w:spacing w:line="260" w:lineRule="exact"/>
      <w:ind w:left="4502"/>
      <w:textAlignment w:val="baseline"/>
    </w:pPr>
    <w:rPr>
      <w:rFonts w:ascii="EYInterstate Light" w:hAnsi="EYInterstate Light"/>
      <w:kern w:val="12"/>
      <w:szCs w:val="18"/>
    </w:rPr>
  </w:style>
  <w:style w:type="paragraph" w:customStyle="1" w:styleId="LieuDate">
    <w:name w:val="Lieu + Date"/>
    <w:basedOn w:val="Normal"/>
    <w:link w:val="LieuDateChar"/>
    <w:uiPriority w:val="99"/>
    <w:rsid w:val="00F46C7B"/>
    <w:pPr>
      <w:keepNext/>
      <w:keepLines/>
      <w:overflowPunct w:val="0"/>
      <w:autoSpaceDE w:val="0"/>
      <w:autoSpaceDN w:val="0"/>
      <w:adjustRightInd w:val="0"/>
      <w:spacing w:before="600" w:after="240" w:line="260" w:lineRule="exact"/>
      <w:textAlignment w:val="baseline"/>
    </w:pPr>
    <w:rPr>
      <w:rFonts w:ascii="EYInterstate Light" w:hAnsi="EYInterstate Light"/>
      <w:kern w:val="12"/>
      <w:sz w:val="18"/>
      <w:szCs w:val="20"/>
    </w:rPr>
  </w:style>
  <w:style w:type="character" w:customStyle="1" w:styleId="LieuDateChar">
    <w:name w:val="Lieu + Date Char"/>
    <w:link w:val="LieuDate"/>
    <w:uiPriority w:val="99"/>
    <w:locked/>
    <w:rsid w:val="00F46C7B"/>
    <w:rPr>
      <w:rFonts w:ascii="EYInterstate Light" w:eastAsia="Times New Roman" w:hAnsi="EYInterstate Light" w:cs="Times New Roman"/>
      <w:kern w:val="12"/>
      <w:sz w:val="18"/>
      <w:szCs w:val="20"/>
      <w:lang w:val="en-US"/>
    </w:rPr>
  </w:style>
  <w:style w:type="paragraph" w:styleId="En-ttedetabledesmatires">
    <w:name w:val="TOC Heading"/>
    <w:basedOn w:val="Titre1"/>
    <w:next w:val="Normal"/>
    <w:uiPriority w:val="39"/>
    <w:qFormat/>
    <w:rsid w:val="00F46C7B"/>
    <w:pPr>
      <w:keepLines/>
      <w:spacing w:before="480" w:after="0" w:line="276" w:lineRule="auto"/>
      <w:outlineLvl w:val="9"/>
    </w:pPr>
    <w:rPr>
      <w:rFonts w:eastAsia="Times New Roman"/>
      <w:color w:val="365F91"/>
      <w:kern w:val="0"/>
      <w:sz w:val="28"/>
      <w:szCs w:val="28"/>
    </w:rPr>
  </w:style>
  <w:style w:type="character" w:customStyle="1" w:styleId="Titre2Car1">
    <w:name w:val="Titre 2 Car1"/>
    <w:uiPriority w:val="99"/>
    <w:rsid w:val="00F46C7B"/>
    <w:rPr>
      <w:rFonts w:ascii="Cambria" w:hAnsi="Cambria"/>
      <w:b/>
      <w:color w:val="4F81BD"/>
      <w:sz w:val="26"/>
      <w:lang w:eastAsia="fr-FR"/>
    </w:rPr>
  </w:style>
  <w:style w:type="character" w:customStyle="1" w:styleId="Titre3Car2">
    <w:name w:val="Titre 3 Car2"/>
    <w:uiPriority w:val="99"/>
    <w:semiHidden/>
    <w:rsid w:val="00F46C7B"/>
    <w:rPr>
      <w:rFonts w:ascii="Cambria" w:hAnsi="Cambria"/>
      <w:b/>
      <w:color w:val="4F81BD"/>
      <w:sz w:val="24"/>
      <w:lang w:eastAsia="fr-FR"/>
    </w:rPr>
  </w:style>
  <w:style w:type="paragraph" w:customStyle="1" w:styleId="COVER-Bullet1">
    <w:name w:val="COVER - Bullet 1"/>
    <w:basedOn w:val="Normal"/>
    <w:uiPriority w:val="99"/>
    <w:rsid w:val="00F46C7B"/>
    <w:pPr>
      <w:numPr>
        <w:numId w:val="28"/>
      </w:numPr>
      <w:spacing w:after="240"/>
    </w:pPr>
  </w:style>
  <w:style w:type="paragraph" w:customStyle="1" w:styleId="MMTopic1">
    <w:name w:val="MM Topic 1"/>
    <w:basedOn w:val="MMTopic2"/>
    <w:uiPriority w:val="99"/>
    <w:rsid w:val="00F46C7B"/>
    <w:pPr>
      <w:numPr>
        <w:ilvl w:val="0"/>
      </w:numPr>
      <w:shd w:val="clear" w:color="auto" w:fill="4F81BD"/>
      <w:ind w:left="0"/>
    </w:pPr>
    <w:rPr>
      <w:color w:val="FFFFFF"/>
    </w:rPr>
  </w:style>
  <w:style w:type="paragraph" w:customStyle="1" w:styleId="MMTopic2">
    <w:name w:val="MM Topic 2"/>
    <w:basedOn w:val="Titre2"/>
    <w:uiPriority w:val="99"/>
    <w:rsid w:val="00F46C7B"/>
    <w:pPr>
      <w:keepLines/>
      <w:numPr>
        <w:numId w:val="29"/>
      </w:numPr>
      <w:pBdr>
        <w:top w:val="single" w:sz="4" w:space="1" w:color="4F81BD"/>
        <w:left w:val="single" w:sz="4" w:space="4" w:color="4F81BD"/>
        <w:bottom w:val="single" w:sz="4" w:space="1" w:color="4F81BD"/>
        <w:right w:val="single" w:sz="4" w:space="4" w:color="4F81BD"/>
      </w:pBdr>
      <w:shd w:val="clear" w:color="auto" w:fill="auto"/>
      <w:spacing w:before="200"/>
      <w:ind w:left="180" w:firstLine="0"/>
      <w:jc w:val="left"/>
    </w:pPr>
    <w:rPr>
      <w:rFonts w:ascii="Cambria" w:hAnsi="Cambria"/>
      <w:iCs w:val="0"/>
      <w:caps w:val="0"/>
      <w:color w:val="4F81BD"/>
      <w:sz w:val="26"/>
      <w:szCs w:val="26"/>
    </w:rPr>
  </w:style>
  <w:style w:type="paragraph" w:customStyle="1" w:styleId="MMTopic3">
    <w:name w:val="MM Topic 3"/>
    <w:basedOn w:val="Titre3"/>
    <w:uiPriority w:val="99"/>
    <w:rsid w:val="00F46C7B"/>
    <w:pPr>
      <w:keepLines/>
      <w:numPr>
        <w:ilvl w:val="2"/>
        <w:numId w:val="29"/>
      </w:numPr>
      <w:pBdr>
        <w:bottom w:val="single" w:sz="18" w:space="1" w:color="4F81BD"/>
      </w:pBdr>
      <w:spacing w:before="200" w:after="120"/>
      <w:ind w:left="1440"/>
    </w:pPr>
    <w:rPr>
      <w:rFonts w:eastAsia="Times New Roman"/>
      <w:color w:val="4F81BD"/>
      <w:sz w:val="18"/>
    </w:rPr>
  </w:style>
  <w:style w:type="paragraph" w:customStyle="1" w:styleId="MMTopic4">
    <w:name w:val="MM Topic 4"/>
    <w:basedOn w:val="Titre4"/>
    <w:uiPriority w:val="99"/>
    <w:rsid w:val="00F46C7B"/>
    <w:pPr>
      <w:keepLines/>
      <w:numPr>
        <w:ilvl w:val="3"/>
        <w:numId w:val="29"/>
      </w:numPr>
      <w:pBdr>
        <w:bottom w:val="single" w:sz="4" w:space="1" w:color="4F81BD"/>
      </w:pBdr>
      <w:spacing w:before="200" w:after="120"/>
      <w:ind w:left="540"/>
    </w:pPr>
    <w:rPr>
      <w:rFonts w:ascii="Cambria" w:eastAsia="Times New Roman" w:hAnsi="Cambria"/>
      <w:i/>
      <w:iCs/>
      <w:color w:val="4F81BD"/>
      <w:sz w:val="20"/>
    </w:rPr>
  </w:style>
  <w:style w:type="paragraph" w:customStyle="1" w:styleId="MMTopic5">
    <w:name w:val="MM Topic 5"/>
    <w:basedOn w:val="Titre5"/>
    <w:uiPriority w:val="99"/>
    <w:rsid w:val="00F46C7B"/>
    <w:pPr>
      <w:keepNext/>
      <w:keepLines/>
      <w:numPr>
        <w:ilvl w:val="4"/>
        <w:numId w:val="29"/>
      </w:numPr>
      <w:spacing w:before="200" w:after="0"/>
      <w:ind w:left="720"/>
    </w:pPr>
    <w:rPr>
      <w:rFonts w:ascii="Cambria" w:eastAsia="Times New Roman" w:hAnsi="Cambria"/>
      <w:b w:val="0"/>
      <w:i w:val="0"/>
      <w:color w:val="243F60"/>
      <w:sz w:val="20"/>
    </w:rPr>
  </w:style>
  <w:style w:type="character" w:customStyle="1" w:styleId="st">
    <w:name w:val="st"/>
    <w:uiPriority w:val="99"/>
    <w:rsid w:val="00F46C7B"/>
  </w:style>
  <w:style w:type="character" w:customStyle="1" w:styleId="citation-publication-date">
    <w:name w:val="citation-publication-date"/>
    <w:uiPriority w:val="99"/>
    <w:rsid w:val="00F46C7B"/>
  </w:style>
  <w:style w:type="paragraph" w:customStyle="1" w:styleId="Paragraphedeliste3">
    <w:name w:val="Paragraphe de liste3"/>
    <w:basedOn w:val="Normal"/>
    <w:uiPriority w:val="99"/>
    <w:rsid w:val="00F46C7B"/>
    <w:pPr>
      <w:ind w:left="720"/>
      <w:contextualSpacing/>
    </w:pPr>
    <w:rPr>
      <w:rFonts w:ascii="Garamond" w:hAnsi="Garamond"/>
    </w:rPr>
  </w:style>
  <w:style w:type="character" w:customStyle="1" w:styleId="FootnoteTextChar1">
    <w:name w:val="Footnote Text Char1"/>
    <w:uiPriority w:val="99"/>
    <w:locked/>
    <w:rsid w:val="00F46C7B"/>
    <w:rPr>
      <w:sz w:val="20"/>
    </w:rPr>
  </w:style>
  <w:style w:type="character" w:customStyle="1" w:styleId="ListNumberChar">
    <w:name w:val="List Number Char"/>
    <w:aliases w:val="ln Char,Bullet niveau 1 Char"/>
    <w:uiPriority w:val="99"/>
    <w:locked/>
    <w:rsid w:val="00F46C7B"/>
    <w:rPr>
      <w:rFonts w:ascii="Garamond" w:hAnsi="Garamond"/>
      <w:sz w:val="24"/>
      <w:lang w:val="fr-FR" w:eastAsia="fr-FR"/>
    </w:rPr>
  </w:style>
  <w:style w:type="character" w:customStyle="1" w:styleId="style3">
    <w:name w:val="style3"/>
    <w:uiPriority w:val="99"/>
    <w:rsid w:val="00F46C7B"/>
  </w:style>
  <w:style w:type="character" w:customStyle="1" w:styleId="lang-la">
    <w:name w:val="lang-la"/>
    <w:uiPriority w:val="99"/>
    <w:rsid w:val="00F46C7B"/>
  </w:style>
  <w:style w:type="paragraph" w:customStyle="1" w:styleId="ListParagraph1">
    <w:name w:val="List Paragraph1"/>
    <w:basedOn w:val="Normal"/>
    <w:uiPriority w:val="99"/>
    <w:rsid w:val="00F46C7B"/>
    <w:pPr>
      <w:numPr>
        <w:numId w:val="30"/>
      </w:numPr>
      <w:tabs>
        <w:tab w:val="clear" w:pos="720"/>
      </w:tabs>
      <w:suppressAutoHyphens/>
      <w:spacing w:line="100" w:lineRule="atLeast"/>
      <w:ind w:firstLine="0"/>
    </w:pPr>
    <w:rPr>
      <w:color w:val="000000"/>
      <w:kern w:val="1"/>
      <w:sz w:val="24"/>
      <w:lang w:val="en-GB" w:eastAsia="hi-IN" w:bidi="hi-IN"/>
    </w:rPr>
  </w:style>
  <w:style w:type="paragraph" w:customStyle="1" w:styleId="En-ttedetabledesmatires1">
    <w:name w:val="En-tête de table des matières1"/>
    <w:basedOn w:val="Titre1"/>
    <w:next w:val="Normal"/>
    <w:uiPriority w:val="99"/>
    <w:rsid w:val="00F46C7B"/>
    <w:pPr>
      <w:keepLines/>
      <w:spacing w:before="480" w:after="0" w:line="276" w:lineRule="auto"/>
      <w:outlineLvl w:val="9"/>
    </w:pPr>
    <w:rPr>
      <w:rFonts w:eastAsia="Times New Roman"/>
      <w:color w:val="365F91"/>
      <w:kern w:val="0"/>
      <w:sz w:val="28"/>
      <w:szCs w:val="28"/>
    </w:rPr>
  </w:style>
  <w:style w:type="paragraph" w:customStyle="1" w:styleId="Gras">
    <w:name w:val="Gras"/>
    <w:uiPriority w:val="99"/>
    <w:rsid w:val="00F46C7B"/>
    <w:pPr>
      <w:keepNext/>
      <w:keepLines/>
      <w:spacing w:after="240" w:line="240" w:lineRule="auto"/>
      <w:jc w:val="both"/>
    </w:pPr>
    <w:rPr>
      <w:rFonts w:ascii="Times New Roman" w:eastAsia="PMingLiU" w:hAnsi="Times New Roman" w:cs="Times New Roman"/>
      <w:b/>
      <w:sz w:val="20"/>
      <w:szCs w:val="24"/>
      <w:lang w:val="en-US"/>
    </w:rPr>
  </w:style>
  <w:style w:type="paragraph" w:customStyle="1" w:styleId="Let2TabDec">
    <w:name w:val="Let2TabDec"/>
    <w:basedOn w:val="Normal"/>
    <w:uiPriority w:val="99"/>
    <w:rsid w:val="00F46C7B"/>
    <w:pPr>
      <w:tabs>
        <w:tab w:val="left" w:leader="dot" w:pos="3969"/>
        <w:tab w:val="decimal" w:pos="5670"/>
        <w:tab w:val="decimal" w:pos="7938"/>
      </w:tabs>
      <w:overflowPunct w:val="0"/>
      <w:autoSpaceDE w:val="0"/>
      <w:autoSpaceDN w:val="0"/>
      <w:adjustRightInd w:val="0"/>
      <w:textAlignment w:val="baseline"/>
    </w:pPr>
    <w:rPr>
      <w:i/>
      <w:color w:val="000080"/>
      <w:sz w:val="24"/>
      <w:szCs w:val="20"/>
    </w:rPr>
  </w:style>
  <w:style w:type="paragraph" w:customStyle="1" w:styleId="Titretableau">
    <w:name w:val="Titre tableau"/>
    <w:basedOn w:val="Normal"/>
    <w:uiPriority w:val="99"/>
    <w:rsid w:val="00F46C7B"/>
    <w:pPr>
      <w:keepNext/>
      <w:keepLines/>
      <w:spacing w:after="240"/>
      <w:jc w:val="center"/>
    </w:pPr>
    <w:rPr>
      <w:rFonts w:eastAsia="PMingLiU"/>
      <w:b/>
    </w:rPr>
  </w:style>
  <w:style w:type="paragraph" w:customStyle="1" w:styleId="Rvision1">
    <w:name w:val="Révision1"/>
    <w:hidden/>
    <w:uiPriority w:val="99"/>
    <w:semiHidden/>
    <w:rsid w:val="00F46C7B"/>
    <w:pPr>
      <w:spacing w:after="0" w:line="240" w:lineRule="auto"/>
    </w:pPr>
    <w:rPr>
      <w:rFonts w:ascii="Times New Roman" w:eastAsia="Times New Roman" w:hAnsi="Times New Roman" w:cs="Times New Roman"/>
      <w:sz w:val="24"/>
      <w:szCs w:val="24"/>
      <w:lang w:val="en-US"/>
    </w:rPr>
  </w:style>
  <w:style w:type="paragraph" w:customStyle="1" w:styleId="ListParagraph2">
    <w:name w:val="List Paragraph2"/>
    <w:basedOn w:val="Normal"/>
    <w:uiPriority w:val="99"/>
    <w:rsid w:val="00F46C7B"/>
    <w:pPr>
      <w:ind w:left="708"/>
    </w:pPr>
  </w:style>
  <w:style w:type="table" w:customStyle="1" w:styleId="TableNormal1">
    <w:name w:val="Table Normal1"/>
    <w:uiPriority w:val="99"/>
    <w:semiHidden/>
    <w:rsid w:val="00F46C7B"/>
    <w:pPr>
      <w:widowControl w:val="0"/>
      <w:spacing w:after="0" w:line="240" w:lineRule="auto"/>
    </w:pPr>
    <w:rPr>
      <w:rFonts w:ascii="Cambria" w:eastAsia="Times New Roman" w:hAnsi="Cambria" w:cs="Times New Roman"/>
      <w:sz w:val="20"/>
      <w:szCs w:val="20"/>
      <w:lang w:val="en-US"/>
    </w:rPr>
    <w:tblPr>
      <w:tblInd w:w="0" w:type="dxa"/>
      <w:tblCellMar>
        <w:top w:w="0" w:type="dxa"/>
        <w:left w:w="0" w:type="dxa"/>
        <w:bottom w:w="0" w:type="dxa"/>
        <w:right w:w="0" w:type="dxa"/>
      </w:tblCellMar>
    </w:tblPr>
  </w:style>
  <w:style w:type="table" w:customStyle="1" w:styleId="Grilledutableau2">
    <w:name w:val="Grille du tableau2"/>
    <w:uiPriority w:val="99"/>
    <w:rsid w:val="00F46C7B"/>
    <w:pPr>
      <w:spacing w:after="0" w:line="240" w:lineRule="auto"/>
    </w:pPr>
    <w:rPr>
      <w:rFonts w:ascii="Times New Roman" w:eastAsia="MS PGothic"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tinf1">
    <w:name w:val="hit_inf1"/>
    <w:uiPriority w:val="99"/>
    <w:rsid w:val="00F46C7B"/>
    <w:rPr>
      <w:b/>
      <w:shd w:val="clear" w:color="auto" w:fill="FFEEDD"/>
    </w:rPr>
  </w:style>
  <w:style w:type="character" w:customStyle="1" w:styleId="mw-headline">
    <w:name w:val="mw-headline"/>
    <w:uiPriority w:val="99"/>
    <w:rsid w:val="00F46C7B"/>
  </w:style>
  <w:style w:type="character" w:customStyle="1" w:styleId="mw-editsection1">
    <w:name w:val="mw-editsection1"/>
    <w:uiPriority w:val="99"/>
    <w:rsid w:val="00F46C7B"/>
  </w:style>
  <w:style w:type="character" w:customStyle="1" w:styleId="mw-editsection-bracket">
    <w:name w:val="mw-editsection-bracket"/>
    <w:uiPriority w:val="99"/>
    <w:rsid w:val="00F46C7B"/>
  </w:style>
  <w:style w:type="character" w:customStyle="1" w:styleId="reference-text">
    <w:name w:val="reference-text"/>
    <w:uiPriority w:val="99"/>
    <w:rsid w:val="00F46C7B"/>
  </w:style>
  <w:style w:type="character" w:customStyle="1" w:styleId="highlight2">
    <w:name w:val="highlight2"/>
    <w:uiPriority w:val="99"/>
    <w:rsid w:val="00F46C7B"/>
  </w:style>
  <w:style w:type="paragraph" w:customStyle="1" w:styleId="Textedenotedefin">
    <w:name w:val="Texte de note de fin"/>
    <w:basedOn w:val="Normal"/>
    <w:uiPriority w:val="99"/>
    <w:rsid w:val="00F46C7B"/>
    <w:pPr>
      <w:widowControl w:val="0"/>
    </w:pPr>
    <w:rPr>
      <w:rFonts w:ascii="Courier New" w:hAnsi="Courier New"/>
      <w:sz w:val="24"/>
      <w:szCs w:val="20"/>
    </w:rPr>
  </w:style>
  <w:style w:type="numbering" w:customStyle="1" w:styleId="ArticleSection1">
    <w:name w:val="Article / Section1"/>
    <w:rsid w:val="00F46C7B"/>
    <w:pPr>
      <w:numPr>
        <w:numId w:val="11"/>
      </w:numPr>
    </w:pPr>
  </w:style>
  <w:style w:type="numbering" w:customStyle="1" w:styleId="StyleAvecpuces11pt">
    <w:name w:val="Style Avec puces 11 pt"/>
    <w:rsid w:val="00F46C7B"/>
    <w:pPr>
      <w:numPr>
        <w:numId w:val="17"/>
      </w:numPr>
    </w:pPr>
  </w:style>
  <w:style w:type="numbering" w:styleId="111111">
    <w:name w:val="Outline List 2"/>
    <w:basedOn w:val="Aucuneliste"/>
    <w:rsid w:val="00F46C7B"/>
    <w:pPr>
      <w:numPr>
        <w:numId w:val="10"/>
      </w:numPr>
    </w:pPr>
  </w:style>
  <w:style w:type="numbering" w:customStyle="1" w:styleId="StyleAvecpuces3">
    <w:name w:val="Style Avec puces3"/>
    <w:rsid w:val="00F46C7B"/>
    <w:pPr>
      <w:numPr>
        <w:numId w:val="27"/>
      </w:numPr>
    </w:pPr>
  </w:style>
  <w:style w:type="numbering" w:styleId="1ai">
    <w:name w:val="Outline List 1"/>
    <w:basedOn w:val="Aucuneliste"/>
    <w:uiPriority w:val="99"/>
    <w:unhideWhenUsed/>
    <w:rsid w:val="00F46C7B"/>
    <w:pPr>
      <w:numPr>
        <w:numId w:val="13"/>
      </w:numPr>
    </w:pPr>
  </w:style>
  <w:style w:type="numbering" w:customStyle="1" w:styleId="StyleAvecpuces">
    <w:name w:val="Style Avec puces"/>
    <w:rsid w:val="00F46C7B"/>
    <w:pPr>
      <w:numPr>
        <w:numId w:val="16"/>
      </w:numPr>
    </w:pPr>
  </w:style>
  <w:style w:type="numbering" w:customStyle="1" w:styleId="StyleAvecpuces4">
    <w:name w:val="Style Avec puces4"/>
    <w:rsid w:val="00F46C7B"/>
    <w:pPr>
      <w:numPr>
        <w:numId w:val="21"/>
      </w:numPr>
    </w:pPr>
  </w:style>
  <w:style w:type="character" w:customStyle="1" w:styleId="SansinterligneCar">
    <w:name w:val="Sans interligne Car"/>
    <w:basedOn w:val="Policepardfaut"/>
    <w:link w:val="Sansinterligne"/>
    <w:uiPriority w:val="1"/>
    <w:rsid w:val="00F46C7B"/>
    <w:rPr>
      <w:rFonts w:ascii="Times New Roman" w:eastAsia="Times New Roman" w:hAnsi="Times New Roman" w:cs="Times New Roman"/>
      <w:sz w:val="24"/>
      <w:szCs w:val="24"/>
      <w:lang w:val="en-US"/>
    </w:rPr>
  </w:style>
  <w:style w:type="paragraph" w:customStyle="1" w:styleId="Listecouleur-Accent11">
    <w:name w:val="Liste couleur - Accent 11"/>
    <w:basedOn w:val="Normal"/>
    <w:qFormat/>
    <w:rsid w:val="00F46C7B"/>
    <w:pPr>
      <w:spacing w:after="200" w:line="276" w:lineRule="auto"/>
      <w:ind w:left="720"/>
      <w:contextualSpacing/>
    </w:pPr>
    <w:rPr>
      <w:sz w:val="22"/>
      <w:szCs w:val="22"/>
      <w:lang w:val="fr-FR" w:eastAsia="fr-FR"/>
    </w:rPr>
  </w:style>
  <w:style w:type="paragraph" w:customStyle="1" w:styleId="Titre21">
    <w:name w:val="Titre 21"/>
    <w:basedOn w:val="Normal"/>
    <w:next w:val="Normal"/>
    <w:uiPriority w:val="99"/>
    <w:qFormat/>
    <w:rsid w:val="00F46C7B"/>
    <w:pPr>
      <w:keepNext/>
      <w:shd w:val="clear" w:color="auto" w:fill="8DB3E2"/>
      <w:tabs>
        <w:tab w:val="left" w:pos="941"/>
        <w:tab w:val="num" w:pos="1440"/>
      </w:tabs>
      <w:ind w:left="1440" w:hanging="360"/>
      <w:outlineLvl w:val="1"/>
    </w:pPr>
    <w:rPr>
      <w:b/>
      <w:bCs/>
      <w:iCs/>
      <w:caps/>
      <w:color w:val="FFFFFF"/>
      <w:szCs w:val="20"/>
    </w:rPr>
  </w:style>
  <w:style w:type="numbering" w:customStyle="1" w:styleId="Aucuneliste1">
    <w:name w:val="Aucune liste1"/>
    <w:next w:val="Aucuneliste"/>
    <w:uiPriority w:val="99"/>
    <w:semiHidden/>
    <w:unhideWhenUsed/>
    <w:rsid w:val="00F46C7B"/>
  </w:style>
  <w:style w:type="table" w:customStyle="1" w:styleId="Grilledutableau11">
    <w:name w:val="Grille du tableau11"/>
    <w:uiPriority w:val="99"/>
    <w:rsid w:val="00F46C7B"/>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1">
    <w:name w:val="Grille du tableau21"/>
    <w:uiPriority w:val="99"/>
    <w:rsid w:val="00F46C7B"/>
    <w:pPr>
      <w:spacing w:after="0" w:line="240" w:lineRule="auto"/>
    </w:pPr>
    <w:rPr>
      <w:rFonts w:ascii="Times New Roman" w:eastAsia="MS PGothic"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2">
    <w:name w:val="Titre 2 Car2"/>
    <w:basedOn w:val="Policepardfaut"/>
    <w:semiHidden/>
    <w:rsid w:val="00F46C7B"/>
    <w:rPr>
      <w:rFonts w:asciiTheme="majorHAnsi" w:eastAsiaTheme="majorEastAsia" w:hAnsiTheme="majorHAnsi" w:cstheme="majorBidi"/>
      <w:b/>
      <w:bCs/>
      <w:color w:val="5B9BD5" w:themeColor="accent1"/>
      <w:sz w:val="26"/>
      <w:szCs w:val="26"/>
      <w:lang w:eastAsia="fr-FR"/>
    </w:rPr>
  </w:style>
  <w:style w:type="character" w:customStyle="1" w:styleId="TitreCar1">
    <w:name w:val="Titre Car1"/>
    <w:aliases w:val="t Car1"/>
    <w:basedOn w:val="Policepardfaut"/>
    <w:uiPriority w:val="99"/>
    <w:rsid w:val="00F46C7B"/>
    <w:rPr>
      <w:rFonts w:asciiTheme="majorHAnsi" w:eastAsiaTheme="majorEastAsia" w:hAnsiTheme="majorHAnsi" w:cstheme="majorBidi"/>
      <w:spacing w:val="-10"/>
      <w:kern w:val="28"/>
      <w:sz w:val="56"/>
      <w:szCs w:val="56"/>
      <w:lang w:eastAsia="fr-FR"/>
    </w:rPr>
  </w:style>
  <w:style w:type="character" w:customStyle="1" w:styleId="SignatureCar1">
    <w:name w:val="Signature Car1"/>
    <w:aliases w:val="si Car1"/>
    <w:basedOn w:val="Policepardfaut"/>
    <w:uiPriority w:val="99"/>
    <w:semiHidden/>
    <w:rsid w:val="00F46C7B"/>
    <w:rPr>
      <w:rFonts w:ascii="Calibri" w:eastAsia="Times New Roman" w:hAnsi="Calibri" w:cs="Times New Roman"/>
      <w:lang w:eastAsia="fr-FR"/>
    </w:rPr>
  </w:style>
  <w:style w:type="character" w:customStyle="1" w:styleId="CorpsdetexteCar1">
    <w:name w:val="Corps de texte Car1"/>
    <w:aliases w:val="b Car1,bt Car1"/>
    <w:basedOn w:val="Policepardfaut"/>
    <w:semiHidden/>
    <w:rsid w:val="00F46C7B"/>
    <w:rPr>
      <w:rFonts w:ascii="Calibri" w:eastAsia="Times New Roman" w:hAnsi="Calibri" w:cs="Times New Roman"/>
      <w:lang w:eastAsia="fr-FR"/>
    </w:rPr>
  </w:style>
  <w:style w:type="character" w:customStyle="1" w:styleId="Sous-titreCar1">
    <w:name w:val="Sous-titre Car1"/>
    <w:aliases w:val="su Car1"/>
    <w:basedOn w:val="Policepardfaut"/>
    <w:uiPriority w:val="99"/>
    <w:rsid w:val="00F46C7B"/>
    <w:rPr>
      <w:rFonts w:eastAsiaTheme="minorEastAsia"/>
      <w:color w:val="5A5A5A" w:themeColor="text1" w:themeTint="A5"/>
      <w:spacing w:val="15"/>
      <w:lang w:eastAsia="fr-FR"/>
    </w:rPr>
  </w:style>
  <w:style w:type="character" w:customStyle="1" w:styleId="Corpsdetexte2Car1">
    <w:name w:val="Corps de texte 2 Car1"/>
    <w:aliases w:val="b2 Car1"/>
    <w:basedOn w:val="Policepardfaut"/>
    <w:uiPriority w:val="99"/>
    <w:semiHidden/>
    <w:rsid w:val="00F46C7B"/>
    <w:rPr>
      <w:rFonts w:ascii="Calibri" w:eastAsia="Times New Roman" w:hAnsi="Calibri" w:cs="Times New Roman"/>
      <w:lang w:eastAsia="fr-FR"/>
    </w:rPr>
  </w:style>
  <w:style w:type="character" w:customStyle="1" w:styleId="Corpsdetexte3Car1">
    <w:name w:val="Corps de texte 3 Car1"/>
    <w:aliases w:val="b3 Car1"/>
    <w:basedOn w:val="Policepardfaut"/>
    <w:uiPriority w:val="99"/>
    <w:semiHidden/>
    <w:rsid w:val="00F46C7B"/>
    <w:rPr>
      <w:rFonts w:ascii="Calibri" w:eastAsia="Times New Roman" w:hAnsi="Calibri" w:cs="Times New Roman"/>
      <w:sz w:val="16"/>
      <w:szCs w:val="16"/>
      <w:lang w:eastAsia="fr-FR"/>
    </w:rPr>
  </w:style>
  <w:style w:type="table" w:customStyle="1" w:styleId="SmartTextTable1">
    <w:name w:val="Smart Text Table1"/>
    <w:basedOn w:val="TableauNormal"/>
    <w:next w:val="Grilledutableau"/>
    <w:uiPriority w:val="59"/>
    <w:rsid w:val="00F46C7B"/>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Policepardfaut"/>
    <w:rsid w:val="00F46C7B"/>
  </w:style>
  <w:style w:type="character" w:customStyle="1" w:styleId="ParagraphedelisteCar">
    <w:name w:val="Paragraphe de liste Car"/>
    <w:basedOn w:val="Policepardfaut"/>
    <w:link w:val="Paragraphedeliste"/>
    <w:uiPriority w:val="34"/>
    <w:rsid w:val="00F46C7B"/>
    <w:rPr>
      <w:rFonts w:ascii="Times New Roman" w:eastAsia="Times New Roman" w:hAnsi="Times New Roman" w:cs="Times New Roman"/>
      <w:sz w:val="20"/>
      <w:szCs w:val="24"/>
      <w:lang w:val="en-US"/>
    </w:rPr>
  </w:style>
  <w:style w:type="paragraph" w:customStyle="1" w:styleId="conmainl50">
    <w:name w:val="conmainl5"/>
    <w:basedOn w:val="Normal"/>
    <w:rsid w:val="00F46C7B"/>
    <w:pPr>
      <w:spacing w:before="100" w:beforeAutospacing="1" w:after="100" w:afterAutospacing="1"/>
    </w:pPr>
    <w:rPr>
      <w:rFonts w:eastAsiaTheme="minorHAnsi"/>
      <w:sz w:val="24"/>
      <w:lang w:val="fr-FR" w:eastAsia="fr-FR"/>
    </w:rPr>
  </w:style>
  <w:style w:type="numbering" w:customStyle="1" w:styleId="Aucuneliste2">
    <w:name w:val="Aucune liste2"/>
    <w:next w:val="Aucuneliste"/>
    <w:uiPriority w:val="99"/>
    <w:semiHidden/>
    <w:unhideWhenUsed/>
    <w:rsid w:val="00F46C7B"/>
  </w:style>
  <w:style w:type="paragraph" w:customStyle="1" w:styleId="Styleastrid11Gras">
    <w:name w:val="Style astrid 1.1 + Gras"/>
    <w:basedOn w:val="astrid11"/>
    <w:link w:val="Styleastrid11GrasCar"/>
    <w:autoRedefine/>
    <w:uiPriority w:val="99"/>
    <w:rsid w:val="00F46C7B"/>
    <w:pPr>
      <w:tabs>
        <w:tab w:val="clear" w:pos="9000"/>
      </w:tabs>
      <w:ind w:right="0"/>
    </w:pPr>
    <w:rPr>
      <w:rFonts w:cs="Arial"/>
      <w:b w:val="0"/>
      <w:bCs/>
      <w:szCs w:val="28"/>
      <w:lang w:eastAsia="fr-FR"/>
    </w:rPr>
  </w:style>
  <w:style w:type="character" w:customStyle="1" w:styleId="Styleastrid11GrasCar">
    <w:name w:val="Style astrid 1.1 + Gras Car"/>
    <w:basedOn w:val="astrid11CarCar"/>
    <w:link w:val="Styleastrid11Gras"/>
    <w:uiPriority w:val="99"/>
    <w:locked/>
    <w:rsid w:val="00F46C7B"/>
    <w:rPr>
      <w:rFonts w:ascii="Times New Roman Gras" w:eastAsia="Times New Roman" w:hAnsi="Times New Roman Gras" w:cs="Arial"/>
      <w:b w:val="0"/>
      <w:bCs/>
      <w:sz w:val="24"/>
      <w:szCs w:val="28"/>
      <w:lang w:val="en-US" w:eastAsia="fr-FR"/>
    </w:rPr>
  </w:style>
  <w:style w:type="paragraph" w:customStyle="1" w:styleId="Adressedest">
    <w:name w:val="Adresse dest."/>
    <w:basedOn w:val="Normal"/>
    <w:rsid w:val="00F46C7B"/>
    <w:pPr>
      <w:spacing w:after="160" w:line="259" w:lineRule="auto"/>
    </w:pPr>
    <w:rPr>
      <w:rFonts w:eastAsia="MS Mincho"/>
      <w:sz w:val="22"/>
      <w:szCs w:val="22"/>
      <w:lang w:val="fr-FR" w:eastAsia="fr-FR"/>
    </w:rPr>
  </w:style>
  <w:style w:type="paragraph" w:customStyle="1" w:styleId="Lignederfrence">
    <w:name w:val="Ligne de référence"/>
    <w:basedOn w:val="Corpsdetexte"/>
    <w:rsid w:val="00F46C7B"/>
    <w:pPr>
      <w:spacing w:after="120" w:line="259" w:lineRule="auto"/>
      <w:jc w:val="left"/>
    </w:pPr>
    <w:rPr>
      <w:rFonts w:eastAsia="MS Mincho"/>
      <w:sz w:val="22"/>
      <w:szCs w:val="22"/>
      <w:lang w:val="fr-FR" w:eastAsia="fr-FR"/>
    </w:rPr>
  </w:style>
  <w:style w:type="paragraph" w:customStyle="1" w:styleId="Image">
    <w:name w:val="Image"/>
    <w:basedOn w:val="Normal"/>
    <w:rsid w:val="00F46C7B"/>
    <w:pPr>
      <w:spacing w:after="160" w:line="259" w:lineRule="auto"/>
    </w:pPr>
    <w:rPr>
      <w:rFonts w:eastAsia="MS Mincho"/>
      <w:sz w:val="22"/>
      <w:szCs w:val="22"/>
      <w:lang w:val="fr-FR" w:eastAsia="fr-FR"/>
    </w:rPr>
  </w:style>
  <w:style w:type="paragraph" w:customStyle="1" w:styleId="Citation1">
    <w:name w:val="Citation1"/>
    <w:basedOn w:val="Normal"/>
    <w:next w:val="Normal"/>
    <w:uiPriority w:val="29"/>
    <w:qFormat/>
    <w:rsid w:val="00F46C7B"/>
    <w:pPr>
      <w:spacing w:before="120" w:line="259" w:lineRule="auto"/>
      <w:ind w:left="720"/>
    </w:pPr>
    <w:rPr>
      <w:rFonts w:eastAsia="MS Mincho"/>
      <w:color w:val="1F497D"/>
      <w:sz w:val="24"/>
      <w:lang w:val="fr-FR" w:eastAsia="fr-FR"/>
    </w:rPr>
  </w:style>
  <w:style w:type="character" w:customStyle="1" w:styleId="CitationCar">
    <w:name w:val="Citation Car"/>
    <w:basedOn w:val="Policepardfaut"/>
    <w:link w:val="Citation"/>
    <w:uiPriority w:val="29"/>
    <w:rsid w:val="00F46C7B"/>
    <w:rPr>
      <w:color w:val="1F497D"/>
      <w:sz w:val="24"/>
      <w:szCs w:val="24"/>
    </w:rPr>
  </w:style>
  <w:style w:type="paragraph" w:customStyle="1" w:styleId="Citationintense1">
    <w:name w:val="Citation intense1"/>
    <w:basedOn w:val="Normal"/>
    <w:next w:val="Normal"/>
    <w:uiPriority w:val="30"/>
    <w:qFormat/>
    <w:rsid w:val="00F46C7B"/>
    <w:pPr>
      <w:spacing w:before="100" w:beforeAutospacing="1" w:after="240"/>
      <w:ind w:left="720"/>
      <w:jc w:val="center"/>
    </w:pPr>
    <w:rPr>
      <w:rFonts w:ascii="Cambria" w:eastAsia="MS Gothic" w:hAnsi="Cambria"/>
      <w:color w:val="1F497D"/>
      <w:spacing w:val="-6"/>
      <w:sz w:val="32"/>
      <w:szCs w:val="32"/>
      <w:lang w:val="fr-FR" w:eastAsia="fr-FR"/>
    </w:rPr>
  </w:style>
  <w:style w:type="character" w:customStyle="1" w:styleId="CitationintenseCar">
    <w:name w:val="Citation intense Car"/>
    <w:basedOn w:val="Policepardfaut"/>
    <w:link w:val="Citationintense"/>
    <w:uiPriority w:val="30"/>
    <w:rsid w:val="00F46C7B"/>
    <w:rPr>
      <w:rFonts w:ascii="Cambria" w:eastAsia="MS Gothic" w:hAnsi="Cambria" w:cs="Times New Roman"/>
      <w:color w:val="1F497D"/>
      <w:spacing w:val="-6"/>
      <w:sz w:val="32"/>
      <w:szCs w:val="32"/>
    </w:rPr>
  </w:style>
  <w:style w:type="character" w:customStyle="1" w:styleId="Emphaseple1">
    <w:name w:val="Emphase pâle1"/>
    <w:basedOn w:val="Policepardfaut"/>
    <w:uiPriority w:val="19"/>
    <w:qFormat/>
    <w:rsid w:val="00F46C7B"/>
    <w:rPr>
      <w:i/>
      <w:iCs/>
      <w:color w:val="595959"/>
    </w:rPr>
  </w:style>
  <w:style w:type="character" w:styleId="Accentuationintense">
    <w:name w:val="Intense Emphasis"/>
    <w:basedOn w:val="Policepardfaut"/>
    <w:uiPriority w:val="21"/>
    <w:qFormat/>
    <w:rsid w:val="00F46C7B"/>
    <w:rPr>
      <w:b/>
      <w:bCs/>
      <w:i/>
      <w:iCs/>
    </w:rPr>
  </w:style>
  <w:style w:type="character" w:customStyle="1" w:styleId="Rfrenceple1">
    <w:name w:val="Référence pâle1"/>
    <w:basedOn w:val="Policepardfaut"/>
    <w:uiPriority w:val="31"/>
    <w:qFormat/>
    <w:rsid w:val="00F46C7B"/>
    <w:rPr>
      <w:smallCaps/>
      <w:color w:val="595959"/>
      <w:u w:val="none" w:color="7F7F7F"/>
      <w:bdr w:val="none" w:sz="0" w:space="0" w:color="auto"/>
    </w:rPr>
  </w:style>
  <w:style w:type="character" w:customStyle="1" w:styleId="Rfrenceintense1">
    <w:name w:val="Référence intense1"/>
    <w:basedOn w:val="Policepardfaut"/>
    <w:uiPriority w:val="32"/>
    <w:qFormat/>
    <w:rsid w:val="00F46C7B"/>
    <w:rPr>
      <w:b/>
      <w:bCs/>
      <w:smallCaps/>
      <w:color w:val="1F497D"/>
      <w:u w:val="single"/>
    </w:rPr>
  </w:style>
  <w:style w:type="character" w:styleId="Titredulivre">
    <w:name w:val="Book Title"/>
    <w:basedOn w:val="Policepardfaut"/>
    <w:uiPriority w:val="33"/>
    <w:qFormat/>
    <w:rsid w:val="00F46C7B"/>
    <w:rPr>
      <w:b/>
      <w:bCs/>
      <w:smallCaps/>
      <w:spacing w:val="10"/>
    </w:rPr>
  </w:style>
  <w:style w:type="table" w:customStyle="1" w:styleId="Grilledutableau3">
    <w:name w:val="Grille du tableau3"/>
    <w:basedOn w:val="TableauNormal"/>
    <w:next w:val="Grilledutableau"/>
    <w:locked/>
    <w:rsid w:val="00F46C7B"/>
    <w:pPr>
      <w:spacing w:after="0" w:line="240" w:lineRule="auto"/>
    </w:pPr>
    <w:rPr>
      <w:rFonts w:ascii="Calibri" w:eastAsia="MS Mincho" w:hAnsi="Calibri"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rsid w:val="00F46C7B"/>
    <w:pPr>
      <w:spacing w:before="200" w:after="160"/>
      <w:ind w:left="864" w:right="864"/>
      <w:jc w:val="center"/>
    </w:pPr>
    <w:rPr>
      <w:rFonts w:asciiTheme="minorHAnsi" w:eastAsiaTheme="minorHAnsi" w:hAnsiTheme="minorHAnsi" w:cstheme="minorBidi"/>
      <w:color w:val="1F497D"/>
      <w:sz w:val="24"/>
      <w:lang w:val="fr-FR"/>
    </w:rPr>
  </w:style>
  <w:style w:type="character" w:customStyle="1" w:styleId="CitationCar1">
    <w:name w:val="Citation Car1"/>
    <w:basedOn w:val="Policepardfaut"/>
    <w:uiPriority w:val="29"/>
    <w:rsid w:val="00F46C7B"/>
    <w:rPr>
      <w:rFonts w:ascii="Times New Roman" w:eastAsia="Times New Roman" w:hAnsi="Times New Roman" w:cs="Times New Roman"/>
      <w:i/>
      <w:iCs/>
      <w:color w:val="404040" w:themeColor="text1" w:themeTint="BF"/>
      <w:sz w:val="20"/>
      <w:szCs w:val="24"/>
      <w:lang w:val="en-US"/>
    </w:rPr>
  </w:style>
  <w:style w:type="paragraph" w:styleId="Citationintense">
    <w:name w:val="Intense Quote"/>
    <w:basedOn w:val="Normal"/>
    <w:next w:val="Normal"/>
    <w:link w:val="CitationintenseCar"/>
    <w:uiPriority w:val="30"/>
    <w:qFormat/>
    <w:rsid w:val="00F46C7B"/>
    <w:pPr>
      <w:pBdr>
        <w:top w:val="single" w:sz="4" w:space="10" w:color="5B9BD5" w:themeColor="accent1"/>
        <w:bottom w:val="single" w:sz="4" w:space="10" w:color="5B9BD5" w:themeColor="accent1"/>
      </w:pBdr>
      <w:spacing w:before="360" w:after="360"/>
      <w:ind w:left="864" w:right="864"/>
      <w:jc w:val="center"/>
    </w:pPr>
    <w:rPr>
      <w:rFonts w:ascii="Cambria" w:eastAsia="MS Gothic" w:hAnsi="Cambria"/>
      <w:color w:val="1F497D"/>
      <w:spacing w:val="-6"/>
      <w:sz w:val="32"/>
      <w:szCs w:val="32"/>
      <w:lang w:val="fr-FR"/>
    </w:rPr>
  </w:style>
  <w:style w:type="character" w:customStyle="1" w:styleId="CitationintenseCar1">
    <w:name w:val="Citation intense Car1"/>
    <w:basedOn w:val="Policepardfaut"/>
    <w:uiPriority w:val="30"/>
    <w:rsid w:val="00F46C7B"/>
    <w:rPr>
      <w:rFonts w:ascii="Times New Roman" w:eastAsia="Times New Roman" w:hAnsi="Times New Roman" w:cs="Times New Roman"/>
      <w:i/>
      <w:iCs/>
      <w:color w:val="5B9BD5" w:themeColor="accent1"/>
      <w:sz w:val="20"/>
      <w:szCs w:val="24"/>
      <w:lang w:val="en-US"/>
    </w:rPr>
  </w:style>
  <w:style w:type="character" w:styleId="Accentuationlgre">
    <w:name w:val="Subtle Emphasis"/>
    <w:basedOn w:val="Policepardfaut"/>
    <w:uiPriority w:val="19"/>
    <w:qFormat/>
    <w:rsid w:val="00F46C7B"/>
    <w:rPr>
      <w:i/>
      <w:iCs/>
      <w:color w:val="404040" w:themeColor="text1" w:themeTint="BF"/>
    </w:rPr>
  </w:style>
  <w:style w:type="character" w:styleId="Rfrenceple">
    <w:name w:val="Subtle Reference"/>
    <w:basedOn w:val="Policepardfaut"/>
    <w:uiPriority w:val="31"/>
    <w:qFormat/>
    <w:rsid w:val="00F46C7B"/>
    <w:rPr>
      <w:smallCaps/>
      <w:color w:val="5A5A5A" w:themeColor="text1" w:themeTint="A5"/>
    </w:rPr>
  </w:style>
  <w:style w:type="character" w:styleId="Rfrenceintense">
    <w:name w:val="Intense Reference"/>
    <w:basedOn w:val="Policepardfaut"/>
    <w:uiPriority w:val="32"/>
    <w:qFormat/>
    <w:rsid w:val="00F46C7B"/>
    <w:rPr>
      <w:b/>
      <w:bCs/>
      <w:smallCaps/>
      <w:color w:val="5B9BD5" w:themeColor="accent1"/>
      <w:spacing w:val="5"/>
    </w:rPr>
  </w:style>
  <w:style w:type="paragraph" w:customStyle="1" w:styleId="Body">
    <w:name w:val="Body"/>
    <w:rsid w:val="00F46C7B"/>
    <w:pPr>
      <w:spacing w:after="200" w:line="276" w:lineRule="auto"/>
    </w:pPr>
    <w:rPr>
      <w:rFonts w:ascii="Calibri" w:eastAsia="Calibri" w:hAnsi="Calibri" w:cs="Calibri"/>
      <w:color w:val="000000"/>
      <w:u w:color="000000"/>
      <w:lang w:val="en-US"/>
    </w:rPr>
  </w:style>
  <w:style w:type="character" w:customStyle="1" w:styleId="Corpsdutexte2">
    <w:name w:val="Corps du texte (2)_"/>
    <w:basedOn w:val="Policepardfaut"/>
    <w:link w:val="Corpsdutexte20"/>
    <w:rsid w:val="001E5FAB"/>
    <w:rPr>
      <w:rFonts w:ascii="Arial Narrow" w:eastAsia="Arial Narrow" w:hAnsi="Arial Narrow" w:cs="Arial Narrow"/>
      <w:sz w:val="19"/>
      <w:szCs w:val="19"/>
      <w:shd w:val="clear" w:color="auto" w:fill="FFFFFF"/>
    </w:rPr>
  </w:style>
  <w:style w:type="character" w:customStyle="1" w:styleId="Corpsdutexte2AngsanaUPC13pt">
    <w:name w:val="Corps du texte (2) + AngsanaUPC;13 pt"/>
    <w:basedOn w:val="Corpsdutexte2"/>
    <w:rsid w:val="001E5FAB"/>
    <w:rPr>
      <w:rFonts w:ascii="AngsanaUPC" w:eastAsia="AngsanaUPC" w:hAnsi="AngsanaUPC" w:cs="AngsanaUPC"/>
      <w:color w:val="000000"/>
      <w:spacing w:val="0"/>
      <w:w w:val="100"/>
      <w:position w:val="0"/>
      <w:sz w:val="26"/>
      <w:szCs w:val="26"/>
      <w:shd w:val="clear" w:color="auto" w:fill="FFFFFF"/>
      <w:lang w:val="fr-FR" w:eastAsia="fr-FR" w:bidi="fr-FR"/>
    </w:rPr>
  </w:style>
  <w:style w:type="character" w:customStyle="1" w:styleId="Corpsdutexte275pt">
    <w:name w:val="Corps du texte (2) + 7;5 pt"/>
    <w:basedOn w:val="Corpsdutexte2"/>
    <w:rsid w:val="001E5FAB"/>
    <w:rPr>
      <w:rFonts w:ascii="Arial Narrow" w:eastAsia="Arial Narrow" w:hAnsi="Arial Narrow" w:cs="Arial Narrow"/>
      <w:color w:val="000000"/>
      <w:spacing w:val="0"/>
      <w:w w:val="100"/>
      <w:position w:val="0"/>
      <w:sz w:val="15"/>
      <w:szCs w:val="15"/>
      <w:shd w:val="clear" w:color="auto" w:fill="FFFFFF"/>
      <w:lang w:val="fr-FR" w:eastAsia="fr-FR" w:bidi="fr-FR"/>
    </w:rPr>
  </w:style>
  <w:style w:type="paragraph" w:customStyle="1" w:styleId="Corpsdutexte20">
    <w:name w:val="Corps du texte (2)"/>
    <w:basedOn w:val="Normal"/>
    <w:link w:val="Corpsdutexte2"/>
    <w:rsid w:val="001E5FAB"/>
    <w:pPr>
      <w:widowControl w:val="0"/>
      <w:shd w:val="clear" w:color="auto" w:fill="FFFFFF"/>
      <w:spacing w:line="214" w:lineRule="exact"/>
      <w:ind w:hanging="320"/>
    </w:pPr>
    <w:rPr>
      <w:rFonts w:ascii="Arial Narrow" w:eastAsia="Arial Narrow" w:hAnsi="Arial Narrow" w:cs="Arial Narrow"/>
      <w:sz w:val="19"/>
      <w:szCs w:val="19"/>
      <w:lang w:val="fr-FR"/>
    </w:rPr>
  </w:style>
  <w:style w:type="character" w:customStyle="1" w:styleId="Corpsdutexte275ptGras">
    <w:name w:val="Corps du texte (2) + 7;5 pt;Gras"/>
    <w:basedOn w:val="Corpsdutexte2"/>
    <w:rsid w:val="00123919"/>
    <w:rPr>
      <w:rFonts w:ascii="Arial Narrow" w:eastAsia="Arial Narrow" w:hAnsi="Arial Narrow" w:cs="Arial Narrow"/>
      <w:b/>
      <w:bCs/>
      <w:color w:val="000000"/>
      <w:spacing w:val="0"/>
      <w:w w:val="100"/>
      <w:position w:val="0"/>
      <w:sz w:val="15"/>
      <w:szCs w:val="15"/>
      <w:shd w:val="clear" w:color="auto" w:fill="FFFFFF"/>
      <w:lang w:val="fr-FR" w:eastAsia="fr-FR" w:bidi="fr-FR"/>
    </w:rPr>
  </w:style>
  <w:style w:type="character" w:customStyle="1" w:styleId="Corpsdutexte2Gras">
    <w:name w:val="Corps du texte (2) + Gras"/>
    <w:basedOn w:val="Corpsdutexte2"/>
    <w:rsid w:val="00123919"/>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BookAntiqua85pt">
    <w:name w:val="Corps du texte (2) + Book Antiqua;8;5 pt"/>
    <w:basedOn w:val="Corpsdutexte2"/>
    <w:rsid w:val="00123919"/>
    <w:rPr>
      <w:rFonts w:ascii="Book Antiqua" w:eastAsia="Book Antiqua" w:hAnsi="Book Antiqua" w:cs="Book Antiqua"/>
      <w:b w:val="0"/>
      <w:bCs w:val="0"/>
      <w:i w:val="0"/>
      <w:iCs w:val="0"/>
      <w:smallCaps w:val="0"/>
      <w:strike w:val="0"/>
      <w:color w:val="000000"/>
      <w:spacing w:val="0"/>
      <w:w w:val="100"/>
      <w:position w:val="0"/>
      <w:sz w:val="17"/>
      <w:szCs w:val="17"/>
      <w:u w:val="none"/>
      <w:shd w:val="clear" w:color="auto" w:fill="FFFFFF"/>
      <w:lang w:val="fr-FR" w:eastAsia="fr-FR" w:bidi="fr-FR"/>
    </w:rPr>
  </w:style>
  <w:style w:type="table" w:customStyle="1" w:styleId="TableGrid">
    <w:name w:val="TableGrid"/>
    <w:rsid w:val="00B33E9B"/>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xl66">
    <w:name w:val="xl66"/>
    <w:basedOn w:val="Normal"/>
    <w:rsid w:val="0006307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Arial" w:hAnsi="Arial" w:cs="Arial"/>
      <w:b/>
      <w:bCs/>
      <w:szCs w:val="20"/>
      <w:lang w:val="fr-FR" w:eastAsia="fr-FR"/>
    </w:rPr>
  </w:style>
  <w:style w:type="paragraph" w:customStyle="1" w:styleId="xl67">
    <w:name w:val="xl67"/>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0"/>
      <w:lang w:val="fr-FR" w:eastAsia="fr-FR"/>
    </w:rPr>
  </w:style>
  <w:style w:type="paragraph" w:customStyle="1" w:styleId="xl68">
    <w:name w:val="xl68"/>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0"/>
      <w:lang w:val="fr-FR" w:eastAsia="fr-FR"/>
    </w:rPr>
  </w:style>
  <w:style w:type="paragraph" w:customStyle="1" w:styleId="xl69">
    <w:name w:val="xl69"/>
    <w:basedOn w:val="Normal"/>
    <w:rsid w:val="0006307C"/>
    <w:pPr>
      <w:pBdr>
        <w:top w:val="single" w:sz="4" w:space="0" w:color="auto"/>
        <w:left w:val="single" w:sz="4" w:space="0" w:color="auto"/>
        <w:right w:val="single" w:sz="4" w:space="0" w:color="auto"/>
      </w:pBdr>
      <w:spacing w:before="100" w:beforeAutospacing="1" w:after="100" w:afterAutospacing="1"/>
      <w:jc w:val="center"/>
      <w:textAlignment w:val="center"/>
    </w:pPr>
    <w:rPr>
      <w:szCs w:val="20"/>
      <w:lang w:val="fr-FR" w:eastAsia="fr-FR"/>
    </w:rPr>
  </w:style>
  <w:style w:type="paragraph" w:customStyle="1" w:styleId="xl70">
    <w:name w:val="xl70"/>
    <w:basedOn w:val="Normal"/>
    <w:rsid w:val="0006307C"/>
    <w:pPr>
      <w:pBdr>
        <w:left w:val="single" w:sz="4" w:space="0" w:color="auto"/>
        <w:bottom w:val="single" w:sz="4" w:space="0" w:color="auto"/>
        <w:right w:val="single" w:sz="4" w:space="0" w:color="auto"/>
      </w:pBdr>
      <w:spacing w:before="100" w:beforeAutospacing="1" w:after="100" w:afterAutospacing="1"/>
      <w:jc w:val="center"/>
      <w:textAlignment w:val="center"/>
    </w:pPr>
    <w:rPr>
      <w:szCs w:val="20"/>
      <w:lang w:val="fr-FR" w:eastAsia="fr-FR"/>
    </w:rPr>
  </w:style>
  <w:style w:type="paragraph" w:customStyle="1" w:styleId="xl71">
    <w:name w:val="xl71"/>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lang w:val="fr-FR" w:eastAsia="fr-FR"/>
    </w:rPr>
  </w:style>
  <w:style w:type="paragraph" w:customStyle="1" w:styleId="xl72">
    <w:name w:val="xl72"/>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lang w:val="fr-FR" w:eastAsia="fr-FR"/>
    </w:rPr>
  </w:style>
  <w:style w:type="table" w:customStyle="1" w:styleId="TableGrid2">
    <w:name w:val="Table Grid2"/>
    <w:basedOn w:val="TableauNormal"/>
    <w:next w:val="Grilledutableau"/>
    <w:uiPriority w:val="59"/>
    <w:rsid w:val="00C76E5B"/>
    <w:pPr>
      <w:spacing w:after="24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Paragraphedeliste"/>
    <w:link w:val="Style2Char"/>
    <w:qFormat/>
    <w:rsid w:val="00C76E5B"/>
    <w:pPr>
      <w:numPr>
        <w:ilvl w:val="1"/>
        <w:numId w:val="88"/>
      </w:numPr>
      <w:spacing w:after="220"/>
      <w:outlineLvl w:val="1"/>
    </w:pPr>
    <w:rPr>
      <w:u w:val="single"/>
    </w:rPr>
  </w:style>
  <w:style w:type="character" w:customStyle="1" w:styleId="Style2Char">
    <w:name w:val="Style2 Char"/>
    <w:basedOn w:val="ParagraphedelisteCar"/>
    <w:link w:val="Style2"/>
    <w:rsid w:val="00C76E5B"/>
    <w:rPr>
      <w:rFonts w:ascii="Calibri" w:eastAsia="Times New Roman" w:hAnsi="Calibri" w:cs="Times New Roman"/>
      <w:sz w:val="20"/>
      <w:szCs w:val="24"/>
      <w:u w:val="single"/>
      <w:lang w:val="en-US"/>
    </w:rPr>
  </w:style>
  <w:style w:type="table" w:styleId="TableauListe3-Accentuation1">
    <w:name w:val="List Table 3 Accent 1"/>
    <w:basedOn w:val="TableauNormal"/>
    <w:uiPriority w:val="48"/>
    <w:rsid w:val="00940C8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ONNotesL1">
    <w:name w:val="LONNotes_L1"/>
    <w:basedOn w:val="Normal"/>
    <w:link w:val="LONNotesL1Char"/>
    <w:rsid w:val="007F1850"/>
    <w:pPr>
      <w:numPr>
        <w:numId w:val="101"/>
      </w:numPr>
      <w:spacing w:after="220"/>
      <w:outlineLvl w:val="0"/>
    </w:pPr>
    <w:rPr>
      <w:rFonts w:ascii="Times New Roman" w:hAnsi="Times New Roman"/>
      <w:sz w:val="22"/>
      <w:szCs w:val="20"/>
    </w:rPr>
  </w:style>
  <w:style w:type="paragraph" w:customStyle="1" w:styleId="LONNotesL2">
    <w:name w:val="LONNotes_L2"/>
    <w:basedOn w:val="Normal"/>
    <w:rsid w:val="007F1850"/>
    <w:pPr>
      <w:numPr>
        <w:ilvl w:val="1"/>
        <w:numId w:val="101"/>
      </w:numPr>
      <w:spacing w:after="220"/>
      <w:outlineLvl w:val="1"/>
    </w:pPr>
    <w:rPr>
      <w:rFonts w:ascii="Times New Roman" w:hAnsi="Times New Roman"/>
      <w:sz w:val="22"/>
      <w:szCs w:val="20"/>
    </w:rPr>
  </w:style>
  <w:style w:type="paragraph" w:customStyle="1" w:styleId="LONNotesL3">
    <w:name w:val="LONNotes_L3"/>
    <w:basedOn w:val="Normal"/>
    <w:rsid w:val="007F1850"/>
    <w:pPr>
      <w:numPr>
        <w:ilvl w:val="2"/>
        <w:numId w:val="101"/>
      </w:numPr>
      <w:spacing w:after="220"/>
      <w:outlineLvl w:val="2"/>
    </w:pPr>
    <w:rPr>
      <w:rFonts w:ascii="Times New Roman" w:hAnsi="Times New Roman"/>
      <w:sz w:val="22"/>
      <w:szCs w:val="20"/>
    </w:rPr>
  </w:style>
  <w:style w:type="paragraph" w:customStyle="1" w:styleId="LONNotesL4">
    <w:name w:val="LONNotes_L4"/>
    <w:basedOn w:val="Normal"/>
    <w:rsid w:val="007F1850"/>
    <w:pPr>
      <w:numPr>
        <w:ilvl w:val="3"/>
        <w:numId w:val="101"/>
      </w:numPr>
      <w:spacing w:after="220"/>
      <w:outlineLvl w:val="3"/>
    </w:pPr>
    <w:rPr>
      <w:rFonts w:ascii="Times New Roman" w:hAnsi="Times New Roman"/>
      <w:sz w:val="22"/>
      <w:szCs w:val="20"/>
    </w:rPr>
  </w:style>
  <w:style w:type="paragraph" w:customStyle="1" w:styleId="LONNotesL5">
    <w:name w:val="LONNotes_L5"/>
    <w:basedOn w:val="LONNotesL4"/>
    <w:rsid w:val="007F1850"/>
    <w:pPr>
      <w:numPr>
        <w:ilvl w:val="4"/>
      </w:numPr>
      <w:outlineLvl w:val="4"/>
    </w:pPr>
  </w:style>
  <w:style w:type="paragraph" w:customStyle="1" w:styleId="LONNotesL6">
    <w:name w:val="LONNotes_L6"/>
    <w:basedOn w:val="LONNotesL5"/>
    <w:rsid w:val="007F1850"/>
    <w:pPr>
      <w:numPr>
        <w:ilvl w:val="5"/>
      </w:numPr>
      <w:tabs>
        <w:tab w:val="clear" w:pos="2976"/>
        <w:tab w:val="num" w:pos="4320"/>
      </w:tabs>
      <w:ind w:left="4320" w:hanging="360"/>
      <w:outlineLvl w:val="5"/>
    </w:pPr>
  </w:style>
  <w:style w:type="character" w:customStyle="1" w:styleId="LONNotesL1Char">
    <w:name w:val="LONNotes_L1 Char"/>
    <w:basedOn w:val="Policepardfaut"/>
    <w:link w:val="LONNotesL1"/>
    <w:rsid w:val="007F1850"/>
    <w:rPr>
      <w:rFonts w:ascii="Times New Roman" w:eastAsia="Times New Roman" w:hAnsi="Times New Roman" w:cs="Times New Roman"/>
      <w:szCs w:val="20"/>
      <w:lang w:val="en-US"/>
    </w:rPr>
  </w:style>
  <w:style w:type="numbering" w:customStyle="1" w:styleId="ArticleSection11">
    <w:name w:val="Article / Section11"/>
    <w:basedOn w:val="Aucuneliste"/>
    <w:next w:val="ArticleSection"/>
    <w:rsid w:val="007F1850"/>
  </w:style>
  <w:style w:type="numbering" w:styleId="ArticleSection">
    <w:name w:val="Outline List 3"/>
    <w:basedOn w:val="Aucuneliste"/>
    <w:uiPriority w:val="99"/>
    <w:semiHidden/>
    <w:unhideWhenUsed/>
    <w:rsid w:val="007F1850"/>
  </w:style>
  <w:style w:type="paragraph" w:customStyle="1" w:styleId="rrdsinglerule3">
    <w:name w:val="rrdsinglerule3"/>
    <w:basedOn w:val="Normal"/>
    <w:next w:val="Normal"/>
    <w:uiPriority w:val="99"/>
    <w:rsid w:val="007F1850"/>
    <w:pPr>
      <w:pBdr>
        <w:top w:val="single" w:sz="8" w:space="1" w:color="auto"/>
      </w:pBdr>
      <w:spacing w:before="20" w:after="0" w:line="20" w:lineRule="exact"/>
      <w:jc w:val="center"/>
    </w:pPr>
    <w:rPr>
      <w:rFonts w:ascii="Times New Roman" w:hAnsi="Times New Roman"/>
      <w:sz w:val="8"/>
      <w:szCs w:val="8"/>
    </w:rPr>
  </w:style>
  <w:style w:type="character" w:customStyle="1" w:styleId="Mentionnonrsolue1">
    <w:name w:val="Mention non résolue1"/>
    <w:basedOn w:val="Policepardfaut"/>
    <w:uiPriority w:val="99"/>
    <w:semiHidden/>
    <w:unhideWhenUsed/>
    <w:rsid w:val="004572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2337">
      <w:bodyDiv w:val="1"/>
      <w:marLeft w:val="0"/>
      <w:marRight w:val="0"/>
      <w:marTop w:val="0"/>
      <w:marBottom w:val="0"/>
      <w:divBdr>
        <w:top w:val="none" w:sz="0" w:space="0" w:color="auto"/>
        <w:left w:val="none" w:sz="0" w:space="0" w:color="auto"/>
        <w:bottom w:val="none" w:sz="0" w:space="0" w:color="auto"/>
        <w:right w:val="none" w:sz="0" w:space="0" w:color="auto"/>
      </w:divBdr>
    </w:div>
    <w:div w:id="10228672">
      <w:bodyDiv w:val="1"/>
      <w:marLeft w:val="0"/>
      <w:marRight w:val="0"/>
      <w:marTop w:val="0"/>
      <w:marBottom w:val="0"/>
      <w:divBdr>
        <w:top w:val="none" w:sz="0" w:space="0" w:color="auto"/>
        <w:left w:val="none" w:sz="0" w:space="0" w:color="auto"/>
        <w:bottom w:val="none" w:sz="0" w:space="0" w:color="auto"/>
        <w:right w:val="none" w:sz="0" w:space="0" w:color="auto"/>
      </w:divBdr>
    </w:div>
    <w:div w:id="14311297">
      <w:bodyDiv w:val="1"/>
      <w:marLeft w:val="0"/>
      <w:marRight w:val="0"/>
      <w:marTop w:val="0"/>
      <w:marBottom w:val="0"/>
      <w:divBdr>
        <w:top w:val="none" w:sz="0" w:space="0" w:color="auto"/>
        <w:left w:val="none" w:sz="0" w:space="0" w:color="auto"/>
        <w:bottom w:val="none" w:sz="0" w:space="0" w:color="auto"/>
        <w:right w:val="none" w:sz="0" w:space="0" w:color="auto"/>
      </w:divBdr>
    </w:div>
    <w:div w:id="16466571">
      <w:bodyDiv w:val="1"/>
      <w:marLeft w:val="0"/>
      <w:marRight w:val="0"/>
      <w:marTop w:val="0"/>
      <w:marBottom w:val="0"/>
      <w:divBdr>
        <w:top w:val="none" w:sz="0" w:space="0" w:color="auto"/>
        <w:left w:val="none" w:sz="0" w:space="0" w:color="auto"/>
        <w:bottom w:val="none" w:sz="0" w:space="0" w:color="auto"/>
        <w:right w:val="none" w:sz="0" w:space="0" w:color="auto"/>
      </w:divBdr>
    </w:div>
    <w:div w:id="23216352">
      <w:bodyDiv w:val="1"/>
      <w:marLeft w:val="0"/>
      <w:marRight w:val="0"/>
      <w:marTop w:val="0"/>
      <w:marBottom w:val="0"/>
      <w:divBdr>
        <w:top w:val="none" w:sz="0" w:space="0" w:color="auto"/>
        <w:left w:val="none" w:sz="0" w:space="0" w:color="auto"/>
        <w:bottom w:val="none" w:sz="0" w:space="0" w:color="auto"/>
        <w:right w:val="none" w:sz="0" w:space="0" w:color="auto"/>
      </w:divBdr>
    </w:div>
    <w:div w:id="41370077">
      <w:bodyDiv w:val="1"/>
      <w:marLeft w:val="0"/>
      <w:marRight w:val="0"/>
      <w:marTop w:val="0"/>
      <w:marBottom w:val="0"/>
      <w:divBdr>
        <w:top w:val="none" w:sz="0" w:space="0" w:color="auto"/>
        <w:left w:val="none" w:sz="0" w:space="0" w:color="auto"/>
        <w:bottom w:val="none" w:sz="0" w:space="0" w:color="auto"/>
        <w:right w:val="none" w:sz="0" w:space="0" w:color="auto"/>
      </w:divBdr>
    </w:div>
    <w:div w:id="45573983">
      <w:bodyDiv w:val="1"/>
      <w:marLeft w:val="0"/>
      <w:marRight w:val="0"/>
      <w:marTop w:val="0"/>
      <w:marBottom w:val="0"/>
      <w:divBdr>
        <w:top w:val="none" w:sz="0" w:space="0" w:color="auto"/>
        <w:left w:val="none" w:sz="0" w:space="0" w:color="auto"/>
        <w:bottom w:val="none" w:sz="0" w:space="0" w:color="auto"/>
        <w:right w:val="none" w:sz="0" w:space="0" w:color="auto"/>
      </w:divBdr>
    </w:div>
    <w:div w:id="63724338">
      <w:bodyDiv w:val="1"/>
      <w:marLeft w:val="0"/>
      <w:marRight w:val="0"/>
      <w:marTop w:val="0"/>
      <w:marBottom w:val="0"/>
      <w:divBdr>
        <w:top w:val="none" w:sz="0" w:space="0" w:color="auto"/>
        <w:left w:val="none" w:sz="0" w:space="0" w:color="auto"/>
        <w:bottom w:val="none" w:sz="0" w:space="0" w:color="auto"/>
        <w:right w:val="none" w:sz="0" w:space="0" w:color="auto"/>
      </w:divBdr>
    </w:div>
    <w:div w:id="74134116">
      <w:bodyDiv w:val="1"/>
      <w:marLeft w:val="0"/>
      <w:marRight w:val="0"/>
      <w:marTop w:val="0"/>
      <w:marBottom w:val="0"/>
      <w:divBdr>
        <w:top w:val="none" w:sz="0" w:space="0" w:color="auto"/>
        <w:left w:val="none" w:sz="0" w:space="0" w:color="auto"/>
        <w:bottom w:val="none" w:sz="0" w:space="0" w:color="auto"/>
        <w:right w:val="none" w:sz="0" w:space="0" w:color="auto"/>
      </w:divBdr>
    </w:div>
    <w:div w:id="84309597">
      <w:bodyDiv w:val="1"/>
      <w:marLeft w:val="0"/>
      <w:marRight w:val="0"/>
      <w:marTop w:val="0"/>
      <w:marBottom w:val="0"/>
      <w:divBdr>
        <w:top w:val="none" w:sz="0" w:space="0" w:color="auto"/>
        <w:left w:val="none" w:sz="0" w:space="0" w:color="auto"/>
        <w:bottom w:val="none" w:sz="0" w:space="0" w:color="auto"/>
        <w:right w:val="none" w:sz="0" w:space="0" w:color="auto"/>
      </w:divBdr>
    </w:div>
    <w:div w:id="100952845">
      <w:bodyDiv w:val="1"/>
      <w:marLeft w:val="0"/>
      <w:marRight w:val="0"/>
      <w:marTop w:val="0"/>
      <w:marBottom w:val="0"/>
      <w:divBdr>
        <w:top w:val="none" w:sz="0" w:space="0" w:color="auto"/>
        <w:left w:val="none" w:sz="0" w:space="0" w:color="auto"/>
        <w:bottom w:val="none" w:sz="0" w:space="0" w:color="auto"/>
        <w:right w:val="none" w:sz="0" w:space="0" w:color="auto"/>
      </w:divBdr>
      <w:divsChild>
        <w:div w:id="1425951105">
          <w:marLeft w:val="0"/>
          <w:marRight w:val="0"/>
          <w:marTop w:val="0"/>
          <w:marBottom w:val="0"/>
          <w:divBdr>
            <w:top w:val="none" w:sz="0" w:space="0" w:color="auto"/>
            <w:left w:val="none" w:sz="0" w:space="0" w:color="auto"/>
            <w:bottom w:val="none" w:sz="0" w:space="0" w:color="auto"/>
            <w:right w:val="none" w:sz="0" w:space="0" w:color="auto"/>
          </w:divBdr>
        </w:div>
      </w:divsChild>
    </w:div>
    <w:div w:id="102650224">
      <w:bodyDiv w:val="1"/>
      <w:marLeft w:val="0"/>
      <w:marRight w:val="0"/>
      <w:marTop w:val="0"/>
      <w:marBottom w:val="0"/>
      <w:divBdr>
        <w:top w:val="none" w:sz="0" w:space="0" w:color="auto"/>
        <w:left w:val="none" w:sz="0" w:space="0" w:color="auto"/>
        <w:bottom w:val="none" w:sz="0" w:space="0" w:color="auto"/>
        <w:right w:val="none" w:sz="0" w:space="0" w:color="auto"/>
      </w:divBdr>
    </w:div>
    <w:div w:id="121967399">
      <w:bodyDiv w:val="1"/>
      <w:marLeft w:val="0"/>
      <w:marRight w:val="0"/>
      <w:marTop w:val="0"/>
      <w:marBottom w:val="0"/>
      <w:divBdr>
        <w:top w:val="none" w:sz="0" w:space="0" w:color="auto"/>
        <w:left w:val="none" w:sz="0" w:space="0" w:color="auto"/>
        <w:bottom w:val="none" w:sz="0" w:space="0" w:color="auto"/>
        <w:right w:val="none" w:sz="0" w:space="0" w:color="auto"/>
      </w:divBdr>
    </w:div>
    <w:div w:id="147402000">
      <w:bodyDiv w:val="1"/>
      <w:marLeft w:val="0"/>
      <w:marRight w:val="0"/>
      <w:marTop w:val="0"/>
      <w:marBottom w:val="0"/>
      <w:divBdr>
        <w:top w:val="none" w:sz="0" w:space="0" w:color="auto"/>
        <w:left w:val="none" w:sz="0" w:space="0" w:color="auto"/>
        <w:bottom w:val="none" w:sz="0" w:space="0" w:color="auto"/>
        <w:right w:val="none" w:sz="0" w:space="0" w:color="auto"/>
      </w:divBdr>
    </w:div>
    <w:div w:id="147939752">
      <w:bodyDiv w:val="1"/>
      <w:marLeft w:val="0"/>
      <w:marRight w:val="0"/>
      <w:marTop w:val="0"/>
      <w:marBottom w:val="0"/>
      <w:divBdr>
        <w:top w:val="none" w:sz="0" w:space="0" w:color="auto"/>
        <w:left w:val="none" w:sz="0" w:space="0" w:color="auto"/>
        <w:bottom w:val="none" w:sz="0" w:space="0" w:color="auto"/>
        <w:right w:val="none" w:sz="0" w:space="0" w:color="auto"/>
      </w:divBdr>
    </w:div>
    <w:div w:id="148403679">
      <w:bodyDiv w:val="1"/>
      <w:marLeft w:val="0"/>
      <w:marRight w:val="0"/>
      <w:marTop w:val="0"/>
      <w:marBottom w:val="0"/>
      <w:divBdr>
        <w:top w:val="none" w:sz="0" w:space="0" w:color="auto"/>
        <w:left w:val="none" w:sz="0" w:space="0" w:color="auto"/>
        <w:bottom w:val="none" w:sz="0" w:space="0" w:color="auto"/>
        <w:right w:val="none" w:sz="0" w:space="0" w:color="auto"/>
      </w:divBdr>
    </w:div>
    <w:div w:id="149249196">
      <w:bodyDiv w:val="1"/>
      <w:marLeft w:val="0"/>
      <w:marRight w:val="0"/>
      <w:marTop w:val="0"/>
      <w:marBottom w:val="0"/>
      <w:divBdr>
        <w:top w:val="none" w:sz="0" w:space="0" w:color="auto"/>
        <w:left w:val="none" w:sz="0" w:space="0" w:color="auto"/>
        <w:bottom w:val="none" w:sz="0" w:space="0" w:color="auto"/>
        <w:right w:val="none" w:sz="0" w:space="0" w:color="auto"/>
      </w:divBdr>
    </w:div>
    <w:div w:id="157038054">
      <w:bodyDiv w:val="1"/>
      <w:marLeft w:val="0"/>
      <w:marRight w:val="0"/>
      <w:marTop w:val="0"/>
      <w:marBottom w:val="0"/>
      <w:divBdr>
        <w:top w:val="none" w:sz="0" w:space="0" w:color="auto"/>
        <w:left w:val="none" w:sz="0" w:space="0" w:color="auto"/>
        <w:bottom w:val="none" w:sz="0" w:space="0" w:color="auto"/>
        <w:right w:val="none" w:sz="0" w:space="0" w:color="auto"/>
      </w:divBdr>
    </w:div>
    <w:div w:id="164248988">
      <w:bodyDiv w:val="1"/>
      <w:marLeft w:val="0"/>
      <w:marRight w:val="0"/>
      <w:marTop w:val="0"/>
      <w:marBottom w:val="0"/>
      <w:divBdr>
        <w:top w:val="none" w:sz="0" w:space="0" w:color="auto"/>
        <w:left w:val="none" w:sz="0" w:space="0" w:color="auto"/>
        <w:bottom w:val="none" w:sz="0" w:space="0" w:color="auto"/>
        <w:right w:val="none" w:sz="0" w:space="0" w:color="auto"/>
      </w:divBdr>
    </w:div>
    <w:div w:id="165026562">
      <w:bodyDiv w:val="1"/>
      <w:marLeft w:val="0"/>
      <w:marRight w:val="0"/>
      <w:marTop w:val="0"/>
      <w:marBottom w:val="0"/>
      <w:divBdr>
        <w:top w:val="none" w:sz="0" w:space="0" w:color="auto"/>
        <w:left w:val="none" w:sz="0" w:space="0" w:color="auto"/>
        <w:bottom w:val="none" w:sz="0" w:space="0" w:color="auto"/>
        <w:right w:val="none" w:sz="0" w:space="0" w:color="auto"/>
      </w:divBdr>
    </w:div>
    <w:div w:id="168058773">
      <w:bodyDiv w:val="1"/>
      <w:marLeft w:val="0"/>
      <w:marRight w:val="0"/>
      <w:marTop w:val="0"/>
      <w:marBottom w:val="0"/>
      <w:divBdr>
        <w:top w:val="none" w:sz="0" w:space="0" w:color="auto"/>
        <w:left w:val="none" w:sz="0" w:space="0" w:color="auto"/>
        <w:bottom w:val="none" w:sz="0" w:space="0" w:color="auto"/>
        <w:right w:val="none" w:sz="0" w:space="0" w:color="auto"/>
      </w:divBdr>
    </w:div>
    <w:div w:id="169026204">
      <w:bodyDiv w:val="1"/>
      <w:marLeft w:val="0"/>
      <w:marRight w:val="0"/>
      <w:marTop w:val="0"/>
      <w:marBottom w:val="0"/>
      <w:divBdr>
        <w:top w:val="none" w:sz="0" w:space="0" w:color="auto"/>
        <w:left w:val="none" w:sz="0" w:space="0" w:color="auto"/>
        <w:bottom w:val="none" w:sz="0" w:space="0" w:color="auto"/>
        <w:right w:val="none" w:sz="0" w:space="0" w:color="auto"/>
      </w:divBdr>
    </w:div>
    <w:div w:id="169411189">
      <w:bodyDiv w:val="1"/>
      <w:marLeft w:val="0"/>
      <w:marRight w:val="0"/>
      <w:marTop w:val="0"/>
      <w:marBottom w:val="0"/>
      <w:divBdr>
        <w:top w:val="none" w:sz="0" w:space="0" w:color="auto"/>
        <w:left w:val="none" w:sz="0" w:space="0" w:color="auto"/>
        <w:bottom w:val="none" w:sz="0" w:space="0" w:color="auto"/>
        <w:right w:val="none" w:sz="0" w:space="0" w:color="auto"/>
      </w:divBdr>
    </w:div>
    <w:div w:id="171189330">
      <w:bodyDiv w:val="1"/>
      <w:marLeft w:val="0"/>
      <w:marRight w:val="0"/>
      <w:marTop w:val="0"/>
      <w:marBottom w:val="0"/>
      <w:divBdr>
        <w:top w:val="none" w:sz="0" w:space="0" w:color="auto"/>
        <w:left w:val="none" w:sz="0" w:space="0" w:color="auto"/>
        <w:bottom w:val="none" w:sz="0" w:space="0" w:color="auto"/>
        <w:right w:val="none" w:sz="0" w:space="0" w:color="auto"/>
      </w:divBdr>
    </w:div>
    <w:div w:id="177473763">
      <w:bodyDiv w:val="1"/>
      <w:marLeft w:val="0"/>
      <w:marRight w:val="0"/>
      <w:marTop w:val="0"/>
      <w:marBottom w:val="0"/>
      <w:divBdr>
        <w:top w:val="none" w:sz="0" w:space="0" w:color="auto"/>
        <w:left w:val="none" w:sz="0" w:space="0" w:color="auto"/>
        <w:bottom w:val="none" w:sz="0" w:space="0" w:color="auto"/>
        <w:right w:val="none" w:sz="0" w:space="0" w:color="auto"/>
      </w:divBdr>
    </w:div>
    <w:div w:id="199172601">
      <w:bodyDiv w:val="1"/>
      <w:marLeft w:val="0"/>
      <w:marRight w:val="0"/>
      <w:marTop w:val="0"/>
      <w:marBottom w:val="0"/>
      <w:divBdr>
        <w:top w:val="none" w:sz="0" w:space="0" w:color="auto"/>
        <w:left w:val="none" w:sz="0" w:space="0" w:color="auto"/>
        <w:bottom w:val="none" w:sz="0" w:space="0" w:color="auto"/>
        <w:right w:val="none" w:sz="0" w:space="0" w:color="auto"/>
      </w:divBdr>
    </w:div>
    <w:div w:id="215432912">
      <w:bodyDiv w:val="1"/>
      <w:marLeft w:val="0"/>
      <w:marRight w:val="0"/>
      <w:marTop w:val="0"/>
      <w:marBottom w:val="0"/>
      <w:divBdr>
        <w:top w:val="none" w:sz="0" w:space="0" w:color="auto"/>
        <w:left w:val="none" w:sz="0" w:space="0" w:color="auto"/>
        <w:bottom w:val="none" w:sz="0" w:space="0" w:color="auto"/>
        <w:right w:val="none" w:sz="0" w:space="0" w:color="auto"/>
      </w:divBdr>
    </w:div>
    <w:div w:id="225728286">
      <w:bodyDiv w:val="1"/>
      <w:marLeft w:val="0"/>
      <w:marRight w:val="0"/>
      <w:marTop w:val="0"/>
      <w:marBottom w:val="0"/>
      <w:divBdr>
        <w:top w:val="none" w:sz="0" w:space="0" w:color="auto"/>
        <w:left w:val="none" w:sz="0" w:space="0" w:color="auto"/>
        <w:bottom w:val="none" w:sz="0" w:space="0" w:color="auto"/>
        <w:right w:val="none" w:sz="0" w:space="0" w:color="auto"/>
      </w:divBdr>
      <w:divsChild>
        <w:div w:id="1350063147">
          <w:marLeft w:val="0"/>
          <w:marRight w:val="0"/>
          <w:marTop w:val="0"/>
          <w:marBottom w:val="0"/>
          <w:divBdr>
            <w:top w:val="none" w:sz="0" w:space="0" w:color="auto"/>
            <w:left w:val="none" w:sz="0" w:space="0" w:color="auto"/>
            <w:bottom w:val="none" w:sz="0" w:space="0" w:color="auto"/>
            <w:right w:val="none" w:sz="0" w:space="0" w:color="auto"/>
          </w:divBdr>
          <w:divsChild>
            <w:div w:id="1729717951">
              <w:marLeft w:val="0"/>
              <w:marRight w:val="0"/>
              <w:marTop w:val="0"/>
              <w:marBottom w:val="0"/>
              <w:divBdr>
                <w:top w:val="none" w:sz="0" w:space="0" w:color="auto"/>
                <w:left w:val="none" w:sz="0" w:space="0" w:color="auto"/>
                <w:bottom w:val="none" w:sz="0" w:space="0" w:color="auto"/>
                <w:right w:val="none" w:sz="0" w:space="0" w:color="auto"/>
              </w:divBdr>
              <w:divsChild>
                <w:div w:id="20702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3017">
          <w:marLeft w:val="0"/>
          <w:marRight w:val="0"/>
          <w:marTop w:val="0"/>
          <w:marBottom w:val="0"/>
          <w:divBdr>
            <w:top w:val="none" w:sz="0" w:space="0" w:color="auto"/>
            <w:left w:val="none" w:sz="0" w:space="0" w:color="auto"/>
            <w:bottom w:val="none" w:sz="0" w:space="0" w:color="auto"/>
            <w:right w:val="none" w:sz="0" w:space="0" w:color="auto"/>
          </w:divBdr>
          <w:divsChild>
            <w:div w:id="300580541">
              <w:marLeft w:val="0"/>
              <w:marRight w:val="0"/>
              <w:marTop w:val="0"/>
              <w:marBottom w:val="0"/>
              <w:divBdr>
                <w:top w:val="none" w:sz="0" w:space="0" w:color="auto"/>
                <w:left w:val="none" w:sz="0" w:space="0" w:color="auto"/>
                <w:bottom w:val="none" w:sz="0" w:space="0" w:color="auto"/>
                <w:right w:val="none" w:sz="0" w:space="0" w:color="auto"/>
              </w:divBdr>
              <w:divsChild>
                <w:div w:id="3880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3006">
          <w:marLeft w:val="0"/>
          <w:marRight w:val="0"/>
          <w:marTop w:val="0"/>
          <w:marBottom w:val="0"/>
          <w:divBdr>
            <w:top w:val="none" w:sz="0" w:space="0" w:color="auto"/>
            <w:left w:val="none" w:sz="0" w:space="0" w:color="auto"/>
            <w:bottom w:val="none" w:sz="0" w:space="0" w:color="auto"/>
            <w:right w:val="none" w:sz="0" w:space="0" w:color="auto"/>
          </w:divBdr>
          <w:divsChild>
            <w:div w:id="1796170472">
              <w:marLeft w:val="0"/>
              <w:marRight w:val="0"/>
              <w:marTop w:val="0"/>
              <w:marBottom w:val="0"/>
              <w:divBdr>
                <w:top w:val="none" w:sz="0" w:space="0" w:color="auto"/>
                <w:left w:val="none" w:sz="0" w:space="0" w:color="auto"/>
                <w:bottom w:val="none" w:sz="0" w:space="0" w:color="auto"/>
                <w:right w:val="none" w:sz="0" w:space="0" w:color="auto"/>
              </w:divBdr>
              <w:divsChild>
                <w:div w:id="20796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31433">
      <w:bodyDiv w:val="1"/>
      <w:marLeft w:val="0"/>
      <w:marRight w:val="0"/>
      <w:marTop w:val="0"/>
      <w:marBottom w:val="0"/>
      <w:divBdr>
        <w:top w:val="none" w:sz="0" w:space="0" w:color="auto"/>
        <w:left w:val="none" w:sz="0" w:space="0" w:color="auto"/>
        <w:bottom w:val="none" w:sz="0" w:space="0" w:color="auto"/>
        <w:right w:val="none" w:sz="0" w:space="0" w:color="auto"/>
      </w:divBdr>
    </w:div>
    <w:div w:id="229194424">
      <w:bodyDiv w:val="1"/>
      <w:marLeft w:val="0"/>
      <w:marRight w:val="0"/>
      <w:marTop w:val="0"/>
      <w:marBottom w:val="0"/>
      <w:divBdr>
        <w:top w:val="none" w:sz="0" w:space="0" w:color="auto"/>
        <w:left w:val="none" w:sz="0" w:space="0" w:color="auto"/>
        <w:bottom w:val="none" w:sz="0" w:space="0" w:color="auto"/>
        <w:right w:val="none" w:sz="0" w:space="0" w:color="auto"/>
      </w:divBdr>
    </w:div>
    <w:div w:id="230386658">
      <w:bodyDiv w:val="1"/>
      <w:marLeft w:val="0"/>
      <w:marRight w:val="0"/>
      <w:marTop w:val="0"/>
      <w:marBottom w:val="0"/>
      <w:divBdr>
        <w:top w:val="none" w:sz="0" w:space="0" w:color="auto"/>
        <w:left w:val="none" w:sz="0" w:space="0" w:color="auto"/>
        <w:bottom w:val="none" w:sz="0" w:space="0" w:color="auto"/>
        <w:right w:val="none" w:sz="0" w:space="0" w:color="auto"/>
      </w:divBdr>
    </w:div>
    <w:div w:id="231702198">
      <w:bodyDiv w:val="1"/>
      <w:marLeft w:val="0"/>
      <w:marRight w:val="0"/>
      <w:marTop w:val="0"/>
      <w:marBottom w:val="0"/>
      <w:divBdr>
        <w:top w:val="none" w:sz="0" w:space="0" w:color="auto"/>
        <w:left w:val="none" w:sz="0" w:space="0" w:color="auto"/>
        <w:bottom w:val="none" w:sz="0" w:space="0" w:color="auto"/>
        <w:right w:val="none" w:sz="0" w:space="0" w:color="auto"/>
      </w:divBdr>
    </w:div>
    <w:div w:id="279149267">
      <w:bodyDiv w:val="1"/>
      <w:marLeft w:val="0"/>
      <w:marRight w:val="0"/>
      <w:marTop w:val="0"/>
      <w:marBottom w:val="0"/>
      <w:divBdr>
        <w:top w:val="none" w:sz="0" w:space="0" w:color="auto"/>
        <w:left w:val="none" w:sz="0" w:space="0" w:color="auto"/>
        <w:bottom w:val="none" w:sz="0" w:space="0" w:color="auto"/>
        <w:right w:val="none" w:sz="0" w:space="0" w:color="auto"/>
      </w:divBdr>
    </w:div>
    <w:div w:id="285042927">
      <w:bodyDiv w:val="1"/>
      <w:marLeft w:val="0"/>
      <w:marRight w:val="0"/>
      <w:marTop w:val="0"/>
      <w:marBottom w:val="0"/>
      <w:divBdr>
        <w:top w:val="none" w:sz="0" w:space="0" w:color="auto"/>
        <w:left w:val="none" w:sz="0" w:space="0" w:color="auto"/>
        <w:bottom w:val="none" w:sz="0" w:space="0" w:color="auto"/>
        <w:right w:val="none" w:sz="0" w:space="0" w:color="auto"/>
      </w:divBdr>
    </w:div>
    <w:div w:id="285048780">
      <w:bodyDiv w:val="1"/>
      <w:marLeft w:val="0"/>
      <w:marRight w:val="0"/>
      <w:marTop w:val="0"/>
      <w:marBottom w:val="0"/>
      <w:divBdr>
        <w:top w:val="none" w:sz="0" w:space="0" w:color="auto"/>
        <w:left w:val="none" w:sz="0" w:space="0" w:color="auto"/>
        <w:bottom w:val="none" w:sz="0" w:space="0" w:color="auto"/>
        <w:right w:val="none" w:sz="0" w:space="0" w:color="auto"/>
      </w:divBdr>
    </w:div>
    <w:div w:id="289701871">
      <w:bodyDiv w:val="1"/>
      <w:marLeft w:val="0"/>
      <w:marRight w:val="0"/>
      <w:marTop w:val="0"/>
      <w:marBottom w:val="0"/>
      <w:divBdr>
        <w:top w:val="none" w:sz="0" w:space="0" w:color="auto"/>
        <w:left w:val="none" w:sz="0" w:space="0" w:color="auto"/>
        <w:bottom w:val="none" w:sz="0" w:space="0" w:color="auto"/>
        <w:right w:val="none" w:sz="0" w:space="0" w:color="auto"/>
      </w:divBdr>
    </w:div>
    <w:div w:id="297222519">
      <w:bodyDiv w:val="1"/>
      <w:marLeft w:val="0"/>
      <w:marRight w:val="0"/>
      <w:marTop w:val="0"/>
      <w:marBottom w:val="0"/>
      <w:divBdr>
        <w:top w:val="none" w:sz="0" w:space="0" w:color="auto"/>
        <w:left w:val="none" w:sz="0" w:space="0" w:color="auto"/>
        <w:bottom w:val="none" w:sz="0" w:space="0" w:color="auto"/>
        <w:right w:val="none" w:sz="0" w:space="0" w:color="auto"/>
      </w:divBdr>
    </w:div>
    <w:div w:id="297881918">
      <w:bodyDiv w:val="1"/>
      <w:marLeft w:val="0"/>
      <w:marRight w:val="0"/>
      <w:marTop w:val="0"/>
      <w:marBottom w:val="0"/>
      <w:divBdr>
        <w:top w:val="none" w:sz="0" w:space="0" w:color="auto"/>
        <w:left w:val="none" w:sz="0" w:space="0" w:color="auto"/>
        <w:bottom w:val="none" w:sz="0" w:space="0" w:color="auto"/>
        <w:right w:val="none" w:sz="0" w:space="0" w:color="auto"/>
      </w:divBdr>
    </w:div>
    <w:div w:id="300312854">
      <w:bodyDiv w:val="1"/>
      <w:marLeft w:val="0"/>
      <w:marRight w:val="0"/>
      <w:marTop w:val="0"/>
      <w:marBottom w:val="0"/>
      <w:divBdr>
        <w:top w:val="none" w:sz="0" w:space="0" w:color="auto"/>
        <w:left w:val="none" w:sz="0" w:space="0" w:color="auto"/>
        <w:bottom w:val="none" w:sz="0" w:space="0" w:color="auto"/>
        <w:right w:val="none" w:sz="0" w:space="0" w:color="auto"/>
      </w:divBdr>
    </w:div>
    <w:div w:id="315501297">
      <w:bodyDiv w:val="1"/>
      <w:marLeft w:val="0"/>
      <w:marRight w:val="0"/>
      <w:marTop w:val="0"/>
      <w:marBottom w:val="0"/>
      <w:divBdr>
        <w:top w:val="none" w:sz="0" w:space="0" w:color="auto"/>
        <w:left w:val="none" w:sz="0" w:space="0" w:color="auto"/>
        <w:bottom w:val="none" w:sz="0" w:space="0" w:color="auto"/>
        <w:right w:val="none" w:sz="0" w:space="0" w:color="auto"/>
      </w:divBdr>
    </w:div>
    <w:div w:id="337123506">
      <w:bodyDiv w:val="1"/>
      <w:marLeft w:val="0"/>
      <w:marRight w:val="0"/>
      <w:marTop w:val="0"/>
      <w:marBottom w:val="0"/>
      <w:divBdr>
        <w:top w:val="none" w:sz="0" w:space="0" w:color="auto"/>
        <w:left w:val="none" w:sz="0" w:space="0" w:color="auto"/>
        <w:bottom w:val="none" w:sz="0" w:space="0" w:color="auto"/>
        <w:right w:val="none" w:sz="0" w:space="0" w:color="auto"/>
      </w:divBdr>
      <w:divsChild>
        <w:div w:id="1059328727">
          <w:marLeft w:val="0"/>
          <w:marRight w:val="0"/>
          <w:marTop w:val="0"/>
          <w:marBottom w:val="0"/>
          <w:divBdr>
            <w:top w:val="none" w:sz="0" w:space="0" w:color="auto"/>
            <w:left w:val="none" w:sz="0" w:space="0" w:color="auto"/>
            <w:bottom w:val="none" w:sz="0" w:space="0" w:color="auto"/>
            <w:right w:val="none" w:sz="0" w:space="0" w:color="auto"/>
          </w:divBdr>
        </w:div>
        <w:div w:id="1285574619">
          <w:marLeft w:val="0"/>
          <w:marRight w:val="0"/>
          <w:marTop w:val="0"/>
          <w:marBottom w:val="0"/>
          <w:divBdr>
            <w:top w:val="none" w:sz="0" w:space="0" w:color="auto"/>
            <w:left w:val="none" w:sz="0" w:space="0" w:color="auto"/>
            <w:bottom w:val="none" w:sz="0" w:space="0" w:color="auto"/>
            <w:right w:val="none" w:sz="0" w:space="0" w:color="auto"/>
          </w:divBdr>
        </w:div>
        <w:div w:id="542987643">
          <w:marLeft w:val="0"/>
          <w:marRight w:val="0"/>
          <w:marTop w:val="0"/>
          <w:marBottom w:val="0"/>
          <w:divBdr>
            <w:top w:val="none" w:sz="0" w:space="0" w:color="auto"/>
            <w:left w:val="none" w:sz="0" w:space="0" w:color="auto"/>
            <w:bottom w:val="none" w:sz="0" w:space="0" w:color="auto"/>
            <w:right w:val="none" w:sz="0" w:space="0" w:color="auto"/>
          </w:divBdr>
        </w:div>
        <w:div w:id="1598951185">
          <w:marLeft w:val="0"/>
          <w:marRight w:val="0"/>
          <w:marTop w:val="0"/>
          <w:marBottom w:val="0"/>
          <w:divBdr>
            <w:top w:val="none" w:sz="0" w:space="0" w:color="auto"/>
            <w:left w:val="none" w:sz="0" w:space="0" w:color="auto"/>
            <w:bottom w:val="none" w:sz="0" w:space="0" w:color="auto"/>
            <w:right w:val="none" w:sz="0" w:space="0" w:color="auto"/>
          </w:divBdr>
        </w:div>
      </w:divsChild>
    </w:div>
    <w:div w:id="344552338">
      <w:bodyDiv w:val="1"/>
      <w:marLeft w:val="0"/>
      <w:marRight w:val="0"/>
      <w:marTop w:val="0"/>
      <w:marBottom w:val="0"/>
      <w:divBdr>
        <w:top w:val="none" w:sz="0" w:space="0" w:color="auto"/>
        <w:left w:val="none" w:sz="0" w:space="0" w:color="auto"/>
        <w:bottom w:val="none" w:sz="0" w:space="0" w:color="auto"/>
        <w:right w:val="none" w:sz="0" w:space="0" w:color="auto"/>
      </w:divBdr>
      <w:divsChild>
        <w:div w:id="1072657296">
          <w:marLeft w:val="0"/>
          <w:marRight w:val="0"/>
          <w:marTop w:val="0"/>
          <w:marBottom w:val="0"/>
          <w:divBdr>
            <w:top w:val="none" w:sz="0" w:space="0" w:color="auto"/>
            <w:left w:val="none" w:sz="0" w:space="0" w:color="auto"/>
            <w:bottom w:val="none" w:sz="0" w:space="0" w:color="auto"/>
            <w:right w:val="none" w:sz="0" w:space="0" w:color="auto"/>
          </w:divBdr>
          <w:divsChild>
            <w:div w:id="18097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6720">
      <w:bodyDiv w:val="1"/>
      <w:marLeft w:val="0"/>
      <w:marRight w:val="0"/>
      <w:marTop w:val="0"/>
      <w:marBottom w:val="0"/>
      <w:divBdr>
        <w:top w:val="none" w:sz="0" w:space="0" w:color="auto"/>
        <w:left w:val="none" w:sz="0" w:space="0" w:color="auto"/>
        <w:bottom w:val="none" w:sz="0" w:space="0" w:color="auto"/>
        <w:right w:val="none" w:sz="0" w:space="0" w:color="auto"/>
      </w:divBdr>
    </w:div>
    <w:div w:id="368340726">
      <w:bodyDiv w:val="1"/>
      <w:marLeft w:val="0"/>
      <w:marRight w:val="0"/>
      <w:marTop w:val="0"/>
      <w:marBottom w:val="0"/>
      <w:divBdr>
        <w:top w:val="none" w:sz="0" w:space="0" w:color="auto"/>
        <w:left w:val="none" w:sz="0" w:space="0" w:color="auto"/>
        <w:bottom w:val="none" w:sz="0" w:space="0" w:color="auto"/>
        <w:right w:val="none" w:sz="0" w:space="0" w:color="auto"/>
      </w:divBdr>
    </w:div>
    <w:div w:id="383339234">
      <w:bodyDiv w:val="1"/>
      <w:marLeft w:val="0"/>
      <w:marRight w:val="0"/>
      <w:marTop w:val="0"/>
      <w:marBottom w:val="0"/>
      <w:divBdr>
        <w:top w:val="none" w:sz="0" w:space="0" w:color="auto"/>
        <w:left w:val="none" w:sz="0" w:space="0" w:color="auto"/>
        <w:bottom w:val="none" w:sz="0" w:space="0" w:color="auto"/>
        <w:right w:val="none" w:sz="0" w:space="0" w:color="auto"/>
      </w:divBdr>
    </w:div>
    <w:div w:id="385102543">
      <w:bodyDiv w:val="1"/>
      <w:marLeft w:val="0"/>
      <w:marRight w:val="0"/>
      <w:marTop w:val="0"/>
      <w:marBottom w:val="0"/>
      <w:divBdr>
        <w:top w:val="none" w:sz="0" w:space="0" w:color="auto"/>
        <w:left w:val="none" w:sz="0" w:space="0" w:color="auto"/>
        <w:bottom w:val="none" w:sz="0" w:space="0" w:color="auto"/>
        <w:right w:val="none" w:sz="0" w:space="0" w:color="auto"/>
      </w:divBdr>
    </w:div>
    <w:div w:id="393430575">
      <w:bodyDiv w:val="1"/>
      <w:marLeft w:val="0"/>
      <w:marRight w:val="0"/>
      <w:marTop w:val="0"/>
      <w:marBottom w:val="0"/>
      <w:divBdr>
        <w:top w:val="none" w:sz="0" w:space="0" w:color="auto"/>
        <w:left w:val="none" w:sz="0" w:space="0" w:color="auto"/>
        <w:bottom w:val="none" w:sz="0" w:space="0" w:color="auto"/>
        <w:right w:val="none" w:sz="0" w:space="0" w:color="auto"/>
      </w:divBdr>
    </w:div>
    <w:div w:id="405539919">
      <w:bodyDiv w:val="1"/>
      <w:marLeft w:val="0"/>
      <w:marRight w:val="0"/>
      <w:marTop w:val="0"/>
      <w:marBottom w:val="0"/>
      <w:divBdr>
        <w:top w:val="none" w:sz="0" w:space="0" w:color="auto"/>
        <w:left w:val="none" w:sz="0" w:space="0" w:color="auto"/>
        <w:bottom w:val="none" w:sz="0" w:space="0" w:color="auto"/>
        <w:right w:val="none" w:sz="0" w:space="0" w:color="auto"/>
      </w:divBdr>
    </w:div>
    <w:div w:id="413478592">
      <w:bodyDiv w:val="1"/>
      <w:marLeft w:val="0"/>
      <w:marRight w:val="0"/>
      <w:marTop w:val="0"/>
      <w:marBottom w:val="0"/>
      <w:divBdr>
        <w:top w:val="none" w:sz="0" w:space="0" w:color="auto"/>
        <w:left w:val="none" w:sz="0" w:space="0" w:color="auto"/>
        <w:bottom w:val="none" w:sz="0" w:space="0" w:color="auto"/>
        <w:right w:val="none" w:sz="0" w:space="0" w:color="auto"/>
      </w:divBdr>
    </w:div>
    <w:div w:id="417092601">
      <w:bodyDiv w:val="1"/>
      <w:marLeft w:val="0"/>
      <w:marRight w:val="0"/>
      <w:marTop w:val="0"/>
      <w:marBottom w:val="0"/>
      <w:divBdr>
        <w:top w:val="none" w:sz="0" w:space="0" w:color="auto"/>
        <w:left w:val="none" w:sz="0" w:space="0" w:color="auto"/>
        <w:bottom w:val="none" w:sz="0" w:space="0" w:color="auto"/>
        <w:right w:val="none" w:sz="0" w:space="0" w:color="auto"/>
      </w:divBdr>
    </w:div>
    <w:div w:id="423041804">
      <w:bodyDiv w:val="1"/>
      <w:marLeft w:val="0"/>
      <w:marRight w:val="0"/>
      <w:marTop w:val="0"/>
      <w:marBottom w:val="0"/>
      <w:divBdr>
        <w:top w:val="none" w:sz="0" w:space="0" w:color="auto"/>
        <w:left w:val="none" w:sz="0" w:space="0" w:color="auto"/>
        <w:bottom w:val="none" w:sz="0" w:space="0" w:color="auto"/>
        <w:right w:val="none" w:sz="0" w:space="0" w:color="auto"/>
      </w:divBdr>
    </w:div>
    <w:div w:id="425614504">
      <w:bodyDiv w:val="1"/>
      <w:marLeft w:val="0"/>
      <w:marRight w:val="0"/>
      <w:marTop w:val="0"/>
      <w:marBottom w:val="0"/>
      <w:divBdr>
        <w:top w:val="none" w:sz="0" w:space="0" w:color="auto"/>
        <w:left w:val="none" w:sz="0" w:space="0" w:color="auto"/>
        <w:bottom w:val="none" w:sz="0" w:space="0" w:color="auto"/>
        <w:right w:val="none" w:sz="0" w:space="0" w:color="auto"/>
      </w:divBdr>
    </w:div>
    <w:div w:id="428283322">
      <w:bodyDiv w:val="1"/>
      <w:marLeft w:val="0"/>
      <w:marRight w:val="0"/>
      <w:marTop w:val="0"/>
      <w:marBottom w:val="0"/>
      <w:divBdr>
        <w:top w:val="none" w:sz="0" w:space="0" w:color="auto"/>
        <w:left w:val="none" w:sz="0" w:space="0" w:color="auto"/>
        <w:bottom w:val="none" w:sz="0" w:space="0" w:color="auto"/>
        <w:right w:val="none" w:sz="0" w:space="0" w:color="auto"/>
      </w:divBdr>
    </w:div>
    <w:div w:id="432675218">
      <w:bodyDiv w:val="1"/>
      <w:marLeft w:val="0"/>
      <w:marRight w:val="0"/>
      <w:marTop w:val="0"/>
      <w:marBottom w:val="0"/>
      <w:divBdr>
        <w:top w:val="none" w:sz="0" w:space="0" w:color="auto"/>
        <w:left w:val="none" w:sz="0" w:space="0" w:color="auto"/>
        <w:bottom w:val="none" w:sz="0" w:space="0" w:color="auto"/>
        <w:right w:val="none" w:sz="0" w:space="0" w:color="auto"/>
      </w:divBdr>
    </w:div>
    <w:div w:id="436407537">
      <w:bodyDiv w:val="1"/>
      <w:marLeft w:val="0"/>
      <w:marRight w:val="0"/>
      <w:marTop w:val="0"/>
      <w:marBottom w:val="0"/>
      <w:divBdr>
        <w:top w:val="none" w:sz="0" w:space="0" w:color="auto"/>
        <w:left w:val="none" w:sz="0" w:space="0" w:color="auto"/>
        <w:bottom w:val="none" w:sz="0" w:space="0" w:color="auto"/>
        <w:right w:val="none" w:sz="0" w:space="0" w:color="auto"/>
      </w:divBdr>
    </w:div>
    <w:div w:id="442576040">
      <w:bodyDiv w:val="1"/>
      <w:marLeft w:val="0"/>
      <w:marRight w:val="0"/>
      <w:marTop w:val="0"/>
      <w:marBottom w:val="0"/>
      <w:divBdr>
        <w:top w:val="none" w:sz="0" w:space="0" w:color="auto"/>
        <w:left w:val="none" w:sz="0" w:space="0" w:color="auto"/>
        <w:bottom w:val="none" w:sz="0" w:space="0" w:color="auto"/>
        <w:right w:val="none" w:sz="0" w:space="0" w:color="auto"/>
      </w:divBdr>
    </w:div>
    <w:div w:id="442771395">
      <w:bodyDiv w:val="1"/>
      <w:marLeft w:val="0"/>
      <w:marRight w:val="0"/>
      <w:marTop w:val="0"/>
      <w:marBottom w:val="0"/>
      <w:divBdr>
        <w:top w:val="none" w:sz="0" w:space="0" w:color="auto"/>
        <w:left w:val="none" w:sz="0" w:space="0" w:color="auto"/>
        <w:bottom w:val="none" w:sz="0" w:space="0" w:color="auto"/>
        <w:right w:val="none" w:sz="0" w:space="0" w:color="auto"/>
      </w:divBdr>
    </w:div>
    <w:div w:id="445738296">
      <w:bodyDiv w:val="1"/>
      <w:marLeft w:val="0"/>
      <w:marRight w:val="0"/>
      <w:marTop w:val="0"/>
      <w:marBottom w:val="0"/>
      <w:divBdr>
        <w:top w:val="none" w:sz="0" w:space="0" w:color="auto"/>
        <w:left w:val="none" w:sz="0" w:space="0" w:color="auto"/>
        <w:bottom w:val="none" w:sz="0" w:space="0" w:color="auto"/>
        <w:right w:val="none" w:sz="0" w:space="0" w:color="auto"/>
      </w:divBdr>
    </w:div>
    <w:div w:id="445781982">
      <w:bodyDiv w:val="1"/>
      <w:marLeft w:val="0"/>
      <w:marRight w:val="0"/>
      <w:marTop w:val="0"/>
      <w:marBottom w:val="0"/>
      <w:divBdr>
        <w:top w:val="none" w:sz="0" w:space="0" w:color="auto"/>
        <w:left w:val="none" w:sz="0" w:space="0" w:color="auto"/>
        <w:bottom w:val="none" w:sz="0" w:space="0" w:color="auto"/>
        <w:right w:val="none" w:sz="0" w:space="0" w:color="auto"/>
      </w:divBdr>
    </w:div>
    <w:div w:id="447310166">
      <w:bodyDiv w:val="1"/>
      <w:marLeft w:val="0"/>
      <w:marRight w:val="0"/>
      <w:marTop w:val="0"/>
      <w:marBottom w:val="0"/>
      <w:divBdr>
        <w:top w:val="none" w:sz="0" w:space="0" w:color="auto"/>
        <w:left w:val="none" w:sz="0" w:space="0" w:color="auto"/>
        <w:bottom w:val="none" w:sz="0" w:space="0" w:color="auto"/>
        <w:right w:val="none" w:sz="0" w:space="0" w:color="auto"/>
      </w:divBdr>
    </w:div>
    <w:div w:id="460920265">
      <w:bodyDiv w:val="1"/>
      <w:marLeft w:val="0"/>
      <w:marRight w:val="0"/>
      <w:marTop w:val="0"/>
      <w:marBottom w:val="0"/>
      <w:divBdr>
        <w:top w:val="none" w:sz="0" w:space="0" w:color="auto"/>
        <w:left w:val="none" w:sz="0" w:space="0" w:color="auto"/>
        <w:bottom w:val="none" w:sz="0" w:space="0" w:color="auto"/>
        <w:right w:val="none" w:sz="0" w:space="0" w:color="auto"/>
      </w:divBdr>
    </w:div>
    <w:div w:id="467669584">
      <w:bodyDiv w:val="1"/>
      <w:marLeft w:val="0"/>
      <w:marRight w:val="0"/>
      <w:marTop w:val="0"/>
      <w:marBottom w:val="0"/>
      <w:divBdr>
        <w:top w:val="none" w:sz="0" w:space="0" w:color="auto"/>
        <w:left w:val="none" w:sz="0" w:space="0" w:color="auto"/>
        <w:bottom w:val="none" w:sz="0" w:space="0" w:color="auto"/>
        <w:right w:val="none" w:sz="0" w:space="0" w:color="auto"/>
      </w:divBdr>
    </w:div>
    <w:div w:id="468012046">
      <w:bodyDiv w:val="1"/>
      <w:marLeft w:val="0"/>
      <w:marRight w:val="0"/>
      <w:marTop w:val="0"/>
      <w:marBottom w:val="0"/>
      <w:divBdr>
        <w:top w:val="none" w:sz="0" w:space="0" w:color="auto"/>
        <w:left w:val="none" w:sz="0" w:space="0" w:color="auto"/>
        <w:bottom w:val="none" w:sz="0" w:space="0" w:color="auto"/>
        <w:right w:val="none" w:sz="0" w:space="0" w:color="auto"/>
      </w:divBdr>
    </w:div>
    <w:div w:id="474565011">
      <w:bodyDiv w:val="1"/>
      <w:marLeft w:val="0"/>
      <w:marRight w:val="0"/>
      <w:marTop w:val="0"/>
      <w:marBottom w:val="0"/>
      <w:divBdr>
        <w:top w:val="none" w:sz="0" w:space="0" w:color="auto"/>
        <w:left w:val="none" w:sz="0" w:space="0" w:color="auto"/>
        <w:bottom w:val="none" w:sz="0" w:space="0" w:color="auto"/>
        <w:right w:val="none" w:sz="0" w:space="0" w:color="auto"/>
      </w:divBdr>
    </w:div>
    <w:div w:id="477116801">
      <w:bodyDiv w:val="1"/>
      <w:marLeft w:val="0"/>
      <w:marRight w:val="0"/>
      <w:marTop w:val="0"/>
      <w:marBottom w:val="0"/>
      <w:divBdr>
        <w:top w:val="none" w:sz="0" w:space="0" w:color="auto"/>
        <w:left w:val="none" w:sz="0" w:space="0" w:color="auto"/>
        <w:bottom w:val="none" w:sz="0" w:space="0" w:color="auto"/>
        <w:right w:val="none" w:sz="0" w:space="0" w:color="auto"/>
      </w:divBdr>
    </w:div>
    <w:div w:id="484277689">
      <w:bodyDiv w:val="1"/>
      <w:marLeft w:val="0"/>
      <w:marRight w:val="0"/>
      <w:marTop w:val="0"/>
      <w:marBottom w:val="0"/>
      <w:divBdr>
        <w:top w:val="none" w:sz="0" w:space="0" w:color="auto"/>
        <w:left w:val="none" w:sz="0" w:space="0" w:color="auto"/>
        <w:bottom w:val="none" w:sz="0" w:space="0" w:color="auto"/>
        <w:right w:val="none" w:sz="0" w:space="0" w:color="auto"/>
      </w:divBdr>
    </w:div>
    <w:div w:id="485823121">
      <w:bodyDiv w:val="1"/>
      <w:marLeft w:val="0"/>
      <w:marRight w:val="0"/>
      <w:marTop w:val="0"/>
      <w:marBottom w:val="0"/>
      <w:divBdr>
        <w:top w:val="none" w:sz="0" w:space="0" w:color="auto"/>
        <w:left w:val="none" w:sz="0" w:space="0" w:color="auto"/>
        <w:bottom w:val="none" w:sz="0" w:space="0" w:color="auto"/>
        <w:right w:val="none" w:sz="0" w:space="0" w:color="auto"/>
      </w:divBdr>
    </w:div>
    <w:div w:id="508328521">
      <w:bodyDiv w:val="1"/>
      <w:marLeft w:val="0"/>
      <w:marRight w:val="0"/>
      <w:marTop w:val="0"/>
      <w:marBottom w:val="0"/>
      <w:divBdr>
        <w:top w:val="none" w:sz="0" w:space="0" w:color="auto"/>
        <w:left w:val="none" w:sz="0" w:space="0" w:color="auto"/>
        <w:bottom w:val="none" w:sz="0" w:space="0" w:color="auto"/>
        <w:right w:val="none" w:sz="0" w:space="0" w:color="auto"/>
      </w:divBdr>
    </w:div>
    <w:div w:id="515271216">
      <w:bodyDiv w:val="1"/>
      <w:marLeft w:val="0"/>
      <w:marRight w:val="0"/>
      <w:marTop w:val="0"/>
      <w:marBottom w:val="0"/>
      <w:divBdr>
        <w:top w:val="none" w:sz="0" w:space="0" w:color="auto"/>
        <w:left w:val="none" w:sz="0" w:space="0" w:color="auto"/>
        <w:bottom w:val="none" w:sz="0" w:space="0" w:color="auto"/>
        <w:right w:val="none" w:sz="0" w:space="0" w:color="auto"/>
      </w:divBdr>
    </w:div>
    <w:div w:id="516037825">
      <w:bodyDiv w:val="1"/>
      <w:marLeft w:val="0"/>
      <w:marRight w:val="0"/>
      <w:marTop w:val="0"/>
      <w:marBottom w:val="0"/>
      <w:divBdr>
        <w:top w:val="none" w:sz="0" w:space="0" w:color="auto"/>
        <w:left w:val="none" w:sz="0" w:space="0" w:color="auto"/>
        <w:bottom w:val="none" w:sz="0" w:space="0" w:color="auto"/>
        <w:right w:val="none" w:sz="0" w:space="0" w:color="auto"/>
      </w:divBdr>
    </w:div>
    <w:div w:id="531383681">
      <w:bodyDiv w:val="1"/>
      <w:marLeft w:val="0"/>
      <w:marRight w:val="0"/>
      <w:marTop w:val="0"/>
      <w:marBottom w:val="0"/>
      <w:divBdr>
        <w:top w:val="none" w:sz="0" w:space="0" w:color="auto"/>
        <w:left w:val="none" w:sz="0" w:space="0" w:color="auto"/>
        <w:bottom w:val="none" w:sz="0" w:space="0" w:color="auto"/>
        <w:right w:val="none" w:sz="0" w:space="0" w:color="auto"/>
      </w:divBdr>
    </w:div>
    <w:div w:id="538975505">
      <w:bodyDiv w:val="1"/>
      <w:marLeft w:val="0"/>
      <w:marRight w:val="0"/>
      <w:marTop w:val="0"/>
      <w:marBottom w:val="0"/>
      <w:divBdr>
        <w:top w:val="none" w:sz="0" w:space="0" w:color="auto"/>
        <w:left w:val="none" w:sz="0" w:space="0" w:color="auto"/>
        <w:bottom w:val="none" w:sz="0" w:space="0" w:color="auto"/>
        <w:right w:val="none" w:sz="0" w:space="0" w:color="auto"/>
      </w:divBdr>
    </w:div>
    <w:div w:id="561331617">
      <w:bodyDiv w:val="1"/>
      <w:marLeft w:val="0"/>
      <w:marRight w:val="0"/>
      <w:marTop w:val="0"/>
      <w:marBottom w:val="0"/>
      <w:divBdr>
        <w:top w:val="none" w:sz="0" w:space="0" w:color="auto"/>
        <w:left w:val="none" w:sz="0" w:space="0" w:color="auto"/>
        <w:bottom w:val="none" w:sz="0" w:space="0" w:color="auto"/>
        <w:right w:val="none" w:sz="0" w:space="0" w:color="auto"/>
      </w:divBdr>
    </w:div>
    <w:div w:id="561869624">
      <w:bodyDiv w:val="1"/>
      <w:marLeft w:val="0"/>
      <w:marRight w:val="0"/>
      <w:marTop w:val="0"/>
      <w:marBottom w:val="0"/>
      <w:divBdr>
        <w:top w:val="none" w:sz="0" w:space="0" w:color="auto"/>
        <w:left w:val="none" w:sz="0" w:space="0" w:color="auto"/>
        <w:bottom w:val="none" w:sz="0" w:space="0" w:color="auto"/>
        <w:right w:val="none" w:sz="0" w:space="0" w:color="auto"/>
      </w:divBdr>
    </w:div>
    <w:div w:id="565337516">
      <w:bodyDiv w:val="1"/>
      <w:marLeft w:val="0"/>
      <w:marRight w:val="0"/>
      <w:marTop w:val="0"/>
      <w:marBottom w:val="0"/>
      <w:divBdr>
        <w:top w:val="none" w:sz="0" w:space="0" w:color="auto"/>
        <w:left w:val="none" w:sz="0" w:space="0" w:color="auto"/>
        <w:bottom w:val="none" w:sz="0" w:space="0" w:color="auto"/>
        <w:right w:val="none" w:sz="0" w:space="0" w:color="auto"/>
      </w:divBdr>
    </w:div>
    <w:div w:id="566381835">
      <w:bodyDiv w:val="1"/>
      <w:marLeft w:val="0"/>
      <w:marRight w:val="0"/>
      <w:marTop w:val="0"/>
      <w:marBottom w:val="0"/>
      <w:divBdr>
        <w:top w:val="none" w:sz="0" w:space="0" w:color="auto"/>
        <w:left w:val="none" w:sz="0" w:space="0" w:color="auto"/>
        <w:bottom w:val="none" w:sz="0" w:space="0" w:color="auto"/>
        <w:right w:val="none" w:sz="0" w:space="0" w:color="auto"/>
      </w:divBdr>
    </w:div>
    <w:div w:id="584416523">
      <w:bodyDiv w:val="1"/>
      <w:marLeft w:val="0"/>
      <w:marRight w:val="0"/>
      <w:marTop w:val="0"/>
      <w:marBottom w:val="0"/>
      <w:divBdr>
        <w:top w:val="none" w:sz="0" w:space="0" w:color="auto"/>
        <w:left w:val="none" w:sz="0" w:space="0" w:color="auto"/>
        <w:bottom w:val="none" w:sz="0" w:space="0" w:color="auto"/>
        <w:right w:val="none" w:sz="0" w:space="0" w:color="auto"/>
      </w:divBdr>
    </w:div>
    <w:div w:id="589314885">
      <w:bodyDiv w:val="1"/>
      <w:marLeft w:val="0"/>
      <w:marRight w:val="0"/>
      <w:marTop w:val="0"/>
      <w:marBottom w:val="0"/>
      <w:divBdr>
        <w:top w:val="none" w:sz="0" w:space="0" w:color="auto"/>
        <w:left w:val="none" w:sz="0" w:space="0" w:color="auto"/>
        <w:bottom w:val="none" w:sz="0" w:space="0" w:color="auto"/>
        <w:right w:val="none" w:sz="0" w:space="0" w:color="auto"/>
      </w:divBdr>
    </w:div>
    <w:div w:id="610823678">
      <w:bodyDiv w:val="1"/>
      <w:marLeft w:val="0"/>
      <w:marRight w:val="0"/>
      <w:marTop w:val="0"/>
      <w:marBottom w:val="0"/>
      <w:divBdr>
        <w:top w:val="none" w:sz="0" w:space="0" w:color="auto"/>
        <w:left w:val="none" w:sz="0" w:space="0" w:color="auto"/>
        <w:bottom w:val="none" w:sz="0" w:space="0" w:color="auto"/>
        <w:right w:val="none" w:sz="0" w:space="0" w:color="auto"/>
      </w:divBdr>
    </w:div>
    <w:div w:id="612395863">
      <w:bodyDiv w:val="1"/>
      <w:marLeft w:val="0"/>
      <w:marRight w:val="0"/>
      <w:marTop w:val="0"/>
      <w:marBottom w:val="0"/>
      <w:divBdr>
        <w:top w:val="none" w:sz="0" w:space="0" w:color="auto"/>
        <w:left w:val="none" w:sz="0" w:space="0" w:color="auto"/>
        <w:bottom w:val="none" w:sz="0" w:space="0" w:color="auto"/>
        <w:right w:val="none" w:sz="0" w:space="0" w:color="auto"/>
      </w:divBdr>
    </w:div>
    <w:div w:id="627470842">
      <w:bodyDiv w:val="1"/>
      <w:marLeft w:val="0"/>
      <w:marRight w:val="0"/>
      <w:marTop w:val="0"/>
      <w:marBottom w:val="0"/>
      <w:divBdr>
        <w:top w:val="none" w:sz="0" w:space="0" w:color="auto"/>
        <w:left w:val="none" w:sz="0" w:space="0" w:color="auto"/>
        <w:bottom w:val="none" w:sz="0" w:space="0" w:color="auto"/>
        <w:right w:val="none" w:sz="0" w:space="0" w:color="auto"/>
      </w:divBdr>
    </w:div>
    <w:div w:id="635527739">
      <w:bodyDiv w:val="1"/>
      <w:marLeft w:val="0"/>
      <w:marRight w:val="0"/>
      <w:marTop w:val="0"/>
      <w:marBottom w:val="0"/>
      <w:divBdr>
        <w:top w:val="none" w:sz="0" w:space="0" w:color="auto"/>
        <w:left w:val="none" w:sz="0" w:space="0" w:color="auto"/>
        <w:bottom w:val="none" w:sz="0" w:space="0" w:color="auto"/>
        <w:right w:val="none" w:sz="0" w:space="0" w:color="auto"/>
      </w:divBdr>
    </w:div>
    <w:div w:id="637340497">
      <w:bodyDiv w:val="1"/>
      <w:marLeft w:val="0"/>
      <w:marRight w:val="0"/>
      <w:marTop w:val="0"/>
      <w:marBottom w:val="0"/>
      <w:divBdr>
        <w:top w:val="none" w:sz="0" w:space="0" w:color="auto"/>
        <w:left w:val="none" w:sz="0" w:space="0" w:color="auto"/>
        <w:bottom w:val="none" w:sz="0" w:space="0" w:color="auto"/>
        <w:right w:val="none" w:sz="0" w:space="0" w:color="auto"/>
      </w:divBdr>
    </w:div>
    <w:div w:id="638996242">
      <w:bodyDiv w:val="1"/>
      <w:marLeft w:val="0"/>
      <w:marRight w:val="0"/>
      <w:marTop w:val="0"/>
      <w:marBottom w:val="0"/>
      <w:divBdr>
        <w:top w:val="none" w:sz="0" w:space="0" w:color="auto"/>
        <w:left w:val="none" w:sz="0" w:space="0" w:color="auto"/>
        <w:bottom w:val="none" w:sz="0" w:space="0" w:color="auto"/>
        <w:right w:val="none" w:sz="0" w:space="0" w:color="auto"/>
      </w:divBdr>
    </w:div>
    <w:div w:id="639382569">
      <w:bodyDiv w:val="1"/>
      <w:marLeft w:val="0"/>
      <w:marRight w:val="0"/>
      <w:marTop w:val="0"/>
      <w:marBottom w:val="0"/>
      <w:divBdr>
        <w:top w:val="none" w:sz="0" w:space="0" w:color="auto"/>
        <w:left w:val="none" w:sz="0" w:space="0" w:color="auto"/>
        <w:bottom w:val="none" w:sz="0" w:space="0" w:color="auto"/>
        <w:right w:val="none" w:sz="0" w:space="0" w:color="auto"/>
      </w:divBdr>
    </w:div>
    <w:div w:id="656495656">
      <w:bodyDiv w:val="1"/>
      <w:marLeft w:val="0"/>
      <w:marRight w:val="0"/>
      <w:marTop w:val="0"/>
      <w:marBottom w:val="0"/>
      <w:divBdr>
        <w:top w:val="none" w:sz="0" w:space="0" w:color="auto"/>
        <w:left w:val="none" w:sz="0" w:space="0" w:color="auto"/>
        <w:bottom w:val="none" w:sz="0" w:space="0" w:color="auto"/>
        <w:right w:val="none" w:sz="0" w:space="0" w:color="auto"/>
      </w:divBdr>
    </w:div>
    <w:div w:id="656542505">
      <w:bodyDiv w:val="1"/>
      <w:marLeft w:val="0"/>
      <w:marRight w:val="0"/>
      <w:marTop w:val="0"/>
      <w:marBottom w:val="0"/>
      <w:divBdr>
        <w:top w:val="none" w:sz="0" w:space="0" w:color="auto"/>
        <w:left w:val="none" w:sz="0" w:space="0" w:color="auto"/>
        <w:bottom w:val="none" w:sz="0" w:space="0" w:color="auto"/>
        <w:right w:val="none" w:sz="0" w:space="0" w:color="auto"/>
      </w:divBdr>
    </w:div>
    <w:div w:id="660889366">
      <w:bodyDiv w:val="1"/>
      <w:marLeft w:val="0"/>
      <w:marRight w:val="0"/>
      <w:marTop w:val="0"/>
      <w:marBottom w:val="0"/>
      <w:divBdr>
        <w:top w:val="none" w:sz="0" w:space="0" w:color="auto"/>
        <w:left w:val="none" w:sz="0" w:space="0" w:color="auto"/>
        <w:bottom w:val="none" w:sz="0" w:space="0" w:color="auto"/>
        <w:right w:val="none" w:sz="0" w:space="0" w:color="auto"/>
      </w:divBdr>
    </w:div>
    <w:div w:id="678234841">
      <w:bodyDiv w:val="1"/>
      <w:marLeft w:val="0"/>
      <w:marRight w:val="0"/>
      <w:marTop w:val="0"/>
      <w:marBottom w:val="0"/>
      <w:divBdr>
        <w:top w:val="none" w:sz="0" w:space="0" w:color="auto"/>
        <w:left w:val="none" w:sz="0" w:space="0" w:color="auto"/>
        <w:bottom w:val="none" w:sz="0" w:space="0" w:color="auto"/>
        <w:right w:val="none" w:sz="0" w:space="0" w:color="auto"/>
      </w:divBdr>
    </w:div>
    <w:div w:id="711732649">
      <w:bodyDiv w:val="1"/>
      <w:marLeft w:val="0"/>
      <w:marRight w:val="0"/>
      <w:marTop w:val="0"/>
      <w:marBottom w:val="0"/>
      <w:divBdr>
        <w:top w:val="none" w:sz="0" w:space="0" w:color="auto"/>
        <w:left w:val="none" w:sz="0" w:space="0" w:color="auto"/>
        <w:bottom w:val="none" w:sz="0" w:space="0" w:color="auto"/>
        <w:right w:val="none" w:sz="0" w:space="0" w:color="auto"/>
      </w:divBdr>
    </w:div>
    <w:div w:id="717163616">
      <w:bodyDiv w:val="1"/>
      <w:marLeft w:val="0"/>
      <w:marRight w:val="0"/>
      <w:marTop w:val="0"/>
      <w:marBottom w:val="0"/>
      <w:divBdr>
        <w:top w:val="none" w:sz="0" w:space="0" w:color="auto"/>
        <w:left w:val="none" w:sz="0" w:space="0" w:color="auto"/>
        <w:bottom w:val="none" w:sz="0" w:space="0" w:color="auto"/>
        <w:right w:val="none" w:sz="0" w:space="0" w:color="auto"/>
      </w:divBdr>
      <w:divsChild>
        <w:div w:id="1710299389">
          <w:marLeft w:val="0"/>
          <w:marRight w:val="0"/>
          <w:marTop w:val="0"/>
          <w:marBottom w:val="0"/>
          <w:divBdr>
            <w:top w:val="none" w:sz="0" w:space="0" w:color="auto"/>
            <w:left w:val="none" w:sz="0" w:space="0" w:color="auto"/>
            <w:bottom w:val="none" w:sz="0" w:space="0" w:color="auto"/>
            <w:right w:val="none" w:sz="0" w:space="0" w:color="auto"/>
          </w:divBdr>
          <w:divsChild>
            <w:div w:id="1676230746">
              <w:marLeft w:val="0"/>
              <w:marRight w:val="0"/>
              <w:marTop w:val="0"/>
              <w:marBottom w:val="0"/>
              <w:divBdr>
                <w:top w:val="none" w:sz="0" w:space="0" w:color="auto"/>
                <w:left w:val="none" w:sz="0" w:space="0" w:color="auto"/>
                <w:bottom w:val="none" w:sz="0" w:space="0" w:color="auto"/>
                <w:right w:val="none" w:sz="0" w:space="0" w:color="auto"/>
              </w:divBdr>
              <w:divsChild>
                <w:div w:id="14775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8381">
          <w:marLeft w:val="0"/>
          <w:marRight w:val="0"/>
          <w:marTop w:val="0"/>
          <w:marBottom w:val="0"/>
          <w:divBdr>
            <w:top w:val="none" w:sz="0" w:space="0" w:color="auto"/>
            <w:left w:val="none" w:sz="0" w:space="0" w:color="auto"/>
            <w:bottom w:val="none" w:sz="0" w:space="0" w:color="auto"/>
            <w:right w:val="none" w:sz="0" w:space="0" w:color="auto"/>
          </w:divBdr>
          <w:divsChild>
            <w:div w:id="1143545669">
              <w:marLeft w:val="0"/>
              <w:marRight w:val="0"/>
              <w:marTop w:val="0"/>
              <w:marBottom w:val="0"/>
              <w:divBdr>
                <w:top w:val="none" w:sz="0" w:space="0" w:color="auto"/>
                <w:left w:val="none" w:sz="0" w:space="0" w:color="auto"/>
                <w:bottom w:val="none" w:sz="0" w:space="0" w:color="auto"/>
                <w:right w:val="none" w:sz="0" w:space="0" w:color="auto"/>
              </w:divBdr>
              <w:divsChild>
                <w:div w:id="5972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647104">
      <w:bodyDiv w:val="1"/>
      <w:marLeft w:val="0"/>
      <w:marRight w:val="0"/>
      <w:marTop w:val="0"/>
      <w:marBottom w:val="0"/>
      <w:divBdr>
        <w:top w:val="none" w:sz="0" w:space="0" w:color="auto"/>
        <w:left w:val="none" w:sz="0" w:space="0" w:color="auto"/>
        <w:bottom w:val="none" w:sz="0" w:space="0" w:color="auto"/>
        <w:right w:val="none" w:sz="0" w:space="0" w:color="auto"/>
      </w:divBdr>
    </w:div>
    <w:div w:id="746264125">
      <w:bodyDiv w:val="1"/>
      <w:marLeft w:val="0"/>
      <w:marRight w:val="0"/>
      <w:marTop w:val="0"/>
      <w:marBottom w:val="0"/>
      <w:divBdr>
        <w:top w:val="none" w:sz="0" w:space="0" w:color="auto"/>
        <w:left w:val="none" w:sz="0" w:space="0" w:color="auto"/>
        <w:bottom w:val="none" w:sz="0" w:space="0" w:color="auto"/>
        <w:right w:val="none" w:sz="0" w:space="0" w:color="auto"/>
      </w:divBdr>
    </w:div>
    <w:div w:id="772743111">
      <w:bodyDiv w:val="1"/>
      <w:marLeft w:val="0"/>
      <w:marRight w:val="0"/>
      <w:marTop w:val="0"/>
      <w:marBottom w:val="0"/>
      <w:divBdr>
        <w:top w:val="none" w:sz="0" w:space="0" w:color="auto"/>
        <w:left w:val="none" w:sz="0" w:space="0" w:color="auto"/>
        <w:bottom w:val="none" w:sz="0" w:space="0" w:color="auto"/>
        <w:right w:val="none" w:sz="0" w:space="0" w:color="auto"/>
      </w:divBdr>
    </w:div>
    <w:div w:id="778453088">
      <w:bodyDiv w:val="1"/>
      <w:marLeft w:val="0"/>
      <w:marRight w:val="0"/>
      <w:marTop w:val="0"/>
      <w:marBottom w:val="0"/>
      <w:divBdr>
        <w:top w:val="none" w:sz="0" w:space="0" w:color="auto"/>
        <w:left w:val="none" w:sz="0" w:space="0" w:color="auto"/>
        <w:bottom w:val="none" w:sz="0" w:space="0" w:color="auto"/>
        <w:right w:val="none" w:sz="0" w:space="0" w:color="auto"/>
      </w:divBdr>
    </w:div>
    <w:div w:id="790436051">
      <w:bodyDiv w:val="1"/>
      <w:marLeft w:val="0"/>
      <w:marRight w:val="0"/>
      <w:marTop w:val="0"/>
      <w:marBottom w:val="0"/>
      <w:divBdr>
        <w:top w:val="none" w:sz="0" w:space="0" w:color="auto"/>
        <w:left w:val="none" w:sz="0" w:space="0" w:color="auto"/>
        <w:bottom w:val="none" w:sz="0" w:space="0" w:color="auto"/>
        <w:right w:val="none" w:sz="0" w:space="0" w:color="auto"/>
      </w:divBdr>
    </w:div>
    <w:div w:id="804785374">
      <w:bodyDiv w:val="1"/>
      <w:marLeft w:val="0"/>
      <w:marRight w:val="0"/>
      <w:marTop w:val="0"/>
      <w:marBottom w:val="0"/>
      <w:divBdr>
        <w:top w:val="none" w:sz="0" w:space="0" w:color="auto"/>
        <w:left w:val="none" w:sz="0" w:space="0" w:color="auto"/>
        <w:bottom w:val="none" w:sz="0" w:space="0" w:color="auto"/>
        <w:right w:val="none" w:sz="0" w:space="0" w:color="auto"/>
      </w:divBdr>
    </w:div>
    <w:div w:id="813646394">
      <w:bodyDiv w:val="1"/>
      <w:marLeft w:val="0"/>
      <w:marRight w:val="0"/>
      <w:marTop w:val="0"/>
      <w:marBottom w:val="0"/>
      <w:divBdr>
        <w:top w:val="none" w:sz="0" w:space="0" w:color="auto"/>
        <w:left w:val="none" w:sz="0" w:space="0" w:color="auto"/>
        <w:bottom w:val="none" w:sz="0" w:space="0" w:color="auto"/>
        <w:right w:val="none" w:sz="0" w:space="0" w:color="auto"/>
      </w:divBdr>
    </w:div>
    <w:div w:id="816261454">
      <w:bodyDiv w:val="1"/>
      <w:marLeft w:val="0"/>
      <w:marRight w:val="0"/>
      <w:marTop w:val="0"/>
      <w:marBottom w:val="0"/>
      <w:divBdr>
        <w:top w:val="none" w:sz="0" w:space="0" w:color="auto"/>
        <w:left w:val="none" w:sz="0" w:space="0" w:color="auto"/>
        <w:bottom w:val="none" w:sz="0" w:space="0" w:color="auto"/>
        <w:right w:val="none" w:sz="0" w:space="0" w:color="auto"/>
      </w:divBdr>
    </w:div>
    <w:div w:id="817040971">
      <w:bodyDiv w:val="1"/>
      <w:marLeft w:val="0"/>
      <w:marRight w:val="0"/>
      <w:marTop w:val="0"/>
      <w:marBottom w:val="0"/>
      <w:divBdr>
        <w:top w:val="none" w:sz="0" w:space="0" w:color="auto"/>
        <w:left w:val="none" w:sz="0" w:space="0" w:color="auto"/>
        <w:bottom w:val="none" w:sz="0" w:space="0" w:color="auto"/>
        <w:right w:val="none" w:sz="0" w:space="0" w:color="auto"/>
      </w:divBdr>
    </w:div>
    <w:div w:id="821851225">
      <w:bodyDiv w:val="1"/>
      <w:marLeft w:val="0"/>
      <w:marRight w:val="0"/>
      <w:marTop w:val="0"/>
      <w:marBottom w:val="0"/>
      <w:divBdr>
        <w:top w:val="none" w:sz="0" w:space="0" w:color="auto"/>
        <w:left w:val="none" w:sz="0" w:space="0" w:color="auto"/>
        <w:bottom w:val="none" w:sz="0" w:space="0" w:color="auto"/>
        <w:right w:val="none" w:sz="0" w:space="0" w:color="auto"/>
      </w:divBdr>
    </w:div>
    <w:div w:id="823353481">
      <w:bodyDiv w:val="1"/>
      <w:marLeft w:val="0"/>
      <w:marRight w:val="0"/>
      <w:marTop w:val="0"/>
      <w:marBottom w:val="0"/>
      <w:divBdr>
        <w:top w:val="none" w:sz="0" w:space="0" w:color="auto"/>
        <w:left w:val="none" w:sz="0" w:space="0" w:color="auto"/>
        <w:bottom w:val="none" w:sz="0" w:space="0" w:color="auto"/>
        <w:right w:val="none" w:sz="0" w:space="0" w:color="auto"/>
      </w:divBdr>
    </w:div>
    <w:div w:id="831263736">
      <w:bodyDiv w:val="1"/>
      <w:marLeft w:val="0"/>
      <w:marRight w:val="0"/>
      <w:marTop w:val="0"/>
      <w:marBottom w:val="0"/>
      <w:divBdr>
        <w:top w:val="none" w:sz="0" w:space="0" w:color="auto"/>
        <w:left w:val="none" w:sz="0" w:space="0" w:color="auto"/>
        <w:bottom w:val="none" w:sz="0" w:space="0" w:color="auto"/>
        <w:right w:val="none" w:sz="0" w:space="0" w:color="auto"/>
      </w:divBdr>
    </w:div>
    <w:div w:id="835026680">
      <w:bodyDiv w:val="1"/>
      <w:marLeft w:val="0"/>
      <w:marRight w:val="0"/>
      <w:marTop w:val="0"/>
      <w:marBottom w:val="0"/>
      <w:divBdr>
        <w:top w:val="none" w:sz="0" w:space="0" w:color="auto"/>
        <w:left w:val="none" w:sz="0" w:space="0" w:color="auto"/>
        <w:bottom w:val="none" w:sz="0" w:space="0" w:color="auto"/>
        <w:right w:val="none" w:sz="0" w:space="0" w:color="auto"/>
      </w:divBdr>
    </w:div>
    <w:div w:id="840505241">
      <w:bodyDiv w:val="1"/>
      <w:marLeft w:val="0"/>
      <w:marRight w:val="0"/>
      <w:marTop w:val="0"/>
      <w:marBottom w:val="0"/>
      <w:divBdr>
        <w:top w:val="none" w:sz="0" w:space="0" w:color="auto"/>
        <w:left w:val="none" w:sz="0" w:space="0" w:color="auto"/>
        <w:bottom w:val="none" w:sz="0" w:space="0" w:color="auto"/>
        <w:right w:val="none" w:sz="0" w:space="0" w:color="auto"/>
      </w:divBdr>
    </w:div>
    <w:div w:id="847331682">
      <w:bodyDiv w:val="1"/>
      <w:marLeft w:val="0"/>
      <w:marRight w:val="0"/>
      <w:marTop w:val="0"/>
      <w:marBottom w:val="0"/>
      <w:divBdr>
        <w:top w:val="none" w:sz="0" w:space="0" w:color="auto"/>
        <w:left w:val="none" w:sz="0" w:space="0" w:color="auto"/>
        <w:bottom w:val="none" w:sz="0" w:space="0" w:color="auto"/>
        <w:right w:val="none" w:sz="0" w:space="0" w:color="auto"/>
      </w:divBdr>
    </w:div>
    <w:div w:id="851337632">
      <w:bodyDiv w:val="1"/>
      <w:marLeft w:val="0"/>
      <w:marRight w:val="0"/>
      <w:marTop w:val="0"/>
      <w:marBottom w:val="0"/>
      <w:divBdr>
        <w:top w:val="none" w:sz="0" w:space="0" w:color="auto"/>
        <w:left w:val="none" w:sz="0" w:space="0" w:color="auto"/>
        <w:bottom w:val="none" w:sz="0" w:space="0" w:color="auto"/>
        <w:right w:val="none" w:sz="0" w:space="0" w:color="auto"/>
      </w:divBdr>
    </w:div>
    <w:div w:id="851341930">
      <w:bodyDiv w:val="1"/>
      <w:marLeft w:val="0"/>
      <w:marRight w:val="0"/>
      <w:marTop w:val="0"/>
      <w:marBottom w:val="0"/>
      <w:divBdr>
        <w:top w:val="none" w:sz="0" w:space="0" w:color="auto"/>
        <w:left w:val="none" w:sz="0" w:space="0" w:color="auto"/>
        <w:bottom w:val="none" w:sz="0" w:space="0" w:color="auto"/>
        <w:right w:val="none" w:sz="0" w:space="0" w:color="auto"/>
      </w:divBdr>
    </w:div>
    <w:div w:id="857889290">
      <w:bodyDiv w:val="1"/>
      <w:marLeft w:val="0"/>
      <w:marRight w:val="0"/>
      <w:marTop w:val="0"/>
      <w:marBottom w:val="0"/>
      <w:divBdr>
        <w:top w:val="none" w:sz="0" w:space="0" w:color="auto"/>
        <w:left w:val="none" w:sz="0" w:space="0" w:color="auto"/>
        <w:bottom w:val="none" w:sz="0" w:space="0" w:color="auto"/>
        <w:right w:val="none" w:sz="0" w:space="0" w:color="auto"/>
      </w:divBdr>
    </w:div>
    <w:div w:id="859858984">
      <w:bodyDiv w:val="1"/>
      <w:marLeft w:val="0"/>
      <w:marRight w:val="0"/>
      <w:marTop w:val="0"/>
      <w:marBottom w:val="0"/>
      <w:divBdr>
        <w:top w:val="none" w:sz="0" w:space="0" w:color="auto"/>
        <w:left w:val="none" w:sz="0" w:space="0" w:color="auto"/>
        <w:bottom w:val="none" w:sz="0" w:space="0" w:color="auto"/>
        <w:right w:val="none" w:sz="0" w:space="0" w:color="auto"/>
      </w:divBdr>
    </w:div>
    <w:div w:id="862717358">
      <w:bodyDiv w:val="1"/>
      <w:marLeft w:val="0"/>
      <w:marRight w:val="0"/>
      <w:marTop w:val="0"/>
      <w:marBottom w:val="0"/>
      <w:divBdr>
        <w:top w:val="none" w:sz="0" w:space="0" w:color="auto"/>
        <w:left w:val="none" w:sz="0" w:space="0" w:color="auto"/>
        <w:bottom w:val="none" w:sz="0" w:space="0" w:color="auto"/>
        <w:right w:val="none" w:sz="0" w:space="0" w:color="auto"/>
      </w:divBdr>
    </w:div>
    <w:div w:id="874997532">
      <w:bodyDiv w:val="1"/>
      <w:marLeft w:val="0"/>
      <w:marRight w:val="0"/>
      <w:marTop w:val="0"/>
      <w:marBottom w:val="0"/>
      <w:divBdr>
        <w:top w:val="none" w:sz="0" w:space="0" w:color="auto"/>
        <w:left w:val="none" w:sz="0" w:space="0" w:color="auto"/>
        <w:bottom w:val="none" w:sz="0" w:space="0" w:color="auto"/>
        <w:right w:val="none" w:sz="0" w:space="0" w:color="auto"/>
      </w:divBdr>
      <w:divsChild>
        <w:div w:id="2077049536">
          <w:marLeft w:val="0"/>
          <w:marRight w:val="0"/>
          <w:marTop w:val="0"/>
          <w:marBottom w:val="0"/>
          <w:divBdr>
            <w:top w:val="none" w:sz="0" w:space="0" w:color="auto"/>
            <w:left w:val="none" w:sz="0" w:space="0" w:color="auto"/>
            <w:bottom w:val="none" w:sz="0" w:space="0" w:color="auto"/>
            <w:right w:val="none" w:sz="0" w:space="0" w:color="auto"/>
          </w:divBdr>
          <w:divsChild>
            <w:div w:id="886795021">
              <w:marLeft w:val="0"/>
              <w:marRight w:val="0"/>
              <w:marTop w:val="0"/>
              <w:marBottom w:val="0"/>
              <w:divBdr>
                <w:top w:val="none" w:sz="0" w:space="0" w:color="auto"/>
                <w:left w:val="none" w:sz="0" w:space="0" w:color="auto"/>
                <w:bottom w:val="none" w:sz="0" w:space="0" w:color="auto"/>
                <w:right w:val="none" w:sz="0" w:space="0" w:color="auto"/>
              </w:divBdr>
              <w:divsChild>
                <w:div w:id="2837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3901">
          <w:marLeft w:val="0"/>
          <w:marRight w:val="0"/>
          <w:marTop w:val="0"/>
          <w:marBottom w:val="0"/>
          <w:divBdr>
            <w:top w:val="none" w:sz="0" w:space="0" w:color="auto"/>
            <w:left w:val="none" w:sz="0" w:space="0" w:color="auto"/>
            <w:bottom w:val="none" w:sz="0" w:space="0" w:color="auto"/>
            <w:right w:val="none" w:sz="0" w:space="0" w:color="auto"/>
          </w:divBdr>
          <w:divsChild>
            <w:div w:id="1706446535">
              <w:marLeft w:val="0"/>
              <w:marRight w:val="0"/>
              <w:marTop w:val="0"/>
              <w:marBottom w:val="0"/>
              <w:divBdr>
                <w:top w:val="none" w:sz="0" w:space="0" w:color="auto"/>
                <w:left w:val="none" w:sz="0" w:space="0" w:color="auto"/>
                <w:bottom w:val="none" w:sz="0" w:space="0" w:color="auto"/>
                <w:right w:val="none" w:sz="0" w:space="0" w:color="auto"/>
              </w:divBdr>
              <w:divsChild>
                <w:div w:id="18095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5884">
          <w:marLeft w:val="0"/>
          <w:marRight w:val="0"/>
          <w:marTop w:val="0"/>
          <w:marBottom w:val="0"/>
          <w:divBdr>
            <w:top w:val="none" w:sz="0" w:space="0" w:color="auto"/>
            <w:left w:val="none" w:sz="0" w:space="0" w:color="auto"/>
            <w:bottom w:val="none" w:sz="0" w:space="0" w:color="auto"/>
            <w:right w:val="none" w:sz="0" w:space="0" w:color="auto"/>
          </w:divBdr>
          <w:divsChild>
            <w:div w:id="1468277755">
              <w:marLeft w:val="0"/>
              <w:marRight w:val="0"/>
              <w:marTop w:val="0"/>
              <w:marBottom w:val="0"/>
              <w:divBdr>
                <w:top w:val="none" w:sz="0" w:space="0" w:color="auto"/>
                <w:left w:val="none" w:sz="0" w:space="0" w:color="auto"/>
                <w:bottom w:val="none" w:sz="0" w:space="0" w:color="auto"/>
                <w:right w:val="none" w:sz="0" w:space="0" w:color="auto"/>
              </w:divBdr>
              <w:divsChild>
                <w:div w:id="20940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87130">
      <w:bodyDiv w:val="1"/>
      <w:marLeft w:val="0"/>
      <w:marRight w:val="0"/>
      <w:marTop w:val="0"/>
      <w:marBottom w:val="0"/>
      <w:divBdr>
        <w:top w:val="none" w:sz="0" w:space="0" w:color="auto"/>
        <w:left w:val="none" w:sz="0" w:space="0" w:color="auto"/>
        <w:bottom w:val="none" w:sz="0" w:space="0" w:color="auto"/>
        <w:right w:val="none" w:sz="0" w:space="0" w:color="auto"/>
      </w:divBdr>
    </w:div>
    <w:div w:id="880437125">
      <w:bodyDiv w:val="1"/>
      <w:marLeft w:val="0"/>
      <w:marRight w:val="0"/>
      <w:marTop w:val="0"/>
      <w:marBottom w:val="0"/>
      <w:divBdr>
        <w:top w:val="none" w:sz="0" w:space="0" w:color="auto"/>
        <w:left w:val="none" w:sz="0" w:space="0" w:color="auto"/>
        <w:bottom w:val="none" w:sz="0" w:space="0" w:color="auto"/>
        <w:right w:val="none" w:sz="0" w:space="0" w:color="auto"/>
      </w:divBdr>
    </w:div>
    <w:div w:id="880900344">
      <w:bodyDiv w:val="1"/>
      <w:marLeft w:val="0"/>
      <w:marRight w:val="0"/>
      <w:marTop w:val="0"/>
      <w:marBottom w:val="0"/>
      <w:divBdr>
        <w:top w:val="none" w:sz="0" w:space="0" w:color="auto"/>
        <w:left w:val="none" w:sz="0" w:space="0" w:color="auto"/>
        <w:bottom w:val="none" w:sz="0" w:space="0" w:color="auto"/>
        <w:right w:val="none" w:sz="0" w:space="0" w:color="auto"/>
      </w:divBdr>
    </w:div>
    <w:div w:id="884291559">
      <w:bodyDiv w:val="1"/>
      <w:marLeft w:val="0"/>
      <w:marRight w:val="0"/>
      <w:marTop w:val="0"/>
      <w:marBottom w:val="0"/>
      <w:divBdr>
        <w:top w:val="none" w:sz="0" w:space="0" w:color="auto"/>
        <w:left w:val="none" w:sz="0" w:space="0" w:color="auto"/>
        <w:bottom w:val="none" w:sz="0" w:space="0" w:color="auto"/>
        <w:right w:val="none" w:sz="0" w:space="0" w:color="auto"/>
      </w:divBdr>
    </w:div>
    <w:div w:id="896623149">
      <w:bodyDiv w:val="1"/>
      <w:marLeft w:val="0"/>
      <w:marRight w:val="0"/>
      <w:marTop w:val="0"/>
      <w:marBottom w:val="0"/>
      <w:divBdr>
        <w:top w:val="none" w:sz="0" w:space="0" w:color="auto"/>
        <w:left w:val="none" w:sz="0" w:space="0" w:color="auto"/>
        <w:bottom w:val="none" w:sz="0" w:space="0" w:color="auto"/>
        <w:right w:val="none" w:sz="0" w:space="0" w:color="auto"/>
      </w:divBdr>
    </w:div>
    <w:div w:id="899942042">
      <w:bodyDiv w:val="1"/>
      <w:marLeft w:val="0"/>
      <w:marRight w:val="0"/>
      <w:marTop w:val="0"/>
      <w:marBottom w:val="0"/>
      <w:divBdr>
        <w:top w:val="none" w:sz="0" w:space="0" w:color="auto"/>
        <w:left w:val="none" w:sz="0" w:space="0" w:color="auto"/>
        <w:bottom w:val="none" w:sz="0" w:space="0" w:color="auto"/>
        <w:right w:val="none" w:sz="0" w:space="0" w:color="auto"/>
      </w:divBdr>
    </w:div>
    <w:div w:id="903877643">
      <w:bodyDiv w:val="1"/>
      <w:marLeft w:val="0"/>
      <w:marRight w:val="0"/>
      <w:marTop w:val="0"/>
      <w:marBottom w:val="0"/>
      <w:divBdr>
        <w:top w:val="none" w:sz="0" w:space="0" w:color="auto"/>
        <w:left w:val="none" w:sz="0" w:space="0" w:color="auto"/>
        <w:bottom w:val="none" w:sz="0" w:space="0" w:color="auto"/>
        <w:right w:val="none" w:sz="0" w:space="0" w:color="auto"/>
      </w:divBdr>
    </w:div>
    <w:div w:id="909462086">
      <w:bodyDiv w:val="1"/>
      <w:marLeft w:val="0"/>
      <w:marRight w:val="0"/>
      <w:marTop w:val="0"/>
      <w:marBottom w:val="0"/>
      <w:divBdr>
        <w:top w:val="none" w:sz="0" w:space="0" w:color="auto"/>
        <w:left w:val="none" w:sz="0" w:space="0" w:color="auto"/>
        <w:bottom w:val="none" w:sz="0" w:space="0" w:color="auto"/>
        <w:right w:val="none" w:sz="0" w:space="0" w:color="auto"/>
      </w:divBdr>
    </w:div>
    <w:div w:id="912356539">
      <w:bodyDiv w:val="1"/>
      <w:marLeft w:val="0"/>
      <w:marRight w:val="0"/>
      <w:marTop w:val="0"/>
      <w:marBottom w:val="0"/>
      <w:divBdr>
        <w:top w:val="none" w:sz="0" w:space="0" w:color="auto"/>
        <w:left w:val="none" w:sz="0" w:space="0" w:color="auto"/>
        <w:bottom w:val="none" w:sz="0" w:space="0" w:color="auto"/>
        <w:right w:val="none" w:sz="0" w:space="0" w:color="auto"/>
      </w:divBdr>
    </w:div>
    <w:div w:id="921138020">
      <w:bodyDiv w:val="1"/>
      <w:marLeft w:val="0"/>
      <w:marRight w:val="0"/>
      <w:marTop w:val="0"/>
      <w:marBottom w:val="0"/>
      <w:divBdr>
        <w:top w:val="none" w:sz="0" w:space="0" w:color="auto"/>
        <w:left w:val="none" w:sz="0" w:space="0" w:color="auto"/>
        <w:bottom w:val="none" w:sz="0" w:space="0" w:color="auto"/>
        <w:right w:val="none" w:sz="0" w:space="0" w:color="auto"/>
      </w:divBdr>
    </w:div>
    <w:div w:id="975183682">
      <w:bodyDiv w:val="1"/>
      <w:marLeft w:val="0"/>
      <w:marRight w:val="0"/>
      <w:marTop w:val="0"/>
      <w:marBottom w:val="0"/>
      <w:divBdr>
        <w:top w:val="none" w:sz="0" w:space="0" w:color="auto"/>
        <w:left w:val="none" w:sz="0" w:space="0" w:color="auto"/>
        <w:bottom w:val="none" w:sz="0" w:space="0" w:color="auto"/>
        <w:right w:val="none" w:sz="0" w:space="0" w:color="auto"/>
      </w:divBdr>
    </w:div>
    <w:div w:id="984547656">
      <w:bodyDiv w:val="1"/>
      <w:marLeft w:val="0"/>
      <w:marRight w:val="0"/>
      <w:marTop w:val="0"/>
      <w:marBottom w:val="0"/>
      <w:divBdr>
        <w:top w:val="none" w:sz="0" w:space="0" w:color="auto"/>
        <w:left w:val="none" w:sz="0" w:space="0" w:color="auto"/>
        <w:bottom w:val="none" w:sz="0" w:space="0" w:color="auto"/>
        <w:right w:val="none" w:sz="0" w:space="0" w:color="auto"/>
      </w:divBdr>
    </w:div>
    <w:div w:id="985471897">
      <w:bodyDiv w:val="1"/>
      <w:marLeft w:val="0"/>
      <w:marRight w:val="0"/>
      <w:marTop w:val="0"/>
      <w:marBottom w:val="0"/>
      <w:divBdr>
        <w:top w:val="none" w:sz="0" w:space="0" w:color="auto"/>
        <w:left w:val="none" w:sz="0" w:space="0" w:color="auto"/>
        <w:bottom w:val="none" w:sz="0" w:space="0" w:color="auto"/>
        <w:right w:val="none" w:sz="0" w:space="0" w:color="auto"/>
      </w:divBdr>
    </w:div>
    <w:div w:id="988510117">
      <w:bodyDiv w:val="1"/>
      <w:marLeft w:val="0"/>
      <w:marRight w:val="0"/>
      <w:marTop w:val="0"/>
      <w:marBottom w:val="0"/>
      <w:divBdr>
        <w:top w:val="none" w:sz="0" w:space="0" w:color="auto"/>
        <w:left w:val="none" w:sz="0" w:space="0" w:color="auto"/>
        <w:bottom w:val="none" w:sz="0" w:space="0" w:color="auto"/>
        <w:right w:val="none" w:sz="0" w:space="0" w:color="auto"/>
      </w:divBdr>
      <w:divsChild>
        <w:div w:id="451247069">
          <w:marLeft w:val="0"/>
          <w:marRight w:val="0"/>
          <w:marTop w:val="0"/>
          <w:marBottom w:val="0"/>
          <w:divBdr>
            <w:top w:val="none" w:sz="0" w:space="0" w:color="auto"/>
            <w:left w:val="none" w:sz="0" w:space="0" w:color="auto"/>
            <w:bottom w:val="none" w:sz="0" w:space="0" w:color="auto"/>
            <w:right w:val="none" w:sz="0" w:space="0" w:color="auto"/>
          </w:divBdr>
          <w:divsChild>
            <w:div w:id="1679429530">
              <w:marLeft w:val="0"/>
              <w:marRight w:val="0"/>
              <w:marTop w:val="0"/>
              <w:marBottom w:val="0"/>
              <w:divBdr>
                <w:top w:val="none" w:sz="0" w:space="0" w:color="auto"/>
                <w:left w:val="none" w:sz="0" w:space="0" w:color="auto"/>
                <w:bottom w:val="none" w:sz="0" w:space="0" w:color="auto"/>
                <w:right w:val="none" w:sz="0" w:space="0" w:color="auto"/>
              </w:divBdr>
              <w:divsChild>
                <w:div w:id="2082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59137">
          <w:marLeft w:val="0"/>
          <w:marRight w:val="0"/>
          <w:marTop w:val="0"/>
          <w:marBottom w:val="0"/>
          <w:divBdr>
            <w:top w:val="none" w:sz="0" w:space="0" w:color="auto"/>
            <w:left w:val="none" w:sz="0" w:space="0" w:color="auto"/>
            <w:bottom w:val="none" w:sz="0" w:space="0" w:color="auto"/>
            <w:right w:val="none" w:sz="0" w:space="0" w:color="auto"/>
          </w:divBdr>
          <w:divsChild>
            <w:div w:id="1182669107">
              <w:marLeft w:val="0"/>
              <w:marRight w:val="0"/>
              <w:marTop w:val="0"/>
              <w:marBottom w:val="0"/>
              <w:divBdr>
                <w:top w:val="none" w:sz="0" w:space="0" w:color="auto"/>
                <w:left w:val="none" w:sz="0" w:space="0" w:color="auto"/>
                <w:bottom w:val="none" w:sz="0" w:space="0" w:color="auto"/>
                <w:right w:val="none" w:sz="0" w:space="0" w:color="auto"/>
              </w:divBdr>
              <w:divsChild>
                <w:div w:id="18402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3845">
          <w:marLeft w:val="0"/>
          <w:marRight w:val="0"/>
          <w:marTop w:val="0"/>
          <w:marBottom w:val="0"/>
          <w:divBdr>
            <w:top w:val="none" w:sz="0" w:space="0" w:color="auto"/>
            <w:left w:val="none" w:sz="0" w:space="0" w:color="auto"/>
            <w:bottom w:val="none" w:sz="0" w:space="0" w:color="auto"/>
            <w:right w:val="none" w:sz="0" w:space="0" w:color="auto"/>
          </w:divBdr>
          <w:divsChild>
            <w:div w:id="32926357">
              <w:marLeft w:val="0"/>
              <w:marRight w:val="0"/>
              <w:marTop w:val="0"/>
              <w:marBottom w:val="0"/>
              <w:divBdr>
                <w:top w:val="none" w:sz="0" w:space="0" w:color="auto"/>
                <w:left w:val="none" w:sz="0" w:space="0" w:color="auto"/>
                <w:bottom w:val="none" w:sz="0" w:space="0" w:color="auto"/>
                <w:right w:val="none" w:sz="0" w:space="0" w:color="auto"/>
              </w:divBdr>
              <w:divsChild>
                <w:div w:id="19921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5860">
      <w:bodyDiv w:val="1"/>
      <w:marLeft w:val="0"/>
      <w:marRight w:val="0"/>
      <w:marTop w:val="0"/>
      <w:marBottom w:val="0"/>
      <w:divBdr>
        <w:top w:val="none" w:sz="0" w:space="0" w:color="auto"/>
        <w:left w:val="none" w:sz="0" w:space="0" w:color="auto"/>
        <w:bottom w:val="none" w:sz="0" w:space="0" w:color="auto"/>
        <w:right w:val="none" w:sz="0" w:space="0" w:color="auto"/>
      </w:divBdr>
    </w:div>
    <w:div w:id="1013143714">
      <w:bodyDiv w:val="1"/>
      <w:marLeft w:val="0"/>
      <w:marRight w:val="0"/>
      <w:marTop w:val="0"/>
      <w:marBottom w:val="0"/>
      <w:divBdr>
        <w:top w:val="none" w:sz="0" w:space="0" w:color="auto"/>
        <w:left w:val="none" w:sz="0" w:space="0" w:color="auto"/>
        <w:bottom w:val="none" w:sz="0" w:space="0" w:color="auto"/>
        <w:right w:val="none" w:sz="0" w:space="0" w:color="auto"/>
      </w:divBdr>
    </w:div>
    <w:div w:id="1018387665">
      <w:bodyDiv w:val="1"/>
      <w:marLeft w:val="0"/>
      <w:marRight w:val="0"/>
      <w:marTop w:val="0"/>
      <w:marBottom w:val="0"/>
      <w:divBdr>
        <w:top w:val="none" w:sz="0" w:space="0" w:color="auto"/>
        <w:left w:val="none" w:sz="0" w:space="0" w:color="auto"/>
        <w:bottom w:val="none" w:sz="0" w:space="0" w:color="auto"/>
        <w:right w:val="none" w:sz="0" w:space="0" w:color="auto"/>
      </w:divBdr>
    </w:div>
    <w:div w:id="1021661219">
      <w:bodyDiv w:val="1"/>
      <w:marLeft w:val="0"/>
      <w:marRight w:val="0"/>
      <w:marTop w:val="0"/>
      <w:marBottom w:val="0"/>
      <w:divBdr>
        <w:top w:val="none" w:sz="0" w:space="0" w:color="auto"/>
        <w:left w:val="none" w:sz="0" w:space="0" w:color="auto"/>
        <w:bottom w:val="none" w:sz="0" w:space="0" w:color="auto"/>
        <w:right w:val="none" w:sz="0" w:space="0" w:color="auto"/>
      </w:divBdr>
    </w:div>
    <w:div w:id="1026447723">
      <w:bodyDiv w:val="1"/>
      <w:marLeft w:val="0"/>
      <w:marRight w:val="0"/>
      <w:marTop w:val="0"/>
      <w:marBottom w:val="0"/>
      <w:divBdr>
        <w:top w:val="none" w:sz="0" w:space="0" w:color="auto"/>
        <w:left w:val="none" w:sz="0" w:space="0" w:color="auto"/>
        <w:bottom w:val="none" w:sz="0" w:space="0" w:color="auto"/>
        <w:right w:val="none" w:sz="0" w:space="0" w:color="auto"/>
      </w:divBdr>
    </w:div>
    <w:div w:id="1029840108">
      <w:bodyDiv w:val="1"/>
      <w:marLeft w:val="0"/>
      <w:marRight w:val="0"/>
      <w:marTop w:val="0"/>
      <w:marBottom w:val="0"/>
      <w:divBdr>
        <w:top w:val="none" w:sz="0" w:space="0" w:color="auto"/>
        <w:left w:val="none" w:sz="0" w:space="0" w:color="auto"/>
        <w:bottom w:val="none" w:sz="0" w:space="0" w:color="auto"/>
        <w:right w:val="none" w:sz="0" w:space="0" w:color="auto"/>
      </w:divBdr>
    </w:div>
    <w:div w:id="1032223074">
      <w:bodyDiv w:val="1"/>
      <w:marLeft w:val="0"/>
      <w:marRight w:val="0"/>
      <w:marTop w:val="0"/>
      <w:marBottom w:val="0"/>
      <w:divBdr>
        <w:top w:val="none" w:sz="0" w:space="0" w:color="auto"/>
        <w:left w:val="none" w:sz="0" w:space="0" w:color="auto"/>
        <w:bottom w:val="none" w:sz="0" w:space="0" w:color="auto"/>
        <w:right w:val="none" w:sz="0" w:space="0" w:color="auto"/>
      </w:divBdr>
    </w:div>
    <w:div w:id="1042748491">
      <w:bodyDiv w:val="1"/>
      <w:marLeft w:val="0"/>
      <w:marRight w:val="0"/>
      <w:marTop w:val="0"/>
      <w:marBottom w:val="0"/>
      <w:divBdr>
        <w:top w:val="none" w:sz="0" w:space="0" w:color="auto"/>
        <w:left w:val="none" w:sz="0" w:space="0" w:color="auto"/>
        <w:bottom w:val="none" w:sz="0" w:space="0" w:color="auto"/>
        <w:right w:val="none" w:sz="0" w:space="0" w:color="auto"/>
      </w:divBdr>
    </w:div>
    <w:div w:id="1054697374">
      <w:bodyDiv w:val="1"/>
      <w:marLeft w:val="0"/>
      <w:marRight w:val="0"/>
      <w:marTop w:val="0"/>
      <w:marBottom w:val="0"/>
      <w:divBdr>
        <w:top w:val="none" w:sz="0" w:space="0" w:color="auto"/>
        <w:left w:val="none" w:sz="0" w:space="0" w:color="auto"/>
        <w:bottom w:val="none" w:sz="0" w:space="0" w:color="auto"/>
        <w:right w:val="none" w:sz="0" w:space="0" w:color="auto"/>
      </w:divBdr>
    </w:div>
    <w:div w:id="1059402216">
      <w:bodyDiv w:val="1"/>
      <w:marLeft w:val="0"/>
      <w:marRight w:val="0"/>
      <w:marTop w:val="0"/>
      <w:marBottom w:val="0"/>
      <w:divBdr>
        <w:top w:val="none" w:sz="0" w:space="0" w:color="auto"/>
        <w:left w:val="none" w:sz="0" w:space="0" w:color="auto"/>
        <w:bottom w:val="none" w:sz="0" w:space="0" w:color="auto"/>
        <w:right w:val="none" w:sz="0" w:space="0" w:color="auto"/>
      </w:divBdr>
    </w:div>
    <w:div w:id="1062757120">
      <w:bodyDiv w:val="1"/>
      <w:marLeft w:val="0"/>
      <w:marRight w:val="0"/>
      <w:marTop w:val="0"/>
      <w:marBottom w:val="0"/>
      <w:divBdr>
        <w:top w:val="none" w:sz="0" w:space="0" w:color="auto"/>
        <w:left w:val="none" w:sz="0" w:space="0" w:color="auto"/>
        <w:bottom w:val="none" w:sz="0" w:space="0" w:color="auto"/>
        <w:right w:val="none" w:sz="0" w:space="0" w:color="auto"/>
      </w:divBdr>
    </w:div>
    <w:div w:id="1073242052">
      <w:bodyDiv w:val="1"/>
      <w:marLeft w:val="0"/>
      <w:marRight w:val="0"/>
      <w:marTop w:val="0"/>
      <w:marBottom w:val="0"/>
      <w:divBdr>
        <w:top w:val="none" w:sz="0" w:space="0" w:color="auto"/>
        <w:left w:val="none" w:sz="0" w:space="0" w:color="auto"/>
        <w:bottom w:val="none" w:sz="0" w:space="0" w:color="auto"/>
        <w:right w:val="none" w:sz="0" w:space="0" w:color="auto"/>
      </w:divBdr>
    </w:div>
    <w:div w:id="1103185743">
      <w:bodyDiv w:val="1"/>
      <w:marLeft w:val="0"/>
      <w:marRight w:val="0"/>
      <w:marTop w:val="0"/>
      <w:marBottom w:val="0"/>
      <w:divBdr>
        <w:top w:val="none" w:sz="0" w:space="0" w:color="auto"/>
        <w:left w:val="none" w:sz="0" w:space="0" w:color="auto"/>
        <w:bottom w:val="none" w:sz="0" w:space="0" w:color="auto"/>
        <w:right w:val="none" w:sz="0" w:space="0" w:color="auto"/>
      </w:divBdr>
    </w:div>
    <w:div w:id="1103301684">
      <w:bodyDiv w:val="1"/>
      <w:marLeft w:val="0"/>
      <w:marRight w:val="0"/>
      <w:marTop w:val="0"/>
      <w:marBottom w:val="0"/>
      <w:divBdr>
        <w:top w:val="none" w:sz="0" w:space="0" w:color="auto"/>
        <w:left w:val="none" w:sz="0" w:space="0" w:color="auto"/>
        <w:bottom w:val="none" w:sz="0" w:space="0" w:color="auto"/>
        <w:right w:val="none" w:sz="0" w:space="0" w:color="auto"/>
      </w:divBdr>
      <w:divsChild>
        <w:div w:id="6373168">
          <w:marLeft w:val="547"/>
          <w:marRight w:val="0"/>
          <w:marTop w:val="0"/>
          <w:marBottom w:val="0"/>
          <w:divBdr>
            <w:top w:val="none" w:sz="0" w:space="0" w:color="auto"/>
            <w:left w:val="none" w:sz="0" w:space="0" w:color="auto"/>
            <w:bottom w:val="none" w:sz="0" w:space="0" w:color="auto"/>
            <w:right w:val="none" w:sz="0" w:space="0" w:color="auto"/>
          </w:divBdr>
        </w:div>
      </w:divsChild>
    </w:div>
    <w:div w:id="1121731692">
      <w:bodyDiv w:val="1"/>
      <w:marLeft w:val="0"/>
      <w:marRight w:val="0"/>
      <w:marTop w:val="0"/>
      <w:marBottom w:val="0"/>
      <w:divBdr>
        <w:top w:val="none" w:sz="0" w:space="0" w:color="auto"/>
        <w:left w:val="none" w:sz="0" w:space="0" w:color="auto"/>
        <w:bottom w:val="none" w:sz="0" w:space="0" w:color="auto"/>
        <w:right w:val="none" w:sz="0" w:space="0" w:color="auto"/>
      </w:divBdr>
    </w:div>
    <w:div w:id="1141537165">
      <w:bodyDiv w:val="1"/>
      <w:marLeft w:val="0"/>
      <w:marRight w:val="0"/>
      <w:marTop w:val="0"/>
      <w:marBottom w:val="0"/>
      <w:divBdr>
        <w:top w:val="none" w:sz="0" w:space="0" w:color="auto"/>
        <w:left w:val="none" w:sz="0" w:space="0" w:color="auto"/>
        <w:bottom w:val="none" w:sz="0" w:space="0" w:color="auto"/>
        <w:right w:val="none" w:sz="0" w:space="0" w:color="auto"/>
      </w:divBdr>
    </w:div>
    <w:div w:id="1156918211">
      <w:bodyDiv w:val="1"/>
      <w:marLeft w:val="0"/>
      <w:marRight w:val="0"/>
      <w:marTop w:val="0"/>
      <w:marBottom w:val="0"/>
      <w:divBdr>
        <w:top w:val="none" w:sz="0" w:space="0" w:color="auto"/>
        <w:left w:val="none" w:sz="0" w:space="0" w:color="auto"/>
        <w:bottom w:val="none" w:sz="0" w:space="0" w:color="auto"/>
        <w:right w:val="none" w:sz="0" w:space="0" w:color="auto"/>
      </w:divBdr>
    </w:div>
    <w:div w:id="1168405206">
      <w:bodyDiv w:val="1"/>
      <w:marLeft w:val="0"/>
      <w:marRight w:val="0"/>
      <w:marTop w:val="0"/>
      <w:marBottom w:val="0"/>
      <w:divBdr>
        <w:top w:val="none" w:sz="0" w:space="0" w:color="auto"/>
        <w:left w:val="none" w:sz="0" w:space="0" w:color="auto"/>
        <w:bottom w:val="none" w:sz="0" w:space="0" w:color="auto"/>
        <w:right w:val="none" w:sz="0" w:space="0" w:color="auto"/>
      </w:divBdr>
    </w:div>
    <w:div w:id="1188517983">
      <w:bodyDiv w:val="1"/>
      <w:marLeft w:val="0"/>
      <w:marRight w:val="0"/>
      <w:marTop w:val="0"/>
      <w:marBottom w:val="0"/>
      <w:divBdr>
        <w:top w:val="none" w:sz="0" w:space="0" w:color="auto"/>
        <w:left w:val="none" w:sz="0" w:space="0" w:color="auto"/>
        <w:bottom w:val="none" w:sz="0" w:space="0" w:color="auto"/>
        <w:right w:val="none" w:sz="0" w:space="0" w:color="auto"/>
      </w:divBdr>
    </w:div>
    <w:div w:id="1189948587">
      <w:bodyDiv w:val="1"/>
      <w:marLeft w:val="0"/>
      <w:marRight w:val="0"/>
      <w:marTop w:val="0"/>
      <w:marBottom w:val="0"/>
      <w:divBdr>
        <w:top w:val="none" w:sz="0" w:space="0" w:color="auto"/>
        <w:left w:val="none" w:sz="0" w:space="0" w:color="auto"/>
        <w:bottom w:val="none" w:sz="0" w:space="0" w:color="auto"/>
        <w:right w:val="none" w:sz="0" w:space="0" w:color="auto"/>
      </w:divBdr>
    </w:div>
    <w:div w:id="1196505521">
      <w:bodyDiv w:val="1"/>
      <w:marLeft w:val="0"/>
      <w:marRight w:val="0"/>
      <w:marTop w:val="0"/>
      <w:marBottom w:val="0"/>
      <w:divBdr>
        <w:top w:val="none" w:sz="0" w:space="0" w:color="auto"/>
        <w:left w:val="none" w:sz="0" w:space="0" w:color="auto"/>
        <w:bottom w:val="none" w:sz="0" w:space="0" w:color="auto"/>
        <w:right w:val="none" w:sz="0" w:space="0" w:color="auto"/>
      </w:divBdr>
    </w:div>
    <w:div w:id="1197281592">
      <w:bodyDiv w:val="1"/>
      <w:marLeft w:val="0"/>
      <w:marRight w:val="0"/>
      <w:marTop w:val="0"/>
      <w:marBottom w:val="0"/>
      <w:divBdr>
        <w:top w:val="none" w:sz="0" w:space="0" w:color="auto"/>
        <w:left w:val="none" w:sz="0" w:space="0" w:color="auto"/>
        <w:bottom w:val="none" w:sz="0" w:space="0" w:color="auto"/>
        <w:right w:val="none" w:sz="0" w:space="0" w:color="auto"/>
      </w:divBdr>
    </w:div>
    <w:div w:id="1198471032">
      <w:bodyDiv w:val="1"/>
      <w:marLeft w:val="0"/>
      <w:marRight w:val="0"/>
      <w:marTop w:val="0"/>
      <w:marBottom w:val="0"/>
      <w:divBdr>
        <w:top w:val="none" w:sz="0" w:space="0" w:color="auto"/>
        <w:left w:val="none" w:sz="0" w:space="0" w:color="auto"/>
        <w:bottom w:val="none" w:sz="0" w:space="0" w:color="auto"/>
        <w:right w:val="none" w:sz="0" w:space="0" w:color="auto"/>
      </w:divBdr>
    </w:div>
    <w:div w:id="1198735404">
      <w:bodyDiv w:val="1"/>
      <w:marLeft w:val="0"/>
      <w:marRight w:val="0"/>
      <w:marTop w:val="0"/>
      <w:marBottom w:val="0"/>
      <w:divBdr>
        <w:top w:val="none" w:sz="0" w:space="0" w:color="auto"/>
        <w:left w:val="none" w:sz="0" w:space="0" w:color="auto"/>
        <w:bottom w:val="none" w:sz="0" w:space="0" w:color="auto"/>
        <w:right w:val="none" w:sz="0" w:space="0" w:color="auto"/>
      </w:divBdr>
    </w:div>
    <w:div w:id="1212159096">
      <w:bodyDiv w:val="1"/>
      <w:marLeft w:val="0"/>
      <w:marRight w:val="0"/>
      <w:marTop w:val="0"/>
      <w:marBottom w:val="0"/>
      <w:divBdr>
        <w:top w:val="none" w:sz="0" w:space="0" w:color="auto"/>
        <w:left w:val="none" w:sz="0" w:space="0" w:color="auto"/>
        <w:bottom w:val="none" w:sz="0" w:space="0" w:color="auto"/>
        <w:right w:val="none" w:sz="0" w:space="0" w:color="auto"/>
      </w:divBdr>
    </w:div>
    <w:div w:id="1240017911">
      <w:bodyDiv w:val="1"/>
      <w:marLeft w:val="0"/>
      <w:marRight w:val="0"/>
      <w:marTop w:val="0"/>
      <w:marBottom w:val="0"/>
      <w:divBdr>
        <w:top w:val="none" w:sz="0" w:space="0" w:color="auto"/>
        <w:left w:val="none" w:sz="0" w:space="0" w:color="auto"/>
        <w:bottom w:val="none" w:sz="0" w:space="0" w:color="auto"/>
        <w:right w:val="none" w:sz="0" w:space="0" w:color="auto"/>
      </w:divBdr>
    </w:div>
    <w:div w:id="1244801776">
      <w:bodyDiv w:val="1"/>
      <w:marLeft w:val="0"/>
      <w:marRight w:val="0"/>
      <w:marTop w:val="0"/>
      <w:marBottom w:val="0"/>
      <w:divBdr>
        <w:top w:val="none" w:sz="0" w:space="0" w:color="auto"/>
        <w:left w:val="none" w:sz="0" w:space="0" w:color="auto"/>
        <w:bottom w:val="none" w:sz="0" w:space="0" w:color="auto"/>
        <w:right w:val="none" w:sz="0" w:space="0" w:color="auto"/>
      </w:divBdr>
    </w:div>
    <w:div w:id="1251353796">
      <w:bodyDiv w:val="1"/>
      <w:marLeft w:val="0"/>
      <w:marRight w:val="0"/>
      <w:marTop w:val="0"/>
      <w:marBottom w:val="0"/>
      <w:divBdr>
        <w:top w:val="none" w:sz="0" w:space="0" w:color="auto"/>
        <w:left w:val="none" w:sz="0" w:space="0" w:color="auto"/>
        <w:bottom w:val="none" w:sz="0" w:space="0" w:color="auto"/>
        <w:right w:val="none" w:sz="0" w:space="0" w:color="auto"/>
      </w:divBdr>
    </w:div>
    <w:div w:id="1252935721">
      <w:bodyDiv w:val="1"/>
      <w:marLeft w:val="0"/>
      <w:marRight w:val="0"/>
      <w:marTop w:val="0"/>
      <w:marBottom w:val="0"/>
      <w:divBdr>
        <w:top w:val="none" w:sz="0" w:space="0" w:color="auto"/>
        <w:left w:val="none" w:sz="0" w:space="0" w:color="auto"/>
        <w:bottom w:val="none" w:sz="0" w:space="0" w:color="auto"/>
        <w:right w:val="none" w:sz="0" w:space="0" w:color="auto"/>
      </w:divBdr>
    </w:div>
    <w:div w:id="1255823498">
      <w:bodyDiv w:val="1"/>
      <w:marLeft w:val="0"/>
      <w:marRight w:val="0"/>
      <w:marTop w:val="0"/>
      <w:marBottom w:val="0"/>
      <w:divBdr>
        <w:top w:val="none" w:sz="0" w:space="0" w:color="auto"/>
        <w:left w:val="none" w:sz="0" w:space="0" w:color="auto"/>
        <w:bottom w:val="none" w:sz="0" w:space="0" w:color="auto"/>
        <w:right w:val="none" w:sz="0" w:space="0" w:color="auto"/>
      </w:divBdr>
    </w:div>
    <w:div w:id="1280449183">
      <w:bodyDiv w:val="1"/>
      <w:marLeft w:val="0"/>
      <w:marRight w:val="0"/>
      <w:marTop w:val="0"/>
      <w:marBottom w:val="0"/>
      <w:divBdr>
        <w:top w:val="none" w:sz="0" w:space="0" w:color="auto"/>
        <w:left w:val="none" w:sz="0" w:space="0" w:color="auto"/>
        <w:bottom w:val="none" w:sz="0" w:space="0" w:color="auto"/>
        <w:right w:val="none" w:sz="0" w:space="0" w:color="auto"/>
      </w:divBdr>
    </w:div>
    <w:div w:id="1298947478">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310162880">
      <w:bodyDiv w:val="1"/>
      <w:marLeft w:val="0"/>
      <w:marRight w:val="0"/>
      <w:marTop w:val="0"/>
      <w:marBottom w:val="0"/>
      <w:divBdr>
        <w:top w:val="none" w:sz="0" w:space="0" w:color="auto"/>
        <w:left w:val="none" w:sz="0" w:space="0" w:color="auto"/>
        <w:bottom w:val="none" w:sz="0" w:space="0" w:color="auto"/>
        <w:right w:val="none" w:sz="0" w:space="0" w:color="auto"/>
      </w:divBdr>
    </w:div>
    <w:div w:id="1314992919">
      <w:bodyDiv w:val="1"/>
      <w:marLeft w:val="0"/>
      <w:marRight w:val="0"/>
      <w:marTop w:val="0"/>
      <w:marBottom w:val="0"/>
      <w:divBdr>
        <w:top w:val="none" w:sz="0" w:space="0" w:color="auto"/>
        <w:left w:val="none" w:sz="0" w:space="0" w:color="auto"/>
        <w:bottom w:val="none" w:sz="0" w:space="0" w:color="auto"/>
        <w:right w:val="none" w:sz="0" w:space="0" w:color="auto"/>
      </w:divBdr>
    </w:div>
    <w:div w:id="1315522101">
      <w:bodyDiv w:val="1"/>
      <w:marLeft w:val="0"/>
      <w:marRight w:val="0"/>
      <w:marTop w:val="0"/>
      <w:marBottom w:val="0"/>
      <w:divBdr>
        <w:top w:val="none" w:sz="0" w:space="0" w:color="auto"/>
        <w:left w:val="none" w:sz="0" w:space="0" w:color="auto"/>
        <w:bottom w:val="none" w:sz="0" w:space="0" w:color="auto"/>
        <w:right w:val="none" w:sz="0" w:space="0" w:color="auto"/>
      </w:divBdr>
    </w:div>
    <w:div w:id="1318261954">
      <w:bodyDiv w:val="1"/>
      <w:marLeft w:val="0"/>
      <w:marRight w:val="0"/>
      <w:marTop w:val="0"/>
      <w:marBottom w:val="0"/>
      <w:divBdr>
        <w:top w:val="none" w:sz="0" w:space="0" w:color="auto"/>
        <w:left w:val="none" w:sz="0" w:space="0" w:color="auto"/>
        <w:bottom w:val="none" w:sz="0" w:space="0" w:color="auto"/>
        <w:right w:val="none" w:sz="0" w:space="0" w:color="auto"/>
      </w:divBdr>
    </w:div>
    <w:div w:id="1323895699">
      <w:bodyDiv w:val="1"/>
      <w:marLeft w:val="0"/>
      <w:marRight w:val="0"/>
      <w:marTop w:val="0"/>
      <w:marBottom w:val="0"/>
      <w:divBdr>
        <w:top w:val="none" w:sz="0" w:space="0" w:color="auto"/>
        <w:left w:val="none" w:sz="0" w:space="0" w:color="auto"/>
        <w:bottom w:val="none" w:sz="0" w:space="0" w:color="auto"/>
        <w:right w:val="none" w:sz="0" w:space="0" w:color="auto"/>
      </w:divBdr>
    </w:div>
    <w:div w:id="1332761291">
      <w:bodyDiv w:val="1"/>
      <w:marLeft w:val="0"/>
      <w:marRight w:val="0"/>
      <w:marTop w:val="0"/>
      <w:marBottom w:val="0"/>
      <w:divBdr>
        <w:top w:val="none" w:sz="0" w:space="0" w:color="auto"/>
        <w:left w:val="none" w:sz="0" w:space="0" w:color="auto"/>
        <w:bottom w:val="none" w:sz="0" w:space="0" w:color="auto"/>
        <w:right w:val="none" w:sz="0" w:space="0" w:color="auto"/>
      </w:divBdr>
    </w:div>
    <w:div w:id="1345942085">
      <w:bodyDiv w:val="1"/>
      <w:marLeft w:val="0"/>
      <w:marRight w:val="0"/>
      <w:marTop w:val="0"/>
      <w:marBottom w:val="0"/>
      <w:divBdr>
        <w:top w:val="none" w:sz="0" w:space="0" w:color="auto"/>
        <w:left w:val="none" w:sz="0" w:space="0" w:color="auto"/>
        <w:bottom w:val="none" w:sz="0" w:space="0" w:color="auto"/>
        <w:right w:val="none" w:sz="0" w:space="0" w:color="auto"/>
      </w:divBdr>
    </w:div>
    <w:div w:id="1358509689">
      <w:bodyDiv w:val="1"/>
      <w:marLeft w:val="0"/>
      <w:marRight w:val="0"/>
      <w:marTop w:val="0"/>
      <w:marBottom w:val="0"/>
      <w:divBdr>
        <w:top w:val="none" w:sz="0" w:space="0" w:color="auto"/>
        <w:left w:val="none" w:sz="0" w:space="0" w:color="auto"/>
        <w:bottom w:val="none" w:sz="0" w:space="0" w:color="auto"/>
        <w:right w:val="none" w:sz="0" w:space="0" w:color="auto"/>
      </w:divBdr>
    </w:div>
    <w:div w:id="1380980133">
      <w:bodyDiv w:val="1"/>
      <w:marLeft w:val="0"/>
      <w:marRight w:val="0"/>
      <w:marTop w:val="0"/>
      <w:marBottom w:val="0"/>
      <w:divBdr>
        <w:top w:val="none" w:sz="0" w:space="0" w:color="auto"/>
        <w:left w:val="none" w:sz="0" w:space="0" w:color="auto"/>
        <w:bottom w:val="none" w:sz="0" w:space="0" w:color="auto"/>
        <w:right w:val="none" w:sz="0" w:space="0" w:color="auto"/>
      </w:divBdr>
    </w:div>
    <w:div w:id="1387022427">
      <w:bodyDiv w:val="1"/>
      <w:marLeft w:val="0"/>
      <w:marRight w:val="0"/>
      <w:marTop w:val="0"/>
      <w:marBottom w:val="0"/>
      <w:divBdr>
        <w:top w:val="none" w:sz="0" w:space="0" w:color="auto"/>
        <w:left w:val="none" w:sz="0" w:space="0" w:color="auto"/>
        <w:bottom w:val="none" w:sz="0" w:space="0" w:color="auto"/>
        <w:right w:val="none" w:sz="0" w:space="0" w:color="auto"/>
      </w:divBdr>
    </w:div>
    <w:div w:id="1429423342">
      <w:bodyDiv w:val="1"/>
      <w:marLeft w:val="0"/>
      <w:marRight w:val="0"/>
      <w:marTop w:val="0"/>
      <w:marBottom w:val="0"/>
      <w:divBdr>
        <w:top w:val="none" w:sz="0" w:space="0" w:color="auto"/>
        <w:left w:val="none" w:sz="0" w:space="0" w:color="auto"/>
        <w:bottom w:val="none" w:sz="0" w:space="0" w:color="auto"/>
        <w:right w:val="none" w:sz="0" w:space="0" w:color="auto"/>
      </w:divBdr>
    </w:div>
    <w:div w:id="1447892620">
      <w:bodyDiv w:val="1"/>
      <w:marLeft w:val="0"/>
      <w:marRight w:val="0"/>
      <w:marTop w:val="0"/>
      <w:marBottom w:val="0"/>
      <w:divBdr>
        <w:top w:val="none" w:sz="0" w:space="0" w:color="auto"/>
        <w:left w:val="none" w:sz="0" w:space="0" w:color="auto"/>
        <w:bottom w:val="none" w:sz="0" w:space="0" w:color="auto"/>
        <w:right w:val="none" w:sz="0" w:space="0" w:color="auto"/>
      </w:divBdr>
    </w:div>
    <w:div w:id="1448507913">
      <w:bodyDiv w:val="1"/>
      <w:marLeft w:val="0"/>
      <w:marRight w:val="0"/>
      <w:marTop w:val="0"/>
      <w:marBottom w:val="0"/>
      <w:divBdr>
        <w:top w:val="none" w:sz="0" w:space="0" w:color="auto"/>
        <w:left w:val="none" w:sz="0" w:space="0" w:color="auto"/>
        <w:bottom w:val="none" w:sz="0" w:space="0" w:color="auto"/>
        <w:right w:val="none" w:sz="0" w:space="0" w:color="auto"/>
      </w:divBdr>
    </w:div>
    <w:div w:id="1450466424">
      <w:bodyDiv w:val="1"/>
      <w:marLeft w:val="0"/>
      <w:marRight w:val="0"/>
      <w:marTop w:val="0"/>
      <w:marBottom w:val="0"/>
      <w:divBdr>
        <w:top w:val="none" w:sz="0" w:space="0" w:color="auto"/>
        <w:left w:val="none" w:sz="0" w:space="0" w:color="auto"/>
        <w:bottom w:val="none" w:sz="0" w:space="0" w:color="auto"/>
        <w:right w:val="none" w:sz="0" w:space="0" w:color="auto"/>
      </w:divBdr>
    </w:div>
    <w:div w:id="1459034729">
      <w:bodyDiv w:val="1"/>
      <w:marLeft w:val="0"/>
      <w:marRight w:val="0"/>
      <w:marTop w:val="0"/>
      <w:marBottom w:val="0"/>
      <w:divBdr>
        <w:top w:val="none" w:sz="0" w:space="0" w:color="auto"/>
        <w:left w:val="none" w:sz="0" w:space="0" w:color="auto"/>
        <w:bottom w:val="none" w:sz="0" w:space="0" w:color="auto"/>
        <w:right w:val="none" w:sz="0" w:space="0" w:color="auto"/>
      </w:divBdr>
    </w:div>
    <w:div w:id="1467311854">
      <w:bodyDiv w:val="1"/>
      <w:marLeft w:val="0"/>
      <w:marRight w:val="0"/>
      <w:marTop w:val="0"/>
      <w:marBottom w:val="0"/>
      <w:divBdr>
        <w:top w:val="none" w:sz="0" w:space="0" w:color="auto"/>
        <w:left w:val="none" w:sz="0" w:space="0" w:color="auto"/>
        <w:bottom w:val="none" w:sz="0" w:space="0" w:color="auto"/>
        <w:right w:val="none" w:sz="0" w:space="0" w:color="auto"/>
      </w:divBdr>
    </w:div>
    <w:div w:id="1473868166">
      <w:bodyDiv w:val="1"/>
      <w:marLeft w:val="0"/>
      <w:marRight w:val="0"/>
      <w:marTop w:val="0"/>
      <w:marBottom w:val="0"/>
      <w:divBdr>
        <w:top w:val="none" w:sz="0" w:space="0" w:color="auto"/>
        <w:left w:val="none" w:sz="0" w:space="0" w:color="auto"/>
        <w:bottom w:val="none" w:sz="0" w:space="0" w:color="auto"/>
        <w:right w:val="none" w:sz="0" w:space="0" w:color="auto"/>
      </w:divBdr>
    </w:div>
    <w:div w:id="1480730672">
      <w:bodyDiv w:val="1"/>
      <w:marLeft w:val="0"/>
      <w:marRight w:val="0"/>
      <w:marTop w:val="0"/>
      <w:marBottom w:val="0"/>
      <w:divBdr>
        <w:top w:val="none" w:sz="0" w:space="0" w:color="auto"/>
        <w:left w:val="none" w:sz="0" w:space="0" w:color="auto"/>
        <w:bottom w:val="none" w:sz="0" w:space="0" w:color="auto"/>
        <w:right w:val="none" w:sz="0" w:space="0" w:color="auto"/>
      </w:divBdr>
    </w:div>
    <w:div w:id="1491486561">
      <w:bodyDiv w:val="1"/>
      <w:marLeft w:val="0"/>
      <w:marRight w:val="0"/>
      <w:marTop w:val="0"/>
      <w:marBottom w:val="0"/>
      <w:divBdr>
        <w:top w:val="none" w:sz="0" w:space="0" w:color="auto"/>
        <w:left w:val="none" w:sz="0" w:space="0" w:color="auto"/>
        <w:bottom w:val="none" w:sz="0" w:space="0" w:color="auto"/>
        <w:right w:val="none" w:sz="0" w:space="0" w:color="auto"/>
      </w:divBdr>
    </w:div>
    <w:div w:id="1507860064">
      <w:bodyDiv w:val="1"/>
      <w:marLeft w:val="0"/>
      <w:marRight w:val="0"/>
      <w:marTop w:val="0"/>
      <w:marBottom w:val="0"/>
      <w:divBdr>
        <w:top w:val="none" w:sz="0" w:space="0" w:color="auto"/>
        <w:left w:val="none" w:sz="0" w:space="0" w:color="auto"/>
        <w:bottom w:val="none" w:sz="0" w:space="0" w:color="auto"/>
        <w:right w:val="none" w:sz="0" w:space="0" w:color="auto"/>
      </w:divBdr>
    </w:div>
    <w:div w:id="1513109650">
      <w:bodyDiv w:val="1"/>
      <w:marLeft w:val="0"/>
      <w:marRight w:val="0"/>
      <w:marTop w:val="0"/>
      <w:marBottom w:val="0"/>
      <w:divBdr>
        <w:top w:val="none" w:sz="0" w:space="0" w:color="auto"/>
        <w:left w:val="none" w:sz="0" w:space="0" w:color="auto"/>
        <w:bottom w:val="none" w:sz="0" w:space="0" w:color="auto"/>
        <w:right w:val="none" w:sz="0" w:space="0" w:color="auto"/>
      </w:divBdr>
    </w:div>
    <w:div w:id="1515804697">
      <w:bodyDiv w:val="1"/>
      <w:marLeft w:val="0"/>
      <w:marRight w:val="0"/>
      <w:marTop w:val="0"/>
      <w:marBottom w:val="0"/>
      <w:divBdr>
        <w:top w:val="none" w:sz="0" w:space="0" w:color="auto"/>
        <w:left w:val="none" w:sz="0" w:space="0" w:color="auto"/>
        <w:bottom w:val="none" w:sz="0" w:space="0" w:color="auto"/>
        <w:right w:val="none" w:sz="0" w:space="0" w:color="auto"/>
      </w:divBdr>
    </w:div>
    <w:div w:id="1526404844">
      <w:bodyDiv w:val="1"/>
      <w:marLeft w:val="0"/>
      <w:marRight w:val="0"/>
      <w:marTop w:val="0"/>
      <w:marBottom w:val="0"/>
      <w:divBdr>
        <w:top w:val="none" w:sz="0" w:space="0" w:color="auto"/>
        <w:left w:val="none" w:sz="0" w:space="0" w:color="auto"/>
        <w:bottom w:val="none" w:sz="0" w:space="0" w:color="auto"/>
        <w:right w:val="none" w:sz="0" w:space="0" w:color="auto"/>
      </w:divBdr>
    </w:div>
    <w:div w:id="1556696771">
      <w:bodyDiv w:val="1"/>
      <w:marLeft w:val="0"/>
      <w:marRight w:val="0"/>
      <w:marTop w:val="0"/>
      <w:marBottom w:val="0"/>
      <w:divBdr>
        <w:top w:val="none" w:sz="0" w:space="0" w:color="auto"/>
        <w:left w:val="none" w:sz="0" w:space="0" w:color="auto"/>
        <w:bottom w:val="none" w:sz="0" w:space="0" w:color="auto"/>
        <w:right w:val="none" w:sz="0" w:space="0" w:color="auto"/>
      </w:divBdr>
    </w:div>
    <w:div w:id="1605645923">
      <w:bodyDiv w:val="1"/>
      <w:marLeft w:val="0"/>
      <w:marRight w:val="0"/>
      <w:marTop w:val="0"/>
      <w:marBottom w:val="0"/>
      <w:divBdr>
        <w:top w:val="none" w:sz="0" w:space="0" w:color="auto"/>
        <w:left w:val="none" w:sz="0" w:space="0" w:color="auto"/>
        <w:bottom w:val="none" w:sz="0" w:space="0" w:color="auto"/>
        <w:right w:val="none" w:sz="0" w:space="0" w:color="auto"/>
      </w:divBdr>
    </w:div>
    <w:div w:id="1610157554">
      <w:bodyDiv w:val="1"/>
      <w:marLeft w:val="0"/>
      <w:marRight w:val="0"/>
      <w:marTop w:val="0"/>
      <w:marBottom w:val="0"/>
      <w:divBdr>
        <w:top w:val="none" w:sz="0" w:space="0" w:color="auto"/>
        <w:left w:val="none" w:sz="0" w:space="0" w:color="auto"/>
        <w:bottom w:val="none" w:sz="0" w:space="0" w:color="auto"/>
        <w:right w:val="none" w:sz="0" w:space="0" w:color="auto"/>
      </w:divBdr>
    </w:div>
    <w:div w:id="1631125964">
      <w:bodyDiv w:val="1"/>
      <w:marLeft w:val="0"/>
      <w:marRight w:val="0"/>
      <w:marTop w:val="0"/>
      <w:marBottom w:val="0"/>
      <w:divBdr>
        <w:top w:val="none" w:sz="0" w:space="0" w:color="auto"/>
        <w:left w:val="none" w:sz="0" w:space="0" w:color="auto"/>
        <w:bottom w:val="none" w:sz="0" w:space="0" w:color="auto"/>
        <w:right w:val="none" w:sz="0" w:space="0" w:color="auto"/>
      </w:divBdr>
    </w:div>
    <w:div w:id="1637905521">
      <w:bodyDiv w:val="1"/>
      <w:marLeft w:val="0"/>
      <w:marRight w:val="0"/>
      <w:marTop w:val="0"/>
      <w:marBottom w:val="0"/>
      <w:divBdr>
        <w:top w:val="none" w:sz="0" w:space="0" w:color="auto"/>
        <w:left w:val="none" w:sz="0" w:space="0" w:color="auto"/>
        <w:bottom w:val="none" w:sz="0" w:space="0" w:color="auto"/>
        <w:right w:val="none" w:sz="0" w:space="0" w:color="auto"/>
      </w:divBdr>
    </w:div>
    <w:div w:id="1642418811">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65014706">
      <w:bodyDiv w:val="1"/>
      <w:marLeft w:val="0"/>
      <w:marRight w:val="0"/>
      <w:marTop w:val="0"/>
      <w:marBottom w:val="0"/>
      <w:divBdr>
        <w:top w:val="none" w:sz="0" w:space="0" w:color="auto"/>
        <w:left w:val="none" w:sz="0" w:space="0" w:color="auto"/>
        <w:bottom w:val="none" w:sz="0" w:space="0" w:color="auto"/>
        <w:right w:val="none" w:sz="0" w:space="0" w:color="auto"/>
      </w:divBdr>
    </w:div>
    <w:div w:id="1679120027">
      <w:bodyDiv w:val="1"/>
      <w:marLeft w:val="0"/>
      <w:marRight w:val="0"/>
      <w:marTop w:val="0"/>
      <w:marBottom w:val="0"/>
      <w:divBdr>
        <w:top w:val="none" w:sz="0" w:space="0" w:color="auto"/>
        <w:left w:val="none" w:sz="0" w:space="0" w:color="auto"/>
        <w:bottom w:val="none" w:sz="0" w:space="0" w:color="auto"/>
        <w:right w:val="none" w:sz="0" w:space="0" w:color="auto"/>
      </w:divBdr>
    </w:div>
    <w:div w:id="1687173734">
      <w:bodyDiv w:val="1"/>
      <w:marLeft w:val="0"/>
      <w:marRight w:val="0"/>
      <w:marTop w:val="0"/>
      <w:marBottom w:val="0"/>
      <w:divBdr>
        <w:top w:val="none" w:sz="0" w:space="0" w:color="auto"/>
        <w:left w:val="none" w:sz="0" w:space="0" w:color="auto"/>
        <w:bottom w:val="none" w:sz="0" w:space="0" w:color="auto"/>
        <w:right w:val="none" w:sz="0" w:space="0" w:color="auto"/>
      </w:divBdr>
    </w:div>
    <w:div w:id="1696539924">
      <w:bodyDiv w:val="1"/>
      <w:marLeft w:val="0"/>
      <w:marRight w:val="0"/>
      <w:marTop w:val="0"/>
      <w:marBottom w:val="0"/>
      <w:divBdr>
        <w:top w:val="none" w:sz="0" w:space="0" w:color="auto"/>
        <w:left w:val="none" w:sz="0" w:space="0" w:color="auto"/>
        <w:bottom w:val="none" w:sz="0" w:space="0" w:color="auto"/>
        <w:right w:val="none" w:sz="0" w:space="0" w:color="auto"/>
      </w:divBdr>
    </w:div>
    <w:div w:id="1705058528">
      <w:bodyDiv w:val="1"/>
      <w:marLeft w:val="0"/>
      <w:marRight w:val="0"/>
      <w:marTop w:val="0"/>
      <w:marBottom w:val="0"/>
      <w:divBdr>
        <w:top w:val="none" w:sz="0" w:space="0" w:color="auto"/>
        <w:left w:val="none" w:sz="0" w:space="0" w:color="auto"/>
        <w:bottom w:val="none" w:sz="0" w:space="0" w:color="auto"/>
        <w:right w:val="none" w:sz="0" w:space="0" w:color="auto"/>
      </w:divBdr>
    </w:div>
    <w:div w:id="1710640902">
      <w:bodyDiv w:val="1"/>
      <w:marLeft w:val="0"/>
      <w:marRight w:val="0"/>
      <w:marTop w:val="0"/>
      <w:marBottom w:val="0"/>
      <w:divBdr>
        <w:top w:val="none" w:sz="0" w:space="0" w:color="auto"/>
        <w:left w:val="none" w:sz="0" w:space="0" w:color="auto"/>
        <w:bottom w:val="none" w:sz="0" w:space="0" w:color="auto"/>
        <w:right w:val="none" w:sz="0" w:space="0" w:color="auto"/>
      </w:divBdr>
    </w:div>
    <w:div w:id="1714620684">
      <w:bodyDiv w:val="1"/>
      <w:marLeft w:val="0"/>
      <w:marRight w:val="0"/>
      <w:marTop w:val="0"/>
      <w:marBottom w:val="0"/>
      <w:divBdr>
        <w:top w:val="none" w:sz="0" w:space="0" w:color="auto"/>
        <w:left w:val="none" w:sz="0" w:space="0" w:color="auto"/>
        <w:bottom w:val="none" w:sz="0" w:space="0" w:color="auto"/>
        <w:right w:val="none" w:sz="0" w:space="0" w:color="auto"/>
      </w:divBdr>
    </w:div>
    <w:div w:id="1715232716">
      <w:bodyDiv w:val="1"/>
      <w:marLeft w:val="0"/>
      <w:marRight w:val="0"/>
      <w:marTop w:val="0"/>
      <w:marBottom w:val="0"/>
      <w:divBdr>
        <w:top w:val="none" w:sz="0" w:space="0" w:color="auto"/>
        <w:left w:val="none" w:sz="0" w:space="0" w:color="auto"/>
        <w:bottom w:val="none" w:sz="0" w:space="0" w:color="auto"/>
        <w:right w:val="none" w:sz="0" w:space="0" w:color="auto"/>
      </w:divBdr>
    </w:div>
    <w:div w:id="1717854422">
      <w:bodyDiv w:val="1"/>
      <w:marLeft w:val="0"/>
      <w:marRight w:val="0"/>
      <w:marTop w:val="0"/>
      <w:marBottom w:val="0"/>
      <w:divBdr>
        <w:top w:val="none" w:sz="0" w:space="0" w:color="auto"/>
        <w:left w:val="none" w:sz="0" w:space="0" w:color="auto"/>
        <w:bottom w:val="none" w:sz="0" w:space="0" w:color="auto"/>
        <w:right w:val="none" w:sz="0" w:space="0" w:color="auto"/>
      </w:divBdr>
    </w:div>
    <w:div w:id="1724330418">
      <w:bodyDiv w:val="1"/>
      <w:marLeft w:val="0"/>
      <w:marRight w:val="0"/>
      <w:marTop w:val="0"/>
      <w:marBottom w:val="0"/>
      <w:divBdr>
        <w:top w:val="none" w:sz="0" w:space="0" w:color="auto"/>
        <w:left w:val="none" w:sz="0" w:space="0" w:color="auto"/>
        <w:bottom w:val="none" w:sz="0" w:space="0" w:color="auto"/>
        <w:right w:val="none" w:sz="0" w:space="0" w:color="auto"/>
      </w:divBdr>
    </w:div>
    <w:div w:id="1726219074">
      <w:bodyDiv w:val="1"/>
      <w:marLeft w:val="0"/>
      <w:marRight w:val="0"/>
      <w:marTop w:val="0"/>
      <w:marBottom w:val="0"/>
      <w:divBdr>
        <w:top w:val="none" w:sz="0" w:space="0" w:color="auto"/>
        <w:left w:val="none" w:sz="0" w:space="0" w:color="auto"/>
        <w:bottom w:val="none" w:sz="0" w:space="0" w:color="auto"/>
        <w:right w:val="none" w:sz="0" w:space="0" w:color="auto"/>
      </w:divBdr>
    </w:div>
    <w:div w:id="1732999389">
      <w:bodyDiv w:val="1"/>
      <w:marLeft w:val="0"/>
      <w:marRight w:val="0"/>
      <w:marTop w:val="0"/>
      <w:marBottom w:val="0"/>
      <w:divBdr>
        <w:top w:val="none" w:sz="0" w:space="0" w:color="auto"/>
        <w:left w:val="none" w:sz="0" w:space="0" w:color="auto"/>
        <w:bottom w:val="none" w:sz="0" w:space="0" w:color="auto"/>
        <w:right w:val="none" w:sz="0" w:space="0" w:color="auto"/>
      </w:divBdr>
    </w:div>
    <w:div w:id="1741901210">
      <w:bodyDiv w:val="1"/>
      <w:marLeft w:val="0"/>
      <w:marRight w:val="0"/>
      <w:marTop w:val="0"/>
      <w:marBottom w:val="0"/>
      <w:divBdr>
        <w:top w:val="none" w:sz="0" w:space="0" w:color="auto"/>
        <w:left w:val="none" w:sz="0" w:space="0" w:color="auto"/>
        <w:bottom w:val="none" w:sz="0" w:space="0" w:color="auto"/>
        <w:right w:val="none" w:sz="0" w:space="0" w:color="auto"/>
      </w:divBdr>
    </w:div>
    <w:div w:id="1742438144">
      <w:bodyDiv w:val="1"/>
      <w:marLeft w:val="0"/>
      <w:marRight w:val="0"/>
      <w:marTop w:val="0"/>
      <w:marBottom w:val="0"/>
      <w:divBdr>
        <w:top w:val="none" w:sz="0" w:space="0" w:color="auto"/>
        <w:left w:val="none" w:sz="0" w:space="0" w:color="auto"/>
        <w:bottom w:val="none" w:sz="0" w:space="0" w:color="auto"/>
        <w:right w:val="none" w:sz="0" w:space="0" w:color="auto"/>
      </w:divBdr>
    </w:div>
    <w:div w:id="1754932351">
      <w:bodyDiv w:val="1"/>
      <w:marLeft w:val="0"/>
      <w:marRight w:val="0"/>
      <w:marTop w:val="0"/>
      <w:marBottom w:val="0"/>
      <w:divBdr>
        <w:top w:val="none" w:sz="0" w:space="0" w:color="auto"/>
        <w:left w:val="none" w:sz="0" w:space="0" w:color="auto"/>
        <w:bottom w:val="none" w:sz="0" w:space="0" w:color="auto"/>
        <w:right w:val="none" w:sz="0" w:space="0" w:color="auto"/>
      </w:divBdr>
    </w:div>
    <w:div w:id="1755780483">
      <w:bodyDiv w:val="1"/>
      <w:marLeft w:val="0"/>
      <w:marRight w:val="0"/>
      <w:marTop w:val="0"/>
      <w:marBottom w:val="0"/>
      <w:divBdr>
        <w:top w:val="none" w:sz="0" w:space="0" w:color="auto"/>
        <w:left w:val="none" w:sz="0" w:space="0" w:color="auto"/>
        <w:bottom w:val="none" w:sz="0" w:space="0" w:color="auto"/>
        <w:right w:val="none" w:sz="0" w:space="0" w:color="auto"/>
      </w:divBdr>
    </w:div>
    <w:div w:id="1759666834">
      <w:bodyDiv w:val="1"/>
      <w:marLeft w:val="0"/>
      <w:marRight w:val="0"/>
      <w:marTop w:val="0"/>
      <w:marBottom w:val="0"/>
      <w:divBdr>
        <w:top w:val="none" w:sz="0" w:space="0" w:color="auto"/>
        <w:left w:val="none" w:sz="0" w:space="0" w:color="auto"/>
        <w:bottom w:val="none" w:sz="0" w:space="0" w:color="auto"/>
        <w:right w:val="none" w:sz="0" w:space="0" w:color="auto"/>
      </w:divBdr>
    </w:div>
    <w:div w:id="1772626587">
      <w:bodyDiv w:val="1"/>
      <w:marLeft w:val="0"/>
      <w:marRight w:val="0"/>
      <w:marTop w:val="0"/>
      <w:marBottom w:val="0"/>
      <w:divBdr>
        <w:top w:val="none" w:sz="0" w:space="0" w:color="auto"/>
        <w:left w:val="none" w:sz="0" w:space="0" w:color="auto"/>
        <w:bottom w:val="none" w:sz="0" w:space="0" w:color="auto"/>
        <w:right w:val="none" w:sz="0" w:space="0" w:color="auto"/>
      </w:divBdr>
    </w:div>
    <w:div w:id="1780757534">
      <w:bodyDiv w:val="1"/>
      <w:marLeft w:val="0"/>
      <w:marRight w:val="0"/>
      <w:marTop w:val="0"/>
      <w:marBottom w:val="0"/>
      <w:divBdr>
        <w:top w:val="none" w:sz="0" w:space="0" w:color="auto"/>
        <w:left w:val="none" w:sz="0" w:space="0" w:color="auto"/>
        <w:bottom w:val="none" w:sz="0" w:space="0" w:color="auto"/>
        <w:right w:val="none" w:sz="0" w:space="0" w:color="auto"/>
      </w:divBdr>
    </w:div>
    <w:div w:id="1790934700">
      <w:bodyDiv w:val="1"/>
      <w:marLeft w:val="0"/>
      <w:marRight w:val="0"/>
      <w:marTop w:val="0"/>
      <w:marBottom w:val="0"/>
      <w:divBdr>
        <w:top w:val="none" w:sz="0" w:space="0" w:color="auto"/>
        <w:left w:val="none" w:sz="0" w:space="0" w:color="auto"/>
        <w:bottom w:val="none" w:sz="0" w:space="0" w:color="auto"/>
        <w:right w:val="none" w:sz="0" w:space="0" w:color="auto"/>
      </w:divBdr>
    </w:div>
    <w:div w:id="1827234889">
      <w:bodyDiv w:val="1"/>
      <w:marLeft w:val="0"/>
      <w:marRight w:val="0"/>
      <w:marTop w:val="0"/>
      <w:marBottom w:val="0"/>
      <w:divBdr>
        <w:top w:val="none" w:sz="0" w:space="0" w:color="auto"/>
        <w:left w:val="none" w:sz="0" w:space="0" w:color="auto"/>
        <w:bottom w:val="none" w:sz="0" w:space="0" w:color="auto"/>
        <w:right w:val="none" w:sz="0" w:space="0" w:color="auto"/>
      </w:divBdr>
    </w:div>
    <w:div w:id="1844736812">
      <w:bodyDiv w:val="1"/>
      <w:marLeft w:val="0"/>
      <w:marRight w:val="0"/>
      <w:marTop w:val="0"/>
      <w:marBottom w:val="0"/>
      <w:divBdr>
        <w:top w:val="none" w:sz="0" w:space="0" w:color="auto"/>
        <w:left w:val="none" w:sz="0" w:space="0" w:color="auto"/>
        <w:bottom w:val="none" w:sz="0" w:space="0" w:color="auto"/>
        <w:right w:val="none" w:sz="0" w:space="0" w:color="auto"/>
      </w:divBdr>
    </w:div>
    <w:div w:id="1846364612">
      <w:bodyDiv w:val="1"/>
      <w:marLeft w:val="0"/>
      <w:marRight w:val="0"/>
      <w:marTop w:val="0"/>
      <w:marBottom w:val="0"/>
      <w:divBdr>
        <w:top w:val="none" w:sz="0" w:space="0" w:color="auto"/>
        <w:left w:val="none" w:sz="0" w:space="0" w:color="auto"/>
        <w:bottom w:val="none" w:sz="0" w:space="0" w:color="auto"/>
        <w:right w:val="none" w:sz="0" w:space="0" w:color="auto"/>
      </w:divBdr>
    </w:div>
    <w:div w:id="1864592614">
      <w:bodyDiv w:val="1"/>
      <w:marLeft w:val="0"/>
      <w:marRight w:val="0"/>
      <w:marTop w:val="0"/>
      <w:marBottom w:val="0"/>
      <w:divBdr>
        <w:top w:val="none" w:sz="0" w:space="0" w:color="auto"/>
        <w:left w:val="none" w:sz="0" w:space="0" w:color="auto"/>
        <w:bottom w:val="none" w:sz="0" w:space="0" w:color="auto"/>
        <w:right w:val="none" w:sz="0" w:space="0" w:color="auto"/>
      </w:divBdr>
    </w:div>
    <w:div w:id="1869022034">
      <w:bodyDiv w:val="1"/>
      <w:marLeft w:val="0"/>
      <w:marRight w:val="0"/>
      <w:marTop w:val="0"/>
      <w:marBottom w:val="0"/>
      <w:divBdr>
        <w:top w:val="none" w:sz="0" w:space="0" w:color="auto"/>
        <w:left w:val="none" w:sz="0" w:space="0" w:color="auto"/>
        <w:bottom w:val="none" w:sz="0" w:space="0" w:color="auto"/>
        <w:right w:val="none" w:sz="0" w:space="0" w:color="auto"/>
      </w:divBdr>
    </w:div>
    <w:div w:id="1891304721">
      <w:bodyDiv w:val="1"/>
      <w:marLeft w:val="0"/>
      <w:marRight w:val="0"/>
      <w:marTop w:val="0"/>
      <w:marBottom w:val="0"/>
      <w:divBdr>
        <w:top w:val="none" w:sz="0" w:space="0" w:color="auto"/>
        <w:left w:val="none" w:sz="0" w:space="0" w:color="auto"/>
        <w:bottom w:val="none" w:sz="0" w:space="0" w:color="auto"/>
        <w:right w:val="none" w:sz="0" w:space="0" w:color="auto"/>
      </w:divBdr>
    </w:div>
    <w:div w:id="1899902759">
      <w:bodyDiv w:val="1"/>
      <w:marLeft w:val="0"/>
      <w:marRight w:val="0"/>
      <w:marTop w:val="0"/>
      <w:marBottom w:val="0"/>
      <w:divBdr>
        <w:top w:val="none" w:sz="0" w:space="0" w:color="auto"/>
        <w:left w:val="none" w:sz="0" w:space="0" w:color="auto"/>
        <w:bottom w:val="none" w:sz="0" w:space="0" w:color="auto"/>
        <w:right w:val="none" w:sz="0" w:space="0" w:color="auto"/>
      </w:divBdr>
    </w:div>
    <w:div w:id="1900482566">
      <w:bodyDiv w:val="1"/>
      <w:marLeft w:val="0"/>
      <w:marRight w:val="0"/>
      <w:marTop w:val="0"/>
      <w:marBottom w:val="0"/>
      <w:divBdr>
        <w:top w:val="none" w:sz="0" w:space="0" w:color="auto"/>
        <w:left w:val="none" w:sz="0" w:space="0" w:color="auto"/>
        <w:bottom w:val="none" w:sz="0" w:space="0" w:color="auto"/>
        <w:right w:val="none" w:sz="0" w:space="0" w:color="auto"/>
      </w:divBdr>
    </w:div>
    <w:div w:id="1902061475">
      <w:bodyDiv w:val="1"/>
      <w:marLeft w:val="0"/>
      <w:marRight w:val="0"/>
      <w:marTop w:val="0"/>
      <w:marBottom w:val="0"/>
      <w:divBdr>
        <w:top w:val="none" w:sz="0" w:space="0" w:color="auto"/>
        <w:left w:val="none" w:sz="0" w:space="0" w:color="auto"/>
        <w:bottom w:val="none" w:sz="0" w:space="0" w:color="auto"/>
        <w:right w:val="none" w:sz="0" w:space="0" w:color="auto"/>
      </w:divBdr>
    </w:div>
    <w:div w:id="1903640363">
      <w:bodyDiv w:val="1"/>
      <w:marLeft w:val="0"/>
      <w:marRight w:val="0"/>
      <w:marTop w:val="0"/>
      <w:marBottom w:val="0"/>
      <w:divBdr>
        <w:top w:val="none" w:sz="0" w:space="0" w:color="auto"/>
        <w:left w:val="none" w:sz="0" w:space="0" w:color="auto"/>
        <w:bottom w:val="none" w:sz="0" w:space="0" w:color="auto"/>
        <w:right w:val="none" w:sz="0" w:space="0" w:color="auto"/>
      </w:divBdr>
    </w:div>
    <w:div w:id="1911112108">
      <w:bodyDiv w:val="1"/>
      <w:marLeft w:val="0"/>
      <w:marRight w:val="0"/>
      <w:marTop w:val="0"/>
      <w:marBottom w:val="0"/>
      <w:divBdr>
        <w:top w:val="none" w:sz="0" w:space="0" w:color="auto"/>
        <w:left w:val="none" w:sz="0" w:space="0" w:color="auto"/>
        <w:bottom w:val="none" w:sz="0" w:space="0" w:color="auto"/>
        <w:right w:val="none" w:sz="0" w:space="0" w:color="auto"/>
      </w:divBdr>
    </w:div>
    <w:div w:id="1914123218">
      <w:bodyDiv w:val="1"/>
      <w:marLeft w:val="0"/>
      <w:marRight w:val="0"/>
      <w:marTop w:val="0"/>
      <w:marBottom w:val="0"/>
      <w:divBdr>
        <w:top w:val="none" w:sz="0" w:space="0" w:color="auto"/>
        <w:left w:val="none" w:sz="0" w:space="0" w:color="auto"/>
        <w:bottom w:val="none" w:sz="0" w:space="0" w:color="auto"/>
        <w:right w:val="none" w:sz="0" w:space="0" w:color="auto"/>
      </w:divBdr>
    </w:div>
    <w:div w:id="1923757619">
      <w:bodyDiv w:val="1"/>
      <w:marLeft w:val="0"/>
      <w:marRight w:val="0"/>
      <w:marTop w:val="0"/>
      <w:marBottom w:val="0"/>
      <w:divBdr>
        <w:top w:val="none" w:sz="0" w:space="0" w:color="auto"/>
        <w:left w:val="none" w:sz="0" w:space="0" w:color="auto"/>
        <w:bottom w:val="none" w:sz="0" w:space="0" w:color="auto"/>
        <w:right w:val="none" w:sz="0" w:space="0" w:color="auto"/>
      </w:divBdr>
    </w:div>
    <w:div w:id="1930120557">
      <w:bodyDiv w:val="1"/>
      <w:marLeft w:val="0"/>
      <w:marRight w:val="0"/>
      <w:marTop w:val="0"/>
      <w:marBottom w:val="0"/>
      <w:divBdr>
        <w:top w:val="none" w:sz="0" w:space="0" w:color="auto"/>
        <w:left w:val="none" w:sz="0" w:space="0" w:color="auto"/>
        <w:bottom w:val="none" w:sz="0" w:space="0" w:color="auto"/>
        <w:right w:val="none" w:sz="0" w:space="0" w:color="auto"/>
      </w:divBdr>
    </w:div>
    <w:div w:id="1942451850">
      <w:bodyDiv w:val="1"/>
      <w:marLeft w:val="0"/>
      <w:marRight w:val="0"/>
      <w:marTop w:val="0"/>
      <w:marBottom w:val="0"/>
      <w:divBdr>
        <w:top w:val="none" w:sz="0" w:space="0" w:color="auto"/>
        <w:left w:val="none" w:sz="0" w:space="0" w:color="auto"/>
        <w:bottom w:val="none" w:sz="0" w:space="0" w:color="auto"/>
        <w:right w:val="none" w:sz="0" w:space="0" w:color="auto"/>
      </w:divBdr>
    </w:div>
    <w:div w:id="1962180228">
      <w:bodyDiv w:val="1"/>
      <w:marLeft w:val="0"/>
      <w:marRight w:val="0"/>
      <w:marTop w:val="0"/>
      <w:marBottom w:val="0"/>
      <w:divBdr>
        <w:top w:val="none" w:sz="0" w:space="0" w:color="auto"/>
        <w:left w:val="none" w:sz="0" w:space="0" w:color="auto"/>
        <w:bottom w:val="none" w:sz="0" w:space="0" w:color="auto"/>
        <w:right w:val="none" w:sz="0" w:space="0" w:color="auto"/>
      </w:divBdr>
    </w:div>
    <w:div w:id="1972402377">
      <w:bodyDiv w:val="1"/>
      <w:marLeft w:val="0"/>
      <w:marRight w:val="0"/>
      <w:marTop w:val="0"/>
      <w:marBottom w:val="0"/>
      <w:divBdr>
        <w:top w:val="none" w:sz="0" w:space="0" w:color="auto"/>
        <w:left w:val="none" w:sz="0" w:space="0" w:color="auto"/>
        <w:bottom w:val="none" w:sz="0" w:space="0" w:color="auto"/>
        <w:right w:val="none" w:sz="0" w:space="0" w:color="auto"/>
      </w:divBdr>
    </w:div>
    <w:div w:id="1975670667">
      <w:bodyDiv w:val="1"/>
      <w:marLeft w:val="0"/>
      <w:marRight w:val="0"/>
      <w:marTop w:val="0"/>
      <w:marBottom w:val="0"/>
      <w:divBdr>
        <w:top w:val="none" w:sz="0" w:space="0" w:color="auto"/>
        <w:left w:val="none" w:sz="0" w:space="0" w:color="auto"/>
        <w:bottom w:val="none" w:sz="0" w:space="0" w:color="auto"/>
        <w:right w:val="none" w:sz="0" w:space="0" w:color="auto"/>
      </w:divBdr>
    </w:div>
    <w:div w:id="1981811050">
      <w:bodyDiv w:val="1"/>
      <w:marLeft w:val="0"/>
      <w:marRight w:val="0"/>
      <w:marTop w:val="0"/>
      <w:marBottom w:val="0"/>
      <w:divBdr>
        <w:top w:val="none" w:sz="0" w:space="0" w:color="auto"/>
        <w:left w:val="none" w:sz="0" w:space="0" w:color="auto"/>
        <w:bottom w:val="none" w:sz="0" w:space="0" w:color="auto"/>
        <w:right w:val="none" w:sz="0" w:space="0" w:color="auto"/>
      </w:divBdr>
    </w:div>
    <w:div w:id="1997952031">
      <w:bodyDiv w:val="1"/>
      <w:marLeft w:val="0"/>
      <w:marRight w:val="0"/>
      <w:marTop w:val="0"/>
      <w:marBottom w:val="0"/>
      <w:divBdr>
        <w:top w:val="none" w:sz="0" w:space="0" w:color="auto"/>
        <w:left w:val="none" w:sz="0" w:space="0" w:color="auto"/>
        <w:bottom w:val="none" w:sz="0" w:space="0" w:color="auto"/>
        <w:right w:val="none" w:sz="0" w:space="0" w:color="auto"/>
      </w:divBdr>
    </w:div>
    <w:div w:id="2001883112">
      <w:bodyDiv w:val="1"/>
      <w:marLeft w:val="0"/>
      <w:marRight w:val="0"/>
      <w:marTop w:val="0"/>
      <w:marBottom w:val="0"/>
      <w:divBdr>
        <w:top w:val="none" w:sz="0" w:space="0" w:color="auto"/>
        <w:left w:val="none" w:sz="0" w:space="0" w:color="auto"/>
        <w:bottom w:val="none" w:sz="0" w:space="0" w:color="auto"/>
        <w:right w:val="none" w:sz="0" w:space="0" w:color="auto"/>
      </w:divBdr>
    </w:div>
    <w:div w:id="2010524074">
      <w:bodyDiv w:val="1"/>
      <w:marLeft w:val="0"/>
      <w:marRight w:val="0"/>
      <w:marTop w:val="0"/>
      <w:marBottom w:val="0"/>
      <w:divBdr>
        <w:top w:val="none" w:sz="0" w:space="0" w:color="auto"/>
        <w:left w:val="none" w:sz="0" w:space="0" w:color="auto"/>
        <w:bottom w:val="none" w:sz="0" w:space="0" w:color="auto"/>
        <w:right w:val="none" w:sz="0" w:space="0" w:color="auto"/>
      </w:divBdr>
    </w:div>
    <w:div w:id="2021853486">
      <w:bodyDiv w:val="1"/>
      <w:marLeft w:val="0"/>
      <w:marRight w:val="0"/>
      <w:marTop w:val="0"/>
      <w:marBottom w:val="0"/>
      <w:divBdr>
        <w:top w:val="none" w:sz="0" w:space="0" w:color="auto"/>
        <w:left w:val="none" w:sz="0" w:space="0" w:color="auto"/>
        <w:bottom w:val="none" w:sz="0" w:space="0" w:color="auto"/>
        <w:right w:val="none" w:sz="0" w:space="0" w:color="auto"/>
      </w:divBdr>
    </w:div>
    <w:div w:id="2022052240">
      <w:bodyDiv w:val="1"/>
      <w:marLeft w:val="0"/>
      <w:marRight w:val="0"/>
      <w:marTop w:val="0"/>
      <w:marBottom w:val="0"/>
      <w:divBdr>
        <w:top w:val="none" w:sz="0" w:space="0" w:color="auto"/>
        <w:left w:val="none" w:sz="0" w:space="0" w:color="auto"/>
        <w:bottom w:val="none" w:sz="0" w:space="0" w:color="auto"/>
        <w:right w:val="none" w:sz="0" w:space="0" w:color="auto"/>
      </w:divBdr>
    </w:div>
    <w:div w:id="2035842646">
      <w:bodyDiv w:val="1"/>
      <w:marLeft w:val="0"/>
      <w:marRight w:val="0"/>
      <w:marTop w:val="0"/>
      <w:marBottom w:val="0"/>
      <w:divBdr>
        <w:top w:val="none" w:sz="0" w:space="0" w:color="auto"/>
        <w:left w:val="none" w:sz="0" w:space="0" w:color="auto"/>
        <w:bottom w:val="none" w:sz="0" w:space="0" w:color="auto"/>
        <w:right w:val="none" w:sz="0" w:space="0" w:color="auto"/>
      </w:divBdr>
    </w:div>
    <w:div w:id="2042512406">
      <w:bodyDiv w:val="1"/>
      <w:marLeft w:val="0"/>
      <w:marRight w:val="0"/>
      <w:marTop w:val="0"/>
      <w:marBottom w:val="0"/>
      <w:divBdr>
        <w:top w:val="none" w:sz="0" w:space="0" w:color="auto"/>
        <w:left w:val="none" w:sz="0" w:space="0" w:color="auto"/>
        <w:bottom w:val="none" w:sz="0" w:space="0" w:color="auto"/>
        <w:right w:val="none" w:sz="0" w:space="0" w:color="auto"/>
      </w:divBdr>
    </w:div>
    <w:div w:id="2054888078">
      <w:bodyDiv w:val="1"/>
      <w:marLeft w:val="0"/>
      <w:marRight w:val="0"/>
      <w:marTop w:val="0"/>
      <w:marBottom w:val="0"/>
      <w:divBdr>
        <w:top w:val="none" w:sz="0" w:space="0" w:color="auto"/>
        <w:left w:val="none" w:sz="0" w:space="0" w:color="auto"/>
        <w:bottom w:val="none" w:sz="0" w:space="0" w:color="auto"/>
        <w:right w:val="none" w:sz="0" w:space="0" w:color="auto"/>
      </w:divBdr>
    </w:div>
    <w:div w:id="2056083766">
      <w:bodyDiv w:val="1"/>
      <w:marLeft w:val="0"/>
      <w:marRight w:val="0"/>
      <w:marTop w:val="0"/>
      <w:marBottom w:val="0"/>
      <w:divBdr>
        <w:top w:val="none" w:sz="0" w:space="0" w:color="auto"/>
        <w:left w:val="none" w:sz="0" w:space="0" w:color="auto"/>
        <w:bottom w:val="none" w:sz="0" w:space="0" w:color="auto"/>
        <w:right w:val="none" w:sz="0" w:space="0" w:color="auto"/>
      </w:divBdr>
    </w:div>
    <w:div w:id="2093697368">
      <w:bodyDiv w:val="1"/>
      <w:marLeft w:val="0"/>
      <w:marRight w:val="0"/>
      <w:marTop w:val="0"/>
      <w:marBottom w:val="0"/>
      <w:divBdr>
        <w:top w:val="none" w:sz="0" w:space="0" w:color="auto"/>
        <w:left w:val="none" w:sz="0" w:space="0" w:color="auto"/>
        <w:bottom w:val="none" w:sz="0" w:space="0" w:color="auto"/>
        <w:right w:val="none" w:sz="0" w:space="0" w:color="auto"/>
      </w:divBdr>
    </w:div>
    <w:div w:id="2097171130">
      <w:bodyDiv w:val="1"/>
      <w:marLeft w:val="0"/>
      <w:marRight w:val="0"/>
      <w:marTop w:val="0"/>
      <w:marBottom w:val="0"/>
      <w:divBdr>
        <w:top w:val="none" w:sz="0" w:space="0" w:color="auto"/>
        <w:left w:val="none" w:sz="0" w:space="0" w:color="auto"/>
        <w:bottom w:val="none" w:sz="0" w:space="0" w:color="auto"/>
        <w:right w:val="none" w:sz="0" w:space="0" w:color="auto"/>
      </w:divBdr>
    </w:div>
    <w:div w:id="2102873729">
      <w:bodyDiv w:val="1"/>
      <w:marLeft w:val="0"/>
      <w:marRight w:val="0"/>
      <w:marTop w:val="0"/>
      <w:marBottom w:val="0"/>
      <w:divBdr>
        <w:top w:val="none" w:sz="0" w:space="0" w:color="auto"/>
        <w:left w:val="none" w:sz="0" w:space="0" w:color="auto"/>
        <w:bottom w:val="none" w:sz="0" w:space="0" w:color="auto"/>
        <w:right w:val="none" w:sz="0" w:space="0" w:color="auto"/>
      </w:divBdr>
    </w:div>
    <w:div w:id="2115710269">
      <w:bodyDiv w:val="1"/>
      <w:marLeft w:val="0"/>
      <w:marRight w:val="0"/>
      <w:marTop w:val="0"/>
      <w:marBottom w:val="0"/>
      <w:divBdr>
        <w:top w:val="none" w:sz="0" w:space="0" w:color="auto"/>
        <w:left w:val="none" w:sz="0" w:space="0" w:color="auto"/>
        <w:bottom w:val="none" w:sz="0" w:space="0" w:color="auto"/>
        <w:right w:val="none" w:sz="0" w:space="0" w:color="auto"/>
      </w:divBdr>
    </w:div>
    <w:div w:id="2116250605">
      <w:bodyDiv w:val="1"/>
      <w:marLeft w:val="0"/>
      <w:marRight w:val="0"/>
      <w:marTop w:val="0"/>
      <w:marBottom w:val="0"/>
      <w:divBdr>
        <w:top w:val="none" w:sz="0" w:space="0" w:color="auto"/>
        <w:left w:val="none" w:sz="0" w:space="0" w:color="auto"/>
        <w:bottom w:val="none" w:sz="0" w:space="0" w:color="auto"/>
        <w:right w:val="none" w:sz="0" w:space="0" w:color="auto"/>
      </w:divBdr>
    </w:div>
    <w:div w:id="2124643418">
      <w:bodyDiv w:val="1"/>
      <w:marLeft w:val="0"/>
      <w:marRight w:val="0"/>
      <w:marTop w:val="0"/>
      <w:marBottom w:val="0"/>
      <w:divBdr>
        <w:top w:val="none" w:sz="0" w:space="0" w:color="auto"/>
        <w:left w:val="none" w:sz="0" w:space="0" w:color="auto"/>
        <w:bottom w:val="none" w:sz="0" w:space="0" w:color="auto"/>
        <w:right w:val="none" w:sz="0" w:space="0" w:color="auto"/>
      </w:divBdr>
    </w:div>
    <w:div w:id="2142335670">
      <w:bodyDiv w:val="1"/>
      <w:marLeft w:val="0"/>
      <w:marRight w:val="0"/>
      <w:marTop w:val="0"/>
      <w:marBottom w:val="0"/>
      <w:divBdr>
        <w:top w:val="none" w:sz="0" w:space="0" w:color="auto"/>
        <w:left w:val="none" w:sz="0" w:space="0" w:color="auto"/>
        <w:bottom w:val="none" w:sz="0" w:space="0" w:color="auto"/>
        <w:right w:val="none" w:sz="0" w:space="0" w:color="auto"/>
      </w:divBdr>
    </w:div>
    <w:div w:id="214730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footer" Target="footer4.xml"/><Relationship Id="rId34" Type="http://schemas.openxmlformats.org/officeDocument/2006/relationships/image" Target="media/image14.emf"/><Relationship Id="rId42" Type="http://schemas.microsoft.com/office/2007/relationships/diagramDrawing" Target="diagrams/drawing1.xml"/><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image" Target="media/image42.emf"/><Relationship Id="rId76" Type="http://schemas.openxmlformats.org/officeDocument/2006/relationships/footer" Target="footer9.xml"/><Relationship Id="rId84" Type="http://schemas.openxmlformats.org/officeDocument/2006/relationships/header" Target="header7.xml"/><Relationship Id="rId89" Type="http://schemas.openxmlformats.org/officeDocument/2006/relationships/footer" Target="footer14.xml"/><Relationship Id="rId97"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hyperlink" Target="http://www.abivax.com"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emf"/><Relationship Id="rId11" Type="http://schemas.openxmlformats.org/officeDocument/2006/relationships/hyperlink" Target="http://www.amf-france.org" TargetMode="External"/><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diagramQuickStyle" Target="diagrams/quickStyle1.xml"/><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footer" Target="footer8.xml"/><Relationship Id="rId79" Type="http://schemas.openxmlformats.org/officeDocument/2006/relationships/diagramQuickStyle" Target="diagrams/quickStyle2.xml"/><Relationship Id="rId87" Type="http://schemas.openxmlformats.org/officeDocument/2006/relationships/footer" Target="footer13.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header" Target="header6.xml"/><Relationship Id="rId90" Type="http://schemas.openxmlformats.org/officeDocument/2006/relationships/header" Target="header9.xml"/><Relationship Id="rId95" Type="http://schemas.openxmlformats.org/officeDocument/2006/relationships/footer" Target="footer16.xml"/><Relationship Id="rId19" Type="http://schemas.openxmlformats.org/officeDocument/2006/relationships/header" Target="header2.xml"/><Relationship Id="rId14" Type="http://schemas.openxmlformats.org/officeDocument/2006/relationships/hyperlink" Target="http://www.ABIVAX.com"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yperlink" Target="http://www.ABIVAX.com/fr/investisseurs/assemblee-generale.html" TargetMode="External"/><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diagramData" Target="diagrams/data2.xml"/><Relationship Id="rId100"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header" Target="header4.xml"/><Relationship Id="rId80" Type="http://schemas.openxmlformats.org/officeDocument/2006/relationships/diagramColors" Target="diagrams/colors2.xml"/><Relationship Id="rId85" Type="http://schemas.openxmlformats.org/officeDocument/2006/relationships/footer" Target="footer11.xml"/><Relationship Id="rId93" Type="http://schemas.openxmlformats.org/officeDocument/2006/relationships/hyperlink" Target="http://www.amf-france.org" TargetMode="External"/><Relationship Id="rId98" Type="http://schemas.openxmlformats.org/officeDocument/2006/relationships/hyperlink" Target="mailto:info@ABIVAX.com" TargetMode="External"/><Relationship Id="rId3" Type="http://schemas.openxmlformats.org/officeDocument/2006/relationships/styles" Target="styles.xml"/><Relationship Id="rId12" Type="http://schemas.openxmlformats.org/officeDocument/2006/relationships/hyperlink" Target="mailto:info@abivax.com" TargetMode="External"/><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diagramData" Target="diagrams/data1.xml"/><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footer" Target="footer3.xml"/><Relationship Id="rId41" Type="http://schemas.openxmlformats.org/officeDocument/2006/relationships/diagramColors" Target="diagrams/colors1.xm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header" Target="header5.xml"/><Relationship Id="rId83" Type="http://schemas.openxmlformats.org/officeDocument/2006/relationships/footer" Target="footer10.xml"/><Relationship Id="rId88" Type="http://schemas.openxmlformats.org/officeDocument/2006/relationships/header" Target="header8.xml"/><Relationship Id="rId91" Type="http://schemas.openxmlformats.org/officeDocument/2006/relationships/footer" Target="footer15.xml"/><Relationship Id="rId96"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hyperlink" Target="http://www.ABIVAX.com" TargetMode="Externa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footer" Target="footer7.xml"/><Relationship Id="rId78" Type="http://schemas.openxmlformats.org/officeDocument/2006/relationships/diagramLayout" Target="diagrams/layout2.xml"/><Relationship Id="rId81" Type="http://schemas.microsoft.com/office/2007/relationships/diagramDrawing" Target="diagrams/drawing2.xml"/><Relationship Id="rId86" Type="http://schemas.openxmlformats.org/officeDocument/2006/relationships/footer" Target="footer12.xml"/><Relationship Id="rId94" Type="http://schemas.openxmlformats.org/officeDocument/2006/relationships/header" Target="header10.xml"/><Relationship Id="rId99" Type="http://schemas.openxmlformats.org/officeDocument/2006/relationships/hyperlink" Target="http://www.ABIVAX.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info@ABIVAX.com" TargetMode="External"/><Relationship Id="rId18" Type="http://schemas.openxmlformats.org/officeDocument/2006/relationships/header" Target="header1.xml"/><Relationship Id="rId39" Type="http://schemas.openxmlformats.org/officeDocument/2006/relationships/diagramLayout" Target="diagrams/layout1.xm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term=Giaquinto%20C%5BAuthor%5D&amp;cauthor=true&amp;cauthor_uid=23740717" TargetMode="External"/><Relationship Id="rId3" Type="http://schemas.openxmlformats.org/officeDocument/2006/relationships/hyperlink" Target="http://www.ncbi.nlm.nih.gov/pubmed/?term=Albert%20J%5BAuthor%5D&amp;cauthor=true&amp;cauthor_uid=23740717" TargetMode="External"/><Relationship Id="rId7" Type="http://schemas.openxmlformats.org/officeDocument/2006/relationships/hyperlink" Target="http://www.ncbi.nlm.nih.gov/pubmed/?term=Clotet%20B%5BAuthor%5D&amp;cauthor=true&amp;cauthor_uid=23740717" TargetMode="External"/><Relationship Id="rId2" Type="http://schemas.openxmlformats.org/officeDocument/2006/relationships/hyperlink" Target="http://www.ncbi.nlm.nih.gov/pubmed/?term=Pillay%20D%5BAuthor%5D&amp;cauthor=true&amp;cauthor_uid=23740717" TargetMode="External"/><Relationship Id="rId1" Type="http://schemas.openxmlformats.org/officeDocument/2006/relationships/hyperlink" Target="http://www.ncbi.nlm.nih.gov/pubmed/23740717" TargetMode="External"/><Relationship Id="rId6" Type="http://schemas.openxmlformats.org/officeDocument/2006/relationships/hyperlink" Target="http://www.ncbi.nlm.nih.gov/pubmed/?term=Brun-Vezinet%20F%5BAuthor%5D&amp;cauthor=true&amp;cauthor_uid=23740717" TargetMode="External"/><Relationship Id="rId5" Type="http://schemas.openxmlformats.org/officeDocument/2006/relationships/hyperlink" Target="http://www.ncbi.nlm.nih.gov/pubmed/?term=Boucher%20C%5BAuthor%5D&amp;cauthor=true&amp;cauthor_uid=23740717" TargetMode="External"/><Relationship Id="rId4" Type="http://schemas.openxmlformats.org/officeDocument/2006/relationships/hyperlink" Target="http://www.ncbi.nlm.nih.gov/pubmed/?term=Bertagnolio%20S%5BAuthor%5D&amp;cauthor=true&amp;cauthor_uid=23740717" TargetMode="External"/><Relationship Id="rId9" Type="http://schemas.openxmlformats.org/officeDocument/2006/relationships/hyperlink" Target="http://www.ncbi.nlm.nih.gov/pubmed/?term=Perno%20CF%5BAuthor%5D&amp;cauthor=true&amp;cauthor_uid=2374071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EDDA25-FA6E-458E-B817-66855E8987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7C65B6A-6AC9-440A-A606-C81BD80BDF2D}">
      <dgm:prSet phldrT="[Texte]" custT="1"/>
      <dgm:spPr>
        <a:noFill/>
        <a:ln w="12700">
          <a:solidFill>
            <a:srgbClr val="7030A0"/>
          </a:solidFill>
        </a:ln>
      </dgm:spPr>
      <dgm:t>
        <a:bodyPr/>
        <a:lstStyle/>
        <a:p>
          <a:pPr algn="ctr"/>
          <a:r>
            <a:rPr lang="fr-FR" sz="900" b="1" dirty="0">
              <a:solidFill>
                <a:schemeClr val="tx1"/>
              </a:solidFill>
              <a:latin typeface="Calibri "/>
            </a:rPr>
            <a:t>PR. HARTMUT EHRLICH</a:t>
          </a:r>
        </a:p>
        <a:p>
          <a:pPr algn="ctr"/>
          <a:r>
            <a:rPr lang="fr-FR" sz="900" dirty="0">
              <a:solidFill>
                <a:schemeClr val="tx1"/>
              </a:solidFill>
              <a:latin typeface="Calibri "/>
            </a:rPr>
            <a:t>Directeur Général</a:t>
          </a:r>
          <a:endParaRPr lang="fr-FR" sz="900" dirty="0"/>
        </a:p>
      </dgm:t>
    </dgm:pt>
    <dgm:pt modelId="{39768BEC-2959-4A24-88EB-CF178F4A602D}" type="parTrans" cxnId="{F2A0DD98-FCA0-4095-8441-4EEEB64074BF}">
      <dgm:prSet/>
      <dgm:spPr/>
      <dgm:t>
        <a:bodyPr/>
        <a:lstStyle/>
        <a:p>
          <a:pPr algn="ctr"/>
          <a:endParaRPr lang="fr-FR" sz="1600"/>
        </a:p>
      </dgm:t>
    </dgm:pt>
    <dgm:pt modelId="{7EBD7509-C4D4-4F3F-AFD0-27967F0F2A68}" type="sibTrans" cxnId="{F2A0DD98-FCA0-4095-8441-4EEEB64074BF}">
      <dgm:prSet/>
      <dgm:spPr/>
      <dgm:t>
        <a:bodyPr/>
        <a:lstStyle/>
        <a:p>
          <a:pPr algn="ctr"/>
          <a:endParaRPr lang="fr-FR" sz="1600"/>
        </a:p>
      </dgm:t>
    </dgm:pt>
    <dgm:pt modelId="{25CD0DEF-3D36-4589-A84A-B0ECFF9C7C6E}">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JEAN-MARC STEENS</a:t>
          </a:r>
        </a:p>
        <a:p>
          <a:pPr algn="ctr"/>
          <a:r>
            <a:rPr lang="fr-FR" sz="900" dirty="0">
              <a:solidFill>
                <a:schemeClr val="tx1"/>
              </a:solidFill>
              <a:latin typeface="Calibri "/>
            </a:rPr>
            <a:t>V.P. Directeur </a:t>
          </a:r>
        </a:p>
        <a:p>
          <a:pPr algn="ctr"/>
          <a:r>
            <a:rPr lang="fr-FR" sz="900" dirty="0">
              <a:solidFill>
                <a:schemeClr val="tx1"/>
              </a:solidFill>
              <a:latin typeface="Calibri "/>
            </a:rPr>
            <a:t>Médical</a:t>
          </a:r>
          <a:endParaRPr lang="fr-FR" sz="900" b="1" dirty="0">
            <a:solidFill>
              <a:sysClr val="windowText" lastClr="000000"/>
            </a:solidFill>
            <a:latin typeface="Calibri "/>
          </a:endParaRPr>
        </a:p>
      </dgm:t>
    </dgm:pt>
    <dgm:pt modelId="{3BA6E236-8BAC-40B9-8C90-F25C8B0F404F}" type="parTrans" cxnId="{382793C6-6243-4EAF-90BD-E9110EE82D89}">
      <dgm:prSet/>
      <dgm:spPr>
        <a:ln>
          <a:solidFill>
            <a:srgbClr val="7030A0"/>
          </a:solidFill>
        </a:ln>
      </dgm:spPr>
      <dgm:t>
        <a:bodyPr/>
        <a:lstStyle/>
        <a:p>
          <a:pPr algn="ctr"/>
          <a:endParaRPr lang="fr-FR" sz="1600"/>
        </a:p>
      </dgm:t>
    </dgm:pt>
    <dgm:pt modelId="{4AF2DA10-EDA5-4D6B-BE33-5F10134B20E5}" type="sibTrans" cxnId="{382793C6-6243-4EAF-90BD-E9110EE82D89}">
      <dgm:prSet/>
      <dgm:spPr/>
      <dgm:t>
        <a:bodyPr/>
        <a:lstStyle/>
        <a:p>
          <a:pPr algn="ctr"/>
          <a:endParaRPr lang="fr-FR" sz="1600"/>
        </a:p>
      </dgm:t>
    </dgm:pt>
    <dgm:pt modelId="{34B5A4A0-F136-442C-852D-CED09B1FEA13}">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SCHERRER</a:t>
          </a:r>
        </a:p>
        <a:p>
          <a:pPr algn="ctr"/>
          <a:r>
            <a:rPr lang="fr-FR" sz="900" dirty="0">
              <a:solidFill>
                <a:schemeClr val="tx1"/>
              </a:solidFill>
              <a:latin typeface="Calibri "/>
            </a:rPr>
            <a:t>V.P. Directeur de la Recherche</a:t>
          </a:r>
          <a:endParaRPr lang="fr-FR" sz="800" b="1" dirty="0">
            <a:solidFill>
              <a:schemeClr val="tx1"/>
            </a:solidFill>
            <a:latin typeface="Calibri "/>
          </a:endParaRPr>
        </a:p>
      </dgm:t>
    </dgm:pt>
    <dgm:pt modelId="{16CF680E-1518-4982-95C9-014D72C41C93}" type="parTrans" cxnId="{02254FCD-E664-41AC-8612-C15AF18868A0}">
      <dgm:prSet/>
      <dgm:spPr>
        <a:ln>
          <a:solidFill>
            <a:srgbClr val="7030A0"/>
          </a:solidFill>
        </a:ln>
      </dgm:spPr>
      <dgm:t>
        <a:bodyPr/>
        <a:lstStyle/>
        <a:p>
          <a:pPr algn="ctr"/>
          <a:endParaRPr lang="fr-FR" sz="1600"/>
        </a:p>
      </dgm:t>
    </dgm:pt>
    <dgm:pt modelId="{49D2F7ED-EBBB-478A-A2AB-07A283232563}" type="sibTrans" cxnId="{02254FCD-E664-41AC-8612-C15AF18868A0}">
      <dgm:prSet/>
      <dgm:spPr/>
      <dgm:t>
        <a:bodyPr/>
        <a:lstStyle/>
        <a:p>
          <a:pPr algn="ctr"/>
          <a:endParaRPr lang="fr-FR" sz="1600"/>
        </a:p>
      </dgm:t>
    </dgm:pt>
    <dgm:pt modelId="{CDC82CD7-1E53-4189-A7B4-E6654F01562F}">
      <dgm:prSet custT="1"/>
      <dgm:spPr>
        <a:noFill/>
        <a:ln w="12700">
          <a:solidFill>
            <a:srgbClr val="7030A0"/>
          </a:solidFill>
        </a:ln>
      </dgm:spPr>
      <dgm:t>
        <a:bodyPr/>
        <a:lstStyle/>
        <a:p>
          <a:pPr algn="ctr"/>
          <a:r>
            <a:rPr lang="fr-FR" sz="900" b="1" dirty="0">
              <a:solidFill>
                <a:sysClr val="windowText" lastClr="000000"/>
              </a:solidFill>
              <a:latin typeface="Calibri "/>
            </a:rPr>
            <a:t>JEROME DENIS </a:t>
          </a:r>
        </a:p>
        <a:p>
          <a:pPr algn="ctr"/>
          <a:r>
            <a:rPr lang="fr-FR" sz="900" dirty="0">
              <a:solidFill>
                <a:sysClr val="windowText" lastClr="000000"/>
              </a:solidFill>
              <a:latin typeface="Calibri "/>
            </a:rPr>
            <a:t>V.P. Directeur de la Production et du Développement des Procédés </a:t>
          </a:r>
          <a:endParaRPr lang="fr-FR" sz="900" b="1" dirty="0">
            <a:solidFill>
              <a:schemeClr val="tx1"/>
            </a:solidFill>
            <a:latin typeface="Calibri "/>
          </a:endParaRPr>
        </a:p>
      </dgm:t>
    </dgm:pt>
    <dgm:pt modelId="{F3938036-EB65-488D-A505-8AA0F88CD3F4}" type="parTrans" cxnId="{85DB731C-8C28-41E6-A63F-68DD0ECFAFA9}">
      <dgm:prSet/>
      <dgm:spPr>
        <a:ln>
          <a:solidFill>
            <a:srgbClr val="7030A0"/>
          </a:solidFill>
        </a:ln>
      </dgm:spPr>
      <dgm:t>
        <a:bodyPr/>
        <a:lstStyle/>
        <a:p>
          <a:pPr algn="ctr"/>
          <a:endParaRPr lang="fr-FR" sz="1600"/>
        </a:p>
      </dgm:t>
    </dgm:pt>
    <dgm:pt modelId="{C175B4D3-6882-45D2-BDB5-8F23025F5F57}" type="sibTrans" cxnId="{85DB731C-8C28-41E6-A63F-68DD0ECFAFA9}">
      <dgm:prSet/>
      <dgm:spPr/>
      <dgm:t>
        <a:bodyPr/>
        <a:lstStyle/>
        <a:p>
          <a:pPr algn="ctr"/>
          <a:endParaRPr lang="fr-FR" sz="1600"/>
        </a:p>
      </dgm:t>
    </dgm:pt>
    <dgm:pt modelId="{DCB0481C-B45B-43D1-83B9-D8D144155D95}">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BLONDEL</a:t>
          </a:r>
        </a:p>
        <a:p>
          <a:pPr algn="ctr"/>
          <a:r>
            <a:rPr lang="fr-FR" sz="900" dirty="0">
              <a:solidFill>
                <a:schemeClr val="tx1"/>
              </a:solidFill>
              <a:latin typeface="Calibri "/>
            </a:rPr>
            <a:t>V.P. Directeur Administratif &amp; Financier et </a:t>
          </a:r>
        </a:p>
        <a:p>
          <a:pPr algn="ctr"/>
          <a:r>
            <a:rPr lang="fr-FR" sz="900" dirty="0">
              <a:solidFill>
                <a:schemeClr val="tx1"/>
              </a:solidFill>
              <a:latin typeface="Calibri "/>
            </a:rPr>
            <a:t>Secrétaire du Conseil d'Administration</a:t>
          </a:r>
          <a:endParaRPr lang="fr-FR" sz="900" b="1" dirty="0">
            <a:solidFill>
              <a:schemeClr val="tx1"/>
            </a:solidFill>
            <a:latin typeface="Calibri "/>
          </a:endParaRPr>
        </a:p>
      </dgm:t>
    </dgm:pt>
    <dgm:pt modelId="{F11E5023-A25C-42EC-B10D-5401D5B4F9F3}" type="parTrans" cxnId="{9176618C-78E3-4EEE-BFA5-FE26B48EED72}">
      <dgm:prSet/>
      <dgm:spPr>
        <a:ln>
          <a:solidFill>
            <a:srgbClr val="7030A0"/>
          </a:solidFill>
        </a:ln>
      </dgm:spPr>
      <dgm:t>
        <a:bodyPr/>
        <a:lstStyle/>
        <a:p>
          <a:pPr algn="ctr"/>
          <a:endParaRPr lang="fr-FR" sz="1600"/>
        </a:p>
      </dgm:t>
    </dgm:pt>
    <dgm:pt modelId="{8D7E1589-486F-49A0-8F65-DD3E52CA9C91}" type="sibTrans" cxnId="{9176618C-78E3-4EEE-BFA5-FE26B48EED72}">
      <dgm:prSet/>
      <dgm:spPr/>
      <dgm:t>
        <a:bodyPr/>
        <a:lstStyle/>
        <a:p>
          <a:pPr algn="ctr"/>
          <a:endParaRPr lang="fr-FR" sz="1600"/>
        </a:p>
      </dgm:t>
    </dgm:pt>
    <dgm:pt modelId="{00661EC0-12FA-47A9-865E-0FAF13E582AB}">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PIERRE COURTEILLE</a:t>
          </a:r>
        </a:p>
        <a:p>
          <a:pPr algn="ctr"/>
          <a:r>
            <a:rPr lang="fr-FR" sz="900" dirty="0">
              <a:solidFill>
                <a:schemeClr val="tx1"/>
              </a:solidFill>
              <a:latin typeface="Calibri "/>
            </a:rPr>
            <a:t>V.P. Directeur Commercial et du Business </a:t>
          </a:r>
          <a:r>
            <a:rPr lang="fr-FR" sz="900" dirty="0" err="1">
              <a:solidFill>
                <a:schemeClr val="tx1"/>
              </a:solidFill>
              <a:latin typeface="Calibri "/>
            </a:rPr>
            <a:t>Development</a:t>
          </a:r>
          <a:r>
            <a:rPr lang="fr-FR" sz="900" dirty="0">
              <a:solidFill>
                <a:schemeClr val="tx1"/>
              </a:solidFill>
              <a:latin typeface="Calibri "/>
            </a:rPr>
            <a:t> </a:t>
          </a:r>
          <a:endParaRPr lang="fr-FR" sz="900" b="1" dirty="0">
            <a:solidFill>
              <a:schemeClr val="tx1"/>
            </a:solidFill>
            <a:latin typeface="Calibri "/>
          </a:endParaRPr>
        </a:p>
      </dgm:t>
    </dgm:pt>
    <dgm:pt modelId="{1F92ABFC-3E3D-49FC-BF0B-E24C27A21829}" type="parTrans" cxnId="{29F61593-C3A3-4EC3-BD7F-DB506D964BED}">
      <dgm:prSet/>
      <dgm:spPr>
        <a:ln>
          <a:solidFill>
            <a:srgbClr val="7030A0"/>
          </a:solidFill>
        </a:ln>
      </dgm:spPr>
      <dgm:t>
        <a:bodyPr/>
        <a:lstStyle/>
        <a:p>
          <a:pPr algn="ctr"/>
          <a:endParaRPr lang="fr-FR" sz="1600"/>
        </a:p>
      </dgm:t>
    </dgm:pt>
    <dgm:pt modelId="{98BC2A65-2B0B-482A-A103-53A7872B6EF4}" type="sibTrans" cxnId="{29F61593-C3A3-4EC3-BD7F-DB506D964BED}">
      <dgm:prSet/>
      <dgm:spPr/>
      <dgm:t>
        <a:bodyPr/>
        <a:lstStyle/>
        <a:p>
          <a:pPr algn="ctr"/>
          <a:endParaRPr lang="fr-FR" sz="1600"/>
        </a:p>
      </dgm:t>
    </dgm:pt>
    <dgm:pt modelId="{EE62B8F1-F4E6-48A2-960A-48CDD1FA55B0}">
      <dgm:prSet custT="1"/>
      <dgm:spPr>
        <a:noFill/>
        <a:ln>
          <a:solidFill>
            <a:srgbClr val="7030A0"/>
          </a:solidFill>
        </a:ln>
      </dgm:spPr>
      <dgm:t>
        <a:bodyPr/>
        <a:lstStyle/>
        <a:p>
          <a:pPr algn="ctr">
            <a:spcAft>
              <a:spcPct val="35000"/>
            </a:spcAft>
          </a:pPr>
          <a:r>
            <a:rPr lang="fr-FR" sz="900" b="1" dirty="0">
              <a:solidFill>
                <a:sysClr val="windowText" lastClr="000000"/>
              </a:solidFill>
              <a:latin typeface="Calibri "/>
            </a:rPr>
            <a:t>PAUL GINESTE</a:t>
          </a:r>
        </a:p>
        <a:p>
          <a:pPr algn="ctr">
            <a:spcAft>
              <a:spcPts val="0"/>
            </a:spcAft>
          </a:pPr>
          <a:r>
            <a:rPr lang="fr-FR" sz="900" dirty="0" err="1">
              <a:solidFill>
                <a:schemeClr val="tx1"/>
              </a:solidFill>
              <a:latin typeface="Calibri "/>
            </a:rPr>
            <a:t>V.P. Opérations Cliniques</a:t>
          </a:r>
        </a:p>
        <a:p>
          <a:pPr algn="ctr">
            <a:spcAft>
              <a:spcPts val="0"/>
            </a:spcAft>
          </a:pPr>
          <a:r>
            <a:rPr lang="fr-FR" sz="900" dirty="0">
              <a:solidFill>
                <a:schemeClr val="tx1"/>
              </a:solidFill>
              <a:latin typeface="Calibri "/>
            </a:rPr>
            <a:t> </a:t>
          </a:r>
          <a:endParaRPr lang="en-US" sz="600" dirty="0">
            <a:solidFill>
              <a:sysClr val="windowText" lastClr="000000"/>
            </a:solidFill>
          </a:endParaRPr>
        </a:p>
        <a:p>
          <a:pPr algn="ctr">
            <a:spcAft>
              <a:spcPct val="35000"/>
            </a:spcAft>
          </a:pPr>
          <a:endParaRPr lang="en-US" sz="600" dirty="0">
            <a:solidFill>
              <a:sysClr val="windowText" lastClr="000000"/>
            </a:solidFill>
          </a:endParaRPr>
        </a:p>
      </dgm:t>
    </dgm:pt>
    <dgm:pt modelId="{EAC9F0F0-04CA-4A22-834B-6E78B2B6E0F7}" type="parTrans" cxnId="{F2F9C6AC-96D5-4FE8-86D2-66DCE502C612}">
      <dgm:prSet/>
      <dgm:spPr>
        <a:ln>
          <a:solidFill>
            <a:srgbClr val="7030A0"/>
          </a:solidFill>
        </a:ln>
      </dgm:spPr>
      <dgm:t>
        <a:bodyPr/>
        <a:lstStyle/>
        <a:p>
          <a:endParaRPr lang="en-US">
            <a:solidFill>
              <a:srgbClr val="7030A0"/>
            </a:solidFill>
          </a:endParaRPr>
        </a:p>
      </dgm:t>
    </dgm:pt>
    <dgm:pt modelId="{11644282-1359-41CE-81FB-4C544509C3AA}" type="sibTrans" cxnId="{F2F9C6AC-96D5-4FE8-86D2-66DCE502C612}">
      <dgm:prSet/>
      <dgm:spPr/>
      <dgm:t>
        <a:bodyPr/>
        <a:lstStyle/>
        <a:p>
          <a:endParaRPr lang="en-US"/>
        </a:p>
      </dgm:t>
    </dgm:pt>
    <dgm:pt modelId="{01CE80BC-6053-449A-A489-32215BBB068C}">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BERNARD FANGET</a:t>
          </a:r>
        </a:p>
        <a:p>
          <a:pPr algn="ctr"/>
          <a:r>
            <a:rPr lang="fr-FR" sz="900" b="0" dirty="0">
              <a:solidFill>
                <a:schemeClr val="tx1"/>
              </a:solidFill>
              <a:latin typeface="Calibri "/>
            </a:rPr>
            <a:t>V.P. Affaires réglementaires</a:t>
          </a:r>
        </a:p>
      </dgm:t>
    </dgm:pt>
    <dgm:pt modelId="{7F90440C-5F41-4008-9FEA-2DC8E6B30C53}" type="parTrans" cxnId="{9B4F8EC6-EA5E-4C92-B802-832022540C14}">
      <dgm:prSet/>
      <dgm:spPr/>
      <dgm:t>
        <a:bodyPr/>
        <a:lstStyle/>
        <a:p>
          <a:endParaRPr lang="fr-FR"/>
        </a:p>
      </dgm:t>
    </dgm:pt>
    <dgm:pt modelId="{162C5EF0-CC3D-4534-A3FA-2EAAB35C26B5}" type="sibTrans" cxnId="{9B4F8EC6-EA5E-4C92-B802-832022540C14}">
      <dgm:prSet/>
      <dgm:spPr/>
      <dgm:t>
        <a:bodyPr/>
        <a:lstStyle/>
        <a:p>
          <a:endParaRPr lang="fr-FR"/>
        </a:p>
      </dgm:t>
    </dgm:pt>
    <dgm:pt modelId="{34F47BE1-8FF8-43A4-B183-7B27DE0785B5}" type="pres">
      <dgm:prSet presAssocID="{2BEDDA25-FA6E-458E-B817-66855E8987DF}" presName="hierChild1" presStyleCnt="0">
        <dgm:presLayoutVars>
          <dgm:orgChart val="1"/>
          <dgm:chPref val="1"/>
          <dgm:dir/>
          <dgm:animOne val="branch"/>
          <dgm:animLvl val="lvl"/>
          <dgm:resizeHandles/>
        </dgm:presLayoutVars>
      </dgm:prSet>
      <dgm:spPr/>
    </dgm:pt>
    <dgm:pt modelId="{6A572C49-881A-4ED4-8FB6-A933C9B48317}" type="pres">
      <dgm:prSet presAssocID="{A7C65B6A-6AC9-440A-A606-C81BD80BDF2D}" presName="hierRoot1" presStyleCnt="0">
        <dgm:presLayoutVars>
          <dgm:hierBranch val="init"/>
        </dgm:presLayoutVars>
      </dgm:prSet>
      <dgm:spPr/>
    </dgm:pt>
    <dgm:pt modelId="{3AA2D5A4-6D7D-4A3F-B157-5773AD3E8B86}" type="pres">
      <dgm:prSet presAssocID="{A7C65B6A-6AC9-440A-A606-C81BD80BDF2D}" presName="rootComposite1" presStyleCnt="0"/>
      <dgm:spPr/>
    </dgm:pt>
    <dgm:pt modelId="{91ABCFC2-F188-4BFE-9C9E-4D4CA72E670F}" type="pres">
      <dgm:prSet presAssocID="{A7C65B6A-6AC9-440A-A606-C81BD80BDF2D}" presName="rootText1" presStyleLbl="node0" presStyleIdx="0" presStyleCnt="1" custScaleX="525477" custScaleY="268166" custLinFactNeighborX="0" custLinFactNeighborY="30462">
        <dgm:presLayoutVars>
          <dgm:chPref val="3"/>
        </dgm:presLayoutVars>
      </dgm:prSet>
      <dgm:spPr/>
    </dgm:pt>
    <dgm:pt modelId="{6A691DD9-2801-45B5-9E37-BEF856B93447}" type="pres">
      <dgm:prSet presAssocID="{A7C65B6A-6AC9-440A-A606-C81BD80BDF2D}" presName="rootConnector1" presStyleLbl="node1" presStyleIdx="0" presStyleCnt="0"/>
      <dgm:spPr/>
    </dgm:pt>
    <dgm:pt modelId="{F0A1E5E6-5609-4D80-B6C7-A8F16C478FB7}" type="pres">
      <dgm:prSet presAssocID="{A7C65B6A-6AC9-440A-A606-C81BD80BDF2D}" presName="hierChild2" presStyleCnt="0"/>
      <dgm:spPr/>
    </dgm:pt>
    <dgm:pt modelId="{A746AE96-6E98-4104-9082-B7EAEE45EE0D}" type="pres">
      <dgm:prSet presAssocID="{F11E5023-A25C-42EC-B10D-5401D5B4F9F3}" presName="Name37" presStyleLbl="parChTrans1D2" presStyleIdx="0" presStyleCnt="7"/>
      <dgm:spPr/>
    </dgm:pt>
    <dgm:pt modelId="{77F662FB-AADF-485F-A8EF-EDEDC462F55B}" type="pres">
      <dgm:prSet presAssocID="{DCB0481C-B45B-43D1-83B9-D8D144155D95}" presName="hierRoot2" presStyleCnt="0">
        <dgm:presLayoutVars>
          <dgm:hierBranch val="init"/>
        </dgm:presLayoutVars>
      </dgm:prSet>
      <dgm:spPr/>
    </dgm:pt>
    <dgm:pt modelId="{D5212000-3645-461C-B96E-7AEABC998D0C}" type="pres">
      <dgm:prSet presAssocID="{DCB0481C-B45B-43D1-83B9-D8D144155D95}" presName="rootComposite" presStyleCnt="0"/>
      <dgm:spPr/>
    </dgm:pt>
    <dgm:pt modelId="{7ABFFCC2-6BF7-458B-99F6-F9709A72616B}" type="pres">
      <dgm:prSet presAssocID="{DCB0481C-B45B-43D1-83B9-D8D144155D95}" presName="rootText" presStyleLbl="node2" presStyleIdx="0" presStyleCnt="7" custScaleX="262785" custScaleY="804497" custLinFactY="100000" custLinFactNeighborY="142530">
        <dgm:presLayoutVars>
          <dgm:chPref val="3"/>
        </dgm:presLayoutVars>
      </dgm:prSet>
      <dgm:spPr/>
    </dgm:pt>
    <dgm:pt modelId="{2895AA30-B5D2-4761-9015-2BA01A1AA0D1}" type="pres">
      <dgm:prSet presAssocID="{DCB0481C-B45B-43D1-83B9-D8D144155D95}" presName="rootConnector" presStyleLbl="node2" presStyleIdx="0" presStyleCnt="7"/>
      <dgm:spPr/>
    </dgm:pt>
    <dgm:pt modelId="{02FC1AAC-3416-4D3D-BB9A-AE27660D7C4A}" type="pres">
      <dgm:prSet presAssocID="{DCB0481C-B45B-43D1-83B9-D8D144155D95}" presName="hierChild4" presStyleCnt="0"/>
      <dgm:spPr/>
    </dgm:pt>
    <dgm:pt modelId="{C6DF9A68-3064-421A-9195-C89D5D37A8E4}" type="pres">
      <dgm:prSet presAssocID="{DCB0481C-B45B-43D1-83B9-D8D144155D95}" presName="hierChild5" presStyleCnt="0"/>
      <dgm:spPr/>
    </dgm:pt>
    <dgm:pt modelId="{5204631E-74EB-40E8-A900-343E0649A8B2}" type="pres">
      <dgm:prSet presAssocID="{1F92ABFC-3E3D-49FC-BF0B-E24C27A21829}" presName="Name37" presStyleLbl="parChTrans1D2" presStyleIdx="1" presStyleCnt="7"/>
      <dgm:spPr/>
    </dgm:pt>
    <dgm:pt modelId="{B7328F7B-6ECD-4ABF-8304-3754F18C7233}" type="pres">
      <dgm:prSet presAssocID="{00661EC0-12FA-47A9-865E-0FAF13E582AB}" presName="hierRoot2" presStyleCnt="0">
        <dgm:presLayoutVars>
          <dgm:hierBranch val="init"/>
        </dgm:presLayoutVars>
      </dgm:prSet>
      <dgm:spPr/>
    </dgm:pt>
    <dgm:pt modelId="{187EF40A-C644-4282-8B27-179B4E347095}" type="pres">
      <dgm:prSet presAssocID="{00661EC0-12FA-47A9-865E-0FAF13E582AB}" presName="rootComposite" presStyleCnt="0"/>
      <dgm:spPr/>
    </dgm:pt>
    <dgm:pt modelId="{1B8FD9C0-D24A-44AB-AD2E-8AAA492BAA32}" type="pres">
      <dgm:prSet presAssocID="{00661EC0-12FA-47A9-865E-0FAF13E582AB}" presName="rootText" presStyleLbl="node2" presStyleIdx="1" presStyleCnt="7" custScaleX="262785" custScaleY="804497" custLinFactY="100000" custLinFactNeighborY="142530">
        <dgm:presLayoutVars>
          <dgm:chPref val="3"/>
        </dgm:presLayoutVars>
      </dgm:prSet>
      <dgm:spPr/>
    </dgm:pt>
    <dgm:pt modelId="{99159C85-1D58-4C87-849B-395E800C3809}" type="pres">
      <dgm:prSet presAssocID="{00661EC0-12FA-47A9-865E-0FAF13E582AB}" presName="rootConnector" presStyleLbl="node2" presStyleIdx="1" presStyleCnt="7"/>
      <dgm:spPr/>
    </dgm:pt>
    <dgm:pt modelId="{DB81C859-6EAD-4BAA-82E7-D7F7A2577C41}" type="pres">
      <dgm:prSet presAssocID="{00661EC0-12FA-47A9-865E-0FAF13E582AB}" presName="hierChild4" presStyleCnt="0"/>
      <dgm:spPr/>
    </dgm:pt>
    <dgm:pt modelId="{065F31F9-E2B5-4852-B16E-A07A0FD0AE98}" type="pres">
      <dgm:prSet presAssocID="{00661EC0-12FA-47A9-865E-0FAF13E582AB}" presName="hierChild5" presStyleCnt="0"/>
      <dgm:spPr/>
    </dgm:pt>
    <dgm:pt modelId="{5074BED5-7F8D-4722-8C22-FCAF11748259}" type="pres">
      <dgm:prSet presAssocID="{3BA6E236-8BAC-40B9-8C90-F25C8B0F404F}" presName="Name37" presStyleLbl="parChTrans1D2" presStyleIdx="2" presStyleCnt="7"/>
      <dgm:spPr/>
    </dgm:pt>
    <dgm:pt modelId="{F5E5FD7E-8469-4761-B823-B187F70113DC}" type="pres">
      <dgm:prSet presAssocID="{25CD0DEF-3D36-4589-A84A-B0ECFF9C7C6E}" presName="hierRoot2" presStyleCnt="0">
        <dgm:presLayoutVars>
          <dgm:hierBranch val="init"/>
        </dgm:presLayoutVars>
      </dgm:prSet>
      <dgm:spPr/>
    </dgm:pt>
    <dgm:pt modelId="{8C58DA5E-278D-40BA-8AAE-BA1E40F793A2}" type="pres">
      <dgm:prSet presAssocID="{25CD0DEF-3D36-4589-A84A-B0ECFF9C7C6E}" presName="rootComposite" presStyleCnt="0"/>
      <dgm:spPr/>
    </dgm:pt>
    <dgm:pt modelId="{9229AD25-3DCD-4AFF-AAAC-FC0ADB8C2EB6}" type="pres">
      <dgm:prSet presAssocID="{25CD0DEF-3D36-4589-A84A-B0ECFF9C7C6E}" presName="rootText" presStyleLbl="node2" presStyleIdx="2" presStyleCnt="7" custScaleX="262785" custScaleY="804497" custLinFactY="100000" custLinFactNeighborY="142530">
        <dgm:presLayoutVars>
          <dgm:chPref val="3"/>
        </dgm:presLayoutVars>
      </dgm:prSet>
      <dgm:spPr/>
    </dgm:pt>
    <dgm:pt modelId="{4D526FDE-5182-4828-970F-1320AD803384}" type="pres">
      <dgm:prSet presAssocID="{25CD0DEF-3D36-4589-A84A-B0ECFF9C7C6E}" presName="rootConnector" presStyleLbl="node2" presStyleIdx="2" presStyleCnt="7"/>
      <dgm:spPr/>
    </dgm:pt>
    <dgm:pt modelId="{1617BDCC-C65E-4674-BFBD-5F68C8FC0415}" type="pres">
      <dgm:prSet presAssocID="{25CD0DEF-3D36-4589-A84A-B0ECFF9C7C6E}" presName="hierChild4" presStyleCnt="0"/>
      <dgm:spPr/>
    </dgm:pt>
    <dgm:pt modelId="{4298C4FA-300B-4CE5-8F84-382D9AAF2FC0}" type="pres">
      <dgm:prSet presAssocID="{25CD0DEF-3D36-4589-A84A-B0ECFF9C7C6E}" presName="hierChild5" presStyleCnt="0"/>
      <dgm:spPr/>
    </dgm:pt>
    <dgm:pt modelId="{4B3E5FFA-091C-4112-8497-AB0D174270C1}" type="pres">
      <dgm:prSet presAssocID="{EAC9F0F0-04CA-4A22-834B-6E78B2B6E0F7}" presName="Name37" presStyleLbl="parChTrans1D2" presStyleIdx="3" presStyleCnt="7"/>
      <dgm:spPr/>
    </dgm:pt>
    <dgm:pt modelId="{7D8A3C03-92BB-418D-B8DE-30B003C4700C}" type="pres">
      <dgm:prSet presAssocID="{EE62B8F1-F4E6-48A2-960A-48CDD1FA55B0}" presName="hierRoot2" presStyleCnt="0">
        <dgm:presLayoutVars>
          <dgm:hierBranch val="init"/>
        </dgm:presLayoutVars>
      </dgm:prSet>
      <dgm:spPr/>
    </dgm:pt>
    <dgm:pt modelId="{18A51363-A1C1-4589-8E89-3FD72BDD974A}" type="pres">
      <dgm:prSet presAssocID="{EE62B8F1-F4E6-48A2-960A-48CDD1FA55B0}" presName="rootComposite" presStyleCnt="0"/>
      <dgm:spPr/>
    </dgm:pt>
    <dgm:pt modelId="{85D85A1D-CA75-4725-B5D2-F2054AE4E7F1}" type="pres">
      <dgm:prSet presAssocID="{EE62B8F1-F4E6-48A2-960A-48CDD1FA55B0}" presName="rootText" presStyleLbl="node2" presStyleIdx="3" presStyleCnt="7" custScaleX="262785" custScaleY="804497" custLinFactY="100000" custLinFactNeighborX="203" custLinFactNeighborY="142530">
        <dgm:presLayoutVars>
          <dgm:chPref val="3"/>
        </dgm:presLayoutVars>
      </dgm:prSet>
      <dgm:spPr/>
    </dgm:pt>
    <dgm:pt modelId="{1848395B-F1C4-44D6-A5DE-13DBEB8396D0}" type="pres">
      <dgm:prSet presAssocID="{EE62B8F1-F4E6-48A2-960A-48CDD1FA55B0}" presName="rootConnector" presStyleLbl="node2" presStyleIdx="3" presStyleCnt="7"/>
      <dgm:spPr/>
    </dgm:pt>
    <dgm:pt modelId="{8DB60611-1719-4D08-9214-0A7C6FF7D01B}" type="pres">
      <dgm:prSet presAssocID="{EE62B8F1-F4E6-48A2-960A-48CDD1FA55B0}" presName="hierChild4" presStyleCnt="0"/>
      <dgm:spPr/>
    </dgm:pt>
    <dgm:pt modelId="{8C3AFFDF-EDF2-41EC-8276-FE403D5984AD}" type="pres">
      <dgm:prSet presAssocID="{EE62B8F1-F4E6-48A2-960A-48CDD1FA55B0}" presName="hierChild5" presStyleCnt="0"/>
      <dgm:spPr/>
    </dgm:pt>
    <dgm:pt modelId="{24DE52B5-08FF-42A1-B0B6-64D2A6D8B77F}" type="pres">
      <dgm:prSet presAssocID="{7F90440C-5F41-4008-9FEA-2DC8E6B30C53}" presName="Name37" presStyleLbl="parChTrans1D2" presStyleIdx="4" presStyleCnt="7"/>
      <dgm:spPr/>
    </dgm:pt>
    <dgm:pt modelId="{E26EF428-DB88-418C-AAC6-3345127A7F55}" type="pres">
      <dgm:prSet presAssocID="{01CE80BC-6053-449A-A489-32215BBB068C}" presName="hierRoot2" presStyleCnt="0">
        <dgm:presLayoutVars>
          <dgm:hierBranch val="init"/>
        </dgm:presLayoutVars>
      </dgm:prSet>
      <dgm:spPr/>
    </dgm:pt>
    <dgm:pt modelId="{59A0A982-0106-44CE-8116-66358951EF1C}" type="pres">
      <dgm:prSet presAssocID="{01CE80BC-6053-449A-A489-32215BBB068C}" presName="rootComposite" presStyleCnt="0"/>
      <dgm:spPr/>
    </dgm:pt>
    <dgm:pt modelId="{81816765-FEF0-474E-B50B-DE7FEA99B3E4}" type="pres">
      <dgm:prSet presAssocID="{01CE80BC-6053-449A-A489-32215BBB068C}" presName="rootText" presStyleLbl="node2" presStyleIdx="4" presStyleCnt="7" custScaleX="262785" custScaleY="804497" custLinFactY="100000" custLinFactNeighborY="142530">
        <dgm:presLayoutVars>
          <dgm:chPref val="3"/>
        </dgm:presLayoutVars>
      </dgm:prSet>
      <dgm:spPr/>
    </dgm:pt>
    <dgm:pt modelId="{E9197DA7-443C-42E1-96E4-D029344C00AC}" type="pres">
      <dgm:prSet presAssocID="{01CE80BC-6053-449A-A489-32215BBB068C}" presName="rootConnector" presStyleLbl="node2" presStyleIdx="4" presStyleCnt="7"/>
      <dgm:spPr/>
    </dgm:pt>
    <dgm:pt modelId="{895CB422-B8F9-448C-B935-3A66BDCC9AAA}" type="pres">
      <dgm:prSet presAssocID="{01CE80BC-6053-449A-A489-32215BBB068C}" presName="hierChild4" presStyleCnt="0"/>
      <dgm:spPr/>
    </dgm:pt>
    <dgm:pt modelId="{B65B04CA-2118-4B11-AF37-E92DB1AE1D63}" type="pres">
      <dgm:prSet presAssocID="{01CE80BC-6053-449A-A489-32215BBB068C}" presName="hierChild5" presStyleCnt="0"/>
      <dgm:spPr/>
    </dgm:pt>
    <dgm:pt modelId="{2A77F0C3-C19E-44E8-A8DF-C264B0D9C2A0}" type="pres">
      <dgm:prSet presAssocID="{F3938036-EB65-488D-A505-8AA0F88CD3F4}" presName="Name37" presStyleLbl="parChTrans1D2" presStyleIdx="5" presStyleCnt="7"/>
      <dgm:spPr/>
    </dgm:pt>
    <dgm:pt modelId="{E5A5FD55-4499-46D3-84C6-35FA067F8EB0}" type="pres">
      <dgm:prSet presAssocID="{CDC82CD7-1E53-4189-A7B4-E6654F01562F}" presName="hierRoot2" presStyleCnt="0">
        <dgm:presLayoutVars>
          <dgm:hierBranch val="init"/>
        </dgm:presLayoutVars>
      </dgm:prSet>
      <dgm:spPr/>
    </dgm:pt>
    <dgm:pt modelId="{B30B4F4C-2EAC-40F8-8BD7-7B944E24408C}" type="pres">
      <dgm:prSet presAssocID="{CDC82CD7-1E53-4189-A7B4-E6654F01562F}" presName="rootComposite" presStyleCnt="0"/>
      <dgm:spPr/>
    </dgm:pt>
    <dgm:pt modelId="{DE422567-7DEF-4AFE-AC19-972DDD6A252E}" type="pres">
      <dgm:prSet presAssocID="{CDC82CD7-1E53-4189-A7B4-E6654F01562F}" presName="rootText" presStyleLbl="node2" presStyleIdx="5" presStyleCnt="7" custScaleX="262785" custScaleY="804497" custLinFactY="100000" custLinFactNeighborY="142530">
        <dgm:presLayoutVars>
          <dgm:chPref val="3"/>
        </dgm:presLayoutVars>
      </dgm:prSet>
      <dgm:spPr/>
    </dgm:pt>
    <dgm:pt modelId="{60BD4F75-FB79-49E8-B7F0-687FDDC28EA8}" type="pres">
      <dgm:prSet presAssocID="{CDC82CD7-1E53-4189-A7B4-E6654F01562F}" presName="rootConnector" presStyleLbl="node2" presStyleIdx="5" presStyleCnt="7"/>
      <dgm:spPr/>
    </dgm:pt>
    <dgm:pt modelId="{64A01F4E-09D3-4979-8710-696C5B5C1D1C}" type="pres">
      <dgm:prSet presAssocID="{CDC82CD7-1E53-4189-A7B4-E6654F01562F}" presName="hierChild4" presStyleCnt="0"/>
      <dgm:spPr/>
    </dgm:pt>
    <dgm:pt modelId="{058FC968-E2F8-4A6D-9106-DA43A437FBF7}" type="pres">
      <dgm:prSet presAssocID="{CDC82CD7-1E53-4189-A7B4-E6654F01562F}" presName="hierChild5" presStyleCnt="0"/>
      <dgm:spPr/>
    </dgm:pt>
    <dgm:pt modelId="{8F8705B7-7D19-4332-A3B2-B86BF850401A}" type="pres">
      <dgm:prSet presAssocID="{16CF680E-1518-4982-95C9-014D72C41C93}" presName="Name37" presStyleLbl="parChTrans1D2" presStyleIdx="6" presStyleCnt="7"/>
      <dgm:spPr/>
    </dgm:pt>
    <dgm:pt modelId="{15060B4D-85B6-4EF7-95BE-26D56592C825}" type="pres">
      <dgm:prSet presAssocID="{34B5A4A0-F136-442C-852D-CED09B1FEA13}" presName="hierRoot2" presStyleCnt="0">
        <dgm:presLayoutVars>
          <dgm:hierBranch val="init"/>
        </dgm:presLayoutVars>
      </dgm:prSet>
      <dgm:spPr/>
    </dgm:pt>
    <dgm:pt modelId="{3B456822-06DD-42E0-9CEA-6ED84BF3C3BE}" type="pres">
      <dgm:prSet presAssocID="{34B5A4A0-F136-442C-852D-CED09B1FEA13}" presName="rootComposite" presStyleCnt="0"/>
      <dgm:spPr/>
    </dgm:pt>
    <dgm:pt modelId="{347F4702-19A9-40DB-AEA5-BDB4E88B0A23}" type="pres">
      <dgm:prSet presAssocID="{34B5A4A0-F136-442C-852D-CED09B1FEA13}" presName="rootText" presStyleLbl="node2" presStyleIdx="6" presStyleCnt="7" custScaleX="262785" custScaleY="804497" custLinFactY="100000" custLinFactNeighborY="142530">
        <dgm:presLayoutVars>
          <dgm:chPref val="3"/>
        </dgm:presLayoutVars>
      </dgm:prSet>
      <dgm:spPr/>
    </dgm:pt>
    <dgm:pt modelId="{270C1831-95CA-44BB-B007-AE5387A850BD}" type="pres">
      <dgm:prSet presAssocID="{34B5A4A0-F136-442C-852D-CED09B1FEA13}" presName="rootConnector" presStyleLbl="node2" presStyleIdx="6" presStyleCnt="7"/>
      <dgm:spPr/>
    </dgm:pt>
    <dgm:pt modelId="{12BD1150-24D9-4C6B-8683-5389AED7A20C}" type="pres">
      <dgm:prSet presAssocID="{34B5A4A0-F136-442C-852D-CED09B1FEA13}" presName="hierChild4" presStyleCnt="0"/>
      <dgm:spPr/>
    </dgm:pt>
    <dgm:pt modelId="{67247ED6-8D66-49B9-9238-1BA3076BBE8B}" type="pres">
      <dgm:prSet presAssocID="{34B5A4A0-F136-442C-852D-CED09B1FEA13}" presName="hierChild5" presStyleCnt="0"/>
      <dgm:spPr/>
    </dgm:pt>
    <dgm:pt modelId="{63A957EA-4B29-4CA3-BE22-78BD3C4165C4}" type="pres">
      <dgm:prSet presAssocID="{A7C65B6A-6AC9-440A-A606-C81BD80BDF2D}" presName="hierChild3" presStyleCnt="0"/>
      <dgm:spPr/>
    </dgm:pt>
  </dgm:ptLst>
  <dgm:cxnLst>
    <dgm:cxn modelId="{90B10B00-9C5C-4CB2-8AD7-FFD2387CDABB}" type="presOf" srcId="{2BEDDA25-FA6E-458E-B817-66855E8987DF}" destId="{34F47BE1-8FF8-43A4-B183-7B27DE0785B5}" srcOrd="0" destOrd="0" presId="urn:microsoft.com/office/officeart/2005/8/layout/orgChart1"/>
    <dgm:cxn modelId="{A8174B02-B7EF-401B-876A-979EF1E5E3DA}" type="presOf" srcId="{F3938036-EB65-488D-A505-8AA0F88CD3F4}" destId="{2A77F0C3-C19E-44E8-A8DF-C264B0D9C2A0}" srcOrd="0" destOrd="0" presId="urn:microsoft.com/office/officeart/2005/8/layout/orgChart1"/>
    <dgm:cxn modelId="{8CA56E03-218D-4EFF-8E37-595A5EF312CE}" type="presOf" srcId="{01CE80BC-6053-449A-A489-32215BBB068C}" destId="{E9197DA7-443C-42E1-96E4-D029344C00AC}" srcOrd="1" destOrd="0" presId="urn:microsoft.com/office/officeart/2005/8/layout/orgChart1"/>
    <dgm:cxn modelId="{92511509-9579-4A9D-941C-A06CE7741251}" type="presOf" srcId="{00661EC0-12FA-47A9-865E-0FAF13E582AB}" destId="{99159C85-1D58-4C87-849B-395E800C3809}" srcOrd="1" destOrd="0" presId="urn:microsoft.com/office/officeart/2005/8/layout/orgChart1"/>
    <dgm:cxn modelId="{D521B609-8FB1-47B5-84B6-FC92D38EEF91}" type="presOf" srcId="{F11E5023-A25C-42EC-B10D-5401D5B4F9F3}" destId="{A746AE96-6E98-4104-9082-B7EAEE45EE0D}" srcOrd="0" destOrd="0" presId="urn:microsoft.com/office/officeart/2005/8/layout/orgChart1"/>
    <dgm:cxn modelId="{22C1FF09-3C28-4E5A-9457-28F49B262556}" type="presOf" srcId="{01CE80BC-6053-449A-A489-32215BBB068C}" destId="{81816765-FEF0-474E-B50B-DE7FEA99B3E4}" srcOrd="0" destOrd="0" presId="urn:microsoft.com/office/officeart/2005/8/layout/orgChart1"/>
    <dgm:cxn modelId="{0D9AC40A-F4D7-4841-8DDB-21CB118B6CF2}" type="presOf" srcId="{A7C65B6A-6AC9-440A-A606-C81BD80BDF2D}" destId="{6A691DD9-2801-45B5-9E37-BEF856B93447}" srcOrd="1" destOrd="0" presId="urn:microsoft.com/office/officeart/2005/8/layout/orgChart1"/>
    <dgm:cxn modelId="{85DB731C-8C28-41E6-A63F-68DD0ECFAFA9}" srcId="{A7C65B6A-6AC9-440A-A606-C81BD80BDF2D}" destId="{CDC82CD7-1E53-4189-A7B4-E6654F01562F}" srcOrd="5" destOrd="0" parTransId="{F3938036-EB65-488D-A505-8AA0F88CD3F4}" sibTransId="{C175B4D3-6882-45D2-BDB5-8F23025F5F57}"/>
    <dgm:cxn modelId="{865DF126-0986-47D3-98AB-2F1D02E385F5}" type="presOf" srcId="{A7C65B6A-6AC9-440A-A606-C81BD80BDF2D}" destId="{91ABCFC2-F188-4BFE-9C9E-4D4CA72E670F}" srcOrd="0" destOrd="0" presId="urn:microsoft.com/office/officeart/2005/8/layout/orgChart1"/>
    <dgm:cxn modelId="{2E30D02A-7468-4AB9-B265-DC36882AFE84}" type="presOf" srcId="{EE62B8F1-F4E6-48A2-960A-48CDD1FA55B0}" destId="{1848395B-F1C4-44D6-A5DE-13DBEB8396D0}" srcOrd="1" destOrd="0" presId="urn:microsoft.com/office/officeart/2005/8/layout/orgChart1"/>
    <dgm:cxn modelId="{32899A32-8B5A-4276-9049-213FF0CFAC5E}" type="presOf" srcId="{00661EC0-12FA-47A9-865E-0FAF13E582AB}" destId="{1B8FD9C0-D24A-44AB-AD2E-8AAA492BAA32}" srcOrd="0" destOrd="0" presId="urn:microsoft.com/office/officeart/2005/8/layout/orgChart1"/>
    <dgm:cxn modelId="{3CCE3636-8593-4305-946C-CDD49A126A10}" type="presOf" srcId="{16CF680E-1518-4982-95C9-014D72C41C93}" destId="{8F8705B7-7D19-4332-A3B2-B86BF850401A}" srcOrd="0" destOrd="0" presId="urn:microsoft.com/office/officeart/2005/8/layout/orgChart1"/>
    <dgm:cxn modelId="{35CC1438-D1AC-4F8E-8E37-A2D5FD542C91}" type="presOf" srcId="{EE62B8F1-F4E6-48A2-960A-48CDD1FA55B0}" destId="{85D85A1D-CA75-4725-B5D2-F2054AE4E7F1}" srcOrd="0" destOrd="0" presId="urn:microsoft.com/office/officeart/2005/8/layout/orgChart1"/>
    <dgm:cxn modelId="{87866F39-931F-4AC8-9D0C-933A3136B115}" type="presOf" srcId="{34B5A4A0-F136-442C-852D-CED09B1FEA13}" destId="{347F4702-19A9-40DB-AEA5-BDB4E88B0A23}" srcOrd="0" destOrd="0" presId="urn:microsoft.com/office/officeart/2005/8/layout/orgChart1"/>
    <dgm:cxn modelId="{002FBD4D-18AE-42FD-B921-BC960F471021}" type="presOf" srcId="{DCB0481C-B45B-43D1-83B9-D8D144155D95}" destId="{2895AA30-B5D2-4761-9015-2BA01A1AA0D1}" srcOrd="1" destOrd="0" presId="urn:microsoft.com/office/officeart/2005/8/layout/orgChart1"/>
    <dgm:cxn modelId="{06540655-8BE3-4135-BFAC-48EAF4F20935}" type="presOf" srcId="{CDC82CD7-1E53-4189-A7B4-E6654F01562F}" destId="{DE422567-7DEF-4AFE-AC19-972DDD6A252E}" srcOrd="0" destOrd="0" presId="urn:microsoft.com/office/officeart/2005/8/layout/orgChart1"/>
    <dgm:cxn modelId="{32178659-D028-472C-BDB5-D1712D05C2D1}" type="presOf" srcId="{DCB0481C-B45B-43D1-83B9-D8D144155D95}" destId="{7ABFFCC2-6BF7-458B-99F6-F9709A72616B}" srcOrd="0" destOrd="0" presId="urn:microsoft.com/office/officeart/2005/8/layout/orgChart1"/>
    <dgm:cxn modelId="{2E303687-3BB1-4FFF-8F0A-E3110E10AA7D}" type="presOf" srcId="{34B5A4A0-F136-442C-852D-CED09B1FEA13}" destId="{270C1831-95CA-44BB-B007-AE5387A850BD}" srcOrd="1" destOrd="0" presId="urn:microsoft.com/office/officeart/2005/8/layout/orgChart1"/>
    <dgm:cxn modelId="{9176618C-78E3-4EEE-BFA5-FE26B48EED72}" srcId="{A7C65B6A-6AC9-440A-A606-C81BD80BDF2D}" destId="{DCB0481C-B45B-43D1-83B9-D8D144155D95}" srcOrd="0" destOrd="0" parTransId="{F11E5023-A25C-42EC-B10D-5401D5B4F9F3}" sibTransId="{8D7E1589-486F-49A0-8F65-DD3E52CA9C91}"/>
    <dgm:cxn modelId="{29F61593-C3A3-4EC3-BD7F-DB506D964BED}" srcId="{A7C65B6A-6AC9-440A-A606-C81BD80BDF2D}" destId="{00661EC0-12FA-47A9-865E-0FAF13E582AB}" srcOrd="1" destOrd="0" parTransId="{1F92ABFC-3E3D-49FC-BF0B-E24C27A21829}" sibTransId="{98BC2A65-2B0B-482A-A103-53A7872B6EF4}"/>
    <dgm:cxn modelId="{F2A0DD98-FCA0-4095-8441-4EEEB64074BF}" srcId="{2BEDDA25-FA6E-458E-B817-66855E8987DF}" destId="{A7C65B6A-6AC9-440A-A606-C81BD80BDF2D}" srcOrd="0" destOrd="0" parTransId="{39768BEC-2959-4A24-88EB-CF178F4A602D}" sibTransId="{7EBD7509-C4D4-4F3F-AFD0-27967F0F2A68}"/>
    <dgm:cxn modelId="{20F00C9D-1977-4F52-8F74-0449E007B093}" type="presOf" srcId="{1F92ABFC-3E3D-49FC-BF0B-E24C27A21829}" destId="{5204631E-74EB-40E8-A900-343E0649A8B2}" srcOrd="0" destOrd="0" presId="urn:microsoft.com/office/officeart/2005/8/layout/orgChart1"/>
    <dgm:cxn modelId="{56D491AC-5ABD-435A-A236-64CEDD49CA4D}" type="presOf" srcId="{25CD0DEF-3D36-4589-A84A-B0ECFF9C7C6E}" destId="{9229AD25-3DCD-4AFF-AAAC-FC0ADB8C2EB6}" srcOrd="0" destOrd="0" presId="urn:microsoft.com/office/officeart/2005/8/layout/orgChart1"/>
    <dgm:cxn modelId="{853EC6AC-F2EB-44EC-94D8-82777B2F3379}" type="presOf" srcId="{CDC82CD7-1E53-4189-A7B4-E6654F01562F}" destId="{60BD4F75-FB79-49E8-B7F0-687FDDC28EA8}" srcOrd="1" destOrd="0" presId="urn:microsoft.com/office/officeart/2005/8/layout/orgChart1"/>
    <dgm:cxn modelId="{F2F9C6AC-96D5-4FE8-86D2-66DCE502C612}" srcId="{A7C65B6A-6AC9-440A-A606-C81BD80BDF2D}" destId="{EE62B8F1-F4E6-48A2-960A-48CDD1FA55B0}" srcOrd="3" destOrd="0" parTransId="{EAC9F0F0-04CA-4A22-834B-6E78B2B6E0F7}" sibTransId="{11644282-1359-41CE-81FB-4C544509C3AA}"/>
    <dgm:cxn modelId="{497F0AAF-24BF-48C4-85BC-1FFF41AB7E01}" type="presOf" srcId="{7F90440C-5F41-4008-9FEA-2DC8E6B30C53}" destId="{24DE52B5-08FF-42A1-B0B6-64D2A6D8B77F}" srcOrd="0" destOrd="0" presId="urn:microsoft.com/office/officeart/2005/8/layout/orgChart1"/>
    <dgm:cxn modelId="{9B4F8EC6-EA5E-4C92-B802-832022540C14}" srcId="{A7C65B6A-6AC9-440A-A606-C81BD80BDF2D}" destId="{01CE80BC-6053-449A-A489-32215BBB068C}" srcOrd="4" destOrd="0" parTransId="{7F90440C-5F41-4008-9FEA-2DC8E6B30C53}" sibTransId="{162C5EF0-CC3D-4534-A3FA-2EAAB35C26B5}"/>
    <dgm:cxn modelId="{382793C6-6243-4EAF-90BD-E9110EE82D89}" srcId="{A7C65B6A-6AC9-440A-A606-C81BD80BDF2D}" destId="{25CD0DEF-3D36-4589-A84A-B0ECFF9C7C6E}" srcOrd="2" destOrd="0" parTransId="{3BA6E236-8BAC-40B9-8C90-F25C8B0F404F}" sibTransId="{4AF2DA10-EDA5-4D6B-BE33-5F10134B20E5}"/>
    <dgm:cxn modelId="{5A251ECA-82F4-46CB-A673-0638C970FEFD}" type="presOf" srcId="{3BA6E236-8BAC-40B9-8C90-F25C8B0F404F}" destId="{5074BED5-7F8D-4722-8C22-FCAF11748259}" srcOrd="0" destOrd="0" presId="urn:microsoft.com/office/officeart/2005/8/layout/orgChart1"/>
    <dgm:cxn modelId="{02254FCD-E664-41AC-8612-C15AF18868A0}" srcId="{A7C65B6A-6AC9-440A-A606-C81BD80BDF2D}" destId="{34B5A4A0-F136-442C-852D-CED09B1FEA13}" srcOrd="6" destOrd="0" parTransId="{16CF680E-1518-4982-95C9-014D72C41C93}" sibTransId="{49D2F7ED-EBBB-478A-A2AB-07A283232563}"/>
    <dgm:cxn modelId="{3AB0AAF7-9BEC-43B6-B226-BFD427D64F5E}" type="presOf" srcId="{EAC9F0F0-04CA-4A22-834B-6E78B2B6E0F7}" destId="{4B3E5FFA-091C-4112-8497-AB0D174270C1}" srcOrd="0" destOrd="0" presId="urn:microsoft.com/office/officeart/2005/8/layout/orgChart1"/>
    <dgm:cxn modelId="{01736AFA-84F6-492A-85BE-EE0EB1AF091B}" type="presOf" srcId="{25CD0DEF-3D36-4589-A84A-B0ECFF9C7C6E}" destId="{4D526FDE-5182-4828-970F-1320AD803384}" srcOrd="1" destOrd="0" presId="urn:microsoft.com/office/officeart/2005/8/layout/orgChart1"/>
    <dgm:cxn modelId="{4EE0F3F2-2454-45E9-ACCF-98BBCA39A12D}" type="presParOf" srcId="{34F47BE1-8FF8-43A4-B183-7B27DE0785B5}" destId="{6A572C49-881A-4ED4-8FB6-A933C9B48317}" srcOrd="0" destOrd="0" presId="urn:microsoft.com/office/officeart/2005/8/layout/orgChart1"/>
    <dgm:cxn modelId="{82154702-C03D-4562-A423-6D37D9427BC6}" type="presParOf" srcId="{6A572C49-881A-4ED4-8FB6-A933C9B48317}" destId="{3AA2D5A4-6D7D-4A3F-B157-5773AD3E8B86}" srcOrd="0" destOrd="0" presId="urn:microsoft.com/office/officeart/2005/8/layout/orgChart1"/>
    <dgm:cxn modelId="{6E821733-93F0-40EA-98C3-618714665318}" type="presParOf" srcId="{3AA2D5A4-6D7D-4A3F-B157-5773AD3E8B86}" destId="{91ABCFC2-F188-4BFE-9C9E-4D4CA72E670F}" srcOrd="0" destOrd="0" presId="urn:microsoft.com/office/officeart/2005/8/layout/orgChart1"/>
    <dgm:cxn modelId="{215D3DB5-55B4-455B-B3F1-732A0F8D699A}" type="presParOf" srcId="{3AA2D5A4-6D7D-4A3F-B157-5773AD3E8B86}" destId="{6A691DD9-2801-45B5-9E37-BEF856B93447}" srcOrd="1" destOrd="0" presId="urn:microsoft.com/office/officeart/2005/8/layout/orgChart1"/>
    <dgm:cxn modelId="{7231D68A-2B83-4D95-B7C1-1A426B868019}" type="presParOf" srcId="{6A572C49-881A-4ED4-8FB6-A933C9B48317}" destId="{F0A1E5E6-5609-4D80-B6C7-A8F16C478FB7}" srcOrd="1" destOrd="0" presId="urn:microsoft.com/office/officeart/2005/8/layout/orgChart1"/>
    <dgm:cxn modelId="{C570F9D5-8BEF-4705-A16A-614A5CB60D5E}" type="presParOf" srcId="{F0A1E5E6-5609-4D80-B6C7-A8F16C478FB7}" destId="{A746AE96-6E98-4104-9082-B7EAEE45EE0D}" srcOrd="0" destOrd="0" presId="urn:microsoft.com/office/officeart/2005/8/layout/orgChart1"/>
    <dgm:cxn modelId="{68620D1F-BBB1-4BD4-A4D8-B17212DB7D03}" type="presParOf" srcId="{F0A1E5E6-5609-4D80-B6C7-A8F16C478FB7}" destId="{77F662FB-AADF-485F-A8EF-EDEDC462F55B}" srcOrd="1" destOrd="0" presId="urn:microsoft.com/office/officeart/2005/8/layout/orgChart1"/>
    <dgm:cxn modelId="{71EB3BFB-61E4-4FE9-A82A-374B3CF8EADD}" type="presParOf" srcId="{77F662FB-AADF-485F-A8EF-EDEDC462F55B}" destId="{D5212000-3645-461C-B96E-7AEABC998D0C}" srcOrd="0" destOrd="0" presId="urn:microsoft.com/office/officeart/2005/8/layout/orgChart1"/>
    <dgm:cxn modelId="{5F09FBB2-7D1E-47E5-964C-4A37830FBBA4}" type="presParOf" srcId="{D5212000-3645-461C-B96E-7AEABC998D0C}" destId="{7ABFFCC2-6BF7-458B-99F6-F9709A72616B}" srcOrd="0" destOrd="0" presId="urn:microsoft.com/office/officeart/2005/8/layout/orgChart1"/>
    <dgm:cxn modelId="{75380ABD-34D6-479F-8CFE-36F20F4F46DE}" type="presParOf" srcId="{D5212000-3645-461C-B96E-7AEABC998D0C}" destId="{2895AA30-B5D2-4761-9015-2BA01A1AA0D1}" srcOrd="1" destOrd="0" presId="urn:microsoft.com/office/officeart/2005/8/layout/orgChart1"/>
    <dgm:cxn modelId="{DC3B9EB3-0910-4AC2-8ADE-CF4F9510D9BF}" type="presParOf" srcId="{77F662FB-AADF-485F-A8EF-EDEDC462F55B}" destId="{02FC1AAC-3416-4D3D-BB9A-AE27660D7C4A}" srcOrd="1" destOrd="0" presId="urn:microsoft.com/office/officeart/2005/8/layout/orgChart1"/>
    <dgm:cxn modelId="{D6412050-0FA2-49EA-AFF3-F17AA7B58DA4}" type="presParOf" srcId="{77F662FB-AADF-485F-A8EF-EDEDC462F55B}" destId="{C6DF9A68-3064-421A-9195-C89D5D37A8E4}" srcOrd="2" destOrd="0" presId="urn:microsoft.com/office/officeart/2005/8/layout/orgChart1"/>
    <dgm:cxn modelId="{D20090B3-9C58-4FA7-85E6-5721CA9D2488}" type="presParOf" srcId="{F0A1E5E6-5609-4D80-B6C7-A8F16C478FB7}" destId="{5204631E-74EB-40E8-A900-343E0649A8B2}" srcOrd="2" destOrd="0" presId="urn:microsoft.com/office/officeart/2005/8/layout/orgChart1"/>
    <dgm:cxn modelId="{D8A9FDCD-6151-4BBE-8D33-83EFF7937F5D}" type="presParOf" srcId="{F0A1E5E6-5609-4D80-B6C7-A8F16C478FB7}" destId="{B7328F7B-6ECD-4ABF-8304-3754F18C7233}" srcOrd="3" destOrd="0" presId="urn:microsoft.com/office/officeart/2005/8/layout/orgChart1"/>
    <dgm:cxn modelId="{57D4DF9F-729A-414D-BD15-C267FFE2C52E}" type="presParOf" srcId="{B7328F7B-6ECD-4ABF-8304-3754F18C7233}" destId="{187EF40A-C644-4282-8B27-179B4E347095}" srcOrd="0" destOrd="0" presId="urn:microsoft.com/office/officeart/2005/8/layout/orgChart1"/>
    <dgm:cxn modelId="{D69297F8-16F7-4166-B14A-7DA8C0BCEC87}" type="presParOf" srcId="{187EF40A-C644-4282-8B27-179B4E347095}" destId="{1B8FD9C0-D24A-44AB-AD2E-8AAA492BAA32}" srcOrd="0" destOrd="0" presId="urn:microsoft.com/office/officeart/2005/8/layout/orgChart1"/>
    <dgm:cxn modelId="{88E75AE3-9372-47E2-983E-A4839E2842B9}" type="presParOf" srcId="{187EF40A-C644-4282-8B27-179B4E347095}" destId="{99159C85-1D58-4C87-849B-395E800C3809}" srcOrd="1" destOrd="0" presId="urn:microsoft.com/office/officeart/2005/8/layout/orgChart1"/>
    <dgm:cxn modelId="{48EFEBFB-6A00-41F7-B51F-0A5380C7D98E}" type="presParOf" srcId="{B7328F7B-6ECD-4ABF-8304-3754F18C7233}" destId="{DB81C859-6EAD-4BAA-82E7-D7F7A2577C41}" srcOrd="1" destOrd="0" presId="urn:microsoft.com/office/officeart/2005/8/layout/orgChart1"/>
    <dgm:cxn modelId="{9B716519-C400-479D-B675-6FE4C965D21F}" type="presParOf" srcId="{B7328F7B-6ECD-4ABF-8304-3754F18C7233}" destId="{065F31F9-E2B5-4852-B16E-A07A0FD0AE98}" srcOrd="2" destOrd="0" presId="urn:microsoft.com/office/officeart/2005/8/layout/orgChart1"/>
    <dgm:cxn modelId="{8F8E2C08-98BB-45F2-9A02-16B83A9F74D8}" type="presParOf" srcId="{F0A1E5E6-5609-4D80-B6C7-A8F16C478FB7}" destId="{5074BED5-7F8D-4722-8C22-FCAF11748259}" srcOrd="4" destOrd="0" presId="urn:microsoft.com/office/officeart/2005/8/layout/orgChart1"/>
    <dgm:cxn modelId="{6B3BA07F-00B3-4962-850D-6915D1D36FFF}" type="presParOf" srcId="{F0A1E5E6-5609-4D80-B6C7-A8F16C478FB7}" destId="{F5E5FD7E-8469-4761-B823-B187F70113DC}" srcOrd="5" destOrd="0" presId="urn:microsoft.com/office/officeart/2005/8/layout/orgChart1"/>
    <dgm:cxn modelId="{799EEBB2-A71C-4C5B-A8E3-FD2DCED53A6B}" type="presParOf" srcId="{F5E5FD7E-8469-4761-B823-B187F70113DC}" destId="{8C58DA5E-278D-40BA-8AAE-BA1E40F793A2}" srcOrd="0" destOrd="0" presId="urn:microsoft.com/office/officeart/2005/8/layout/orgChart1"/>
    <dgm:cxn modelId="{84E845B4-DD3C-421D-898E-8EEDE3FD9F2D}" type="presParOf" srcId="{8C58DA5E-278D-40BA-8AAE-BA1E40F793A2}" destId="{9229AD25-3DCD-4AFF-AAAC-FC0ADB8C2EB6}" srcOrd="0" destOrd="0" presId="urn:microsoft.com/office/officeart/2005/8/layout/orgChart1"/>
    <dgm:cxn modelId="{147F9112-999F-45ED-808B-35E92BBD934D}" type="presParOf" srcId="{8C58DA5E-278D-40BA-8AAE-BA1E40F793A2}" destId="{4D526FDE-5182-4828-970F-1320AD803384}" srcOrd="1" destOrd="0" presId="urn:microsoft.com/office/officeart/2005/8/layout/orgChart1"/>
    <dgm:cxn modelId="{4C955F62-2428-418D-8576-ACB1E52E158B}" type="presParOf" srcId="{F5E5FD7E-8469-4761-B823-B187F70113DC}" destId="{1617BDCC-C65E-4674-BFBD-5F68C8FC0415}" srcOrd="1" destOrd="0" presId="urn:microsoft.com/office/officeart/2005/8/layout/orgChart1"/>
    <dgm:cxn modelId="{10E01A6B-6492-4B7C-A517-C79DA5291418}" type="presParOf" srcId="{F5E5FD7E-8469-4761-B823-B187F70113DC}" destId="{4298C4FA-300B-4CE5-8F84-382D9AAF2FC0}" srcOrd="2" destOrd="0" presId="urn:microsoft.com/office/officeart/2005/8/layout/orgChart1"/>
    <dgm:cxn modelId="{8FC3912E-DE58-4185-B41F-D7A434296A8B}" type="presParOf" srcId="{F0A1E5E6-5609-4D80-B6C7-A8F16C478FB7}" destId="{4B3E5FFA-091C-4112-8497-AB0D174270C1}" srcOrd="6" destOrd="0" presId="urn:microsoft.com/office/officeart/2005/8/layout/orgChart1"/>
    <dgm:cxn modelId="{E5283856-1560-4391-88FE-44FD0CE0E270}" type="presParOf" srcId="{F0A1E5E6-5609-4D80-B6C7-A8F16C478FB7}" destId="{7D8A3C03-92BB-418D-B8DE-30B003C4700C}" srcOrd="7" destOrd="0" presId="urn:microsoft.com/office/officeart/2005/8/layout/orgChart1"/>
    <dgm:cxn modelId="{74440A11-1EE7-44A6-AF35-E4EC763EE707}" type="presParOf" srcId="{7D8A3C03-92BB-418D-B8DE-30B003C4700C}" destId="{18A51363-A1C1-4589-8E89-3FD72BDD974A}" srcOrd="0" destOrd="0" presId="urn:microsoft.com/office/officeart/2005/8/layout/orgChart1"/>
    <dgm:cxn modelId="{C998BCBE-38EF-40F3-82B1-BF50C1380C4F}" type="presParOf" srcId="{18A51363-A1C1-4589-8E89-3FD72BDD974A}" destId="{85D85A1D-CA75-4725-B5D2-F2054AE4E7F1}" srcOrd="0" destOrd="0" presId="urn:microsoft.com/office/officeart/2005/8/layout/orgChart1"/>
    <dgm:cxn modelId="{0C0B2EFB-5BBE-4403-95F8-11735916FB95}" type="presParOf" srcId="{18A51363-A1C1-4589-8E89-3FD72BDD974A}" destId="{1848395B-F1C4-44D6-A5DE-13DBEB8396D0}" srcOrd="1" destOrd="0" presId="urn:microsoft.com/office/officeart/2005/8/layout/orgChart1"/>
    <dgm:cxn modelId="{A2FE84E4-0684-45F1-8688-69D6F450D6B1}" type="presParOf" srcId="{7D8A3C03-92BB-418D-B8DE-30B003C4700C}" destId="{8DB60611-1719-4D08-9214-0A7C6FF7D01B}" srcOrd="1" destOrd="0" presId="urn:microsoft.com/office/officeart/2005/8/layout/orgChart1"/>
    <dgm:cxn modelId="{B0EC8986-6D2A-49F0-9153-BB67C23C2804}" type="presParOf" srcId="{7D8A3C03-92BB-418D-B8DE-30B003C4700C}" destId="{8C3AFFDF-EDF2-41EC-8276-FE403D5984AD}" srcOrd="2" destOrd="0" presId="urn:microsoft.com/office/officeart/2005/8/layout/orgChart1"/>
    <dgm:cxn modelId="{257FEF6F-71FD-49F6-B3C5-E6D40E6D353E}" type="presParOf" srcId="{F0A1E5E6-5609-4D80-B6C7-A8F16C478FB7}" destId="{24DE52B5-08FF-42A1-B0B6-64D2A6D8B77F}" srcOrd="8" destOrd="0" presId="urn:microsoft.com/office/officeart/2005/8/layout/orgChart1"/>
    <dgm:cxn modelId="{CA81AE25-DCC4-484C-B4C8-60CE184F1246}" type="presParOf" srcId="{F0A1E5E6-5609-4D80-B6C7-A8F16C478FB7}" destId="{E26EF428-DB88-418C-AAC6-3345127A7F55}" srcOrd="9" destOrd="0" presId="urn:microsoft.com/office/officeart/2005/8/layout/orgChart1"/>
    <dgm:cxn modelId="{F33F5448-A5C4-4BB5-8EBA-7F217AAECC7B}" type="presParOf" srcId="{E26EF428-DB88-418C-AAC6-3345127A7F55}" destId="{59A0A982-0106-44CE-8116-66358951EF1C}" srcOrd="0" destOrd="0" presId="urn:microsoft.com/office/officeart/2005/8/layout/orgChart1"/>
    <dgm:cxn modelId="{EF396689-E221-4499-B860-914E7AF4711B}" type="presParOf" srcId="{59A0A982-0106-44CE-8116-66358951EF1C}" destId="{81816765-FEF0-474E-B50B-DE7FEA99B3E4}" srcOrd="0" destOrd="0" presId="urn:microsoft.com/office/officeart/2005/8/layout/orgChart1"/>
    <dgm:cxn modelId="{C8A25D22-2266-4186-A46D-BA58180F7483}" type="presParOf" srcId="{59A0A982-0106-44CE-8116-66358951EF1C}" destId="{E9197DA7-443C-42E1-96E4-D029344C00AC}" srcOrd="1" destOrd="0" presId="urn:microsoft.com/office/officeart/2005/8/layout/orgChart1"/>
    <dgm:cxn modelId="{8C9D9E99-C3FD-46E1-846A-F8B8847895C0}" type="presParOf" srcId="{E26EF428-DB88-418C-AAC6-3345127A7F55}" destId="{895CB422-B8F9-448C-B935-3A66BDCC9AAA}" srcOrd="1" destOrd="0" presId="urn:microsoft.com/office/officeart/2005/8/layout/orgChart1"/>
    <dgm:cxn modelId="{B00A8DE4-21B1-4CE1-9452-C85E313B687D}" type="presParOf" srcId="{E26EF428-DB88-418C-AAC6-3345127A7F55}" destId="{B65B04CA-2118-4B11-AF37-E92DB1AE1D63}" srcOrd="2" destOrd="0" presId="urn:microsoft.com/office/officeart/2005/8/layout/orgChart1"/>
    <dgm:cxn modelId="{519FBAA0-3BC9-4391-A37B-600A781CEF26}" type="presParOf" srcId="{F0A1E5E6-5609-4D80-B6C7-A8F16C478FB7}" destId="{2A77F0C3-C19E-44E8-A8DF-C264B0D9C2A0}" srcOrd="10" destOrd="0" presId="urn:microsoft.com/office/officeart/2005/8/layout/orgChart1"/>
    <dgm:cxn modelId="{4B08EB2D-B1F6-4DC8-8784-555C5E9EA784}" type="presParOf" srcId="{F0A1E5E6-5609-4D80-B6C7-A8F16C478FB7}" destId="{E5A5FD55-4499-46D3-84C6-35FA067F8EB0}" srcOrd="11" destOrd="0" presId="urn:microsoft.com/office/officeart/2005/8/layout/orgChart1"/>
    <dgm:cxn modelId="{1C1BF714-AD1D-4EBD-B3D4-79D6EC9D496B}" type="presParOf" srcId="{E5A5FD55-4499-46D3-84C6-35FA067F8EB0}" destId="{B30B4F4C-2EAC-40F8-8BD7-7B944E24408C}" srcOrd="0" destOrd="0" presId="urn:microsoft.com/office/officeart/2005/8/layout/orgChart1"/>
    <dgm:cxn modelId="{3AC39D46-8AC5-4528-97E1-90541EA3FF43}" type="presParOf" srcId="{B30B4F4C-2EAC-40F8-8BD7-7B944E24408C}" destId="{DE422567-7DEF-4AFE-AC19-972DDD6A252E}" srcOrd="0" destOrd="0" presId="urn:microsoft.com/office/officeart/2005/8/layout/orgChart1"/>
    <dgm:cxn modelId="{1C6A559C-C04A-4B7A-B282-EE927F387A21}" type="presParOf" srcId="{B30B4F4C-2EAC-40F8-8BD7-7B944E24408C}" destId="{60BD4F75-FB79-49E8-B7F0-687FDDC28EA8}" srcOrd="1" destOrd="0" presId="urn:microsoft.com/office/officeart/2005/8/layout/orgChart1"/>
    <dgm:cxn modelId="{C8D65F67-850B-4ABB-8C32-8A4935282D22}" type="presParOf" srcId="{E5A5FD55-4499-46D3-84C6-35FA067F8EB0}" destId="{64A01F4E-09D3-4979-8710-696C5B5C1D1C}" srcOrd="1" destOrd="0" presId="urn:microsoft.com/office/officeart/2005/8/layout/orgChart1"/>
    <dgm:cxn modelId="{9A45FC46-4650-456B-A454-5B73B5F82F16}" type="presParOf" srcId="{E5A5FD55-4499-46D3-84C6-35FA067F8EB0}" destId="{058FC968-E2F8-4A6D-9106-DA43A437FBF7}" srcOrd="2" destOrd="0" presId="urn:microsoft.com/office/officeart/2005/8/layout/orgChart1"/>
    <dgm:cxn modelId="{5178F3FD-F1BB-4B02-A2D3-666933C078C1}" type="presParOf" srcId="{F0A1E5E6-5609-4D80-B6C7-A8F16C478FB7}" destId="{8F8705B7-7D19-4332-A3B2-B86BF850401A}" srcOrd="12" destOrd="0" presId="urn:microsoft.com/office/officeart/2005/8/layout/orgChart1"/>
    <dgm:cxn modelId="{6659281D-15F6-41FF-A32C-7118A7BB0407}" type="presParOf" srcId="{F0A1E5E6-5609-4D80-B6C7-A8F16C478FB7}" destId="{15060B4D-85B6-4EF7-95BE-26D56592C825}" srcOrd="13" destOrd="0" presId="urn:microsoft.com/office/officeart/2005/8/layout/orgChart1"/>
    <dgm:cxn modelId="{DF4FB96F-6C9E-4A61-A6C1-8F85799EA429}" type="presParOf" srcId="{15060B4D-85B6-4EF7-95BE-26D56592C825}" destId="{3B456822-06DD-42E0-9CEA-6ED84BF3C3BE}" srcOrd="0" destOrd="0" presId="urn:microsoft.com/office/officeart/2005/8/layout/orgChart1"/>
    <dgm:cxn modelId="{BD747803-4E2B-4FEF-8317-796064FD02D0}" type="presParOf" srcId="{3B456822-06DD-42E0-9CEA-6ED84BF3C3BE}" destId="{347F4702-19A9-40DB-AEA5-BDB4E88B0A23}" srcOrd="0" destOrd="0" presId="urn:microsoft.com/office/officeart/2005/8/layout/orgChart1"/>
    <dgm:cxn modelId="{F1072FD3-BF1B-4386-B800-57B9C6E61D61}" type="presParOf" srcId="{3B456822-06DD-42E0-9CEA-6ED84BF3C3BE}" destId="{270C1831-95CA-44BB-B007-AE5387A850BD}" srcOrd="1" destOrd="0" presId="urn:microsoft.com/office/officeart/2005/8/layout/orgChart1"/>
    <dgm:cxn modelId="{64D2B5C9-1524-4700-8B8C-FE7805B3A855}" type="presParOf" srcId="{15060B4D-85B6-4EF7-95BE-26D56592C825}" destId="{12BD1150-24D9-4C6B-8683-5389AED7A20C}" srcOrd="1" destOrd="0" presId="urn:microsoft.com/office/officeart/2005/8/layout/orgChart1"/>
    <dgm:cxn modelId="{00118963-4A8F-4AC2-BF9E-2713E6AFC6D8}" type="presParOf" srcId="{15060B4D-85B6-4EF7-95BE-26D56592C825}" destId="{67247ED6-8D66-49B9-9238-1BA3076BBE8B}" srcOrd="2" destOrd="0" presId="urn:microsoft.com/office/officeart/2005/8/layout/orgChart1"/>
    <dgm:cxn modelId="{9AB0C01A-6736-4457-BCD4-250927B66AB9}" type="presParOf" srcId="{6A572C49-881A-4ED4-8FB6-A933C9B48317}" destId="{63A957EA-4B29-4CA3-BE22-78BD3C4165C4}" srcOrd="2" destOrd="0" presId="urn:microsoft.com/office/officeart/2005/8/layout/orgChart1"/>
  </dgm:cxnLst>
  <dgm:bg/>
  <dgm:whole>
    <a:ln w="12700"/>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EDDA25-FA6E-458E-B817-66855E8987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7C65B6A-6AC9-440A-A606-C81BD80BDF2D}">
      <dgm:prSet phldrT="[Texte]" custT="1"/>
      <dgm:spPr>
        <a:noFill/>
        <a:ln w="12700">
          <a:solidFill>
            <a:srgbClr val="7030A0"/>
          </a:solidFill>
        </a:ln>
      </dgm:spPr>
      <dgm:t>
        <a:bodyPr/>
        <a:lstStyle/>
        <a:p>
          <a:pPr algn="ctr"/>
          <a:r>
            <a:rPr lang="fr-FR" sz="900" b="1" dirty="0">
              <a:solidFill>
                <a:schemeClr val="tx1"/>
              </a:solidFill>
              <a:latin typeface="Calibri "/>
            </a:rPr>
            <a:t>PR. HARTMUT EHRLICH</a:t>
          </a:r>
        </a:p>
        <a:p>
          <a:pPr algn="ctr"/>
          <a:r>
            <a:rPr lang="fr-FR" sz="900" dirty="0">
              <a:solidFill>
                <a:schemeClr val="tx1"/>
              </a:solidFill>
              <a:latin typeface="Calibri "/>
            </a:rPr>
            <a:t>Directeur Général</a:t>
          </a:r>
          <a:endParaRPr lang="fr-FR" sz="900" dirty="0"/>
        </a:p>
      </dgm:t>
    </dgm:pt>
    <dgm:pt modelId="{39768BEC-2959-4A24-88EB-CF178F4A602D}" type="parTrans" cxnId="{F2A0DD98-FCA0-4095-8441-4EEEB64074BF}">
      <dgm:prSet/>
      <dgm:spPr/>
      <dgm:t>
        <a:bodyPr/>
        <a:lstStyle/>
        <a:p>
          <a:pPr algn="ctr"/>
          <a:endParaRPr lang="fr-FR" sz="1600"/>
        </a:p>
      </dgm:t>
    </dgm:pt>
    <dgm:pt modelId="{7EBD7509-C4D4-4F3F-AFD0-27967F0F2A68}" type="sibTrans" cxnId="{F2A0DD98-FCA0-4095-8441-4EEEB64074BF}">
      <dgm:prSet/>
      <dgm:spPr/>
      <dgm:t>
        <a:bodyPr/>
        <a:lstStyle/>
        <a:p>
          <a:pPr algn="ctr"/>
          <a:endParaRPr lang="fr-FR" sz="1600"/>
        </a:p>
      </dgm:t>
    </dgm:pt>
    <dgm:pt modelId="{25CD0DEF-3D36-4589-A84A-B0ECFF9C7C6E}">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JEAN-MARC STEENS</a:t>
          </a:r>
        </a:p>
        <a:p>
          <a:pPr algn="ctr"/>
          <a:r>
            <a:rPr lang="fr-FR" sz="900" dirty="0">
              <a:solidFill>
                <a:schemeClr val="tx1"/>
              </a:solidFill>
              <a:latin typeface="Calibri "/>
            </a:rPr>
            <a:t>V.P. Directeur </a:t>
          </a:r>
        </a:p>
        <a:p>
          <a:pPr algn="ctr"/>
          <a:r>
            <a:rPr lang="fr-FR" sz="900" dirty="0">
              <a:solidFill>
                <a:schemeClr val="tx1"/>
              </a:solidFill>
              <a:latin typeface="Calibri "/>
            </a:rPr>
            <a:t>Médical</a:t>
          </a:r>
          <a:endParaRPr lang="fr-FR" sz="900" b="1" dirty="0">
            <a:solidFill>
              <a:sysClr val="windowText" lastClr="000000"/>
            </a:solidFill>
            <a:latin typeface="Calibri "/>
          </a:endParaRPr>
        </a:p>
      </dgm:t>
    </dgm:pt>
    <dgm:pt modelId="{3BA6E236-8BAC-40B9-8C90-F25C8B0F404F}" type="parTrans" cxnId="{382793C6-6243-4EAF-90BD-E9110EE82D89}">
      <dgm:prSet/>
      <dgm:spPr>
        <a:ln>
          <a:solidFill>
            <a:srgbClr val="7030A0"/>
          </a:solidFill>
        </a:ln>
      </dgm:spPr>
      <dgm:t>
        <a:bodyPr/>
        <a:lstStyle/>
        <a:p>
          <a:pPr algn="ctr"/>
          <a:endParaRPr lang="fr-FR" sz="1600"/>
        </a:p>
      </dgm:t>
    </dgm:pt>
    <dgm:pt modelId="{4AF2DA10-EDA5-4D6B-BE33-5F10134B20E5}" type="sibTrans" cxnId="{382793C6-6243-4EAF-90BD-E9110EE82D89}">
      <dgm:prSet/>
      <dgm:spPr/>
      <dgm:t>
        <a:bodyPr/>
        <a:lstStyle/>
        <a:p>
          <a:pPr algn="ctr"/>
          <a:endParaRPr lang="fr-FR" sz="1600"/>
        </a:p>
      </dgm:t>
    </dgm:pt>
    <dgm:pt modelId="{34B5A4A0-F136-442C-852D-CED09B1FEA13}">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SCHERRER</a:t>
          </a:r>
        </a:p>
        <a:p>
          <a:pPr algn="ctr"/>
          <a:r>
            <a:rPr lang="fr-FR" sz="900" dirty="0">
              <a:solidFill>
                <a:schemeClr val="tx1"/>
              </a:solidFill>
              <a:latin typeface="Calibri "/>
            </a:rPr>
            <a:t>V.P. Directeur de la Recherche</a:t>
          </a:r>
          <a:endParaRPr lang="fr-FR" sz="800" b="1" dirty="0">
            <a:solidFill>
              <a:schemeClr val="tx1"/>
            </a:solidFill>
            <a:latin typeface="Calibri "/>
          </a:endParaRPr>
        </a:p>
      </dgm:t>
    </dgm:pt>
    <dgm:pt modelId="{16CF680E-1518-4982-95C9-014D72C41C93}" type="parTrans" cxnId="{02254FCD-E664-41AC-8612-C15AF18868A0}">
      <dgm:prSet/>
      <dgm:spPr>
        <a:ln>
          <a:solidFill>
            <a:srgbClr val="7030A0"/>
          </a:solidFill>
        </a:ln>
      </dgm:spPr>
      <dgm:t>
        <a:bodyPr/>
        <a:lstStyle/>
        <a:p>
          <a:pPr algn="ctr"/>
          <a:endParaRPr lang="fr-FR" sz="1600"/>
        </a:p>
      </dgm:t>
    </dgm:pt>
    <dgm:pt modelId="{49D2F7ED-EBBB-478A-A2AB-07A283232563}" type="sibTrans" cxnId="{02254FCD-E664-41AC-8612-C15AF18868A0}">
      <dgm:prSet/>
      <dgm:spPr/>
      <dgm:t>
        <a:bodyPr/>
        <a:lstStyle/>
        <a:p>
          <a:pPr algn="ctr"/>
          <a:endParaRPr lang="fr-FR" sz="1600"/>
        </a:p>
      </dgm:t>
    </dgm:pt>
    <dgm:pt modelId="{CDC82CD7-1E53-4189-A7B4-E6654F01562F}">
      <dgm:prSet custT="1"/>
      <dgm:spPr>
        <a:noFill/>
        <a:ln w="12700">
          <a:solidFill>
            <a:srgbClr val="7030A0"/>
          </a:solidFill>
        </a:ln>
      </dgm:spPr>
      <dgm:t>
        <a:bodyPr/>
        <a:lstStyle/>
        <a:p>
          <a:pPr algn="ctr"/>
          <a:r>
            <a:rPr lang="fr-FR" sz="900" b="1" dirty="0">
              <a:solidFill>
                <a:sysClr val="windowText" lastClr="000000"/>
              </a:solidFill>
              <a:latin typeface="Calibri "/>
            </a:rPr>
            <a:t>JEROME DENIS </a:t>
          </a:r>
        </a:p>
        <a:p>
          <a:pPr algn="ctr"/>
          <a:r>
            <a:rPr lang="fr-FR" sz="900" dirty="0">
              <a:solidFill>
                <a:sysClr val="windowText" lastClr="000000"/>
              </a:solidFill>
              <a:latin typeface="Calibri "/>
            </a:rPr>
            <a:t>V.P. Directeur de la Production et du Développement des Procédés </a:t>
          </a:r>
          <a:endParaRPr lang="fr-FR" sz="900" b="1" dirty="0">
            <a:solidFill>
              <a:schemeClr val="tx1"/>
            </a:solidFill>
            <a:latin typeface="Calibri "/>
          </a:endParaRPr>
        </a:p>
      </dgm:t>
    </dgm:pt>
    <dgm:pt modelId="{F3938036-EB65-488D-A505-8AA0F88CD3F4}" type="parTrans" cxnId="{85DB731C-8C28-41E6-A63F-68DD0ECFAFA9}">
      <dgm:prSet/>
      <dgm:spPr>
        <a:ln>
          <a:solidFill>
            <a:srgbClr val="7030A0"/>
          </a:solidFill>
        </a:ln>
      </dgm:spPr>
      <dgm:t>
        <a:bodyPr/>
        <a:lstStyle/>
        <a:p>
          <a:pPr algn="ctr"/>
          <a:endParaRPr lang="fr-FR" sz="1600"/>
        </a:p>
      </dgm:t>
    </dgm:pt>
    <dgm:pt modelId="{C175B4D3-6882-45D2-BDB5-8F23025F5F57}" type="sibTrans" cxnId="{85DB731C-8C28-41E6-A63F-68DD0ECFAFA9}">
      <dgm:prSet/>
      <dgm:spPr/>
      <dgm:t>
        <a:bodyPr/>
        <a:lstStyle/>
        <a:p>
          <a:pPr algn="ctr"/>
          <a:endParaRPr lang="fr-FR" sz="1600"/>
        </a:p>
      </dgm:t>
    </dgm:pt>
    <dgm:pt modelId="{DCB0481C-B45B-43D1-83B9-D8D144155D95}">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BLONDEL</a:t>
          </a:r>
        </a:p>
        <a:p>
          <a:pPr algn="ctr"/>
          <a:r>
            <a:rPr lang="fr-FR" sz="900" dirty="0">
              <a:solidFill>
                <a:schemeClr val="tx1"/>
              </a:solidFill>
              <a:latin typeface="Calibri "/>
            </a:rPr>
            <a:t>V.P. Directeur Administratif &amp; Financier et </a:t>
          </a:r>
        </a:p>
        <a:p>
          <a:pPr algn="ctr"/>
          <a:r>
            <a:rPr lang="fr-FR" sz="900" dirty="0">
              <a:solidFill>
                <a:schemeClr val="tx1"/>
              </a:solidFill>
              <a:latin typeface="Calibri "/>
            </a:rPr>
            <a:t>Secrétaire du Conseil d'Administration</a:t>
          </a:r>
          <a:endParaRPr lang="fr-FR" sz="900" b="1" dirty="0">
            <a:solidFill>
              <a:schemeClr val="tx1"/>
            </a:solidFill>
            <a:latin typeface="Calibri "/>
          </a:endParaRPr>
        </a:p>
      </dgm:t>
    </dgm:pt>
    <dgm:pt modelId="{F11E5023-A25C-42EC-B10D-5401D5B4F9F3}" type="parTrans" cxnId="{9176618C-78E3-4EEE-BFA5-FE26B48EED72}">
      <dgm:prSet/>
      <dgm:spPr>
        <a:ln>
          <a:solidFill>
            <a:srgbClr val="7030A0"/>
          </a:solidFill>
        </a:ln>
      </dgm:spPr>
      <dgm:t>
        <a:bodyPr/>
        <a:lstStyle/>
        <a:p>
          <a:pPr algn="ctr"/>
          <a:endParaRPr lang="fr-FR" sz="1600"/>
        </a:p>
      </dgm:t>
    </dgm:pt>
    <dgm:pt modelId="{8D7E1589-486F-49A0-8F65-DD3E52CA9C91}" type="sibTrans" cxnId="{9176618C-78E3-4EEE-BFA5-FE26B48EED72}">
      <dgm:prSet/>
      <dgm:spPr/>
      <dgm:t>
        <a:bodyPr/>
        <a:lstStyle/>
        <a:p>
          <a:pPr algn="ctr"/>
          <a:endParaRPr lang="fr-FR" sz="1600"/>
        </a:p>
      </dgm:t>
    </dgm:pt>
    <dgm:pt modelId="{00661EC0-12FA-47A9-865E-0FAF13E582AB}">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PIERRE COURTEILLE</a:t>
          </a:r>
        </a:p>
        <a:p>
          <a:pPr algn="ctr"/>
          <a:r>
            <a:rPr lang="fr-FR" sz="900" dirty="0">
              <a:solidFill>
                <a:schemeClr val="tx1"/>
              </a:solidFill>
              <a:latin typeface="Calibri "/>
            </a:rPr>
            <a:t>V.P. Directeur Commercial et du Business </a:t>
          </a:r>
          <a:r>
            <a:rPr lang="fr-FR" sz="900" dirty="0" err="1">
              <a:solidFill>
                <a:schemeClr val="tx1"/>
              </a:solidFill>
              <a:latin typeface="Calibri "/>
            </a:rPr>
            <a:t>Development</a:t>
          </a:r>
          <a:r>
            <a:rPr lang="fr-FR" sz="900" dirty="0">
              <a:solidFill>
                <a:schemeClr val="tx1"/>
              </a:solidFill>
              <a:latin typeface="Calibri "/>
            </a:rPr>
            <a:t> </a:t>
          </a:r>
          <a:endParaRPr lang="fr-FR" sz="900" b="1" dirty="0">
            <a:solidFill>
              <a:schemeClr val="tx1"/>
            </a:solidFill>
            <a:latin typeface="Calibri "/>
          </a:endParaRPr>
        </a:p>
      </dgm:t>
    </dgm:pt>
    <dgm:pt modelId="{1F92ABFC-3E3D-49FC-BF0B-E24C27A21829}" type="parTrans" cxnId="{29F61593-C3A3-4EC3-BD7F-DB506D964BED}">
      <dgm:prSet/>
      <dgm:spPr>
        <a:ln>
          <a:solidFill>
            <a:srgbClr val="7030A0"/>
          </a:solidFill>
        </a:ln>
      </dgm:spPr>
      <dgm:t>
        <a:bodyPr/>
        <a:lstStyle/>
        <a:p>
          <a:pPr algn="ctr"/>
          <a:endParaRPr lang="fr-FR" sz="1600"/>
        </a:p>
      </dgm:t>
    </dgm:pt>
    <dgm:pt modelId="{98BC2A65-2B0B-482A-A103-53A7872B6EF4}" type="sibTrans" cxnId="{29F61593-C3A3-4EC3-BD7F-DB506D964BED}">
      <dgm:prSet/>
      <dgm:spPr/>
      <dgm:t>
        <a:bodyPr/>
        <a:lstStyle/>
        <a:p>
          <a:pPr algn="ctr"/>
          <a:endParaRPr lang="fr-FR" sz="1600"/>
        </a:p>
      </dgm:t>
    </dgm:pt>
    <dgm:pt modelId="{EE62B8F1-F4E6-48A2-960A-48CDD1FA55B0}">
      <dgm:prSet custT="1"/>
      <dgm:spPr>
        <a:noFill/>
        <a:ln>
          <a:solidFill>
            <a:srgbClr val="7030A0"/>
          </a:solidFill>
        </a:ln>
      </dgm:spPr>
      <dgm:t>
        <a:bodyPr/>
        <a:lstStyle/>
        <a:p>
          <a:pPr algn="ctr">
            <a:spcAft>
              <a:spcPct val="35000"/>
            </a:spcAft>
          </a:pPr>
          <a:r>
            <a:rPr lang="fr-FR" sz="900" b="1" dirty="0">
              <a:solidFill>
                <a:sysClr val="windowText" lastClr="000000"/>
              </a:solidFill>
              <a:latin typeface="Calibri "/>
            </a:rPr>
            <a:t>PAUL GINESTE</a:t>
          </a:r>
        </a:p>
        <a:p>
          <a:pPr algn="ctr">
            <a:spcAft>
              <a:spcPts val="0"/>
            </a:spcAft>
          </a:pPr>
          <a:r>
            <a:rPr lang="fr-FR" sz="900" dirty="0" err="1">
              <a:solidFill>
                <a:schemeClr val="tx1"/>
              </a:solidFill>
              <a:latin typeface="Calibri "/>
            </a:rPr>
            <a:t>V.P. Opérations Cliniques</a:t>
          </a:r>
        </a:p>
        <a:p>
          <a:pPr algn="ctr">
            <a:spcAft>
              <a:spcPts val="0"/>
            </a:spcAft>
          </a:pPr>
          <a:r>
            <a:rPr lang="fr-FR" sz="900" dirty="0">
              <a:solidFill>
                <a:schemeClr val="tx1"/>
              </a:solidFill>
              <a:latin typeface="Calibri "/>
            </a:rPr>
            <a:t> </a:t>
          </a:r>
          <a:endParaRPr lang="en-US" sz="600" dirty="0">
            <a:solidFill>
              <a:sysClr val="windowText" lastClr="000000"/>
            </a:solidFill>
          </a:endParaRPr>
        </a:p>
        <a:p>
          <a:pPr algn="ctr">
            <a:spcAft>
              <a:spcPct val="35000"/>
            </a:spcAft>
          </a:pPr>
          <a:endParaRPr lang="en-US" sz="600" dirty="0">
            <a:solidFill>
              <a:sysClr val="windowText" lastClr="000000"/>
            </a:solidFill>
          </a:endParaRPr>
        </a:p>
      </dgm:t>
    </dgm:pt>
    <dgm:pt modelId="{EAC9F0F0-04CA-4A22-834B-6E78B2B6E0F7}" type="parTrans" cxnId="{F2F9C6AC-96D5-4FE8-86D2-66DCE502C612}">
      <dgm:prSet/>
      <dgm:spPr>
        <a:ln>
          <a:solidFill>
            <a:srgbClr val="7030A0"/>
          </a:solidFill>
        </a:ln>
      </dgm:spPr>
      <dgm:t>
        <a:bodyPr/>
        <a:lstStyle/>
        <a:p>
          <a:endParaRPr lang="en-US">
            <a:solidFill>
              <a:srgbClr val="7030A0"/>
            </a:solidFill>
          </a:endParaRPr>
        </a:p>
      </dgm:t>
    </dgm:pt>
    <dgm:pt modelId="{11644282-1359-41CE-81FB-4C544509C3AA}" type="sibTrans" cxnId="{F2F9C6AC-96D5-4FE8-86D2-66DCE502C612}">
      <dgm:prSet/>
      <dgm:spPr/>
      <dgm:t>
        <a:bodyPr/>
        <a:lstStyle/>
        <a:p>
          <a:endParaRPr lang="en-US"/>
        </a:p>
      </dgm:t>
    </dgm:pt>
    <dgm:pt modelId="{01CE80BC-6053-449A-A489-32215BBB068C}">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BERNARD FANGET</a:t>
          </a:r>
        </a:p>
        <a:p>
          <a:pPr algn="ctr"/>
          <a:r>
            <a:rPr lang="fr-FR" sz="900" b="0" dirty="0">
              <a:solidFill>
                <a:schemeClr val="tx1"/>
              </a:solidFill>
              <a:latin typeface="Calibri "/>
            </a:rPr>
            <a:t>V.P. Affaires réglementaires</a:t>
          </a:r>
        </a:p>
      </dgm:t>
    </dgm:pt>
    <dgm:pt modelId="{7F90440C-5F41-4008-9FEA-2DC8E6B30C53}" type="parTrans" cxnId="{9B4F8EC6-EA5E-4C92-B802-832022540C14}">
      <dgm:prSet/>
      <dgm:spPr/>
      <dgm:t>
        <a:bodyPr/>
        <a:lstStyle/>
        <a:p>
          <a:endParaRPr lang="fr-FR"/>
        </a:p>
      </dgm:t>
    </dgm:pt>
    <dgm:pt modelId="{162C5EF0-CC3D-4534-A3FA-2EAAB35C26B5}" type="sibTrans" cxnId="{9B4F8EC6-EA5E-4C92-B802-832022540C14}">
      <dgm:prSet/>
      <dgm:spPr/>
      <dgm:t>
        <a:bodyPr/>
        <a:lstStyle/>
        <a:p>
          <a:endParaRPr lang="fr-FR"/>
        </a:p>
      </dgm:t>
    </dgm:pt>
    <dgm:pt modelId="{34F47BE1-8FF8-43A4-B183-7B27DE0785B5}" type="pres">
      <dgm:prSet presAssocID="{2BEDDA25-FA6E-458E-B817-66855E8987DF}" presName="hierChild1" presStyleCnt="0">
        <dgm:presLayoutVars>
          <dgm:orgChart val="1"/>
          <dgm:chPref val="1"/>
          <dgm:dir/>
          <dgm:animOne val="branch"/>
          <dgm:animLvl val="lvl"/>
          <dgm:resizeHandles/>
        </dgm:presLayoutVars>
      </dgm:prSet>
      <dgm:spPr/>
    </dgm:pt>
    <dgm:pt modelId="{6A572C49-881A-4ED4-8FB6-A933C9B48317}" type="pres">
      <dgm:prSet presAssocID="{A7C65B6A-6AC9-440A-A606-C81BD80BDF2D}" presName="hierRoot1" presStyleCnt="0">
        <dgm:presLayoutVars>
          <dgm:hierBranch val="init"/>
        </dgm:presLayoutVars>
      </dgm:prSet>
      <dgm:spPr/>
    </dgm:pt>
    <dgm:pt modelId="{3AA2D5A4-6D7D-4A3F-B157-5773AD3E8B86}" type="pres">
      <dgm:prSet presAssocID="{A7C65B6A-6AC9-440A-A606-C81BD80BDF2D}" presName="rootComposite1" presStyleCnt="0"/>
      <dgm:spPr/>
    </dgm:pt>
    <dgm:pt modelId="{91ABCFC2-F188-4BFE-9C9E-4D4CA72E670F}" type="pres">
      <dgm:prSet presAssocID="{A7C65B6A-6AC9-440A-A606-C81BD80BDF2D}" presName="rootText1" presStyleLbl="node0" presStyleIdx="0" presStyleCnt="1" custScaleX="525477" custScaleY="268166" custLinFactNeighborX="0" custLinFactNeighborY="30462">
        <dgm:presLayoutVars>
          <dgm:chPref val="3"/>
        </dgm:presLayoutVars>
      </dgm:prSet>
      <dgm:spPr/>
    </dgm:pt>
    <dgm:pt modelId="{6A691DD9-2801-45B5-9E37-BEF856B93447}" type="pres">
      <dgm:prSet presAssocID="{A7C65B6A-6AC9-440A-A606-C81BD80BDF2D}" presName="rootConnector1" presStyleLbl="node1" presStyleIdx="0" presStyleCnt="0"/>
      <dgm:spPr/>
    </dgm:pt>
    <dgm:pt modelId="{F0A1E5E6-5609-4D80-B6C7-A8F16C478FB7}" type="pres">
      <dgm:prSet presAssocID="{A7C65B6A-6AC9-440A-A606-C81BD80BDF2D}" presName="hierChild2" presStyleCnt="0"/>
      <dgm:spPr/>
    </dgm:pt>
    <dgm:pt modelId="{A746AE96-6E98-4104-9082-B7EAEE45EE0D}" type="pres">
      <dgm:prSet presAssocID="{F11E5023-A25C-42EC-B10D-5401D5B4F9F3}" presName="Name37" presStyleLbl="parChTrans1D2" presStyleIdx="0" presStyleCnt="7"/>
      <dgm:spPr/>
    </dgm:pt>
    <dgm:pt modelId="{77F662FB-AADF-485F-A8EF-EDEDC462F55B}" type="pres">
      <dgm:prSet presAssocID="{DCB0481C-B45B-43D1-83B9-D8D144155D95}" presName="hierRoot2" presStyleCnt="0">
        <dgm:presLayoutVars>
          <dgm:hierBranch val="init"/>
        </dgm:presLayoutVars>
      </dgm:prSet>
      <dgm:spPr/>
    </dgm:pt>
    <dgm:pt modelId="{D5212000-3645-461C-B96E-7AEABC998D0C}" type="pres">
      <dgm:prSet presAssocID="{DCB0481C-B45B-43D1-83B9-D8D144155D95}" presName="rootComposite" presStyleCnt="0"/>
      <dgm:spPr/>
    </dgm:pt>
    <dgm:pt modelId="{7ABFFCC2-6BF7-458B-99F6-F9709A72616B}" type="pres">
      <dgm:prSet presAssocID="{DCB0481C-B45B-43D1-83B9-D8D144155D95}" presName="rootText" presStyleLbl="node2" presStyleIdx="0" presStyleCnt="7" custScaleX="262785" custScaleY="804497" custLinFactY="100000" custLinFactNeighborY="142530">
        <dgm:presLayoutVars>
          <dgm:chPref val="3"/>
        </dgm:presLayoutVars>
      </dgm:prSet>
      <dgm:spPr/>
    </dgm:pt>
    <dgm:pt modelId="{2895AA30-B5D2-4761-9015-2BA01A1AA0D1}" type="pres">
      <dgm:prSet presAssocID="{DCB0481C-B45B-43D1-83B9-D8D144155D95}" presName="rootConnector" presStyleLbl="node2" presStyleIdx="0" presStyleCnt="7"/>
      <dgm:spPr/>
    </dgm:pt>
    <dgm:pt modelId="{02FC1AAC-3416-4D3D-BB9A-AE27660D7C4A}" type="pres">
      <dgm:prSet presAssocID="{DCB0481C-B45B-43D1-83B9-D8D144155D95}" presName="hierChild4" presStyleCnt="0"/>
      <dgm:spPr/>
    </dgm:pt>
    <dgm:pt modelId="{C6DF9A68-3064-421A-9195-C89D5D37A8E4}" type="pres">
      <dgm:prSet presAssocID="{DCB0481C-B45B-43D1-83B9-D8D144155D95}" presName="hierChild5" presStyleCnt="0"/>
      <dgm:spPr/>
    </dgm:pt>
    <dgm:pt modelId="{5204631E-74EB-40E8-A900-343E0649A8B2}" type="pres">
      <dgm:prSet presAssocID="{1F92ABFC-3E3D-49FC-BF0B-E24C27A21829}" presName="Name37" presStyleLbl="parChTrans1D2" presStyleIdx="1" presStyleCnt="7"/>
      <dgm:spPr/>
    </dgm:pt>
    <dgm:pt modelId="{B7328F7B-6ECD-4ABF-8304-3754F18C7233}" type="pres">
      <dgm:prSet presAssocID="{00661EC0-12FA-47A9-865E-0FAF13E582AB}" presName="hierRoot2" presStyleCnt="0">
        <dgm:presLayoutVars>
          <dgm:hierBranch val="init"/>
        </dgm:presLayoutVars>
      </dgm:prSet>
      <dgm:spPr/>
    </dgm:pt>
    <dgm:pt modelId="{187EF40A-C644-4282-8B27-179B4E347095}" type="pres">
      <dgm:prSet presAssocID="{00661EC0-12FA-47A9-865E-0FAF13E582AB}" presName="rootComposite" presStyleCnt="0"/>
      <dgm:spPr/>
    </dgm:pt>
    <dgm:pt modelId="{1B8FD9C0-D24A-44AB-AD2E-8AAA492BAA32}" type="pres">
      <dgm:prSet presAssocID="{00661EC0-12FA-47A9-865E-0FAF13E582AB}" presName="rootText" presStyleLbl="node2" presStyleIdx="1" presStyleCnt="7" custScaleX="262785" custScaleY="804497" custLinFactY="100000" custLinFactNeighborY="142530">
        <dgm:presLayoutVars>
          <dgm:chPref val="3"/>
        </dgm:presLayoutVars>
      </dgm:prSet>
      <dgm:spPr/>
    </dgm:pt>
    <dgm:pt modelId="{99159C85-1D58-4C87-849B-395E800C3809}" type="pres">
      <dgm:prSet presAssocID="{00661EC0-12FA-47A9-865E-0FAF13E582AB}" presName="rootConnector" presStyleLbl="node2" presStyleIdx="1" presStyleCnt="7"/>
      <dgm:spPr/>
    </dgm:pt>
    <dgm:pt modelId="{DB81C859-6EAD-4BAA-82E7-D7F7A2577C41}" type="pres">
      <dgm:prSet presAssocID="{00661EC0-12FA-47A9-865E-0FAF13E582AB}" presName="hierChild4" presStyleCnt="0"/>
      <dgm:spPr/>
    </dgm:pt>
    <dgm:pt modelId="{065F31F9-E2B5-4852-B16E-A07A0FD0AE98}" type="pres">
      <dgm:prSet presAssocID="{00661EC0-12FA-47A9-865E-0FAF13E582AB}" presName="hierChild5" presStyleCnt="0"/>
      <dgm:spPr/>
    </dgm:pt>
    <dgm:pt modelId="{5074BED5-7F8D-4722-8C22-FCAF11748259}" type="pres">
      <dgm:prSet presAssocID="{3BA6E236-8BAC-40B9-8C90-F25C8B0F404F}" presName="Name37" presStyleLbl="parChTrans1D2" presStyleIdx="2" presStyleCnt="7"/>
      <dgm:spPr/>
    </dgm:pt>
    <dgm:pt modelId="{F5E5FD7E-8469-4761-B823-B187F70113DC}" type="pres">
      <dgm:prSet presAssocID="{25CD0DEF-3D36-4589-A84A-B0ECFF9C7C6E}" presName="hierRoot2" presStyleCnt="0">
        <dgm:presLayoutVars>
          <dgm:hierBranch val="init"/>
        </dgm:presLayoutVars>
      </dgm:prSet>
      <dgm:spPr/>
    </dgm:pt>
    <dgm:pt modelId="{8C58DA5E-278D-40BA-8AAE-BA1E40F793A2}" type="pres">
      <dgm:prSet presAssocID="{25CD0DEF-3D36-4589-A84A-B0ECFF9C7C6E}" presName="rootComposite" presStyleCnt="0"/>
      <dgm:spPr/>
    </dgm:pt>
    <dgm:pt modelId="{9229AD25-3DCD-4AFF-AAAC-FC0ADB8C2EB6}" type="pres">
      <dgm:prSet presAssocID="{25CD0DEF-3D36-4589-A84A-B0ECFF9C7C6E}" presName="rootText" presStyleLbl="node2" presStyleIdx="2" presStyleCnt="7" custScaleX="262785" custScaleY="804497" custLinFactY="100000" custLinFactNeighborY="142530">
        <dgm:presLayoutVars>
          <dgm:chPref val="3"/>
        </dgm:presLayoutVars>
      </dgm:prSet>
      <dgm:spPr/>
    </dgm:pt>
    <dgm:pt modelId="{4D526FDE-5182-4828-970F-1320AD803384}" type="pres">
      <dgm:prSet presAssocID="{25CD0DEF-3D36-4589-A84A-B0ECFF9C7C6E}" presName="rootConnector" presStyleLbl="node2" presStyleIdx="2" presStyleCnt="7"/>
      <dgm:spPr/>
    </dgm:pt>
    <dgm:pt modelId="{1617BDCC-C65E-4674-BFBD-5F68C8FC0415}" type="pres">
      <dgm:prSet presAssocID="{25CD0DEF-3D36-4589-A84A-B0ECFF9C7C6E}" presName="hierChild4" presStyleCnt="0"/>
      <dgm:spPr/>
    </dgm:pt>
    <dgm:pt modelId="{4298C4FA-300B-4CE5-8F84-382D9AAF2FC0}" type="pres">
      <dgm:prSet presAssocID="{25CD0DEF-3D36-4589-A84A-B0ECFF9C7C6E}" presName="hierChild5" presStyleCnt="0"/>
      <dgm:spPr/>
    </dgm:pt>
    <dgm:pt modelId="{4B3E5FFA-091C-4112-8497-AB0D174270C1}" type="pres">
      <dgm:prSet presAssocID="{EAC9F0F0-04CA-4A22-834B-6E78B2B6E0F7}" presName="Name37" presStyleLbl="parChTrans1D2" presStyleIdx="3" presStyleCnt="7"/>
      <dgm:spPr/>
    </dgm:pt>
    <dgm:pt modelId="{7D8A3C03-92BB-418D-B8DE-30B003C4700C}" type="pres">
      <dgm:prSet presAssocID="{EE62B8F1-F4E6-48A2-960A-48CDD1FA55B0}" presName="hierRoot2" presStyleCnt="0">
        <dgm:presLayoutVars>
          <dgm:hierBranch val="init"/>
        </dgm:presLayoutVars>
      </dgm:prSet>
      <dgm:spPr/>
    </dgm:pt>
    <dgm:pt modelId="{18A51363-A1C1-4589-8E89-3FD72BDD974A}" type="pres">
      <dgm:prSet presAssocID="{EE62B8F1-F4E6-48A2-960A-48CDD1FA55B0}" presName="rootComposite" presStyleCnt="0"/>
      <dgm:spPr/>
    </dgm:pt>
    <dgm:pt modelId="{85D85A1D-CA75-4725-B5D2-F2054AE4E7F1}" type="pres">
      <dgm:prSet presAssocID="{EE62B8F1-F4E6-48A2-960A-48CDD1FA55B0}" presName="rootText" presStyleLbl="node2" presStyleIdx="3" presStyleCnt="7" custScaleX="262785" custScaleY="804497" custLinFactY="100000" custLinFactNeighborX="203" custLinFactNeighborY="142530">
        <dgm:presLayoutVars>
          <dgm:chPref val="3"/>
        </dgm:presLayoutVars>
      </dgm:prSet>
      <dgm:spPr/>
    </dgm:pt>
    <dgm:pt modelId="{1848395B-F1C4-44D6-A5DE-13DBEB8396D0}" type="pres">
      <dgm:prSet presAssocID="{EE62B8F1-F4E6-48A2-960A-48CDD1FA55B0}" presName="rootConnector" presStyleLbl="node2" presStyleIdx="3" presStyleCnt="7"/>
      <dgm:spPr/>
    </dgm:pt>
    <dgm:pt modelId="{8DB60611-1719-4D08-9214-0A7C6FF7D01B}" type="pres">
      <dgm:prSet presAssocID="{EE62B8F1-F4E6-48A2-960A-48CDD1FA55B0}" presName="hierChild4" presStyleCnt="0"/>
      <dgm:spPr/>
    </dgm:pt>
    <dgm:pt modelId="{8C3AFFDF-EDF2-41EC-8276-FE403D5984AD}" type="pres">
      <dgm:prSet presAssocID="{EE62B8F1-F4E6-48A2-960A-48CDD1FA55B0}" presName="hierChild5" presStyleCnt="0"/>
      <dgm:spPr/>
    </dgm:pt>
    <dgm:pt modelId="{24DE52B5-08FF-42A1-B0B6-64D2A6D8B77F}" type="pres">
      <dgm:prSet presAssocID="{7F90440C-5F41-4008-9FEA-2DC8E6B30C53}" presName="Name37" presStyleLbl="parChTrans1D2" presStyleIdx="4" presStyleCnt="7"/>
      <dgm:spPr/>
    </dgm:pt>
    <dgm:pt modelId="{E26EF428-DB88-418C-AAC6-3345127A7F55}" type="pres">
      <dgm:prSet presAssocID="{01CE80BC-6053-449A-A489-32215BBB068C}" presName="hierRoot2" presStyleCnt="0">
        <dgm:presLayoutVars>
          <dgm:hierBranch val="init"/>
        </dgm:presLayoutVars>
      </dgm:prSet>
      <dgm:spPr/>
    </dgm:pt>
    <dgm:pt modelId="{59A0A982-0106-44CE-8116-66358951EF1C}" type="pres">
      <dgm:prSet presAssocID="{01CE80BC-6053-449A-A489-32215BBB068C}" presName="rootComposite" presStyleCnt="0"/>
      <dgm:spPr/>
    </dgm:pt>
    <dgm:pt modelId="{81816765-FEF0-474E-B50B-DE7FEA99B3E4}" type="pres">
      <dgm:prSet presAssocID="{01CE80BC-6053-449A-A489-32215BBB068C}" presName="rootText" presStyleLbl="node2" presStyleIdx="4" presStyleCnt="7" custScaleX="262785" custScaleY="804497" custLinFactY="100000" custLinFactNeighborY="142530">
        <dgm:presLayoutVars>
          <dgm:chPref val="3"/>
        </dgm:presLayoutVars>
      </dgm:prSet>
      <dgm:spPr/>
    </dgm:pt>
    <dgm:pt modelId="{E9197DA7-443C-42E1-96E4-D029344C00AC}" type="pres">
      <dgm:prSet presAssocID="{01CE80BC-6053-449A-A489-32215BBB068C}" presName="rootConnector" presStyleLbl="node2" presStyleIdx="4" presStyleCnt="7"/>
      <dgm:spPr/>
    </dgm:pt>
    <dgm:pt modelId="{895CB422-B8F9-448C-B935-3A66BDCC9AAA}" type="pres">
      <dgm:prSet presAssocID="{01CE80BC-6053-449A-A489-32215BBB068C}" presName="hierChild4" presStyleCnt="0"/>
      <dgm:spPr/>
    </dgm:pt>
    <dgm:pt modelId="{B65B04CA-2118-4B11-AF37-E92DB1AE1D63}" type="pres">
      <dgm:prSet presAssocID="{01CE80BC-6053-449A-A489-32215BBB068C}" presName="hierChild5" presStyleCnt="0"/>
      <dgm:spPr/>
    </dgm:pt>
    <dgm:pt modelId="{2A77F0C3-C19E-44E8-A8DF-C264B0D9C2A0}" type="pres">
      <dgm:prSet presAssocID="{F3938036-EB65-488D-A505-8AA0F88CD3F4}" presName="Name37" presStyleLbl="parChTrans1D2" presStyleIdx="5" presStyleCnt="7"/>
      <dgm:spPr/>
    </dgm:pt>
    <dgm:pt modelId="{E5A5FD55-4499-46D3-84C6-35FA067F8EB0}" type="pres">
      <dgm:prSet presAssocID="{CDC82CD7-1E53-4189-A7B4-E6654F01562F}" presName="hierRoot2" presStyleCnt="0">
        <dgm:presLayoutVars>
          <dgm:hierBranch val="init"/>
        </dgm:presLayoutVars>
      </dgm:prSet>
      <dgm:spPr/>
    </dgm:pt>
    <dgm:pt modelId="{B30B4F4C-2EAC-40F8-8BD7-7B944E24408C}" type="pres">
      <dgm:prSet presAssocID="{CDC82CD7-1E53-4189-A7B4-E6654F01562F}" presName="rootComposite" presStyleCnt="0"/>
      <dgm:spPr/>
    </dgm:pt>
    <dgm:pt modelId="{DE422567-7DEF-4AFE-AC19-972DDD6A252E}" type="pres">
      <dgm:prSet presAssocID="{CDC82CD7-1E53-4189-A7B4-E6654F01562F}" presName="rootText" presStyleLbl="node2" presStyleIdx="5" presStyleCnt="7" custScaleX="262785" custScaleY="804497" custLinFactY="100000" custLinFactNeighborY="142530">
        <dgm:presLayoutVars>
          <dgm:chPref val="3"/>
        </dgm:presLayoutVars>
      </dgm:prSet>
      <dgm:spPr/>
    </dgm:pt>
    <dgm:pt modelId="{60BD4F75-FB79-49E8-B7F0-687FDDC28EA8}" type="pres">
      <dgm:prSet presAssocID="{CDC82CD7-1E53-4189-A7B4-E6654F01562F}" presName="rootConnector" presStyleLbl="node2" presStyleIdx="5" presStyleCnt="7"/>
      <dgm:spPr/>
    </dgm:pt>
    <dgm:pt modelId="{64A01F4E-09D3-4979-8710-696C5B5C1D1C}" type="pres">
      <dgm:prSet presAssocID="{CDC82CD7-1E53-4189-A7B4-E6654F01562F}" presName="hierChild4" presStyleCnt="0"/>
      <dgm:spPr/>
    </dgm:pt>
    <dgm:pt modelId="{058FC968-E2F8-4A6D-9106-DA43A437FBF7}" type="pres">
      <dgm:prSet presAssocID="{CDC82CD7-1E53-4189-A7B4-E6654F01562F}" presName="hierChild5" presStyleCnt="0"/>
      <dgm:spPr/>
    </dgm:pt>
    <dgm:pt modelId="{8F8705B7-7D19-4332-A3B2-B86BF850401A}" type="pres">
      <dgm:prSet presAssocID="{16CF680E-1518-4982-95C9-014D72C41C93}" presName="Name37" presStyleLbl="parChTrans1D2" presStyleIdx="6" presStyleCnt="7"/>
      <dgm:spPr/>
    </dgm:pt>
    <dgm:pt modelId="{15060B4D-85B6-4EF7-95BE-26D56592C825}" type="pres">
      <dgm:prSet presAssocID="{34B5A4A0-F136-442C-852D-CED09B1FEA13}" presName="hierRoot2" presStyleCnt="0">
        <dgm:presLayoutVars>
          <dgm:hierBranch val="init"/>
        </dgm:presLayoutVars>
      </dgm:prSet>
      <dgm:spPr/>
    </dgm:pt>
    <dgm:pt modelId="{3B456822-06DD-42E0-9CEA-6ED84BF3C3BE}" type="pres">
      <dgm:prSet presAssocID="{34B5A4A0-F136-442C-852D-CED09B1FEA13}" presName="rootComposite" presStyleCnt="0"/>
      <dgm:spPr/>
    </dgm:pt>
    <dgm:pt modelId="{347F4702-19A9-40DB-AEA5-BDB4E88B0A23}" type="pres">
      <dgm:prSet presAssocID="{34B5A4A0-F136-442C-852D-CED09B1FEA13}" presName="rootText" presStyleLbl="node2" presStyleIdx="6" presStyleCnt="7" custScaleX="262785" custScaleY="804497" custLinFactY="100000" custLinFactNeighborY="142530">
        <dgm:presLayoutVars>
          <dgm:chPref val="3"/>
        </dgm:presLayoutVars>
      </dgm:prSet>
      <dgm:spPr/>
    </dgm:pt>
    <dgm:pt modelId="{270C1831-95CA-44BB-B007-AE5387A850BD}" type="pres">
      <dgm:prSet presAssocID="{34B5A4A0-F136-442C-852D-CED09B1FEA13}" presName="rootConnector" presStyleLbl="node2" presStyleIdx="6" presStyleCnt="7"/>
      <dgm:spPr/>
    </dgm:pt>
    <dgm:pt modelId="{12BD1150-24D9-4C6B-8683-5389AED7A20C}" type="pres">
      <dgm:prSet presAssocID="{34B5A4A0-F136-442C-852D-CED09B1FEA13}" presName="hierChild4" presStyleCnt="0"/>
      <dgm:spPr/>
    </dgm:pt>
    <dgm:pt modelId="{67247ED6-8D66-49B9-9238-1BA3076BBE8B}" type="pres">
      <dgm:prSet presAssocID="{34B5A4A0-F136-442C-852D-CED09B1FEA13}" presName="hierChild5" presStyleCnt="0"/>
      <dgm:spPr/>
    </dgm:pt>
    <dgm:pt modelId="{63A957EA-4B29-4CA3-BE22-78BD3C4165C4}" type="pres">
      <dgm:prSet presAssocID="{A7C65B6A-6AC9-440A-A606-C81BD80BDF2D}" presName="hierChild3" presStyleCnt="0"/>
      <dgm:spPr/>
    </dgm:pt>
  </dgm:ptLst>
  <dgm:cxnLst>
    <dgm:cxn modelId="{90B10B00-9C5C-4CB2-8AD7-FFD2387CDABB}" type="presOf" srcId="{2BEDDA25-FA6E-458E-B817-66855E8987DF}" destId="{34F47BE1-8FF8-43A4-B183-7B27DE0785B5}" srcOrd="0" destOrd="0" presId="urn:microsoft.com/office/officeart/2005/8/layout/orgChart1"/>
    <dgm:cxn modelId="{A8174B02-B7EF-401B-876A-979EF1E5E3DA}" type="presOf" srcId="{F3938036-EB65-488D-A505-8AA0F88CD3F4}" destId="{2A77F0C3-C19E-44E8-A8DF-C264B0D9C2A0}" srcOrd="0" destOrd="0" presId="urn:microsoft.com/office/officeart/2005/8/layout/orgChart1"/>
    <dgm:cxn modelId="{8CA56E03-218D-4EFF-8E37-595A5EF312CE}" type="presOf" srcId="{01CE80BC-6053-449A-A489-32215BBB068C}" destId="{E9197DA7-443C-42E1-96E4-D029344C00AC}" srcOrd="1" destOrd="0" presId="urn:microsoft.com/office/officeart/2005/8/layout/orgChart1"/>
    <dgm:cxn modelId="{92511509-9579-4A9D-941C-A06CE7741251}" type="presOf" srcId="{00661EC0-12FA-47A9-865E-0FAF13E582AB}" destId="{99159C85-1D58-4C87-849B-395E800C3809}" srcOrd="1" destOrd="0" presId="urn:microsoft.com/office/officeart/2005/8/layout/orgChart1"/>
    <dgm:cxn modelId="{D521B609-8FB1-47B5-84B6-FC92D38EEF91}" type="presOf" srcId="{F11E5023-A25C-42EC-B10D-5401D5B4F9F3}" destId="{A746AE96-6E98-4104-9082-B7EAEE45EE0D}" srcOrd="0" destOrd="0" presId="urn:microsoft.com/office/officeart/2005/8/layout/orgChart1"/>
    <dgm:cxn modelId="{22C1FF09-3C28-4E5A-9457-28F49B262556}" type="presOf" srcId="{01CE80BC-6053-449A-A489-32215BBB068C}" destId="{81816765-FEF0-474E-B50B-DE7FEA99B3E4}" srcOrd="0" destOrd="0" presId="urn:microsoft.com/office/officeart/2005/8/layout/orgChart1"/>
    <dgm:cxn modelId="{0D9AC40A-F4D7-4841-8DDB-21CB118B6CF2}" type="presOf" srcId="{A7C65B6A-6AC9-440A-A606-C81BD80BDF2D}" destId="{6A691DD9-2801-45B5-9E37-BEF856B93447}" srcOrd="1" destOrd="0" presId="urn:microsoft.com/office/officeart/2005/8/layout/orgChart1"/>
    <dgm:cxn modelId="{85DB731C-8C28-41E6-A63F-68DD0ECFAFA9}" srcId="{A7C65B6A-6AC9-440A-A606-C81BD80BDF2D}" destId="{CDC82CD7-1E53-4189-A7B4-E6654F01562F}" srcOrd="5" destOrd="0" parTransId="{F3938036-EB65-488D-A505-8AA0F88CD3F4}" sibTransId="{C175B4D3-6882-45D2-BDB5-8F23025F5F57}"/>
    <dgm:cxn modelId="{865DF126-0986-47D3-98AB-2F1D02E385F5}" type="presOf" srcId="{A7C65B6A-6AC9-440A-A606-C81BD80BDF2D}" destId="{91ABCFC2-F188-4BFE-9C9E-4D4CA72E670F}" srcOrd="0" destOrd="0" presId="urn:microsoft.com/office/officeart/2005/8/layout/orgChart1"/>
    <dgm:cxn modelId="{2E30D02A-7468-4AB9-B265-DC36882AFE84}" type="presOf" srcId="{EE62B8F1-F4E6-48A2-960A-48CDD1FA55B0}" destId="{1848395B-F1C4-44D6-A5DE-13DBEB8396D0}" srcOrd="1" destOrd="0" presId="urn:microsoft.com/office/officeart/2005/8/layout/orgChart1"/>
    <dgm:cxn modelId="{32899A32-8B5A-4276-9049-213FF0CFAC5E}" type="presOf" srcId="{00661EC0-12FA-47A9-865E-0FAF13E582AB}" destId="{1B8FD9C0-D24A-44AB-AD2E-8AAA492BAA32}" srcOrd="0" destOrd="0" presId="urn:microsoft.com/office/officeart/2005/8/layout/orgChart1"/>
    <dgm:cxn modelId="{3CCE3636-8593-4305-946C-CDD49A126A10}" type="presOf" srcId="{16CF680E-1518-4982-95C9-014D72C41C93}" destId="{8F8705B7-7D19-4332-A3B2-B86BF850401A}" srcOrd="0" destOrd="0" presId="urn:microsoft.com/office/officeart/2005/8/layout/orgChart1"/>
    <dgm:cxn modelId="{35CC1438-D1AC-4F8E-8E37-A2D5FD542C91}" type="presOf" srcId="{EE62B8F1-F4E6-48A2-960A-48CDD1FA55B0}" destId="{85D85A1D-CA75-4725-B5D2-F2054AE4E7F1}" srcOrd="0" destOrd="0" presId="urn:microsoft.com/office/officeart/2005/8/layout/orgChart1"/>
    <dgm:cxn modelId="{87866F39-931F-4AC8-9D0C-933A3136B115}" type="presOf" srcId="{34B5A4A0-F136-442C-852D-CED09B1FEA13}" destId="{347F4702-19A9-40DB-AEA5-BDB4E88B0A23}" srcOrd="0" destOrd="0" presId="urn:microsoft.com/office/officeart/2005/8/layout/orgChart1"/>
    <dgm:cxn modelId="{002FBD4D-18AE-42FD-B921-BC960F471021}" type="presOf" srcId="{DCB0481C-B45B-43D1-83B9-D8D144155D95}" destId="{2895AA30-B5D2-4761-9015-2BA01A1AA0D1}" srcOrd="1" destOrd="0" presId="urn:microsoft.com/office/officeart/2005/8/layout/orgChart1"/>
    <dgm:cxn modelId="{06540655-8BE3-4135-BFAC-48EAF4F20935}" type="presOf" srcId="{CDC82CD7-1E53-4189-A7B4-E6654F01562F}" destId="{DE422567-7DEF-4AFE-AC19-972DDD6A252E}" srcOrd="0" destOrd="0" presId="urn:microsoft.com/office/officeart/2005/8/layout/orgChart1"/>
    <dgm:cxn modelId="{32178659-D028-472C-BDB5-D1712D05C2D1}" type="presOf" srcId="{DCB0481C-B45B-43D1-83B9-D8D144155D95}" destId="{7ABFFCC2-6BF7-458B-99F6-F9709A72616B}" srcOrd="0" destOrd="0" presId="urn:microsoft.com/office/officeart/2005/8/layout/orgChart1"/>
    <dgm:cxn modelId="{2E303687-3BB1-4FFF-8F0A-E3110E10AA7D}" type="presOf" srcId="{34B5A4A0-F136-442C-852D-CED09B1FEA13}" destId="{270C1831-95CA-44BB-B007-AE5387A850BD}" srcOrd="1" destOrd="0" presId="urn:microsoft.com/office/officeart/2005/8/layout/orgChart1"/>
    <dgm:cxn modelId="{9176618C-78E3-4EEE-BFA5-FE26B48EED72}" srcId="{A7C65B6A-6AC9-440A-A606-C81BD80BDF2D}" destId="{DCB0481C-B45B-43D1-83B9-D8D144155D95}" srcOrd="0" destOrd="0" parTransId="{F11E5023-A25C-42EC-B10D-5401D5B4F9F3}" sibTransId="{8D7E1589-486F-49A0-8F65-DD3E52CA9C91}"/>
    <dgm:cxn modelId="{29F61593-C3A3-4EC3-BD7F-DB506D964BED}" srcId="{A7C65B6A-6AC9-440A-A606-C81BD80BDF2D}" destId="{00661EC0-12FA-47A9-865E-0FAF13E582AB}" srcOrd="1" destOrd="0" parTransId="{1F92ABFC-3E3D-49FC-BF0B-E24C27A21829}" sibTransId="{98BC2A65-2B0B-482A-A103-53A7872B6EF4}"/>
    <dgm:cxn modelId="{F2A0DD98-FCA0-4095-8441-4EEEB64074BF}" srcId="{2BEDDA25-FA6E-458E-B817-66855E8987DF}" destId="{A7C65B6A-6AC9-440A-A606-C81BD80BDF2D}" srcOrd="0" destOrd="0" parTransId="{39768BEC-2959-4A24-88EB-CF178F4A602D}" sibTransId="{7EBD7509-C4D4-4F3F-AFD0-27967F0F2A68}"/>
    <dgm:cxn modelId="{20F00C9D-1977-4F52-8F74-0449E007B093}" type="presOf" srcId="{1F92ABFC-3E3D-49FC-BF0B-E24C27A21829}" destId="{5204631E-74EB-40E8-A900-343E0649A8B2}" srcOrd="0" destOrd="0" presId="urn:microsoft.com/office/officeart/2005/8/layout/orgChart1"/>
    <dgm:cxn modelId="{56D491AC-5ABD-435A-A236-64CEDD49CA4D}" type="presOf" srcId="{25CD0DEF-3D36-4589-A84A-B0ECFF9C7C6E}" destId="{9229AD25-3DCD-4AFF-AAAC-FC0ADB8C2EB6}" srcOrd="0" destOrd="0" presId="urn:microsoft.com/office/officeart/2005/8/layout/orgChart1"/>
    <dgm:cxn modelId="{853EC6AC-F2EB-44EC-94D8-82777B2F3379}" type="presOf" srcId="{CDC82CD7-1E53-4189-A7B4-E6654F01562F}" destId="{60BD4F75-FB79-49E8-B7F0-687FDDC28EA8}" srcOrd="1" destOrd="0" presId="urn:microsoft.com/office/officeart/2005/8/layout/orgChart1"/>
    <dgm:cxn modelId="{F2F9C6AC-96D5-4FE8-86D2-66DCE502C612}" srcId="{A7C65B6A-6AC9-440A-A606-C81BD80BDF2D}" destId="{EE62B8F1-F4E6-48A2-960A-48CDD1FA55B0}" srcOrd="3" destOrd="0" parTransId="{EAC9F0F0-04CA-4A22-834B-6E78B2B6E0F7}" sibTransId="{11644282-1359-41CE-81FB-4C544509C3AA}"/>
    <dgm:cxn modelId="{497F0AAF-24BF-48C4-85BC-1FFF41AB7E01}" type="presOf" srcId="{7F90440C-5F41-4008-9FEA-2DC8E6B30C53}" destId="{24DE52B5-08FF-42A1-B0B6-64D2A6D8B77F}" srcOrd="0" destOrd="0" presId="urn:microsoft.com/office/officeart/2005/8/layout/orgChart1"/>
    <dgm:cxn modelId="{9B4F8EC6-EA5E-4C92-B802-832022540C14}" srcId="{A7C65B6A-6AC9-440A-A606-C81BD80BDF2D}" destId="{01CE80BC-6053-449A-A489-32215BBB068C}" srcOrd="4" destOrd="0" parTransId="{7F90440C-5F41-4008-9FEA-2DC8E6B30C53}" sibTransId="{162C5EF0-CC3D-4534-A3FA-2EAAB35C26B5}"/>
    <dgm:cxn modelId="{382793C6-6243-4EAF-90BD-E9110EE82D89}" srcId="{A7C65B6A-6AC9-440A-A606-C81BD80BDF2D}" destId="{25CD0DEF-3D36-4589-A84A-B0ECFF9C7C6E}" srcOrd="2" destOrd="0" parTransId="{3BA6E236-8BAC-40B9-8C90-F25C8B0F404F}" sibTransId="{4AF2DA10-EDA5-4D6B-BE33-5F10134B20E5}"/>
    <dgm:cxn modelId="{5A251ECA-82F4-46CB-A673-0638C970FEFD}" type="presOf" srcId="{3BA6E236-8BAC-40B9-8C90-F25C8B0F404F}" destId="{5074BED5-7F8D-4722-8C22-FCAF11748259}" srcOrd="0" destOrd="0" presId="urn:microsoft.com/office/officeart/2005/8/layout/orgChart1"/>
    <dgm:cxn modelId="{02254FCD-E664-41AC-8612-C15AF18868A0}" srcId="{A7C65B6A-6AC9-440A-A606-C81BD80BDF2D}" destId="{34B5A4A0-F136-442C-852D-CED09B1FEA13}" srcOrd="6" destOrd="0" parTransId="{16CF680E-1518-4982-95C9-014D72C41C93}" sibTransId="{49D2F7ED-EBBB-478A-A2AB-07A283232563}"/>
    <dgm:cxn modelId="{3AB0AAF7-9BEC-43B6-B226-BFD427D64F5E}" type="presOf" srcId="{EAC9F0F0-04CA-4A22-834B-6E78B2B6E0F7}" destId="{4B3E5FFA-091C-4112-8497-AB0D174270C1}" srcOrd="0" destOrd="0" presId="urn:microsoft.com/office/officeart/2005/8/layout/orgChart1"/>
    <dgm:cxn modelId="{01736AFA-84F6-492A-85BE-EE0EB1AF091B}" type="presOf" srcId="{25CD0DEF-3D36-4589-A84A-B0ECFF9C7C6E}" destId="{4D526FDE-5182-4828-970F-1320AD803384}" srcOrd="1" destOrd="0" presId="urn:microsoft.com/office/officeart/2005/8/layout/orgChart1"/>
    <dgm:cxn modelId="{4EE0F3F2-2454-45E9-ACCF-98BBCA39A12D}" type="presParOf" srcId="{34F47BE1-8FF8-43A4-B183-7B27DE0785B5}" destId="{6A572C49-881A-4ED4-8FB6-A933C9B48317}" srcOrd="0" destOrd="0" presId="urn:microsoft.com/office/officeart/2005/8/layout/orgChart1"/>
    <dgm:cxn modelId="{82154702-C03D-4562-A423-6D37D9427BC6}" type="presParOf" srcId="{6A572C49-881A-4ED4-8FB6-A933C9B48317}" destId="{3AA2D5A4-6D7D-4A3F-B157-5773AD3E8B86}" srcOrd="0" destOrd="0" presId="urn:microsoft.com/office/officeart/2005/8/layout/orgChart1"/>
    <dgm:cxn modelId="{6E821733-93F0-40EA-98C3-618714665318}" type="presParOf" srcId="{3AA2D5A4-6D7D-4A3F-B157-5773AD3E8B86}" destId="{91ABCFC2-F188-4BFE-9C9E-4D4CA72E670F}" srcOrd="0" destOrd="0" presId="urn:microsoft.com/office/officeart/2005/8/layout/orgChart1"/>
    <dgm:cxn modelId="{215D3DB5-55B4-455B-B3F1-732A0F8D699A}" type="presParOf" srcId="{3AA2D5A4-6D7D-4A3F-B157-5773AD3E8B86}" destId="{6A691DD9-2801-45B5-9E37-BEF856B93447}" srcOrd="1" destOrd="0" presId="urn:microsoft.com/office/officeart/2005/8/layout/orgChart1"/>
    <dgm:cxn modelId="{7231D68A-2B83-4D95-B7C1-1A426B868019}" type="presParOf" srcId="{6A572C49-881A-4ED4-8FB6-A933C9B48317}" destId="{F0A1E5E6-5609-4D80-B6C7-A8F16C478FB7}" srcOrd="1" destOrd="0" presId="urn:microsoft.com/office/officeart/2005/8/layout/orgChart1"/>
    <dgm:cxn modelId="{C570F9D5-8BEF-4705-A16A-614A5CB60D5E}" type="presParOf" srcId="{F0A1E5E6-5609-4D80-B6C7-A8F16C478FB7}" destId="{A746AE96-6E98-4104-9082-B7EAEE45EE0D}" srcOrd="0" destOrd="0" presId="urn:microsoft.com/office/officeart/2005/8/layout/orgChart1"/>
    <dgm:cxn modelId="{68620D1F-BBB1-4BD4-A4D8-B17212DB7D03}" type="presParOf" srcId="{F0A1E5E6-5609-4D80-B6C7-A8F16C478FB7}" destId="{77F662FB-AADF-485F-A8EF-EDEDC462F55B}" srcOrd="1" destOrd="0" presId="urn:microsoft.com/office/officeart/2005/8/layout/orgChart1"/>
    <dgm:cxn modelId="{71EB3BFB-61E4-4FE9-A82A-374B3CF8EADD}" type="presParOf" srcId="{77F662FB-AADF-485F-A8EF-EDEDC462F55B}" destId="{D5212000-3645-461C-B96E-7AEABC998D0C}" srcOrd="0" destOrd="0" presId="urn:microsoft.com/office/officeart/2005/8/layout/orgChart1"/>
    <dgm:cxn modelId="{5F09FBB2-7D1E-47E5-964C-4A37830FBBA4}" type="presParOf" srcId="{D5212000-3645-461C-B96E-7AEABC998D0C}" destId="{7ABFFCC2-6BF7-458B-99F6-F9709A72616B}" srcOrd="0" destOrd="0" presId="urn:microsoft.com/office/officeart/2005/8/layout/orgChart1"/>
    <dgm:cxn modelId="{75380ABD-34D6-479F-8CFE-36F20F4F46DE}" type="presParOf" srcId="{D5212000-3645-461C-B96E-7AEABC998D0C}" destId="{2895AA30-B5D2-4761-9015-2BA01A1AA0D1}" srcOrd="1" destOrd="0" presId="urn:microsoft.com/office/officeart/2005/8/layout/orgChart1"/>
    <dgm:cxn modelId="{DC3B9EB3-0910-4AC2-8ADE-CF4F9510D9BF}" type="presParOf" srcId="{77F662FB-AADF-485F-A8EF-EDEDC462F55B}" destId="{02FC1AAC-3416-4D3D-BB9A-AE27660D7C4A}" srcOrd="1" destOrd="0" presId="urn:microsoft.com/office/officeart/2005/8/layout/orgChart1"/>
    <dgm:cxn modelId="{D6412050-0FA2-49EA-AFF3-F17AA7B58DA4}" type="presParOf" srcId="{77F662FB-AADF-485F-A8EF-EDEDC462F55B}" destId="{C6DF9A68-3064-421A-9195-C89D5D37A8E4}" srcOrd="2" destOrd="0" presId="urn:microsoft.com/office/officeart/2005/8/layout/orgChart1"/>
    <dgm:cxn modelId="{D20090B3-9C58-4FA7-85E6-5721CA9D2488}" type="presParOf" srcId="{F0A1E5E6-5609-4D80-B6C7-A8F16C478FB7}" destId="{5204631E-74EB-40E8-A900-343E0649A8B2}" srcOrd="2" destOrd="0" presId="urn:microsoft.com/office/officeart/2005/8/layout/orgChart1"/>
    <dgm:cxn modelId="{D8A9FDCD-6151-4BBE-8D33-83EFF7937F5D}" type="presParOf" srcId="{F0A1E5E6-5609-4D80-B6C7-A8F16C478FB7}" destId="{B7328F7B-6ECD-4ABF-8304-3754F18C7233}" srcOrd="3" destOrd="0" presId="urn:microsoft.com/office/officeart/2005/8/layout/orgChart1"/>
    <dgm:cxn modelId="{57D4DF9F-729A-414D-BD15-C267FFE2C52E}" type="presParOf" srcId="{B7328F7B-6ECD-4ABF-8304-3754F18C7233}" destId="{187EF40A-C644-4282-8B27-179B4E347095}" srcOrd="0" destOrd="0" presId="urn:microsoft.com/office/officeart/2005/8/layout/orgChart1"/>
    <dgm:cxn modelId="{D69297F8-16F7-4166-B14A-7DA8C0BCEC87}" type="presParOf" srcId="{187EF40A-C644-4282-8B27-179B4E347095}" destId="{1B8FD9C0-D24A-44AB-AD2E-8AAA492BAA32}" srcOrd="0" destOrd="0" presId="urn:microsoft.com/office/officeart/2005/8/layout/orgChart1"/>
    <dgm:cxn modelId="{88E75AE3-9372-47E2-983E-A4839E2842B9}" type="presParOf" srcId="{187EF40A-C644-4282-8B27-179B4E347095}" destId="{99159C85-1D58-4C87-849B-395E800C3809}" srcOrd="1" destOrd="0" presId="urn:microsoft.com/office/officeart/2005/8/layout/orgChart1"/>
    <dgm:cxn modelId="{48EFEBFB-6A00-41F7-B51F-0A5380C7D98E}" type="presParOf" srcId="{B7328F7B-6ECD-4ABF-8304-3754F18C7233}" destId="{DB81C859-6EAD-4BAA-82E7-D7F7A2577C41}" srcOrd="1" destOrd="0" presId="urn:microsoft.com/office/officeart/2005/8/layout/orgChart1"/>
    <dgm:cxn modelId="{9B716519-C400-479D-B675-6FE4C965D21F}" type="presParOf" srcId="{B7328F7B-6ECD-4ABF-8304-3754F18C7233}" destId="{065F31F9-E2B5-4852-B16E-A07A0FD0AE98}" srcOrd="2" destOrd="0" presId="urn:microsoft.com/office/officeart/2005/8/layout/orgChart1"/>
    <dgm:cxn modelId="{8F8E2C08-98BB-45F2-9A02-16B83A9F74D8}" type="presParOf" srcId="{F0A1E5E6-5609-4D80-B6C7-A8F16C478FB7}" destId="{5074BED5-7F8D-4722-8C22-FCAF11748259}" srcOrd="4" destOrd="0" presId="urn:microsoft.com/office/officeart/2005/8/layout/orgChart1"/>
    <dgm:cxn modelId="{6B3BA07F-00B3-4962-850D-6915D1D36FFF}" type="presParOf" srcId="{F0A1E5E6-5609-4D80-B6C7-A8F16C478FB7}" destId="{F5E5FD7E-8469-4761-B823-B187F70113DC}" srcOrd="5" destOrd="0" presId="urn:microsoft.com/office/officeart/2005/8/layout/orgChart1"/>
    <dgm:cxn modelId="{799EEBB2-A71C-4C5B-A8E3-FD2DCED53A6B}" type="presParOf" srcId="{F5E5FD7E-8469-4761-B823-B187F70113DC}" destId="{8C58DA5E-278D-40BA-8AAE-BA1E40F793A2}" srcOrd="0" destOrd="0" presId="urn:microsoft.com/office/officeart/2005/8/layout/orgChart1"/>
    <dgm:cxn modelId="{84E845B4-DD3C-421D-898E-8EEDE3FD9F2D}" type="presParOf" srcId="{8C58DA5E-278D-40BA-8AAE-BA1E40F793A2}" destId="{9229AD25-3DCD-4AFF-AAAC-FC0ADB8C2EB6}" srcOrd="0" destOrd="0" presId="urn:microsoft.com/office/officeart/2005/8/layout/orgChart1"/>
    <dgm:cxn modelId="{147F9112-999F-45ED-808B-35E92BBD934D}" type="presParOf" srcId="{8C58DA5E-278D-40BA-8AAE-BA1E40F793A2}" destId="{4D526FDE-5182-4828-970F-1320AD803384}" srcOrd="1" destOrd="0" presId="urn:microsoft.com/office/officeart/2005/8/layout/orgChart1"/>
    <dgm:cxn modelId="{4C955F62-2428-418D-8576-ACB1E52E158B}" type="presParOf" srcId="{F5E5FD7E-8469-4761-B823-B187F70113DC}" destId="{1617BDCC-C65E-4674-BFBD-5F68C8FC0415}" srcOrd="1" destOrd="0" presId="urn:microsoft.com/office/officeart/2005/8/layout/orgChart1"/>
    <dgm:cxn modelId="{10E01A6B-6492-4B7C-A517-C79DA5291418}" type="presParOf" srcId="{F5E5FD7E-8469-4761-B823-B187F70113DC}" destId="{4298C4FA-300B-4CE5-8F84-382D9AAF2FC0}" srcOrd="2" destOrd="0" presId="urn:microsoft.com/office/officeart/2005/8/layout/orgChart1"/>
    <dgm:cxn modelId="{8FC3912E-DE58-4185-B41F-D7A434296A8B}" type="presParOf" srcId="{F0A1E5E6-5609-4D80-B6C7-A8F16C478FB7}" destId="{4B3E5FFA-091C-4112-8497-AB0D174270C1}" srcOrd="6" destOrd="0" presId="urn:microsoft.com/office/officeart/2005/8/layout/orgChart1"/>
    <dgm:cxn modelId="{E5283856-1560-4391-88FE-44FD0CE0E270}" type="presParOf" srcId="{F0A1E5E6-5609-4D80-B6C7-A8F16C478FB7}" destId="{7D8A3C03-92BB-418D-B8DE-30B003C4700C}" srcOrd="7" destOrd="0" presId="urn:microsoft.com/office/officeart/2005/8/layout/orgChart1"/>
    <dgm:cxn modelId="{74440A11-1EE7-44A6-AF35-E4EC763EE707}" type="presParOf" srcId="{7D8A3C03-92BB-418D-B8DE-30B003C4700C}" destId="{18A51363-A1C1-4589-8E89-3FD72BDD974A}" srcOrd="0" destOrd="0" presId="urn:microsoft.com/office/officeart/2005/8/layout/orgChart1"/>
    <dgm:cxn modelId="{C998BCBE-38EF-40F3-82B1-BF50C1380C4F}" type="presParOf" srcId="{18A51363-A1C1-4589-8E89-3FD72BDD974A}" destId="{85D85A1D-CA75-4725-B5D2-F2054AE4E7F1}" srcOrd="0" destOrd="0" presId="urn:microsoft.com/office/officeart/2005/8/layout/orgChart1"/>
    <dgm:cxn modelId="{0C0B2EFB-5BBE-4403-95F8-11735916FB95}" type="presParOf" srcId="{18A51363-A1C1-4589-8E89-3FD72BDD974A}" destId="{1848395B-F1C4-44D6-A5DE-13DBEB8396D0}" srcOrd="1" destOrd="0" presId="urn:microsoft.com/office/officeart/2005/8/layout/orgChart1"/>
    <dgm:cxn modelId="{A2FE84E4-0684-45F1-8688-69D6F450D6B1}" type="presParOf" srcId="{7D8A3C03-92BB-418D-B8DE-30B003C4700C}" destId="{8DB60611-1719-4D08-9214-0A7C6FF7D01B}" srcOrd="1" destOrd="0" presId="urn:microsoft.com/office/officeart/2005/8/layout/orgChart1"/>
    <dgm:cxn modelId="{B0EC8986-6D2A-49F0-9153-BB67C23C2804}" type="presParOf" srcId="{7D8A3C03-92BB-418D-B8DE-30B003C4700C}" destId="{8C3AFFDF-EDF2-41EC-8276-FE403D5984AD}" srcOrd="2" destOrd="0" presId="urn:microsoft.com/office/officeart/2005/8/layout/orgChart1"/>
    <dgm:cxn modelId="{257FEF6F-71FD-49F6-B3C5-E6D40E6D353E}" type="presParOf" srcId="{F0A1E5E6-5609-4D80-B6C7-A8F16C478FB7}" destId="{24DE52B5-08FF-42A1-B0B6-64D2A6D8B77F}" srcOrd="8" destOrd="0" presId="urn:microsoft.com/office/officeart/2005/8/layout/orgChart1"/>
    <dgm:cxn modelId="{CA81AE25-DCC4-484C-B4C8-60CE184F1246}" type="presParOf" srcId="{F0A1E5E6-5609-4D80-B6C7-A8F16C478FB7}" destId="{E26EF428-DB88-418C-AAC6-3345127A7F55}" srcOrd="9" destOrd="0" presId="urn:microsoft.com/office/officeart/2005/8/layout/orgChart1"/>
    <dgm:cxn modelId="{F33F5448-A5C4-4BB5-8EBA-7F217AAECC7B}" type="presParOf" srcId="{E26EF428-DB88-418C-AAC6-3345127A7F55}" destId="{59A0A982-0106-44CE-8116-66358951EF1C}" srcOrd="0" destOrd="0" presId="urn:microsoft.com/office/officeart/2005/8/layout/orgChart1"/>
    <dgm:cxn modelId="{EF396689-E221-4499-B860-914E7AF4711B}" type="presParOf" srcId="{59A0A982-0106-44CE-8116-66358951EF1C}" destId="{81816765-FEF0-474E-B50B-DE7FEA99B3E4}" srcOrd="0" destOrd="0" presId="urn:microsoft.com/office/officeart/2005/8/layout/orgChart1"/>
    <dgm:cxn modelId="{C8A25D22-2266-4186-A46D-BA58180F7483}" type="presParOf" srcId="{59A0A982-0106-44CE-8116-66358951EF1C}" destId="{E9197DA7-443C-42E1-96E4-D029344C00AC}" srcOrd="1" destOrd="0" presId="urn:microsoft.com/office/officeart/2005/8/layout/orgChart1"/>
    <dgm:cxn modelId="{8C9D9E99-C3FD-46E1-846A-F8B8847895C0}" type="presParOf" srcId="{E26EF428-DB88-418C-AAC6-3345127A7F55}" destId="{895CB422-B8F9-448C-B935-3A66BDCC9AAA}" srcOrd="1" destOrd="0" presId="urn:microsoft.com/office/officeart/2005/8/layout/orgChart1"/>
    <dgm:cxn modelId="{B00A8DE4-21B1-4CE1-9452-C85E313B687D}" type="presParOf" srcId="{E26EF428-DB88-418C-AAC6-3345127A7F55}" destId="{B65B04CA-2118-4B11-AF37-E92DB1AE1D63}" srcOrd="2" destOrd="0" presId="urn:microsoft.com/office/officeart/2005/8/layout/orgChart1"/>
    <dgm:cxn modelId="{519FBAA0-3BC9-4391-A37B-600A781CEF26}" type="presParOf" srcId="{F0A1E5E6-5609-4D80-B6C7-A8F16C478FB7}" destId="{2A77F0C3-C19E-44E8-A8DF-C264B0D9C2A0}" srcOrd="10" destOrd="0" presId="urn:microsoft.com/office/officeart/2005/8/layout/orgChart1"/>
    <dgm:cxn modelId="{4B08EB2D-B1F6-4DC8-8784-555C5E9EA784}" type="presParOf" srcId="{F0A1E5E6-5609-4D80-B6C7-A8F16C478FB7}" destId="{E5A5FD55-4499-46D3-84C6-35FA067F8EB0}" srcOrd="11" destOrd="0" presId="urn:microsoft.com/office/officeart/2005/8/layout/orgChart1"/>
    <dgm:cxn modelId="{1C1BF714-AD1D-4EBD-B3D4-79D6EC9D496B}" type="presParOf" srcId="{E5A5FD55-4499-46D3-84C6-35FA067F8EB0}" destId="{B30B4F4C-2EAC-40F8-8BD7-7B944E24408C}" srcOrd="0" destOrd="0" presId="urn:microsoft.com/office/officeart/2005/8/layout/orgChart1"/>
    <dgm:cxn modelId="{3AC39D46-8AC5-4528-97E1-90541EA3FF43}" type="presParOf" srcId="{B30B4F4C-2EAC-40F8-8BD7-7B944E24408C}" destId="{DE422567-7DEF-4AFE-AC19-972DDD6A252E}" srcOrd="0" destOrd="0" presId="urn:microsoft.com/office/officeart/2005/8/layout/orgChart1"/>
    <dgm:cxn modelId="{1C6A559C-C04A-4B7A-B282-EE927F387A21}" type="presParOf" srcId="{B30B4F4C-2EAC-40F8-8BD7-7B944E24408C}" destId="{60BD4F75-FB79-49E8-B7F0-687FDDC28EA8}" srcOrd="1" destOrd="0" presId="urn:microsoft.com/office/officeart/2005/8/layout/orgChart1"/>
    <dgm:cxn modelId="{C8D65F67-850B-4ABB-8C32-8A4935282D22}" type="presParOf" srcId="{E5A5FD55-4499-46D3-84C6-35FA067F8EB0}" destId="{64A01F4E-09D3-4979-8710-696C5B5C1D1C}" srcOrd="1" destOrd="0" presId="urn:microsoft.com/office/officeart/2005/8/layout/orgChart1"/>
    <dgm:cxn modelId="{9A45FC46-4650-456B-A454-5B73B5F82F16}" type="presParOf" srcId="{E5A5FD55-4499-46D3-84C6-35FA067F8EB0}" destId="{058FC968-E2F8-4A6D-9106-DA43A437FBF7}" srcOrd="2" destOrd="0" presId="urn:microsoft.com/office/officeart/2005/8/layout/orgChart1"/>
    <dgm:cxn modelId="{5178F3FD-F1BB-4B02-A2D3-666933C078C1}" type="presParOf" srcId="{F0A1E5E6-5609-4D80-B6C7-A8F16C478FB7}" destId="{8F8705B7-7D19-4332-A3B2-B86BF850401A}" srcOrd="12" destOrd="0" presId="urn:microsoft.com/office/officeart/2005/8/layout/orgChart1"/>
    <dgm:cxn modelId="{6659281D-15F6-41FF-A32C-7118A7BB0407}" type="presParOf" srcId="{F0A1E5E6-5609-4D80-B6C7-A8F16C478FB7}" destId="{15060B4D-85B6-4EF7-95BE-26D56592C825}" srcOrd="13" destOrd="0" presId="urn:microsoft.com/office/officeart/2005/8/layout/orgChart1"/>
    <dgm:cxn modelId="{DF4FB96F-6C9E-4A61-A6C1-8F85799EA429}" type="presParOf" srcId="{15060B4D-85B6-4EF7-95BE-26D56592C825}" destId="{3B456822-06DD-42E0-9CEA-6ED84BF3C3BE}" srcOrd="0" destOrd="0" presId="urn:microsoft.com/office/officeart/2005/8/layout/orgChart1"/>
    <dgm:cxn modelId="{BD747803-4E2B-4FEF-8317-796064FD02D0}" type="presParOf" srcId="{3B456822-06DD-42E0-9CEA-6ED84BF3C3BE}" destId="{347F4702-19A9-40DB-AEA5-BDB4E88B0A23}" srcOrd="0" destOrd="0" presId="urn:microsoft.com/office/officeart/2005/8/layout/orgChart1"/>
    <dgm:cxn modelId="{F1072FD3-BF1B-4386-B800-57B9C6E61D61}" type="presParOf" srcId="{3B456822-06DD-42E0-9CEA-6ED84BF3C3BE}" destId="{270C1831-95CA-44BB-B007-AE5387A850BD}" srcOrd="1" destOrd="0" presId="urn:microsoft.com/office/officeart/2005/8/layout/orgChart1"/>
    <dgm:cxn modelId="{64D2B5C9-1524-4700-8B8C-FE7805B3A855}" type="presParOf" srcId="{15060B4D-85B6-4EF7-95BE-26D56592C825}" destId="{12BD1150-24D9-4C6B-8683-5389AED7A20C}" srcOrd="1" destOrd="0" presId="urn:microsoft.com/office/officeart/2005/8/layout/orgChart1"/>
    <dgm:cxn modelId="{00118963-4A8F-4AC2-BF9E-2713E6AFC6D8}" type="presParOf" srcId="{15060B4D-85B6-4EF7-95BE-26D56592C825}" destId="{67247ED6-8D66-49B9-9238-1BA3076BBE8B}" srcOrd="2" destOrd="0" presId="urn:microsoft.com/office/officeart/2005/8/layout/orgChart1"/>
    <dgm:cxn modelId="{9AB0C01A-6736-4457-BCD4-250927B66AB9}" type="presParOf" srcId="{6A572C49-881A-4ED4-8FB6-A933C9B48317}" destId="{63A957EA-4B29-4CA3-BE22-78BD3C4165C4}" srcOrd="2" destOrd="0" presId="urn:microsoft.com/office/officeart/2005/8/layout/orgChart1"/>
  </dgm:cxnLst>
  <dgm:bg/>
  <dgm:whole>
    <a:ln w="12700"/>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705B7-7D19-4332-A3B2-B86BF850401A}">
      <dsp:nvSpPr>
        <dsp:cNvPr id="0" name=""/>
        <dsp:cNvSpPr/>
      </dsp:nvSpPr>
      <dsp:spPr>
        <a:xfrm>
          <a:off x="3060382" y="1074717"/>
          <a:ext cx="2647772" cy="395084"/>
        </a:xfrm>
        <a:custGeom>
          <a:avLst/>
          <a:gdLst/>
          <a:ahLst/>
          <a:cxnLst/>
          <a:rect l="0" t="0" r="0" b="0"/>
          <a:pathLst>
            <a:path>
              <a:moveTo>
                <a:pt x="0" y="0"/>
              </a:moveTo>
              <a:lnTo>
                <a:pt x="0" y="362428"/>
              </a:lnTo>
              <a:lnTo>
                <a:pt x="2647772" y="362428"/>
              </a:lnTo>
              <a:lnTo>
                <a:pt x="2647772"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A77F0C3-C19E-44E8-A8DF-C264B0D9C2A0}">
      <dsp:nvSpPr>
        <dsp:cNvPr id="0" name=""/>
        <dsp:cNvSpPr/>
      </dsp:nvSpPr>
      <dsp:spPr>
        <a:xfrm>
          <a:off x="3060382" y="1074717"/>
          <a:ext cx="1765181" cy="395084"/>
        </a:xfrm>
        <a:custGeom>
          <a:avLst/>
          <a:gdLst/>
          <a:ahLst/>
          <a:cxnLst/>
          <a:rect l="0" t="0" r="0" b="0"/>
          <a:pathLst>
            <a:path>
              <a:moveTo>
                <a:pt x="0" y="0"/>
              </a:moveTo>
              <a:lnTo>
                <a:pt x="0" y="362428"/>
              </a:lnTo>
              <a:lnTo>
                <a:pt x="1765181" y="362428"/>
              </a:lnTo>
              <a:lnTo>
                <a:pt x="176518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4DE52B5-08FF-42A1-B0B6-64D2A6D8B77F}">
      <dsp:nvSpPr>
        <dsp:cNvPr id="0" name=""/>
        <dsp:cNvSpPr/>
      </dsp:nvSpPr>
      <dsp:spPr>
        <a:xfrm>
          <a:off x="3060382" y="1074717"/>
          <a:ext cx="882590" cy="395084"/>
        </a:xfrm>
        <a:custGeom>
          <a:avLst/>
          <a:gdLst/>
          <a:ahLst/>
          <a:cxnLst/>
          <a:rect l="0" t="0" r="0" b="0"/>
          <a:pathLst>
            <a:path>
              <a:moveTo>
                <a:pt x="0" y="0"/>
              </a:moveTo>
              <a:lnTo>
                <a:pt x="0" y="362428"/>
              </a:lnTo>
              <a:lnTo>
                <a:pt x="882590" y="362428"/>
              </a:lnTo>
              <a:lnTo>
                <a:pt x="882590" y="395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E5FFA-091C-4112-8497-AB0D174270C1}">
      <dsp:nvSpPr>
        <dsp:cNvPr id="0" name=""/>
        <dsp:cNvSpPr/>
      </dsp:nvSpPr>
      <dsp:spPr>
        <a:xfrm>
          <a:off x="3014662" y="1074717"/>
          <a:ext cx="91440" cy="395084"/>
        </a:xfrm>
        <a:custGeom>
          <a:avLst/>
          <a:gdLst/>
          <a:ahLst/>
          <a:cxnLst/>
          <a:rect l="0" t="0" r="0" b="0"/>
          <a:pathLst>
            <a:path>
              <a:moveTo>
                <a:pt x="45720" y="0"/>
              </a:moveTo>
              <a:lnTo>
                <a:pt x="45720" y="362428"/>
              </a:lnTo>
              <a:lnTo>
                <a:pt x="46351" y="362428"/>
              </a:lnTo>
              <a:lnTo>
                <a:pt x="4635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074BED5-7F8D-4722-8C22-FCAF11748259}">
      <dsp:nvSpPr>
        <dsp:cNvPr id="0" name=""/>
        <dsp:cNvSpPr/>
      </dsp:nvSpPr>
      <dsp:spPr>
        <a:xfrm>
          <a:off x="2177791" y="1074717"/>
          <a:ext cx="882590" cy="395084"/>
        </a:xfrm>
        <a:custGeom>
          <a:avLst/>
          <a:gdLst/>
          <a:ahLst/>
          <a:cxnLst/>
          <a:rect l="0" t="0" r="0" b="0"/>
          <a:pathLst>
            <a:path>
              <a:moveTo>
                <a:pt x="882590" y="0"/>
              </a:moveTo>
              <a:lnTo>
                <a:pt x="882590"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204631E-74EB-40E8-A900-343E0649A8B2}">
      <dsp:nvSpPr>
        <dsp:cNvPr id="0" name=""/>
        <dsp:cNvSpPr/>
      </dsp:nvSpPr>
      <dsp:spPr>
        <a:xfrm>
          <a:off x="1295200" y="1074717"/>
          <a:ext cx="1765181" cy="395084"/>
        </a:xfrm>
        <a:custGeom>
          <a:avLst/>
          <a:gdLst/>
          <a:ahLst/>
          <a:cxnLst/>
          <a:rect l="0" t="0" r="0" b="0"/>
          <a:pathLst>
            <a:path>
              <a:moveTo>
                <a:pt x="1765181" y="0"/>
              </a:moveTo>
              <a:lnTo>
                <a:pt x="1765181"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A746AE96-6E98-4104-9082-B7EAEE45EE0D}">
      <dsp:nvSpPr>
        <dsp:cNvPr id="0" name=""/>
        <dsp:cNvSpPr/>
      </dsp:nvSpPr>
      <dsp:spPr>
        <a:xfrm>
          <a:off x="412609" y="1074717"/>
          <a:ext cx="2647772" cy="395084"/>
        </a:xfrm>
        <a:custGeom>
          <a:avLst/>
          <a:gdLst/>
          <a:ahLst/>
          <a:cxnLst/>
          <a:rect l="0" t="0" r="0" b="0"/>
          <a:pathLst>
            <a:path>
              <a:moveTo>
                <a:pt x="2647772" y="0"/>
              </a:moveTo>
              <a:lnTo>
                <a:pt x="2647772"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91ABCFC2-F188-4BFE-9C9E-4D4CA72E670F}">
      <dsp:nvSpPr>
        <dsp:cNvPr id="0" name=""/>
        <dsp:cNvSpPr/>
      </dsp:nvSpPr>
      <dsp:spPr>
        <a:xfrm>
          <a:off x="2243247" y="657709"/>
          <a:ext cx="1634269" cy="417007"/>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chemeClr val="tx1"/>
              </a:solidFill>
              <a:latin typeface="Calibri "/>
            </a:rPr>
            <a:t>PR. HARTMUT EHRLICH</a:t>
          </a:r>
        </a:p>
        <a:p>
          <a:pPr marL="0" lvl="0" indent="0" algn="ctr" defTabSz="400050">
            <a:lnSpc>
              <a:spcPct val="90000"/>
            </a:lnSpc>
            <a:spcBef>
              <a:spcPct val="0"/>
            </a:spcBef>
            <a:spcAft>
              <a:spcPct val="35000"/>
            </a:spcAft>
            <a:buNone/>
          </a:pPr>
          <a:r>
            <a:rPr lang="fr-FR" sz="900" kern="1200" dirty="0">
              <a:solidFill>
                <a:schemeClr val="tx1"/>
              </a:solidFill>
              <a:latin typeface="Calibri "/>
            </a:rPr>
            <a:t>Directeur Général</a:t>
          </a:r>
          <a:endParaRPr lang="fr-FR" sz="900" kern="1200" dirty="0"/>
        </a:p>
      </dsp:txBody>
      <dsp:txXfrm>
        <a:off x="2243247" y="657709"/>
        <a:ext cx="1634269" cy="417007"/>
      </dsp:txXfrm>
    </dsp:sp>
    <dsp:sp modelId="{7ABFFCC2-6BF7-458B-99F6-F9709A72616B}">
      <dsp:nvSpPr>
        <dsp:cNvPr id="0" name=""/>
        <dsp:cNvSpPr/>
      </dsp:nvSpPr>
      <dsp:spPr>
        <a:xfrm>
          <a:off x="397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BLONDEL</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Administratif &amp; Financier et </a:t>
          </a:r>
        </a:p>
        <a:p>
          <a:pPr marL="0" lvl="0" indent="0" algn="ctr" defTabSz="400050">
            <a:lnSpc>
              <a:spcPct val="90000"/>
            </a:lnSpc>
            <a:spcBef>
              <a:spcPct val="0"/>
            </a:spcBef>
            <a:spcAft>
              <a:spcPct val="35000"/>
            </a:spcAft>
            <a:buNone/>
          </a:pPr>
          <a:r>
            <a:rPr lang="fr-FR" sz="900" kern="1200" dirty="0">
              <a:solidFill>
                <a:schemeClr val="tx1"/>
              </a:solidFill>
              <a:latin typeface="Calibri "/>
            </a:rPr>
            <a:t>Secrétaire du Conseil d'Administration</a:t>
          </a:r>
          <a:endParaRPr lang="fr-FR" sz="900" b="1" kern="1200" dirty="0">
            <a:solidFill>
              <a:schemeClr val="tx1"/>
            </a:solidFill>
            <a:latin typeface="Calibri "/>
          </a:endParaRPr>
        </a:p>
      </dsp:txBody>
      <dsp:txXfrm>
        <a:off x="3970" y="1469801"/>
        <a:ext cx="817279" cy="1251020"/>
      </dsp:txXfrm>
    </dsp:sp>
    <dsp:sp modelId="{1B8FD9C0-D24A-44AB-AD2E-8AAA492BAA32}">
      <dsp:nvSpPr>
        <dsp:cNvPr id="0" name=""/>
        <dsp:cNvSpPr/>
      </dsp:nvSpPr>
      <dsp:spPr>
        <a:xfrm>
          <a:off x="88656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PIERRE COURTEILLE</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Commercial et du Business </a:t>
          </a:r>
          <a:r>
            <a:rPr lang="fr-FR" sz="900" kern="1200" dirty="0" err="1">
              <a:solidFill>
                <a:schemeClr val="tx1"/>
              </a:solidFill>
              <a:latin typeface="Calibri "/>
            </a:rPr>
            <a:t>Development</a:t>
          </a:r>
          <a:r>
            <a:rPr lang="fr-FR" sz="900" kern="1200" dirty="0">
              <a:solidFill>
                <a:schemeClr val="tx1"/>
              </a:solidFill>
              <a:latin typeface="Calibri "/>
            </a:rPr>
            <a:t> </a:t>
          </a:r>
          <a:endParaRPr lang="fr-FR" sz="900" b="1" kern="1200" dirty="0">
            <a:solidFill>
              <a:schemeClr val="tx1"/>
            </a:solidFill>
            <a:latin typeface="Calibri "/>
          </a:endParaRPr>
        </a:p>
      </dsp:txBody>
      <dsp:txXfrm>
        <a:off x="886560" y="1469801"/>
        <a:ext cx="817279" cy="1251020"/>
      </dsp:txXfrm>
    </dsp:sp>
    <dsp:sp modelId="{9229AD25-3DCD-4AFF-AAAC-FC0ADB8C2EB6}">
      <dsp:nvSpPr>
        <dsp:cNvPr id="0" name=""/>
        <dsp:cNvSpPr/>
      </dsp:nvSpPr>
      <dsp:spPr>
        <a:xfrm>
          <a:off x="1769151"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JEAN-MARC STEENS</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t>
          </a:r>
        </a:p>
        <a:p>
          <a:pPr marL="0" lvl="0" indent="0" algn="ctr" defTabSz="400050">
            <a:lnSpc>
              <a:spcPct val="90000"/>
            </a:lnSpc>
            <a:spcBef>
              <a:spcPct val="0"/>
            </a:spcBef>
            <a:spcAft>
              <a:spcPct val="35000"/>
            </a:spcAft>
            <a:buNone/>
          </a:pPr>
          <a:r>
            <a:rPr lang="fr-FR" sz="900" kern="1200" dirty="0">
              <a:solidFill>
                <a:schemeClr val="tx1"/>
              </a:solidFill>
              <a:latin typeface="Calibri "/>
            </a:rPr>
            <a:t>Médical</a:t>
          </a:r>
          <a:endParaRPr lang="fr-FR" sz="900" b="1" kern="1200" dirty="0">
            <a:solidFill>
              <a:sysClr val="windowText" lastClr="000000"/>
            </a:solidFill>
            <a:latin typeface="Calibri "/>
          </a:endParaRPr>
        </a:p>
      </dsp:txBody>
      <dsp:txXfrm>
        <a:off x="1769151" y="1469801"/>
        <a:ext cx="817279" cy="1251020"/>
      </dsp:txXfrm>
    </dsp:sp>
    <dsp:sp modelId="{85D85A1D-CA75-4725-B5D2-F2054AE4E7F1}">
      <dsp:nvSpPr>
        <dsp:cNvPr id="0" name=""/>
        <dsp:cNvSpPr/>
      </dsp:nvSpPr>
      <dsp:spPr>
        <a:xfrm>
          <a:off x="265237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PAUL GINESTE</a:t>
          </a:r>
        </a:p>
        <a:p>
          <a:pPr marL="0" lvl="0" indent="0" algn="ctr" defTabSz="400050">
            <a:lnSpc>
              <a:spcPct val="90000"/>
            </a:lnSpc>
            <a:spcBef>
              <a:spcPct val="0"/>
            </a:spcBef>
            <a:spcAft>
              <a:spcPts val="0"/>
            </a:spcAft>
            <a:buNone/>
          </a:pPr>
          <a:r>
            <a:rPr lang="fr-FR" sz="900" kern="1200" dirty="0" err="1">
              <a:solidFill>
                <a:schemeClr val="tx1"/>
              </a:solidFill>
              <a:latin typeface="Calibri "/>
            </a:rPr>
            <a:t>V.P. Opérations Cliniques</a:t>
          </a:r>
        </a:p>
        <a:p>
          <a:pPr marL="0" lvl="0" indent="0" algn="ctr" defTabSz="400050">
            <a:lnSpc>
              <a:spcPct val="90000"/>
            </a:lnSpc>
            <a:spcBef>
              <a:spcPct val="0"/>
            </a:spcBef>
            <a:spcAft>
              <a:spcPts val="0"/>
            </a:spcAft>
            <a:buNone/>
          </a:pPr>
          <a:r>
            <a:rPr lang="fr-FR" sz="900" kern="1200" dirty="0">
              <a:solidFill>
                <a:schemeClr val="tx1"/>
              </a:solidFill>
              <a:latin typeface="Calibri "/>
            </a:rPr>
            <a:t> </a:t>
          </a:r>
          <a:endParaRPr lang="en-US" sz="600" kern="1200" dirty="0">
            <a:solidFill>
              <a:sysClr val="windowText" lastClr="000000"/>
            </a:solidFill>
          </a:endParaRPr>
        </a:p>
        <a:p>
          <a:pPr marL="0" lvl="0" indent="0" algn="ctr" defTabSz="400050">
            <a:lnSpc>
              <a:spcPct val="90000"/>
            </a:lnSpc>
            <a:spcBef>
              <a:spcPct val="0"/>
            </a:spcBef>
            <a:spcAft>
              <a:spcPct val="35000"/>
            </a:spcAft>
            <a:buNone/>
          </a:pPr>
          <a:endParaRPr lang="en-US" sz="600" kern="1200" dirty="0">
            <a:solidFill>
              <a:sysClr val="windowText" lastClr="000000"/>
            </a:solidFill>
          </a:endParaRPr>
        </a:p>
      </dsp:txBody>
      <dsp:txXfrm>
        <a:off x="2652374" y="1469801"/>
        <a:ext cx="817279" cy="1251020"/>
      </dsp:txXfrm>
    </dsp:sp>
    <dsp:sp modelId="{81816765-FEF0-474E-B50B-DE7FEA99B3E4}">
      <dsp:nvSpPr>
        <dsp:cNvPr id="0" name=""/>
        <dsp:cNvSpPr/>
      </dsp:nvSpPr>
      <dsp:spPr>
        <a:xfrm>
          <a:off x="3534333"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BERNARD FANGET</a:t>
          </a:r>
        </a:p>
        <a:p>
          <a:pPr marL="0" lvl="0" indent="0" algn="ctr" defTabSz="400050">
            <a:lnSpc>
              <a:spcPct val="90000"/>
            </a:lnSpc>
            <a:spcBef>
              <a:spcPct val="0"/>
            </a:spcBef>
            <a:spcAft>
              <a:spcPct val="35000"/>
            </a:spcAft>
            <a:buNone/>
          </a:pPr>
          <a:r>
            <a:rPr lang="fr-FR" sz="900" b="0" kern="1200" dirty="0">
              <a:solidFill>
                <a:schemeClr val="tx1"/>
              </a:solidFill>
              <a:latin typeface="Calibri "/>
            </a:rPr>
            <a:t>V.P. Affaires réglementaires</a:t>
          </a:r>
        </a:p>
      </dsp:txBody>
      <dsp:txXfrm>
        <a:off x="3534333" y="1469801"/>
        <a:ext cx="817279" cy="1251020"/>
      </dsp:txXfrm>
    </dsp:sp>
    <dsp:sp modelId="{DE422567-7DEF-4AFE-AC19-972DDD6A252E}">
      <dsp:nvSpPr>
        <dsp:cNvPr id="0" name=""/>
        <dsp:cNvSpPr/>
      </dsp:nvSpPr>
      <dsp:spPr>
        <a:xfrm>
          <a:off x="441692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JEROME DENIS </a:t>
          </a:r>
        </a:p>
        <a:p>
          <a:pPr marL="0" lvl="0" indent="0" algn="ctr" defTabSz="400050">
            <a:lnSpc>
              <a:spcPct val="90000"/>
            </a:lnSpc>
            <a:spcBef>
              <a:spcPct val="0"/>
            </a:spcBef>
            <a:spcAft>
              <a:spcPct val="35000"/>
            </a:spcAft>
            <a:buNone/>
          </a:pPr>
          <a:r>
            <a:rPr lang="fr-FR" sz="900" kern="1200" dirty="0">
              <a:solidFill>
                <a:sysClr val="windowText" lastClr="000000"/>
              </a:solidFill>
              <a:latin typeface="Calibri "/>
            </a:rPr>
            <a:t>V.P. Directeur de la Production et du Développement des Procédés </a:t>
          </a:r>
          <a:endParaRPr lang="fr-FR" sz="900" b="1" kern="1200" dirty="0">
            <a:solidFill>
              <a:schemeClr val="tx1"/>
            </a:solidFill>
            <a:latin typeface="Calibri "/>
          </a:endParaRPr>
        </a:p>
      </dsp:txBody>
      <dsp:txXfrm>
        <a:off x="4416924" y="1469801"/>
        <a:ext cx="817279" cy="1251020"/>
      </dsp:txXfrm>
    </dsp:sp>
    <dsp:sp modelId="{347F4702-19A9-40DB-AEA5-BDB4E88B0A23}">
      <dsp:nvSpPr>
        <dsp:cNvPr id="0" name=""/>
        <dsp:cNvSpPr/>
      </dsp:nvSpPr>
      <dsp:spPr>
        <a:xfrm>
          <a:off x="5299515"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SCHERRER</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de la Recherche</a:t>
          </a:r>
          <a:endParaRPr lang="fr-FR" sz="800" b="1" kern="1200" dirty="0">
            <a:solidFill>
              <a:schemeClr val="tx1"/>
            </a:solidFill>
            <a:latin typeface="Calibri "/>
          </a:endParaRPr>
        </a:p>
      </dsp:txBody>
      <dsp:txXfrm>
        <a:off x="5299515" y="1469801"/>
        <a:ext cx="817279" cy="12510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705B7-7D19-4332-A3B2-B86BF850401A}">
      <dsp:nvSpPr>
        <dsp:cNvPr id="0" name=""/>
        <dsp:cNvSpPr/>
      </dsp:nvSpPr>
      <dsp:spPr>
        <a:xfrm>
          <a:off x="3060382" y="1074717"/>
          <a:ext cx="2647772" cy="395084"/>
        </a:xfrm>
        <a:custGeom>
          <a:avLst/>
          <a:gdLst/>
          <a:ahLst/>
          <a:cxnLst/>
          <a:rect l="0" t="0" r="0" b="0"/>
          <a:pathLst>
            <a:path>
              <a:moveTo>
                <a:pt x="0" y="0"/>
              </a:moveTo>
              <a:lnTo>
                <a:pt x="0" y="362428"/>
              </a:lnTo>
              <a:lnTo>
                <a:pt x="2647772" y="362428"/>
              </a:lnTo>
              <a:lnTo>
                <a:pt x="2647772"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A77F0C3-C19E-44E8-A8DF-C264B0D9C2A0}">
      <dsp:nvSpPr>
        <dsp:cNvPr id="0" name=""/>
        <dsp:cNvSpPr/>
      </dsp:nvSpPr>
      <dsp:spPr>
        <a:xfrm>
          <a:off x="3060382" y="1074717"/>
          <a:ext cx="1765181" cy="395084"/>
        </a:xfrm>
        <a:custGeom>
          <a:avLst/>
          <a:gdLst/>
          <a:ahLst/>
          <a:cxnLst/>
          <a:rect l="0" t="0" r="0" b="0"/>
          <a:pathLst>
            <a:path>
              <a:moveTo>
                <a:pt x="0" y="0"/>
              </a:moveTo>
              <a:lnTo>
                <a:pt x="0" y="362428"/>
              </a:lnTo>
              <a:lnTo>
                <a:pt x="1765181" y="362428"/>
              </a:lnTo>
              <a:lnTo>
                <a:pt x="176518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4DE52B5-08FF-42A1-B0B6-64D2A6D8B77F}">
      <dsp:nvSpPr>
        <dsp:cNvPr id="0" name=""/>
        <dsp:cNvSpPr/>
      </dsp:nvSpPr>
      <dsp:spPr>
        <a:xfrm>
          <a:off x="3060382" y="1074717"/>
          <a:ext cx="882590" cy="395084"/>
        </a:xfrm>
        <a:custGeom>
          <a:avLst/>
          <a:gdLst/>
          <a:ahLst/>
          <a:cxnLst/>
          <a:rect l="0" t="0" r="0" b="0"/>
          <a:pathLst>
            <a:path>
              <a:moveTo>
                <a:pt x="0" y="0"/>
              </a:moveTo>
              <a:lnTo>
                <a:pt x="0" y="362428"/>
              </a:lnTo>
              <a:lnTo>
                <a:pt x="882590" y="362428"/>
              </a:lnTo>
              <a:lnTo>
                <a:pt x="882590" y="395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E5FFA-091C-4112-8497-AB0D174270C1}">
      <dsp:nvSpPr>
        <dsp:cNvPr id="0" name=""/>
        <dsp:cNvSpPr/>
      </dsp:nvSpPr>
      <dsp:spPr>
        <a:xfrm>
          <a:off x="3014662" y="1074717"/>
          <a:ext cx="91440" cy="395084"/>
        </a:xfrm>
        <a:custGeom>
          <a:avLst/>
          <a:gdLst/>
          <a:ahLst/>
          <a:cxnLst/>
          <a:rect l="0" t="0" r="0" b="0"/>
          <a:pathLst>
            <a:path>
              <a:moveTo>
                <a:pt x="45720" y="0"/>
              </a:moveTo>
              <a:lnTo>
                <a:pt x="45720" y="362428"/>
              </a:lnTo>
              <a:lnTo>
                <a:pt x="46351" y="362428"/>
              </a:lnTo>
              <a:lnTo>
                <a:pt x="4635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074BED5-7F8D-4722-8C22-FCAF11748259}">
      <dsp:nvSpPr>
        <dsp:cNvPr id="0" name=""/>
        <dsp:cNvSpPr/>
      </dsp:nvSpPr>
      <dsp:spPr>
        <a:xfrm>
          <a:off x="2177791" y="1074717"/>
          <a:ext cx="882590" cy="395084"/>
        </a:xfrm>
        <a:custGeom>
          <a:avLst/>
          <a:gdLst/>
          <a:ahLst/>
          <a:cxnLst/>
          <a:rect l="0" t="0" r="0" b="0"/>
          <a:pathLst>
            <a:path>
              <a:moveTo>
                <a:pt x="882590" y="0"/>
              </a:moveTo>
              <a:lnTo>
                <a:pt x="882590"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204631E-74EB-40E8-A900-343E0649A8B2}">
      <dsp:nvSpPr>
        <dsp:cNvPr id="0" name=""/>
        <dsp:cNvSpPr/>
      </dsp:nvSpPr>
      <dsp:spPr>
        <a:xfrm>
          <a:off x="1295200" y="1074717"/>
          <a:ext cx="1765181" cy="395084"/>
        </a:xfrm>
        <a:custGeom>
          <a:avLst/>
          <a:gdLst/>
          <a:ahLst/>
          <a:cxnLst/>
          <a:rect l="0" t="0" r="0" b="0"/>
          <a:pathLst>
            <a:path>
              <a:moveTo>
                <a:pt x="1765181" y="0"/>
              </a:moveTo>
              <a:lnTo>
                <a:pt x="1765181"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A746AE96-6E98-4104-9082-B7EAEE45EE0D}">
      <dsp:nvSpPr>
        <dsp:cNvPr id="0" name=""/>
        <dsp:cNvSpPr/>
      </dsp:nvSpPr>
      <dsp:spPr>
        <a:xfrm>
          <a:off x="412609" y="1074717"/>
          <a:ext cx="2647772" cy="395084"/>
        </a:xfrm>
        <a:custGeom>
          <a:avLst/>
          <a:gdLst/>
          <a:ahLst/>
          <a:cxnLst/>
          <a:rect l="0" t="0" r="0" b="0"/>
          <a:pathLst>
            <a:path>
              <a:moveTo>
                <a:pt x="2647772" y="0"/>
              </a:moveTo>
              <a:lnTo>
                <a:pt x="2647772"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91ABCFC2-F188-4BFE-9C9E-4D4CA72E670F}">
      <dsp:nvSpPr>
        <dsp:cNvPr id="0" name=""/>
        <dsp:cNvSpPr/>
      </dsp:nvSpPr>
      <dsp:spPr>
        <a:xfrm>
          <a:off x="2243247" y="657709"/>
          <a:ext cx="1634269" cy="417007"/>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chemeClr val="tx1"/>
              </a:solidFill>
              <a:latin typeface="Calibri "/>
            </a:rPr>
            <a:t>PR. HARTMUT EHRLICH</a:t>
          </a:r>
        </a:p>
        <a:p>
          <a:pPr marL="0" lvl="0" indent="0" algn="ctr" defTabSz="400050">
            <a:lnSpc>
              <a:spcPct val="90000"/>
            </a:lnSpc>
            <a:spcBef>
              <a:spcPct val="0"/>
            </a:spcBef>
            <a:spcAft>
              <a:spcPct val="35000"/>
            </a:spcAft>
            <a:buNone/>
          </a:pPr>
          <a:r>
            <a:rPr lang="fr-FR" sz="900" kern="1200" dirty="0">
              <a:solidFill>
                <a:schemeClr val="tx1"/>
              </a:solidFill>
              <a:latin typeface="Calibri "/>
            </a:rPr>
            <a:t>Directeur Général</a:t>
          </a:r>
          <a:endParaRPr lang="fr-FR" sz="900" kern="1200" dirty="0"/>
        </a:p>
      </dsp:txBody>
      <dsp:txXfrm>
        <a:off x="2243247" y="657709"/>
        <a:ext cx="1634269" cy="417007"/>
      </dsp:txXfrm>
    </dsp:sp>
    <dsp:sp modelId="{7ABFFCC2-6BF7-458B-99F6-F9709A72616B}">
      <dsp:nvSpPr>
        <dsp:cNvPr id="0" name=""/>
        <dsp:cNvSpPr/>
      </dsp:nvSpPr>
      <dsp:spPr>
        <a:xfrm>
          <a:off x="397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BLONDEL</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Administratif &amp; Financier et </a:t>
          </a:r>
        </a:p>
        <a:p>
          <a:pPr marL="0" lvl="0" indent="0" algn="ctr" defTabSz="400050">
            <a:lnSpc>
              <a:spcPct val="90000"/>
            </a:lnSpc>
            <a:spcBef>
              <a:spcPct val="0"/>
            </a:spcBef>
            <a:spcAft>
              <a:spcPct val="35000"/>
            </a:spcAft>
            <a:buNone/>
          </a:pPr>
          <a:r>
            <a:rPr lang="fr-FR" sz="900" kern="1200" dirty="0">
              <a:solidFill>
                <a:schemeClr val="tx1"/>
              </a:solidFill>
              <a:latin typeface="Calibri "/>
            </a:rPr>
            <a:t>Secrétaire du Conseil d'Administration</a:t>
          </a:r>
          <a:endParaRPr lang="fr-FR" sz="900" b="1" kern="1200" dirty="0">
            <a:solidFill>
              <a:schemeClr val="tx1"/>
            </a:solidFill>
            <a:latin typeface="Calibri "/>
          </a:endParaRPr>
        </a:p>
      </dsp:txBody>
      <dsp:txXfrm>
        <a:off x="3970" y="1469801"/>
        <a:ext cx="817279" cy="1251020"/>
      </dsp:txXfrm>
    </dsp:sp>
    <dsp:sp modelId="{1B8FD9C0-D24A-44AB-AD2E-8AAA492BAA32}">
      <dsp:nvSpPr>
        <dsp:cNvPr id="0" name=""/>
        <dsp:cNvSpPr/>
      </dsp:nvSpPr>
      <dsp:spPr>
        <a:xfrm>
          <a:off x="88656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PIERRE COURTEILLE</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Commercial et du Business </a:t>
          </a:r>
          <a:r>
            <a:rPr lang="fr-FR" sz="900" kern="1200" dirty="0" err="1">
              <a:solidFill>
                <a:schemeClr val="tx1"/>
              </a:solidFill>
              <a:latin typeface="Calibri "/>
            </a:rPr>
            <a:t>Development</a:t>
          </a:r>
          <a:r>
            <a:rPr lang="fr-FR" sz="900" kern="1200" dirty="0">
              <a:solidFill>
                <a:schemeClr val="tx1"/>
              </a:solidFill>
              <a:latin typeface="Calibri "/>
            </a:rPr>
            <a:t> </a:t>
          </a:r>
          <a:endParaRPr lang="fr-FR" sz="900" b="1" kern="1200" dirty="0">
            <a:solidFill>
              <a:schemeClr val="tx1"/>
            </a:solidFill>
            <a:latin typeface="Calibri "/>
          </a:endParaRPr>
        </a:p>
      </dsp:txBody>
      <dsp:txXfrm>
        <a:off x="886560" y="1469801"/>
        <a:ext cx="817279" cy="1251020"/>
      </dsp:txXfrm>
    </dsp:sp>
    <dsp:sp modelId="{9229AD25-3DCD-4AFF-AAAC-FC0ADB8C2EB6}">
      <dsp:nvSpPr>
        <dsp:cNvPr id="0" name=""/>
        <dsp:cNvSpPr/>
      </dsp:nvSpPr>
      <dsp:spPr>
        <a:xfrm>
          <a:off x="1769151"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JEAN-MARC STEENS</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t>
          </a:r>
        </a:p>
        <a:p>
          <a:pPr marL="0" lvl="0" indent="0" algn="ctr" defTabSz="400050">
            <a:lnSpc>
              <a:spcPct val="90000"/>
            </a:lnSpc>
            <a:spcBef>
              <a:spcPct val="0"/>
            </a:spcBef>
            <a:spcAft>
              <a:spcPct val="35000"/>
            </a:spcAft>
            <a:buNone/>
          </a:pPr>
          <a:r>
            <a:rPr lang="fr-FR" sz="900" kern="1200" dirty="0">
              <a:solidFill>
                <a:schemeClr val="tx1"/>
              </a:solidFill>
              <a:latin typeface="Calibri "/>
            </a:rPr>
            <a:t>Médical</a:t>
          </a:r>
          <a:endParaRPr lang="fr-FR" sz="900" b="1" kern="1200" dirty="0">
            <a:solidFill>
              <a:sysClr val="windowText" lastClr="000000"/>
            </a:solidFill>
            <a:latin typeface="Calibri "/>
          </a:endParaRPr>
        </a:p>
      </dsp:txBody>
      <dsp:txXfrm>
        <a:off x="1769151" y="1469801"/>
        <a:ext cx="817279" cy="1251020"/>
      </dsp:txXfrm>
    </dsp:sp>
    <dsp:sp modelId="{85D85A1D-CA75-4725-B5D2-F2054AE4E7F1}">
      <dsp:nvSpPr>
        <dsp:cNvPr id="0" name=""/>
        <dsp:cNvSpPr/>
      </dsp:nvSpPr>
      <dsp:spPr>
        <a:xfrm>
          <a:off x="265237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PAUL GINESTE</a:t>
          </a:r>
        </a:p>
        <a:p>
          <a:pPr marL="0" lvl="0" indent="0" algn="ctr" defTabSz="400050">
            <a:lnSpc>
              <a:spcPct val="90000"/>
            </a:lnSpc>
            <a:spcBef>
              <a:spcPct val="0"/>
            </a:spcBef>
            <a:spcAft>
              <a:spcPts val="0"/>
            </a:spcAft>
            <a:buNone/>
          </a:pPr>
          <a:r>
            <a:rPr lang="fr-FR" sz="900" kern="1200" dirty="0" err="1">
              <a:solidFill>
                <a:schemeClr val="tx1"/>
              </a:solidFill>
              <a:latin typeface="Calibri "/>
            </a:rPr>
            <a:t>V.P. Opérations Cliniques</a:t>
          </a:r>
        </a:p>
        <a:p>
          <a:pPr marL="0" lvl="0" indent="0" algn="ctr" defTabSz="400050">
            <a:lnSpc>
              <a:spcPct val="90000"/>
            </a:lnSpc>
            <a:spcBef>
              <a:spcPct val="0"/>
            </a:spcBef>
            <a:spcAft>
              <a:spcPts val="0"/>
            </a:spcAft>
            <a:buNone/>
          </a:pPr>
          <a:r>
            <a:rPr lang="fr-FR" sz="900" kern="1200" dirty="0">
              <a:solidFill>
                <a:schemeClr val="tx1"/>
              </a:solidFill>
              <a:latin typeface="Calibri "/>
            </a:rPr>
            <a:t> </a:t>
          </a:r>
          <a:endParaRPr lang="en-US" sz="600" kern="1200" dirty="0">
            <a:solidFill>
              <a:sysClr val="windowText" lastClr="000000"/>
            </a:solidFill>
          </a:endParaRPr>
        </a:p>
        <a:p>
          <a:pPr marL="0" lvl="0" indent="0" algn="ctr" defTabSz="400050">
            <a:lnSpc>
              <a:spcPct val="90000"/>
            </a:lnSpc>
            <a:spcBef>
              <a:spcPct val="0"/>
            </a:spcBef>
            <a:spcAft>
              <a:spcPct val="35000"/>
            </a:spcAft>
            <a:buNone/>
          </a:pPr>
          <a:endParaRPr lang="en-US" sz="600" kern="1200" dirty="0">
            <a:solidFill>
              <a:sysClr val="windowText" lastClr="000000"/>
            </a:solidFill>
          </a:endParaRPr>
        </a:p>
      </dsp:txBody>
      <dsp:txXfrm>
        <a:off x="2652374" y="1469801"/>
        <a:ext cx="817279" cy="1251020"/>
      </dsp:txXfrm>
    </dsp:sp>
    <dsp:sp modelId="{81816765-FEF0-474E-B50B-DE7FEA99B3E4}">
      <dsp:nvSpPr>
        <dsp:cNvPr id="0" name=""/>
        <dsp:cNvSpPr/>
      </dsp:nvSpPr>
      <dsp:spPr>
        <a:xfrm>
          <a:off x="3534333"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BERNARD FANGET</a:t>
          </a:r>
        </a:p>
        <a:p>
          <a:pPr marL="0" lvl="0" indent="0" algn="ctr" defTabSz="400050">
            <a:lnSpc>
              <a:spcPct val="90000"/>
            </a:lnSpc>
            <a:spcBef>
              <a:spcPct val="0"/>
            </a:spcBef>
            <a:spcAft>
              <a:spcPct val="35000"/>
            </a:spcAft>
            <a:buNone/>
          </a:pPr>
          <a:r>
            <a:rPr lang="fr-FR" sz="900" b="0" kern="1200" dirty="0">
              <a:solidFill>
                <a:schemeClr val="tx1"/>
              </a:solidFill>
              <a:latin typeface="Calibri "/>
            </a:rPr>
            <a:t>V.P. Affaires réglementaires</a:t>
          </a:r>
        </a:p>
      </dsp:txBody>
      <dsp:txXfrm>
        <a:off x="3534333" y="1469801"/>
        <a:ext cx="817279" cy="1251020"/>
      </dsp:txXfrm>
    </dsp:sp>
    <dsp:sp modelId="{DE422567-7DEF-4AFE-AC19-972DDD6A252E}">
      <dsp:nvSpPr>
        <dsp:cNvPr id="0" name=""/>
        <dsp:cNvSpPr/>
      </dsp:nvSpPr>
      <dsp:spPr>
        <a:xfrm>
          <a:off x="441692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JEROME DENIS </a:t>
          </a:r>
        </a:p>
        <a:p>
          <a:pPr marL="0" lvl="0" indent="0" algn="ctr" defTabSz="400050">
            <a:lnSpc>
              <a:spcPct val="90000"/>
            </a:lnSpc>
            <a:spcBef>
              <a:spcPct val="0"/>
            </a:spcBef>
            <a:spcAft>
              <a:spcPct val="35000"/>
            </a:spcAft>
            <a:buNone/>
          </a:pPr>
          <a:r>
            <a:rPr lang="fr-FR" sz="900" kern="1200" dirty="0">
              <a:solidFill>
                <a:sysClr val="windowText" lastClr="000000"/>
              </a:solidFill>
              <a:latin typeface="Calibri "/>
            </a:rPr>
            <a:t>V.P. Directeur de la Production et du Développement des Procédés </a:t>
          </a:r>
          <a:endParaRPr lang="fr-FR" sz="900" b="1" kern="1200" dirty="0">
            <a:solidFill>
              <a:schemeClr val="tx1"/>
            </a:solidFill>
            <a:latin typeface="Calibri "/>
          </a:endParaRPr>
        </a:p>
      </dsp:txBody>
      <dsp:txXfrm>
        <a:off x="4416924" y="1469801"/>
        <a:ext cx="817279" cy="1251020"/>
      </dsp:txXfrm>
    </dsp:sp>
    <dsp:sp modelId="{347F4702-19A9-40DB-AEA5-BDB4E88B0A23}">
      <dsp:nvSpPr>
        <dsp:cNvPr id="0" name=""/>
        <dsp:cNvSpPr/>
      </dsp:nvSpPr>
      <dsp:spPr>
        <a:xfrm>
          <a:off x="5299515"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SCHERRER</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de la Recherche</a:t>
          </a:r>
          <a:endParaRPr lang="fr-FR" sz="800" b="1" kern="1200" dirty="0">
            <a:solidFill>
              <a:schemeClr val="tx1"/>
            </a:solidFill>
            <a:latin typeface="Calibri "/>
          </a:endParaRPr>
        </a:p>
      </dsp:txBody>
      <dsp:txXfrm>
        <a:off x="5299515" y="1469801"/>
        <a:ext cx="817279" cy="12510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emier élément et date" Version="1987"/>
</file>

<file path=customXml/itemProps1.xml><?xml version="1.0" encoding="utf-8"?>
<ds:datastoreItem xmlns:ds="http://schemas.openxmlformats.org/officeDocument/2006/customXml" ds:itemID="{4D1F54DA-5EA9-46CC-A7DB-013EFEE5F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233</Pages>
  <Words>88798</Words>
  <Characters>506151</Characters>
  <Application>Microsoft Office Word</Application>
  <DocSecurity>0</DocSecurity>
  <Lines>4217</Lines>
  <Paragraphs>1187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Taylorwessing</Company>
  <LinksUpToDate>false</LinksUpToDate>
  <CharactersWithSpaces>593762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Lorraine Pin</dc:creator>
  <cp:lastModifiedBy>Roxandra Sturdza</cp:lastModifiedBy>
  <cp:revision>35</cp:revision>
  <cp:lastPrinted>2018-04-20T08:09:00Z</cp:lastPrinted>
  <dcterms:created xsi:type="dcterms:W3CDTF">2018-04-20T09:13:00Z</dcterms:created>
  <dcterms:modified xsi:type="dcterms:W3CDTF">2018-04-20T16:36:00Z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PADOCS01/413113.11</vt:lpwstr>
  </property>
  <property fmtid="{D5CDD505-2E9C-101B-9397-08002B2CF9AE}" pid="3" name="FooterFileName">
    <vt:lpwstr>DDR_Abivax_2017_110517_Markup</vt:lpwstr>
  </property>
  <property fmtid="{D5CDD505-2E9C-101B-9397-08002B2CF9AE}" pid="4" name="NXPowerLiteLastOptimized">
    <vt:lpwstr>12320163</vt:lpwstr>
  </property>
  <property fmtid="{D5CDD505-2E9C-101B-9397-08002B2CF9AE}" pid="5" name="NXPowerLiteSettings">
    <vt:lpwstr>F7200358026400</vt:lpwstr>
  </property>
  <property fmtid="{D5CDD505-2E9C-101B-9397-08002B2CF9AE}" pid="6" name="NXPowerLiteVersion">
    <vt:lpwstr>D5.1.3</vt:lpwstr>
  </property>
  <property fmtid="{D5CDD505-2E9C-101B-9397-08002B2CF9AE}" pid="7" name="TJGMacrosVersion">
    <vt:i4>20031101</vt:i4>
  </property>
</Properties>
</file>